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DB2DB" w14:textId="77777777" w:rsidR="00BC0AF4" w:rsidRPr="00297DB3" w:rsidRDefault="00BC0AF4" w:rsidP="00297DB3">
      <w:pPr>
        <w:widowControl w:val="0"/>
        <w:autoSpaceDE w:val="0"/>
        <w:autoSpaceDN w:val="0"/>
        <w:spacing w:before="100" w:beforeAutospacing="1" w:after="100" w:afterAutospacing="1"/>
        <w:rPr>
          <w:rFonts w:eastAsia="Times New Roman" w:cs="Times New Roman"/>
          <w:szCs w:val="24"/>
        </w:rPr>
      </w:pPr>
      <w:r w:rsidRPr="00297DB3">
        <w:rPr>
          <w:rFonts w:eastAsia="Times New Roman" w:cs="Times New Roman"/>
          <w:szCs w:val="24"/>
        </w:rPr>
        <w:t>MassHealth</w:t>
      </w:r>
    </w:p>
    <w:p w14:paraId="20838128" w14:textId="3D302BB1" w:rsidR="00BC0AF4" w:rsidRPr="00297DB3" w:rsidRDefault="00BC0AF4" w:rsidP="00124EBB">
      <w:pPr>
        <w:pStyle w:val="Heading1"/>
        <w:ind w:left="0"/>
      </w:pPr>
      <w:r w:rsidRPr="00297DB3">
        <w:t>Section 1115 Quarterly</w:t>
      </w:r>
      <w:r w:rsidR="00F31AC8" w:rsidRPr="00297DB3">
        <w:t xml:space="preserve"> </w:t>
      </w:r>
      <w:r w:rsidRPr="00297DB3">
        <w:t>Report</w:t>
      </w:r>
    </w:p>
    <w:p w14:paraId="18BD57FB" w14:textId="551448A3" w:rsidR="00BC0AF4" w:rsidRPr="00297DB3" w:rsidRDefault="00BC0AF4" w:rsidP="00297DB3">
      <w:pPr>
        <w:widowControl w:val="0"/>
        <w:autoSpaceDE w:val="0"/>
        <w:autoSpaceDN w:val="0"/>
        <w:spacing w:before="100" w:beforeAutospacing="1" w:after="100" w:afterAutospacing="1"/>
        <w:rPr>
          <w:rFonts w:eastAsia="Times New Roman" w:cs="Times New Roman"/>
          <w:szCs w:val="24"/>
        </w:rPr>
      </w:pPr>
      <w:bookmarkStart w:id="0" w:name="Demonstration/Quarter_Reporting_Period:"/>
      <w:bookmarkStart w:id="1" w:name="Introduction"/>
      <w:bookmarkEnd w:id="0"/>
      <w:bookmarkEnd w:id="1"/>
      <w:r w:rsidRPr="00297DB3">
        <w:rPr>
          <w:rFonts w:eastAsia="Times New Roman" w:cs="Times New Roman"/>
          <w:szCs w:val="24"/>
        </w:rPr>
        <w:t>Demonstration Year: 2</w:t>
      </w:r>
      <w:r w:rsidR="00C95356">
        <w:rPr>
          <w:rFonts w:eastAsia="Times New Roman" w:cs="Times New Roman"/>
          <w:szCs w:val="24"/>
        </w:rPr>
        <w:t>4</w:t>
      </w:r>
      <w:r w:rsidRPr="00297DB3">
        <w:rPr>
          <w:rFonts w:eastAsia="Times New Roman" w:cs="Times New Roman"/>
          <w:szCs w:val="24"/>
        </w:rPr>
        <w:t xml:space="preserve"> (7/1/20</w:t>
      </w:r>
      <w:r w:rsidR="00C95356">
        <w:rPr>
          <w:rFonts w:eastAsia="Times New Roman" w:cs="Times New Roman"/>
          <w:szCs w:val="24"/>
        </w:rPr>
        <w:t>20</w:t>
      </w:r>
      <w:r w:rsidRPr="00297DB3">
        <w:rPr>
          <w:rFonts w:eastAsia="Times New Roman" w:cs="Times New Roman"/>
          <w:szCs w:val="24"/>
        </w:rPr>
        <w:t xml:space="preserve"> – 6/30/20</w:t>
      </w:r>
      <w:r w:rsidR="00834DF3" w:rsidRPr="00297DB3">
        <w:rPr>
          <w:rFonts w:eastAsia="Times New Roman" w:cs="Times New Roman"/>
          <w:szCs w:val="24"/>
        </w:rPr>
        <w:t>2</w:t>
      </w:r>
      <w:r w:rsidR="00C95356">
        <w:rPr>
          <w:rFonts w:eastAsia="Times New Roman" w:cs="Times New Roman"/>
          <w:szCs w:val="24"/>
        </w:rPr>
        <w:t>1</w:t>
      </w:r>
      <w:r w:rsidRPr="00297DB3">
        <w:rPr>
          <w:rFonts w:eastAsia="Times New Roman" w:cs="Times New Roman"/>
          <w:szCs w:val="24"/>
        </w:rPr>
        <w:t xml:space="preserve">) </w:t>
      </w:r>
      <w:r w:rsidR="0067458A">
        <w:rPr>
          <w:rFonts w:eastAsia="Times New Roman" w:cs="Times New Roman"/>
          <w:szCs w:val="24"/>
        </w:rPr>
        <w:t xml:space="preserve">&amp; </w:t>
      </w:r>
      <w:r w:rsidRPr="00297DB3">
        <w:rPr>
          <w:rFonts w:eastAsia="Times New Roman" w:cs="Times New Roman"/>
          <w:szCs w:val="24"/>
        </w:rPr>
        <w:t xml:space="preserve">Quarter </w:t>
      </w:r>
      <w:r w:rsidR="0067458A">
        <w:rPr>
          <w:rFonts w:eastAsia="Times New Roman" w:cs="Times New Roman"/>
          <w:szCs w:val="24"/>
        </w:rPr>
        <w:t>4</w:t>
      </w:r>
      <w:r w:rsidRPr="00297DB3">
        <w:rPr>
          <w:rFonts w:eastAsia="Times New Roman" w:cs="Times New Roman"/>
          <w:szCs w:val="24"/>
        </w:rPr>
        <w:t>:</w:t>
      </w:r>
      <w:r w:rsidR="00834DF3" w:rsidRPr="00297DB3">
        <w:rPr>
          <w:rFonts w:eastAsia="Times New Roman" w:cs="Times New Roman"/>
          <w:szCs w:val="24"/>
        </w:rPr>
        <w:t xml:space="preserve"> (</w:t>
      </w:r>
      <w:r w:rsidR="0067458A">
        <w:rPr>
          <w:rFonts w:eastAsia="Times New Roman" w:cs="Times New Roman"/>
          <w:szCs w:val="24"/>
        </w:rPr>
        <w:t>4</w:t>
      </w:r>
      <w:r w:rsidR="008871F3" w:rsidRPr="00297DB3">
        <w:rPr>
          <w:rFonts w:eastAsia="Times New Roman" w:cs="Times New Roman"/>
          <w:szCs w:val="24"/>
        </w:rPr>
        <w:t>/01/</w:t>
      </w:r>
      <w:r w:rsidR="00D92F2A">
        <w:rPr>
          <w:rFonts w:eastAsia="Times New Roman" w:cs="Times New Roman"/>
          <w:szCs w:val="24"/>
        </w:rPr>
        <w:t>2</w:t>
      </w:r>
      <w:r w:rsidR="00C95356">
        <w:rPr>
          <w:rFonts w:eastAsia="Times New Roman" w:cs="Times New Roman"/>
          <w:szCs w:val="24"/>
        </w:rPr>
        <w:t>1</w:t>
      </w:r>
      <w:r w:rsidR="00D92F2A">
        <w:rPr>
          <w:rFonts w:eastAsia="Times New Roman" w:cs="Times New Roman"/>
          <w:szCs w:val="24"/>
        </w:rPr>
        <w:t xml:space="preserve"> – </w:t>
      </w:r>
      <w:r w:rsidR="0067458A">
        <w:rPr>
          <w:rFonts w:eastAsia="Times New Roman" w:cs="Times New Roman"/>
          <w:szCs w:val="24"/>
        </w:rPr>
        <w:t>6</w:t>
      </w:r>
      <w:r w:rsidR="008871F3" w:rsidRPr="00297DB3">
        <w:rPr>
          <w:rFonts w:eastAsia="Times New Roman" w:cs="Times New Roman"/>
          <w:szCs w:val="24"/>
        </w:rPr>
        <w:t>/3</w:t>
      </w:r>
      <w:r w:rsidR="0067458A">
        <w:rPr>
          <w:rFonts w:eastAsia="Times New Roman" w:cs="Times New Roman"/>
          <w:szCs w:val="24"/>
        </w:rPr>
        <w:t>0</w:t>
      </w:r>
      <w:r w:rsidR="008871F3" w:rsidRPr="00297DB3">
        <w:rPr>
          <w:rFonts w:eastAsia="Times New Roman" w:cs="Times New Roman"/>
          <w:szCs w:val="24"/>
        </w:rPr>
        <w:t>/</w:t>
      </w:r>
      <w:r w:rsidR="00D92F2A">
        <w:rPr>
          <w:rFonts w:eastAsia="Times New Roman" w:cs="Times New Roman"/>
          <w:szCs w:val="24"/>
        </w:rPr>
        <w:t>2</w:t>
      </w:r>
      <w:r w:rsidR="00C95356">
        <w:rPr>
          <w:rFonts w:eastAsia="Times New Roman" w:cs="Times New Roman"/>
          <w:szCs w:val="24"/>
        </w:rPr>
        <w:t>1</w:t>
      </w:r>
      <w:r w:rsidR="00834DF3" w:rsidRPr="00297DB3">
        <w:rPr>
          <w:rFonts w:eastAsia="Times New Roman" w:cs="Times New Roman"/>
          <w:szCs w:val="24"/>
        </w:rPr>
        <w:t>)</w:t>
      </w:r>
      <w:r w:rsidR="0067458A">
        <w:rPr>
          <w:rFonts w:eastAsia="Times New Roman" w:cs="Times New Roman"/>
          <w:szCs w:val="24"/>
        </w:rPr>
        <w:t xml:space="preserve"> </w:t>
      </w:r>
    </w:p>
    <w:p w14:paraId="32E4F70D" w14:textId="77777777" w:rsidR="00BC0AF4" w:rsidRPr="00297DB3" w:rsidRDefault="00BC0AF4" w:rsidP="00124EBB">
      <w:pPr>
        <w:pStyle w:val="Heading2"/>
        <w:rPr>
          <w:b w:val="0"/>
        </w:rPr>
      </w:pPr>
      <w:r w:rsidRPr="00F81C69">
        <w:t>Introduction</w:t>
      </w:r>
    </w:p>
    <w:p w14:paraId="27603C1F" w14:textId="77777777" w:rsidR="00EC350C" w:rsidRPr="00297DB3" w:rsidRDefault="00EC350C" w:rsidP="00297DB3">
      <w:pPr>
        <w:widowControl w:val="0"/>
        <w:autoSpaceDE w:val="0"/>
        <w:autoSpaceDN w:val="0"/>
        <w:spacing w:before="100" w:beforeAutospacing="1" w:after="100" w:afterAutospacing="1"/>
        <w:ind w:right="360"/>
        <w:rPr>
          <w:rFonts w:eastAsia="Times New Roman" w:cs="Times New Roman"/>
          <w:szCs w:val="24"/>
        </w:rPr>
      </w:pPr>
      <w:r w:rsidRPr="00297DB3">
        <w:rPr>
          <w:rFonts w:eastAsia="Times New Roman" w:cs="Times New Roman"/>
          <w:szCs w:val="24"/>
        </w:rPr>
        <w:t>The Commonwealth of Massachusetts’ current 1115 Demonstration agreement (Project Number II-W-00030/I) Extension was approved on November 4, 2016, effective July 1, 2017 through June 30, 2022. This extension seeks to transform the delivery of care for most MassHealth members and to change how that care is paid for, with the goals of improving quality and establishing greater control over spending. The Demonstration also addresses the epidemic of opioid drug use in Massachusetts. The Demonstration extension seeks to advance seven goals:</w:t>
      </w:r>
    </w:p>
    <w:p w14:paraId="31EF3BF7" w14:textId="77777777" w:rsidR="00EC350C" w:rsidRPr="00297DB3" w:rsidRDefault="00EC350C" w:rsidP="00297DB3">
      <w:pPr>
        <w:widowControl w:val="0"/>
        <w:numPr>
          <w:ilvl w:val="0"/>
          <w:numId w:val="2"/>
        </w:numPr>
        <w:autoSpaceDE w:val="0"/>
        <w:autoSpaceDN w:val="0"/>
        <w:spacing w:before="100" w:beforeAutospacing="1" w:after="100" w:afterAutospacing="1"/>
        <w:ind w:right="360"/>
        <w:rPr>
          <w:rFonts w:eastAsia="Times New Roman" w:cs="Times New Roman"/>
          <w:szCs w:val="24"/>
        </w:rPr>
      </w:pPr>
      <w:r w:rsidRPr="00297DB3">
        <w:rPr>
          <w:rFonts w:eastAsia="Times New Roman" w:cs="Times New Roman"/>
          <w:szCs w:val="24"/>
        </w:rPr>
        <w:t>Goal 1: Enact payment and delivery system reforms that promote integrated, coordinated care; and hold providers accountable for the quality and total cost of care</w:t>
      </w:r>
    </w:p>
    <w:p w14:paraId="41DC503E" w14:textId="77777777" w:rsidR="00EC350C" w:rsidRPr="00297DB3" w:rsidRDefault="00EC350C" w:rsidP="00297DB3">
      <w:pPr>
        <w:widowControl w:val="0"/>
        <w:numPr>
          <w:ilvl w:val="0"/>
          <w:numId w:val="2"/>
        </w:numPr>
        <w:autoSpaceDE w:val="0"/>
        <w:autoSpaceDN w:val="0"/>
        <w:spacing w:before="100" w:beforeAutospacing="1" w:after="100" w:afterAutospacing="1"/>
        <w:ind w:right="360"/>
        <w:rPr>
          <w:rFonts w:eastAsia="Times New Roman" w:cs="Times New Roman"/>
          <w:szCs w:val="24"/>
        </w:rPr>
      </w:pPr>
      <w:r w:rsidRPr="00297DB3">
        <w:rPr>
          <w:rFonts w:eastAsia="Times New Roman" w:cs="Times New Roman"/>
          <w:szCs w:val="24"/>
        </w:rPr>
        <w:t>Goal 2: Improve integration of physical, behavioral and long-term services</w:t>
      </w:r>
    </w:p>
    <w:p w14:paraId="3BFF2860" w14:textId="77777777" w:rsidR="00EC350C" w:rsidRPr="00297DB3" w:rsidRDefault="00EC350C" w:rsidP="00297DB3">
      <w:pPr>
        <w:widowControl w:val="0"/>
        <w:numPr>
          <w:ilvl w:val="0"/>
          <w:numId w:val="2"/>
        </w:numPr>
        <w:autoSpaceDE w:val="0"/>
        <w:autoSpaceDN w:val="0"/>
        <w:spacing w:before="100" w:beforeAutospacing="1" w:after="100" w:afterAutospacing="1"/>
        <w:ind w:right="360"/>
        <w:rPr>
          <w:rFonts w:eastAsia="Times New Roman" w:cs="Times New Roman"/>
          <w:szCs w:val="24"/>
        </w:rPr>
      </w:pPr>
      <w:r w:rsidRPr="00297DB3">
        <w:rPr>
          <w:rFonts w:eastAsia="Times New Roman" w:cs="Times New Roman"/>
          <w:szCs w:val="24"/>
        </w:rPr>
        <w:t>Goal 3: Maintain near-universal coverage</w:t>
      </w:r>
    </w:p>
    <w:p w14:paraId="46BCBA26" w14:textId="77777777" w:rsidR="00EC350C" w:rsidRPr="00297DB3" w:rsidRDefault="00EC350C" w:rsidP="00297DB3">
      <w:pPr>
        <w:widowControl w:val="0"/>
        <w:numPr>
          <w:ilvl w:val="0"/>
          <w:numId w:val="2"/>
        </w:numPr>
        <w:autoSpaceDE w:val="0"/>
        <w:autoSpaceDN w:val="0"/>
        <w:spacing w:before="100" w:beforeAutospacing="1" w:after="100" w:afterAutospacing="1"/>
        <w:ind w:right="360"/>
        <w:rPr>
          <w:rFonts w:eastAsia="Times New Roman" w:cs="Times New Roman"/>
          <w:szCs w:val="24"/>
        </w:rPr>
      </w:pPr>
      <w:r w:rsidRPr="00297DB3">
        <w:rPr>
          <w:rFonts w:eastAsia="Times New Roman" w:cs="Times New Roman"/>
          <w:szCs w:val="24"/>
        </w:rPr>
        <w:t>Goal 4: Sustainably support safety net providers to ensure continued access to care for Medicaid and low-income uninsured individuals</w:t>
      </w:r>
    </w:p>
    <w:p w14:paraId="513E2463" w14:textId="77777777" w:rsidR="00EC350C" w:rsidRPr="00297DB3" w:rsidRDefault="00EC350C" w:rsidP="00297DB3">
      <w:pPr>
        <w:widowControl w:val="0"/>
        <w:numPr>
          <w:ilvl w:val="0"/>
          <w:numId w:val="2"/>
        </w:numPr>
        <w:autoSpaceDE w:val="0"/>
        <w:autoSpaceDN w:val="0"/>
        <w:spacing w:before="100" w:beforeAutospacing="1" w:after="100" w:afterAutospacing="1"/>
        <w:ind w:right="360"/>
        <w:rPr>
          <w:rFonts w:eastAsia="Times New Roman" w:cs="Times New Roman"/>
          <w:szCs w:val="24"/>
        </w:rPr>
      </w:pPr>
      <w:r w:rsidRPr="00297DB3">
        <w:rPr>
          <w:rFonts w:eastAsia="Times New Roman" w:cs="Times New Roman"/>
          <w:szCs w:val="24"/>
        </w:rPr>
        <w:t>Goal 5: Address the opioid addiction crisis by expanding access to a broad spectrum of recovery-oriented substance use disorder services</w:t>
      </w:r>
    </w:p>
    <w:p w14:paraId="5806C8F9" w14:textId="77777777" w:rsidR="00EC350C" w:rsidRPr="00297DB3" w:rsidRDefault="00EC350C" w:rsidP="00297DB3">
      <w:pPr>
        <w:widowControl w:val="0"/>
        <w:numPr>
          <w:ilvl w:val="0"/>
          <w:numId w:val="2"/>
        </w:numPr>
        <w:autoSpaceDE w:val="0"/>
        <w:autoSpaceDN w:val="0"/>
        <w:spacing w:before="100" w:beforeAutospacing="1" w:after="100" w:afterAutospacing="1"/>
        <w:ind w:right="360"/>
        <w:rPr>
          <w:rFonts w:eastAsia="Times New Roman" w:cs="Times New Roman"/>
          <w:szCs w:val="24"/>
        </w:rPr>
      </w:pPr>
      <w:r w:rsidRPr="00297DB3">
        <w:rPr>
          <w:rFonts w:eastAsia="Times New Roman" w:cs="Times New Roman"/>
          <w:szCs w:val="24"/>
        </w:rPr>
        <w:t>Goal 6: Increase and strengthen overall coverage of former foster care youth and improve health outcomes for this population.</w:t>
      </w:r>
    </w:p>
    <w:p w14:paraId="1758DE96" w14:textId="77777777" w:rsidR="00EC350C" w:rsidRPr="00297DB3" w:rsidRDefault="00EC350C" w:rsidP="00297DB3">
      <w:pPr>
        <w:widowControl w:val="0"/>
        <w:numPr>
          <w:ilvl w:val="0"/>
          <w:numId w:val="2"/>
        </w:numPr>
        <w:autoSpaceDE w:val="0"/>
        <w:autoSpaceDN w:val="0"/>
        <w:spacing w:before="100" w:beforeAutospacing="1" w:after="100" w:afterAutospacing="1"/>
        <w:ind w:right="360"/>
        <w:rPr>
          <w:rFonts w:eastAsia="Times New Roman" w:cs="Times New Roman"/>
          <w:szCs w:val="24"/>
        </w:rPr>
      </w:pPr>
      <w:r w:rsidRPr="00297DB3">
        <w:rPr>
          <w:rFonts w:eastAsia="Times New Roman" w:cs="Times New Roman"/>
          <w:szCs w:val="24"/>
        </w:rPr>
        <w:t>Goal 7: Ensure the long-term financial sustainability of the MassHealth program through refinement of provisional eligibility and authorization for SHIP Premium Assistance</w:t>
      </w:r>
    </w:p>
    <w:p w14:paraId="72C302FA" w14:textId="5A86D0CB" w:rsidR="005D16A3" w:rsidRPr="00297DB3" w:rsidRDefault="005D16A3" w:rsidP="00297DB3">
      <w:pPr>
        <w:widowControl w:val="0"/>
        <w:autoSpaceDE w:val="0"/>
        <w:autoSpaceDN w:val="0"/>
        <w:spacing w:before="100" w:beforeAutospacing="1" w:after="100" w:afterAutospacing="1"/>
        <w:ind w:right="360"/>
        <w:rPr>
          <w:rFonts w:eastAsia="Times New Roman" w:cs="Times New Roman"/>
          <w:szCs w:val="24"/>
        </w:rPr>
      </w:pPr>
      <w:r w:rsidRPr="00297DB3">
        <w:rPr>
          <w:rFonts w:eastAsia="Times New Roman" w:cs="Times New Roman"/>
          <w:szCs w:val="24"/>
        </w:rPr>
        <w:t>In accordance with the Special Terms and Conditions (STCs</w:t>
      </w:r>
      <w:r w:rsidR="0073016B" w:rsidRPr="00297DB3">
        <w:rPr>
          <w:rFonts w:eastAsia="Times New Roman" w:cs="Times New Roman"/>
          <w:szCs w:val="24"/>
        </w:rPr>
        <w:t>)</w:t>
      </w:r>
      <w:r w:rsidRPr="00297DB3">
        <w:rPr>
          <w:rFonts w:eastAsia="Times New Roman" w:cs="Times New Roman"/>
          <w:szCs w:val="24"/>
        </w:rPr>
        <w:t xml:space="preserve"> of the Demonstration and specifically STC’s </w:t>
      </w:r>
      <w:r w:rsidR="00F31AC8" w:rsidRPr="00297DB3">
        <w:rPr>
          <w:rFonts w:eastAsia="Times New Roman" w:cs="Times New Roman"/>
          <w:szCs w:val="24"/>
        </w:rPr>
        <w:t>82-84</w:t>
      </w:r>
      <w:r w:rsidR="0073016B" w:rsidRPr="00297DB3">
        <w:rPr>
          <w:rFonts w:eastAsia="Times New Roman" w:cs="Times New Roman"/>
          <w:szCs w:val="24"/>
        </w:rPr>
        <w:t>, the Massachusetts Executive Office of Health and Human Services (EOHHS) hereby submits its</w:t>
      </w:r>
      <w:r w:rsidR="008871F3" w:rsidRPr="00297DB3">
        <w:rPr>
          <w:rFonts w:eastAsia="Times New Roman" w:cs="Times New Roman"/>
          <w:szCs w:val="24"/>
        </w:rPr>
        <w:t xml:space="preserve"> quarter</w:t>
      </w:r>
      <w:r w:rsidR="006E3871" w:rsidRPr="00297DB3">
        <w:rPr>
          <w:rFonts w:eastAsia="Times New Roman" w:cs="Times New Roman"/>
          <w:szCs w:val="24"/>
        </w:rPr>
        <w:t xml:space="preserve"> </w:t>
      </w:r>
      <w:r w:rsidR="006371F6">
        <w:rPr>
          <w:rFonts w:eastAsia="Times New Roman" w:cs="Times New Roman"/>
          <w:szCs w:val="24"/>
        </w:rPr>
        <w:t xml:space="preserve">four and annual </w:t>
      </w:r>
      <w:r w:rsidR="0073016B" w:rsidRPr="00297DB3">
        <w:rPr>
          <w:rFonts w:eastAsia="Times New Roman" w:cs="Times New Roman"/>
          <w:szCs w:val="24"/>
        </w:rPr>
        <w:t xml:space="preserve">operational report for </w:t>
      </w:r>
      <w:r w:rsidR="008871F3" w:rsidRPr="00297DB3">
        <w:rPr>
          <w:rFonts w:eastAsia="Times New Roman" w:cs="Times New Roman"/>
          <w:szCs w:val="24"/>
        </w:rPr>
        <w:t>Demonstration Year 2</w:t>
      </w:r>
      <w:r w:rsidR="00C73740">
        <w:rPr>
          <w:rFonts w:eastAsia="Times New Roman" w:cs="Times New Roman"/>
          <w:szCs w:val="24"/>
        </w:rPr>
        <w:t>4</w:t>
      </w:r>
      <w:r w:rsidR="008871F3" w:rsidRPr="00297DB3">
        <w:rPr>
          <w:rFonts w:eastAsia="Times New Roman" w:cs="Times New Roman"/>
          <w:szCs w:val="24"/>
        </w:rPr>
        <w:t xml:space="preserve">, </w:t>
      </w:r>
      <w:r w:rsidR="0073016B" w:rsidRPr="00297DB3">
        <w:rPr>
          <w:rFonts w:eastAsia="Times New Roman" w:cs="Times New Roman"/>
          <w:szCs w:val="24"/>
        </w:rPr>
        <w:t xml:space="preserve">ending </w:t>
      </w:r>
      <w:r w:rsidR="006371F6">
        <w:rPr>
          <w:rFonts w:eastAsia="Times New Roman" w:cs="Times New Roman"/>
          <w:szCs w:val="24"/>
        </w:rPr>
        <w:t>June 30</w:t>
      </w:r>
      <w:r w:rsidR="00D92F2A">
        <w:rPr>
          <w:rFonts w:eastAsia="Times New Roman" w:cs="Times New Roman"/>
          <w:szCs w:val="24"/>
        </w:rPr>
        <w:t>, 202</w:t>
      </w:r>
      <w:r w:rsidR="00C73740">
        <w:rPr>
          <w:rFonts w:eastAsia="Times New Roman" w:cs="Times New Roman"/>
          <w:szCs w:val="24"/>
        </w:rPr>
        <w:t>1</w:t>
      </w:r>
      <w:r w:rsidR="0073016B" w:rsidRPr="00297DB3">
        <w:rPr>
          <w:rFonts w:eastAsia="Times New Roman" w:cs="Times New Roman"/>
          <w:szCs w:val="24"/>
        </w:rPr>
        <w:t xml:space="preserve">. </w:t>
      </w:r>
    </w:p>
    <w:p w14:paraId="3E562675" w14:textId="71D29EB8" w:rsidR="00BC0AF4" w:rsidRDefault="00BC0AF4" w:rsidP="00124EBB">
      <w:pPr>
        <w:pStyle w:val="Heading2"/>
      </w:pPr>
      <w:bookmarkStart w:id="2" w:name="Enrollment_Information"/>
      <w:bookmarkEnd w:id="2"/>
      <w:r w:rsidRPr="00FC440A">
        <w:t>Enrollment Information</w:t>
      </w:r>
      <w:r w:rsidR="00C73740">
        <w:t xml:space="preserve"> </w:t>
      </w:r>
    </w:p>
    <w:p w14:paraId="36576E2C" w14:textId="77777777" w:rsidR="00C73740" w:rsidRPr="00FC440A" w:rsidRDefault="00C73740" w:rsidP="007F11A1">
      <w:r w:rsidRPr="00F81C69">
        <w:t>The enrollment activity below reflects enrollment counts for SFY 2021 Quarter 4, as of June 30, 2021.</w:t>
      </w:r>
      <w:r w:rsidRPr="00FC440A">
        <w:t xml:space="preserve">   </w:t>
      </w:r>
    </w:p>
    <w:tbl>
      <w:tblPr>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3240"/>
      </w:tblGrid>
      <w:tr w:rsidR="00C73740" w:rsidRPr="00FC440A" w14:paraId="12B536E4" w14:textId="77777777" w:rsidTr="00F158A1">
        <w:trPr>
          <w:trHeight w:hRule="exact" w:val="370"/>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532A4C2D" w14:textId="77777777" w:rsidR="00C73740" w:rsidRPr="00FC440A" w:rsidRDefault="00C73740" w:rsidP="00F158A1">
            <w:pPr>
              <w:widowControl w:val="0"/>
              <w:autoSpaceDE w:val="0"/>
              <w:autoSpaceDN w:val="0"/>
              <w:spacing w:before="100" w:beforeAutospacing="1" w:after="100" w:afterAutospacing="1"/>
              <w:outlineLvl w:val="0"/>
              <w:rPr>
                <w:rFonts w:eastAsia="Times New Roman" w:cs="Times New Roman"/>
                <w:b/>
                <w:szCs w:val="24"/>
              </w:rPr>
            </w:pPr>
            <w:r w:rsidRPr="00FC440A">
              <w:rPr>
                <w:rFonts w:eastAsia="Times New Roman" w:cs="Times New Roman"/>
                <w:b/>
                <w:szCs w:val="24"/>
                <w:u w:val="thick"/>
              </w:rPr>
              <w:t>Eligibility Group</w:t>
            </w:r>
          </w:p>
        </w:tc>
        <w:tc>
          <w:tcPr>
            <w:tcW w:w="3240" w:type="dxa"/>
            <w:tcBorders>
              <w:top w:val="single" w:sz="4" w:space="0" w:color="000000"/>
              <w:left w:val="single" w:sz="4" w:space="0" w:color="000000"/>
              <w:bottom w:val="single" w:sz="4" w:space="0" w:color="000000"/>
              <w:right w:val="single" w:sz="4" w:space="0" w:color="000000"/>
            </w:tcBorders>
          </w:tcPr>
          <w:p w14:paraId="18B92B0C" w14:textId="77777777" w:rsidR="00C73740" w:rsidRPr="00FC440A" w:rsidRDefault="00C73740" w:rsidP="00F158A1">
            <w:pPr>
              <w:widowControl w:val="0"/>
              <w:autoSpaceDE w:val="0"/>
              <w:autoSpaceDN w:val="0"/>
              <w:spacing w:before="100" w:beforeAutospacing="1" w:after="100" w:afterAutospacing="1"/>
              <w:outlineLvl w:val="0"/>
              <w:rPr>
                <w:rFonts w:eastAsia="Times New Roman" w:cs="Times New Roman"/>
                <w:szCs w:val="24"/>
              </w:rPr>
            </w:pPr>
            <w:r w:rsidRPr="00FC440A">
              <w:rPr>
                <w:rFonts w:eastAsia="Times New Roman" w:cs="Times New Roman"/>
                <w:szCs w:val="24"/>
                <w:u w:val="single"/>
              </w:rPr>
              <w:t>Current Enrollees (to date)</w:t>
            </w:r>
          </w:p>
        </w:tc>
      </w:tr>
      <w:tr w:rsidR="00C73740" w:rsidRPr="00FC440A" w14:paraId="48E096DE" w14:textId="77777777" w:rsidTr="00F158A1">
        <w:trPr>
          <w:trHeight w:hRule="exact" w:val="442"/>
        </w:trPr>
        <w:tc>
          <w:tcPr>
            <w:tcW w:w="360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D077FE6" w14:textId="77777777" w:rsidR="00C73740" w:rsidRPr="009A123D" w:rsidRDefault="00C73740" w:rsidP="00F158A1">
            <w:pPr>
              <w:widowControl w:val="0"/>
              <w:autoSpaceDE w:val="0"/>
              <w:autoSpaceDN w:val="0"/>
              <w:spacing w:before="100" w:beforeAutospacing="1" w:after="100" w:afterAutospacing="1"/>
              <w:outlineLvl w:val="0"/>
              <w:rPr>
                <w:rFonts w:eastAsia="Times New Roman" w:cs="Times New Roman"/>
                <w:szCs w:val="24"/>
              </w:rPr>
            </w:pPr>
            <w:r w:rsidRPr="009A123D">
              <w:rPr>
                <w:rFonts w:eastAsia="Times New Roman" w:cs="Times New Roman"/>
                <w:szCs w:val="24"/>
              </w:rPr>
              <w:t>Base Families</w:t>
            </w:r>
          </w:p>
        </w:tc>
        <w:tc>
          <w:tcPr>
            <w:tcW w:w="3240" w:type="dxa"/>
            <w:tcBorders>
              <w:top w:val="single" w:sz="4" w:space="0" w:color="000000"/>
              <w:left w:val="single" w:sz="4" w:space="0" w:color="000000"/>
              <w:bottom w:val="single" w:sz="4" w:space="0" w:color="000000"/>
              <w:right w:val="single" w:sz="4" w:space="0" w:color="000000"/>
            </w:tcBorders>
          </w:tcPr>
          <w:p w14:paraId="33C287CD" w14:textId="77777777" w:rsidR="00C73740" w:rsidRPr="00C73740" w:rsidRDefault="00C73740" w:rsidP="00F158A1">
            <w:pPr>
              <w:widowControl w:val="0"/>
              <w:autoSpaceDE w:val="0"/>
              <w:autoSpaceDN w:val="0"/>
              <w:spacing w:before="100" w:beforeAutospacing="1" w:after="100" w:afterAutospacing="1"/>
              <w:outlineLvl w:val="0"/>
              <w:rPr>
                <w:rFonts w:eastAsia="Times New Roman" w:cs="Times New Roman"/>
                <w:bCs/>
                <w:szCs w:val="24"/>
              </w:rPr>
            </w:pPr>
            <w:r w:rsidRPr="00C73740">
              <w:rPr>
                <w:rFonts w:cs="Times New Roman"/>
                <w:szCs w:val="24"/>
              </w:rPr>
              <w:t xml:space="preserve"> 877,871 </w:t>
            </w:r>
          </w:p>
        </w:tc>
      </w:tr>
      <w:tr w:rsidR="00C73740" w:rsidRPr="00FC440A" w14:paraId="0AC3DCCE" w14:textId="77777777" w:rsidTr="00F158A1">
        <w:trPr>
          <w:trHeight w:hRule="exact" w:val="370"/>
        </w:trPr>
        <w:tc>
          <w:tcPr>
            <w:tcW w:w="360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B08A2DB" w14:textId="77777777" w:rsidR="00C73740" w:rsidRPr="009A123D" w:rsidRDefault="00C73740" w:rsidP="00F158A1">
            <w:pPr>
              <w:widowControl w:val="0"/>
              <w:autoSpaceDE w:val="0"/>
              <w:autoSpaceDN w:val="0"/>
              <w:spacing w:before="100" w:beforeAutospacing="1" w:after="100" w:afterAutospacing="1"/>
              <w:outlineLvl w:val="0"/>
              <w:rPr>
                <w:rFonts w:eastAsia="Times New Roman" w:cs="Times New Roman"/>
                <w:szCs w:val="24"/>
              </w:rPr>
            </w:pPr>
            <w:r w:rsidRPr="009A123D">
              <w:rPr>
                <w:rFonts w:eastAsia="Times New Roman" w:cs="Times New Roman"/>
                <w:szCs w:val="24"/>
              </w:rPr>
              <w:lastRenderedPageBreak/>
              <w:t>Base Disabled</w:t>
            </w:r>
          </w:p>
        </w:tc>
        <w:tc>
          <w:tcPr>
            <w:tcW w:w="3240" w:type="dxa"/>
            <w:tcBorders>
              <w:top w:val="single" w:sz="4" w:space="0" w:color="000000"/>
              <w:left w:val="single" w:sz="4" w:space="0" w:color="000000"/>
              <w:bottom w:val="single" w:sz="4" w:space="0" w:color="000000"/>
              <w:right w:val="single" w:sz="4" w:space="0" w:color="000000"/>
            </w:tcBorders>
          </w:tcPr>
          <w:p w14:paraId="455C8E17" w14:textId="77777777" w:rsidR="00C73740" w:rsidRPr="00C73740" w:rsidRDefault="00C73740" w:rsidP="00F158A1">
            <w:pPr>
              <w:widowControl w:val="0"/>
              <w:autoSpaceDE w:val="0"/>
              <w:autoSpaceDN w:val="0"/>
              <w:spacing w:before="100" w:beforeAutospacing="1" w:after="100" w:afterAutospacing="1"/>
              <w:outlineLvl w:val="0"/>
              <w:rPr>
                <w:rFonts w:eastAsia="Times New Roman" w:cs="Times New Roman"/>
                <w:bCs/>
                <w:szCs w:val="24"/>
              </w:rPr>
            </w:pPr>
            <w:r w:rsidRPr="00C73740">
              <w:rPr>
                <w:rFonts w:cs="Times New Roman"/>
                <w:szCs w:val="24"/>
              </w:rPr>
              <w:t xml:space="preserve"> 227,612 </w:t>
            </w:r>
          </w:p>
        </w:tc>
      </w:tr>
      <w:tr w:rsidR="00C73740" w:rsidRPr="00FC440A" w14:paraId="6E7727FA" w14:textId="77777777" w:rsidTr="00F158A1">
        <w:trPr>
          <w:trHeight w:hRule="exact" w:val="352"/>
        </w:trPr>
        <w:tc>
          <w:tcPr>
            <w:tcW w:w="360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6FA7326" w14:textId="77777777" w:rsidR="00C73740" w:rsidRPr="009A123D" w:rsidRDefault="00C73740" w:rsidP="00F158A1">
            <w:pPr>
              <w:widowControl w:val="0"/>
              <w:autoSpaceDE w:val="0"/>
              <w:autoSpaceDN w:val="0"/>
              <w:spacing w:before="100" w:beforeAutospacing="1" w:after="100" w:afterAutospacing="1"/>
              <w:outlineLvl w:val="0"/>
              <w:rPr>
                <w:rFonts w:eastAsia="Times New Roman" w:cs="Times New Roman"/>
                <w:szCs w:val="24"/>
              </w:rPr>
            </w:pPr>
            <w:r w:rsidRPr="009A123D">
              <w:rPr>
                <w:rFonts w:eastAsia="Times New Roman" w:cs="Times New Roman"/>
                <w:szCs w:val="24"/>
              </w:rPr>
              <w:t>1902(r)(2) Children</w:t>
            </w:r>
          </w:p>
        </w:tc>
        <w:tc>
          <w:tcPr>
            <w:tcW w:w="3240" w:type="dxa"/>
            <w:tcBorders>
              <w:top w:val="single" w:sz="4" w:space="0" w:color="000000"/>
              <w:left w:val="single" w:sz="4" w:space="0" w:color="000000"/>
              <w:bottom w:val="single" w:sz="4" w:space="0" w:color="000000"/>
              <w:right w:val="single" w:sz="4" w:space="0" w:color="000000"/>
            </w:tcBorders>
          </w:tcPr>
          <w:p w14:paraId="21204802" w14:textId="77777777" w:rsidR="00C73740" w:rsidRPr="00C73740" w:rsidRDefault="00C73740" w:rsidP="00F158A1">
            <w:pPr>
              <w:widowControl w:val="0"/>
              <w:autoSpaceDE w:val="0"/>
              <w:autoSpaceDN w:val="0"/>
              <w:spacing w:before="100" w:beforeAutospacing="1" w:after="100" w:afterAutospacing="1"/>
              <w:outlineLvl w:val="0"/>
              <w:rPr>
                <w:rFonts w:eastAsia="Times New Roman" w:cs="Times New Roman"/>
                <w:bCs/>
                <w:szCs w:val="24"/>
              </w:rPr>
            </w:pPr>
            <w:r w:rsidRPr="00C73740">
              <w:rPr>
                <w:rFonts w:cs="Times New Roman"/>
                <w:szCs w:val="24"/>
              </w:rPr>
              <w:t xml:space="preserve"> 23,603 </w:t>
            </w:r>
          </w:p>
        </w:tc>
      </w:tr>
      <w:tr w:rsidR="00C73740" w:rsidRPr="00FC440A" w14:paraId="1EE393F5" w14:textId="77777777" w:rsidTr="00F158A1">
        <w:trPr>
          <w:trHeight w:hRule="exact" w:val="442"/>
        </w:trPr>
        <w:tc>
          <w:tcPr>
            <w:tcW w:w="360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C4584F3" w14:textId="77777777" w:rsidR="00C73740" w:rsidRPr="009A123D" w:rsidRDefault="00C73740" w:rsidP="00F158A1">
            <w:pPr>
              <w:widowControl w:val="0"/>
              <w:autoSpaceDE w:val="0"/>
              <w:autoSpaceDN w:val="0"/>
              <w:spacing w:before="100" w:beforeAutospacing="1" w:after="100" w:afterAutospacing="1"/>
              <w:outlineLvl w:val="0"/>
              <w:rPr>
                <w:rFonts w:eastAsia="Times New Roman" w:cs="Times New Roman"/>
                <w:szCs w:val="24"/>
              </w:rPr>
            </w:pPr>
            <w:r w:rsidRPr="009A123D">
              <w:rPr>
                <w:rFonts w:eastAsia="Times New Roman" w:cs="Times New Roman"/>
                <w:szCs w:val="24"/>
              </w:rPr>
              <w:t>1902(r)(2) Disabled</w:t>
            </w:r>
          </w:p>
        </w:tc>
        <w:tc>
          <w:tcPr>
            <w:tcW w:w="3240" w:type="dxa"/>
            <w:tcBorders>
              <w:top w:val="single" w:sz="4" w:space="0" w:color="000000"/>
              <w:left w:val="single" w:sz="4" w:space="0" w:color="000000"/>
              <w:bottom w:val="single" w:sz="4" w:space="0" w:color="000000"/>
              <w:right w:val="single" w:sz="4" w:space="0" w:color="000000"/>
            </w:tcBorders>
          </w:tcPr>
          <w:p w14:paraId="420A441B" w14:textId="77777777" w:rsidR="00C73740" w:rsidRPr="00C73740" w:rsidRDefault="00C73740" w:rsidP="00F158A1">
            <w:pPr>
              <w:widowControl w:val="0"/>
              <w:autoSpaceDE w:val="0"/>
              <w:autoSpaceDN w:val="0"/>
              <w:spacing w:before="100" w:beforeAutospacing="1" w:after="100" w:afterAutospacing="1"/>
              <w:outlineLvl w:val="0"/>
              <w:rPr>
                <w:rFonts w:eastAsia="Times New Roman" w:cs="Times New Roman"/>
                <w:bCs/>
                <w:szCs w:val="24"/>
              </w:rPr>
            </w:pPr>
            <w:r w:rsidRPr="00C73740">
              <w:rPr>
                <w:rFonts w:cs="Times New Roman"/>
                <w:szCs w:val="24"/>
              </w:rPr>
              <w:t xml:space="preserve"> 17,964 </w:t>
            </w:r>
          </w:p>
        </w:tc>
      </w:tr>
      <w:tr w:rsidR="00C73740" w:rsidRPr="00FC440A" w14:paraId="31D31C6F" w14:textId="77777777" w:rsidTr="00F158A1">
        <w:trPr>
          <w:trHeight w:hRule="exact" w:val="563"/>
        </w:trPr>
        <w:tc>
          <w:tcPr>
            <w:tcW w:w="360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BAFD0CF" w14:textId="77777777" w:rsidR="00C73740" w:rsidRPr="009A123D" w:rsidRDefault="00C73740" w:rsidP="00F158A1">
            <w:pPr>
              <w:widowControl w:val="0"/>
              <w:autoSpaceDE w:val="0"/>
              <w:autoSpaceDN w:val="0"/>
              <w:spacing w:before="100" w:beforeAutospacing="1" w:after="100" w:afterAutospacing="1"/>
              <w:outlineLvl w:val="0"/>
              <w:rPr>
                <w:rFonts w:eastAsia="Times New Roman" w:cs="Times New Roman"/>
                <w:szCs w:val="24"/>
              </w:rPr>
            </w:pPr>
            <w:r w:rsidRPr="009A123D">
              <w:rPr>
                <w:rFonts w:eastAsia="Times New Roman" w:cs="Times New Roman"/>
                <w:szCs w:val="24"/>
              </w:rPr>
              <w:t>Base Childless Adults (19- 20)</w:t>
            </w:r>
          </w:p>
        </w:tc>
        <w:tc>
          <w:tcPr>
            <w:tcW w:w="3240" w:type="dxa"/>
            <w:tcBorders>
              <w:top w:val="single" w:sz="4" w:space="0" w:color="000000"/>
              <w:left w:val="single" w:sz="4" w:space="0" w:color="000000"/>
              <w:bottom w:val="single" w:sz="4" w:space="0" w:color="000000"/>
              <w:right w:val="single" w:sz="4" w:space="0" w:color="000000"/>
            </w:tcBorders>
          </w:tcPr>
          <w:p w14:paraId="42EA4E85" w14:textId="77777777" w:rsidR="00C73740" w:rsidRPr="00C73740" w:rsidRDefault="00C73740" w:rsidP="00F158A1">
            <w:pPr>
              <w:widowControl w:val="0"/>
              <w:autoSpaceDE w:val="0"/>
              <w:autoSpaceDN w:val="0"/>
              <w:spacing w:before="100" w:beforeAutospacing="1" w:after="100" w:afterAutospacing="1"/>
              <w:outlineLvl w:val="0"/>
              <w:rPr>
                <w:rFonts w:eastAsia="Times New Roman" w:cs="Times New Roman"/>
                <w:bCs/>
                <w:szCs w:val="24"/>
              </w:rPr>
            </w:pPr>
            <w:r w:rsidRPr="00C73740">
              <w:rPr>
                <w:rFonts w:cs="Times New Roman"/>
                <w:szCs w:val="24"/>
              </w:rPr>
              <w:t xml:space="preserve"> 27,719 </w:t>
            </w:r>
          </w:p>
        </w:tc>
      </w:tr>
      <w:tr w:rsidR="00C73740" w:rsidRPr="00FC440A" w14:paraId="2DF8DDB8" w14:textId="77777777" w:rsidTr="00F158A1">
        <w:trPr>
          <w:trHeight w:hRule="exact" w:val="563"/>
        </w:trPr>
        <w:tc>
          <w:tcPr>
            <w:tcW w:w="360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AF6992E" w14:textId="77777777" w:rsidR="00C73740" w:rsidRPr="009A123D" w:rsidRDefault="00C73740" w:rsidP="00F158A1">
            <w:pPr>
              <w:widowControl w:val="0"/>
              <w:autoSpaceDE w:val="0"/>
              <w:autoSpaceDN w:val="0"/>
              <w:spacing w:before="100" w:beforeAutospacing="1" w:after="100" w:afterAutospacing="1"/>
              <w:outlineLvl w:val="0"/>
              <w:rPr>
                <w:rFonts w:eastAsia="Times New Roman" w:cs="Times New Roman"/>
                <w:szCs w:val="24"/>
              </w:rPr>
            </w:pPr>
            <w:r w:rsidRPr="009A123D">
              <w:rPr>
                <w:rFonts w:eastAsia="Times New Roman" w:cs="Times New Roman"/>
                <w:szCs w:val="24"/>
              </w:rPr>
              <w:t>Base Childless Adults (ABP1)</w:t>
            </w:r>
          </w:p>
        </w:tc>
        <w:tc>
          <w:tcPr>
            <w:tcW w:w="3240" w:type="dxa"/>
            <w:tcBorders>
              <w:top w:val="single" w:sz="4" w:space="0" w:color="000000"/>
              <w:left w:val="single" w:sz="4" w:space="0" w:color="000000"/>
              <w:bottom w:val="single" w:sz="4" w:space="0" w:color="000000"/>
              <w:right w:val="single" w:sz="4" w:space="0" w:color="000000"/>
            </w:tcBorders>
          </w:tcPr>
          <w:p w14:paraId="315F3ECC" w14:textId="77777777" w:rsidR="00C73740" w:rsidRPr="00C73740" w:rsidRDefault="00C73740" w:rsidP="00F158A1">
            <w:pPr>
              <w:widowControl w:val="0"/>
              <w:autoSpaceDE w:val="0"/>
              <w:autoSpaceDN w:val="0"/>
              <w:spacing w:before="100" w:beforeAutospacing="1" w:after="100" w:afterAutospacing="1"/>
              <w:outlineLvl w:val="0"/>
              <w:rPr>
                <w:rFonts w:eastAsia="Times New Roman" w:cs="Times New Roman"/>
                <w:bCs/>
                <w:szCs w:val="24"/>
              </w:rPr>
            </w:pPr>
            <w:r w:rsidRPr="00C73740">
              <w:rPr>
                <w:rFonts w:cs="Times New Roman"/>
                <w:szCs w:val="24"/>
              </w:rPr>
              <w:t xml:space="preserve"> 44,174 </w:t>
            </w:r>
          </w:p>
        </w:tc>
      </w:tr>
      <w:tr w:rsidR="00C73740" w:rsidRPr="00FC440A" w14:paraId="0DDC369A" w14:textId="77777777" w:rsidTr="00F158A1">
        <w:trPr>
          <w:trHeight w:hRule="exact" w:val="562"/>
        </w:trPr>
        <w:tc>
          <w:tcPr>
            <w:tcW w:w="360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F5EABDE" w14:textId="77777777" w:rsidR="00C73740" w:rsidRPr="009A123D" w:rsidRDefault="00C73740" w:rsidP="00F158A1">
            <w:pPr>
              <w:widowControl w:val="0"/>
              <w:autoSpaceDE w:val="0"/>
              <w:autoSpaceDN w:val="0"/>
              <w:spacing w:before="100" w:beforeAutospacing="1" w:after="100" w:afterAutospacing="1"/>
              <w:outlineLvl w:val="0"/>
              <w:rPr>
                <w:rFonts w:eastAsia="Times New Roman" w:cs="Times New Roman"/>
                <w:szCs w:val="24"/>
              </w:rPr>
            </w:pPr>
            <w:r w:rsidRPr="009A123D">
              <w:rPr>
                <w:rFonts w:eastAsia="Times New Roman" w:cs="Times New Roman"/>
                <w:szCs w:val="24"/>
              </w:rPr>
              <w:t>Base Childless Adults (CarePlus)</w:t>
            </w:r>
          </w:p>
        </w:tc>
        <w:tc>
          <w:tcPr>
            <w:tcW w:w="3240" w:type="dxa"/>
            <w:tcBorders>
              <w:top w:val="single" w:sz="4" w:space="0" w:color="000000"/>
              <w:left w:val="single" w:sz="4" w:space="0" w:color="000000"/>
              <w:bottom w:val="single" w:sz="4" w:space="0" w:color="000000"/>
              <w:right w:val="single" w:sz="4" w:space="0" w:color="000000"/>
            </w:tcBorders>
          </w:tcPr>
          <w:p w14:paraId="2DF43D30" w14:textId="77777777" w:rsidR="00C73740" w:rsidRPr="00C73740" w:rsidRDefault="00C73740" w:rsidP="00F158A1">
            <w:pPr>
              <w:widowControl w:val="0"/>
              <w:autoSpaceDE w:val="0"/>
              <w:autoSpaceDN w:val="0"/>
              <w:spacing w:before="100" w:beforeAutospacing="1" w:after="100" w:afterAutospacing="1"/>
              <w:outlineLvl w:val="0"/>
              <w:rPr>
                <w:rFonts w:eastAsia="Times New Roman" w:cs="Times New Roman"/>
                <w:bCs/>
                <w:szCs w:val="24"/>
              </w:rPr>
            </w:pPr>
            <w:r w:rsidRPr="00C73740">
              <w:rPr>
                <w:rFonts w:cs="Times New Roman"/>
                <w:szCs w:val="24"/>
              </w:rPr>
              <w:t xml:space="preserve"> 344,511 </w:t>
            </w:r>
          </w:p>
        </w:tc>
      </w:tr>
      <w:tr w:rsidR="00C73740" w:rsidRPr="00FC440A" w14:paraId="75146F45" w14:textId="77777777" w:rsidTr="00F158A1">
        <w:trPr>
          <w:trHeight w:hRule="exact" w:val="370"/>
        </w:trPr>
        <w:tc>
          <w:tcPr>
            <w:tcW w:w="360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4277574" w14:textId="77777777" w:rsidR="00C73740" w:rsidRPr="009A123D" w:rsidRDefault="00C73740" w:rsidP="00EC1D3D">
            <w:pPr>
              <w:pStyle w:val="BodyText"/>
            </w:pPr>
            <w:r w:rsidRPr="009A123D">
              <w:t>BCCTP</w:t>
            </w:r>
          </w:p>
        </w:tc>
        <w:tc>
          <w:tcPr>
            <w:tcW w:w="3240" w:type="dxa"/>
            <w:tcBorders>
              <w:top w:val="single" w:sz="4" w:space="0" w:color="000000"/>
              <w:left w:val="single" w:sz="4" w:space="0" w:color="000000"/>
              <w:bottom w:val="single" w:sz="4" w:space="0" w:color="000000"/>
              <w:right w:val="single" w:sz="4" w:space="0" w:color="000000"/>
            </w:tcBorders>
          </w:tcPr>
          <w:p w14:paraId="08D1D63C" w14:textId="77777777" w:rsidR="00C73740" w:rsidRPr="00C73740" w:rsidRDefault="00C73740" w:rsidP="00EC1D3D">
            <w:pPr>
              <w:pStyle w:val="BodyText"/>
              <w:rPr>
                <w:bCs/>
              </w:rPr>
            </w:pPr>
            <w:r w:rsidRPr="00C73740">
              <w:t xml:space="preserve"> 1,148 </w:t>
            </w:r>
          </w:p>
        </w:tc>
      </w:tr>
    </w:tbl>
    <w:p w14:paraId="0474600C" w14:textId="566803E7" w:rsidR="00C73740" w:rsidRDefault="00C73740" w:rsidP="00EC1D3D">
      <w:pPr>
        <w:pStyle w:val="BodyText"/>
      </w:pPr>
      <w:r w:rsidRPr="00C73740">
        <w:t>*TANF/EAEDC is a subcategory of Base Families</w:t>
      </w:r>
    </w:p>
    <w:p w14:paraId="6F6A85D7" w14:textId="77777777" w:rsidR="00945667" w:rsidRPr="00FC440A" w:rsidRDefault="00945667" w:rsidP="00EC1D3D">
      <w:pPr>
        <w:pStyle w:val="BodyText"/>
      </w:pPr>
    </w:p>
    <w:p w14:paraId="2639BEF2" w14:textId="4DC36703" w:rsidR="00C73740" w:rsidRPr="00A26B29" w:rsidRDefault="00C73740" w:rsidP="00A26B29">
      <w:pPr>
        <w:rPr>
          <w:u w:val="single"/>
        </w:rPr>
      </w:pPr>
      <w:r w:rsidRPr="00A26B29">
        <w:rPr>
          <w:u w:val="single"/>
        </w:rPr>
        <w:t xml:space="preserve">Annual Summary </w:t>
      </w:r>
    </w:p>
    <w:p w14:paraId="105F0137" w14:textId="77777777" w:rsidR="00C73740" w:rsidRPr="00945667" w:rsidRDefault="00C73740" w:rsidP="007F11A1">
      <w:pPr>
        <w:rPr>
          <w:rFonts w:cs="Times New Roman"/>
          <w:szCs w:val="24"/>
        </w:rPr>
      </w:pPr>
      <w:r w:rsidRPr="00945667">
        <w:rPr>
          <w:rFonts w:cs="Times New Roman"/>
          <w:szCs w:val="24"/>
        </w:rPr>
        <w:t xml:space="preserve">The enrollment activity below reflects enrollment counts for SFY 2021 Quarter 4 and the entirety of SFYs 2020 and 2021.  The full SFY information was included to meet the requirement of the annual report.   </w:t>
      </w:r>
    </w:p>
    <w:p w14:paraId="27BE5068" w14:textId="2A40C248" w:rsidR="00C73740" w:rsidRPr="00945667" w:rsidRDefault="00C73740" w:rsidP="00945667">
      <w:pPr>
        <w:pStyle w:val="ListParagraph"/>
        <w:numPr>
          <w:ilvl w:val="0"/>
          <w:numId w:val="47"/>
        </w:numPr>
        <w:rPr>
          <w:rFonts w:cs="Times New Roman"/>
          <w:szCs w:val="24"/>
        </w:rPr>
      </w:pPr>
      <w:r w:rsidRPr="00945667">
        <w:rPr>
          <w:rFonts w:cs="Times New Roman"/>
          <w:szCs w:val="24"/>
        </w:rPr>
        <w:t>Current Enrollees (to date) represents the average monthly enrollment for the quarter ending June 30, 2021</w:t>
      </w:r>
    </w:p>
    <w:p w14:paraId="4B1F6CD0" w14:textId="180540A7" w:rsidR="00C73740" w:rsidRPr="00945667" w:rsidRDefault="00945667" w:rsidP="00945667">
      <w:pPr>
        <w:ind w:left="720" w:hanging="360"/>
        <w:rPr>
          <w:rFonts w:cs="Times New Roman"/>
          <w:szCs w:val="24"/>
        </w:rPr>
      </w:pPr>
      <w:r w:rsidRPr="00945667">
        <w:rPr>
          <w:rFonts w:cs="Times New Roman"/>
          <w:szCs w:val="24"/>
        </w:rPr>
        <w:t xml:space="preserve">- </w:t>
      </w:r>
      <w:r w:rsidRPr="00945667">
        <w:rPr>
          <w:rFonts w:cs="Times New Roman"/>
          <w:szCs w:val="24"/>
        </w:rPr>
        <w:tab/>
      </w:r>
      <w:r w:rsidR="00C73740" w:rsidRPr="00945667">
        <w:rPr>
          <w:rFonts w:cs="Times New Roman"/>
          <w:szCs w:val="24"/>
        </w:rPr>
        <w:t>SFY 2020 and SFY 2021 represent the average monthly enrollment for the entirety of the SFYs.</w:t>
      </w:r>
    </w:p>
    <w:p w14:paraId="41885168" w14:textId="77777777" w:rsidR="00C73740" w:rsidRPr="00FC440A" w:rsidRDefault="00C73740" w:rsidP="00945667">
      <w:pPr>
        <w:rPr>
          <w:u w:val="single"/>
        </w:rPr>
      </w:pPr>
      <w:r w:rsidRPr="00C73740">
        <w:t>*TANF/EAEDC is a subcategory of Base Families</w:t>
      </w:r>
      <w:r w:rsidRPr="00945667">
        <w:t>.</w:t>
      </w:r>
      <w:r w:rsidRPr="00FC440A">
        <w:rPr>
          <w:u w:val="single"/>
        </w:rPr>
        <w:t xml:space="preserve">  </w:t>
      </w:r>
    </w:p>
    <w:p w14:paraId="331B1932" w14:textId="77777777" w:rsidR="00C73740" w:rsidRPr="00596DF8" w:rsidRDefault="00C73740" w:rsidP="00945667">
      <w:pPr>
        <w:pStyle w:val="Heading2"/>
      </w:pPr>
      <w:r w:rsidRPr="00F81C69">
        <w:t>Enrollment in Managed Care Organizations and Primary Care Clinician Plan</w:t>
      </w:r>
    </w:p>
    <w:p w14:paraId="31A25746" w14:textId="77777777" w:rsidR="00C73740" w:rsidRPr="00664147" w:rsidRDefault="00C73740" w:rsidP="00945667">
      <w:r w:rsidRPr="00664147">
        <w:t>The enrollment activity below reflects the average monthly enrollment counts for the SFY 202</w:t>
      </w:r>
      <w:r>
        <w:t>1</w:t>
      </w:r>
      <w:r w:rsidRPr="00664147">
        <w:t xml:space="preserve"> Quarters ending March 31, 202</w:t>
      </w:r>
      <w:r>
        <w:t>1</w:t>
      </w:r>
      <w:r w:rsidRPr="00664147">
        <w:t xml:space="preserve"> and June 30, 202</w:t>
      </w:r>
      <w:r>
        <w:t>1</w:t>
      </w:r>
      <w:r w:rsidRPr="00664147">
        <w:t xml:space="preserve">.  </w:t>
      </w:r>
    </w:p>
    <w:tbl>
      <w:tblPr>
        <w:tblW w:w="9576"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5"/>
        <w:gridCol w:w="2393"/>
        <w:gridCol w:w="2395"/>
        <w:gridCol w:w="2393"/>
      </w:tblGrid>
      <w:tr w:rsidR="00C73740" w:rsidRPr="00664147" w14:paraId="6C9DD00F" w14:textId="77777777" w:rsidTr="00F158A1">
        <w:trPr>
          <w:trHeight w:hRule="exact" w:val="283"/>
        </w:trPr>
        <w:tc>
          <w:tcPr>
            <w:tcW w:w="2395" w:type="dxa"/>
            <w:tcBorders>
              <w:top w:val="single" w:sz="4" w:space="0" w:color="000000"/>
              <w:left w:val="single" w:sz="4" w:space="0" w:color="000000"/>
              <w:bottom w:val="single" w:sz="4" w:space="0" w:color="000000"/>
              <w:right w:val="single" w:sz="4" w:space="0" w:color="000000"/>
            </w:tcBorders>
            <w:shd w:val="clear" w:color="auto" w:fill="DBDBDB"/>
          </w:tcPr>
          <w:p w14:paraId="3BFAF68A" w14:textId="77777777" w:rsidR="00C73740" w:rsidRPr="00664147" w:rsidRDefault="00C73740" w:rsidP="00F158A1">
            <w:pPr>
              <w:widowControl w:val="0"/>
              <w:autoSpaceDE w:val="0"/>
              <w:autoSpaceDN w:val="0"/>
              <w:spacing w:before="100" w:beforeAutospacing="1" w:after="100" w:afterAutospacing="1"/>
              <w:outlineLvl w:val="0"/>
              <w:rPr>
                <w:rFonts w:eastAsia="Times New Roman" w:cs="Times New Roman"/>
                <w:b/>
                <w:szCs w:val="24"/>
              </w:rPr>
            </w:pPr>
            <w:r w:rsidRPr="00664147">
              <w:rPr>
                <w:rFonts w:eastAsia="Times New Roman" w:cs="Times New Roman"/>
                <w:b/>
                <w:szCs w:val="24"/>
              </w:rPr>
              <w:t>Plan Type</w:t>
            </w:r>
          </w:p>
        </w:tc>
        <w:tc>
          <w:tcPr>
            <w:tcW w:w="2393" w:type="dxa"/>
            <w:tcBorders>
              <w:top w:val="single" w:sz="4" w:space="0" w:color="000000"/>
              <w:left w:val="single" w:sz="4" w:space="0" w:color="000000"/>
              <w:bottom w:val="single" w:sz="4" w:space="0" w:color="000000"/>
              <w:right w:val="single" w:sz="4" w:space="0" w:color="000000"/>
            </w:tcBorders>
            <w:shd w:val="clear" w:color="auto" w:fill="DBDBDB"/>
          </w:tcPr>
          <w:p w14:paraId="25D0EB5E" w14:textId="77777777" w:rsidR="00C73740" w:rsidRPr="00664147" w:rsidRDefault="00C73740" w:rsidP="00F158A1">
            <w:pPr>
              <w:widowControl w:val="0"/>
              <w:autoSpaceDE w:val="0"/>
              <w:autoSpaceDN w:val="0"/>
              <w:spacing w:before="100" w:beforeAutospacing="1" w:after="100" w:afterAutospacing="1"/>
              <w:outlineLvl w:val="0"/>
              <w:rPr>
                <w:rFonts w:eastAsia="Times New Roman" w:cs="Times New Roman"/>
                <w:szCs w:val="24"/>
              </w:rPr>
            </w:pPr>
            <w:r w:rsidRPr="00664147">
              <w:rPr>
                <w:rFonts w:eastAsia="Times New Roman" w:cs="Times New Roman"/>
                <w:szCs w:val="24"/>
              </w:rPr>
              <w:t>QE 03/2</w:t>
            </w:r>
            <w:r>
              <w:rPr>
                <w:rFonts w:eastAsia="Times New Roman" w:cs="Times New Roman"/>
                <w:szCs w:val="24"/>
              </w:rPr>
              <w:t>1</w:t>
            </w:r>
          </w:p>
        </w:tc>
        <w:tc>
          <w:tcPr>
            <w:tcW w:w="2395" w:type="dxa"/>
            <w:tcBorders>
              <w:top w:val="single" w:sz="4" w:space="0" w:color="000000"/>
              <w:left w:val="single" w:sz="4" w:space="0" w:color="000000"/>
              <w:bottom w:val="single" w:sz="4" w:space="0" w:color="000000"/>
              <w:right w:val="single" w:sz="4" w:space="0" w:color="000000"/>
            </w:tcBorders>
            <w:shd w:val="clear" w:color="auto" w:fill="DBDBDB"/>
          </w:tcPr>
          <w:p w14:paraId="5AE249D1" w14:textId="77777777" w:rsidR="00C73740" w:rsidRPr="00664147" w:rsidRDefault="00C73740" w:rsidP="00F158A1">
            <w:pPr>
              <w:widowControl w:val="0"/>
              <w:autoSpaceDE w:val="0"/>
              <w:autoSpaceDN w:val="0"/>
              <w:spacing w:before="100" w:beforeAutospacing="1" w:after="100" w:afterAutospacing="1"/>
              <w:outlineLvl w:val="0"/>
              <w:rPr>
                <w:rFonts w:eastAsia="Times New Roman" w:cs="Times New Roman"/>
                <w:szCs w:val="24"/>
              </w:rPr>
            </w:pPr>
            <w:r w:rsidRPr="00664147">
              <w:rPr>
                <w:rFonts w:eastAsia="Times New Roman" w:cs="Times New Roman"/>
                <w:szCs w:val="24"/>
              </w:rPr>
              <w:t>QE 6/2</w:t>
            </w:r>
            <w:r>
              <w:rPr>
                <w:rFonts w:eastAsia="Times New Roman" w:cs="Times New Roman"/>
                <w:szCs w:val="24"/>
              </w:rPr>
              <w:t>1</w:t>
            </w:r>
          </w:p>
        </w:tc>
        <w:tc>
          <w:tcPr>
            <w:tcW w:w="2393" w:type="dxa"/>
            <w:tcBorders>
              <w:top w:val="single" w:sz="4" w:space="0" w:color="000000"/>
              <w:left w:val="single" w:sz="4" w:space="0" w:color="000000"/>
              <w:bottom w:val="single" w:sz="4" w:space="0" w:color="000000"/>
              <w:right w:val="single" w:sz="4" w:space="0" w:color="000000"/>
            </w:tcBorders>
            <w:shd w:val="clear" w:color="auto" w:fill="DBDBDB"/>
          </w:tcPr>
          <w:p w14:paraId="3636BA82" w14:textId="77777777" w:rsidR="00C73740" w:rsidRPr="00664147" w:rsidRDefault="00C73740" w:rsidP="00F158A1">
            <w:pPr>
              <w:widowControl w:val="0"/>
              <w:autoSpaceDE w:val="0"/>
              <w:autoSpaceDN w:val="0"/>
              <w:spacing w:before="100" w:beforeAutospacing="1" w:after="100" w:afterAutospacing="1"/>
              <w:outlineLvl w:val="0"/>
              <w:rPr>
                <w:rFonts w:eastAsia="Times New Roman" w:cs="Times New Roman"/>
                <w:szCs w:val="24"/>
              </w:rPr>
            </w:pPr>
            <w:r w:rsidRPr="00664147">
              <w:rPr>
                <w:rFonts w:eastAsia="Times New Roman" w:cs="Times New Roman"/>
                <w:szCs w:val="24"/>
              </w:rPr>
              <w:t>Difference</w:t>
            </w:r>
          </w:p>
        </w:tc>
      </w:tr>
      <w:tr w:rsidR="00C73740" w:rsidRPr="00664147" w14:paraId="5EB9D98F" w14:textId="77777777" w:rsidTr="00F158A1">
        <w:trPr>
          <w:trHeight w:hRule="exact" w:val="288"/>
        </w:trPr>
        <w:tc>
          <w:tcPr>
            <w:tcW w:w="2395" w:type="dxa"/>
            <w:tcBorders>
              <w:top w:val="single" w:sz="4" w:space="0" w:color="000000"/>
              <w:left w:val="single" w:sz="4" w:space="0" w:color="000000"/>
              <w:bottom w:val="single" w:sz="4" w:space="0" w:color="000000"/>
              <w:right w:val="single" w:sz="4" w:space="0" w:color="000000"/>
            </w:tcBorders>
          </w:tcPr>
          <w:p w14:paraId="7D43D08C" w14:textId="77777777" w:rsidR="00C73740" w:rsidRPr="00664147" w:rsidRDefault="00C73740" w:rsidP="00F158A1">
            <w:pPr>
              <w:widowControl w:val="0"/>
              <w:autoSpaceDE w:val="0"/>
              <w:autoSpaceDN w:val="0"/>
              <w:spacing w:before="100" w:beforeAutospacing="1" w:after="100" w:afterAutospacing="1"/>
              <w:outlineLvl w:val="0"/>
              <w:rPr>
                <w:rFonts w:eastAsia="Times New Roman" w:cs="Times New Roman"/>
                <w:szCs w:val="24"/>
              </w:rPr>
            </w:pPr>
            <w:r w:rsidRPr="00664147">
              <w:rPr>
                <w:rFonts w:eastAsia="Times New Roman" w:cs="Times New Roman"/>
                <w:szCs w:val="24"/>
              </w:rPr>
              <w:t>MCO</w:t>
            </w:r>
          </w:p>
        </w:tc>
        <w:tc>
          <w:tcPr>
            <w:tcW w:w="2393" w:type="dxa"/>
            <w:tcBorders>
              <w:top w:val="single" w:sz="4" w:space="0" w:color="000000"/>
              <w:left w:val="single" w:sz="4" w:space="0" w:color="000000"/>
              <w:bottom w:val="single" w:sz="4" w:space="0" w:color="000000"/>
              <w:right w:val="single" w:sz="4" w:space="0" w:color="000000"/>
            </w:tcBorders>
          </w:tcPr>
          <w:p w14:paraId="2DA489DD" w14:textId="77777777" w:rsidR="00C73740" w:rsidRPr="00664147" w:rsidRDefault="00C73740" w:rsidP="00F158A1">
            <w:pPr>
              <w:widowControl w:val="0"/>
              <w:autoSpaceDE w:val="0"/>
              <w:autoSpaceDN w:val="0"/>
              <w:spacing w:before="100" w:beforeAutospacing="1" w:after="100" w:afterAutospacing="1"/>
              <w:outlineLvl w:val="0"/>
              <w:rPr>
                <w:rFonts w:eastAsia="Times New Roman" w:cs="Times New Roman"/>
                <w:bCs/>
                <w:szCs w:val="24"/>
              </w:rPr>
            </w:pPr>
            <w:r w:rsidRPr="0002278D">
              <w:t xml:space="preserve"> 213,550 </w:t>
            </w:r>
          </w:p>
        </w:tc>
        <w:tc>
          <w:tcPr>
            <w:tcW w:w="2395" w:type="dxa"/>
            <w:tcBorders>
              <w:top w:val="single" w:sz="4" w:space="0" w:color="000000"/>
              <w:left w:val="single" w:sz="4" w:space="0" w:color="000000"/>
              <w:bottom w:val="single" w:sz="4" w:space="0" w:color="000000"/>
              <w:right w:val="single" w:sz="4" w:space="0" w:color="000000"/>
            </w:tcBorders>
          </w:tcPr>
          <w:p w14:paraId="1C49B8A2" w14:textId="77777777" w:rsidR="00C73740" w:rsidRPr="00664147" w:rsidRDefault="00C73740" w:rsidP="00F158A1">
            <w:pPr>
              <w:widowControl w:val="0"/>
              <w:autoSpaceDE w:val="0"/>
              <w:autoSpaceDN w:val="0"/>
              <w:spacing w:before="100" w:beforeAutospacing="1" w:after="100" w:afterAutospacing="1"/>
              <w:outlineLvl w:val="0"/>
              <w:rPr>
                <w:rFonts w:eastAsia="Times New Roman" w:cs="Times New Roman"/>
                <w:bCs/>
                <w:szCs w:val="24"/>
              </w:rPr>
            </w:pPr>
            <w:r w:rsidRPr="00E334CD">
              <w:t xml:space="preserve"> 216,175 </w:t>
            </w:r>
          </w:p>
        </w:tc>
        <w:tc>
          <w:tcPr>
            <w:tcW w:w="2393" w:type="dxa"/>
            <w:tcBorders>
              <w:top w:val="single" w:sz="4" w:space="0" w:color="000000"/>
              <w:left w:val="single" w:sz="4" w:space="0" w:color="000000"/>
              <w:bottom w:val="single" w:sz="4" w:space="0" w:color="000000"/>
              <w:right w:val="single" w:sz="4" w:space="0" w:color="000000"/>
            </w:tcBorders>
          </w:tcPr>
          <w:p w14:paraId="533CCE0E" w14:textId="77777777" w:rsidR="00C73740" w:rsidRPr="00664147" w:rsidRDefault="00C73740" w:rsidP="00F158A1">
            <w:pPr>
              <w:widowControl w:val="0"/>
              <w:autoSpaceDE w:val="0"/>
              <w:autoSpaceDN w:val="0"/>
              <w:spacing w:before="100" w:beforeAutospacing="1" w:after="100" w:afterAutospacing="1"/>
              <w:outlineLvl w:val="0"/>
              <w:rPr>
                <w:rFonts w:eastAsia="Times New Roman" w:cs="Times New Roman"/>
                <w:bCs/>
                <w:szCs w:val="24"/>
              </w:rPr>
            </w:pPr>
            <w:r w:rsidRPr="00BC63AE">
              <w:t xml:space="preserve"> 2,625 </w:t>
            </w:r>
          </w:p>
        </w:tc>
      </w:tr>
      <w:tr w:rsidR="00C73740" w:rsidRPr="00664147" w14:paraId="05AD09A6" w14:textId="77777777" w:rsidTr="00F158A1">
        <w:trPr>
          <w:trHeight w:hRule="exact" w:val="286"/>
        </w:trPr>
        <w:tc>
          <w:tcPr>
            <w:tcW w:w="2395" w:type="dxa"/>
            <w:tcBorders>
              <w:top w:val="single" w:sz="4" w:space="0" w:color="000000"/>
              <w:left w:val="single" w:sz="4" w:space="0" w:color="000000"/>
              <w:bottom w:val="single" w:sz="4" w:space="0" w:color="000000"/>
              <w:right w:val="single" w:sz="4" w:space="0" w:color="000000"/>
            </w:tcBorders>
          </w:tcPr>
          <w:p w14:paraId="1ADC2110" w14:textId="77777777" w:rsidR="00C73740" w:rsidRPr="00664147" w:rsidRDefault="00C73740" w:rsidP="00F158A1">
            <w:pPr>
              <w:widowControl w:val="0"/>
              <w:autoSpaceDE w:val="0"/>
              <w:autoSpaceDN w:val="0"/>
              <w:spacing w:before="100" w:beforeAutospacing="1" w:after="100" w:afterAutospacing="1"/>
              <w:outlineLvl w:val="0"/>
              <w:rPr>
                <w:rFonts w:eastAsia="Times New Roman" w:cs="Times New Roman"/>
                <w:szCs w:val="24"/>
              </w:rPr>
            </w:pPr>
            <w:r w:rsidRPr="00664147">
              <w:rPr>
                <w:rFonts w:eastAsia="Times New Roman" w:cs="Times New Roman"/>
                <w:szCs w:val="24"/>
              </w:rPr>
              <w:t>PCC</w:t>
            </w:r>
          </w:p>
        </w:tc>
        <w:tc>
          <w:tcPr>
            <w:tcW w:w="2393" w:type="dxa"/>
            <w:tcBorders>
              <w:top w:val="single" w:sz="4" w:space="0" w:color="000000"/>
              <w:left w:val="single" w:sz="4" w:space="0" w:color="000000"/>
              <w:bottom w:val="single" w:sz="4" w:space="0" w:color="000000"/>
              <w:right w:val="single" w:sz="4" w:space="0" w:color="000000"/>
            </w:tcBorders>
          </w:tcPr>
          <w:p w14:paraId="09ED1BB0" w14:textId="77777777" w:rsidR="00C73740" w:rsidRPr="00664147" w:rsidRDefault="00C73740" w:rsidP="00F158A1">
            <w:pPr>
              <w:widowControl w:val="0"/>
              <w:autoSpaceDE w:val="0"/>
              <w:autoSpaceDN w:val="0"/>
              <w:spacing w:before="100" w:beforeAutospacing="1" w:after="100" w:afterAutospacing="1"/>
              <w:outlineLvl w:val="0"/>
              <w:rPr>
                <w:rFonts w:eastAsia="Times New Roman" w:cs="Times New Roman"/>
                <w:bCs/>
                <w:szCs w:val="24"/>
              </w:rPr>
            </w:pPr>
            <w:r w:rsidRPr="0002278D">
              <w:t xml:space="preserve"> 106,944 </w:t>
            </w:r>
          </w:p>
        </w:tc>
        <w:tc>
          <w:tcPr>
            <w:tcW w:w="2395" w:type="dxa"/>
            <w:tcBorders>
              <w:top w:val="single" w:sz="4" w:space="0" w:color="000000"/>
              <w:left w:val="single" w:sz="4" w:space="0" w:color="000000"/>
              <w:bottom w:val="single" w:sz="4" w:space="0" w:color="000000"/>
              <w:right w:val="single" w:sz="4" w:space="0" w:color="000000"/>
            </w:tcBorders>
          </w:tcPr>
          <w:p w14:paraId="684BDD3E" w14:textId="77777777" w:rsidR="00C73740" w:rsidRPr="00664147" w:rsidRDefault="00C73740" w:rsidP="00F158A1">
            <w:pPr>
              <w:widowControl w:val="0"/>
              <w:autoSpaceDE w:val="0"/>
              <w:autoSpaceDN w:val="0"/>
              <w:spacing w:before="100" w:beforeAutospacing="1" w:after="100" w:afterAutospacing="1"/>
              <w:outlineLvl w:val="0"/>
              <w:rPr>
                <w:rFonts w:eastAsia="Times New Roman" w:cs="Times New Roman"/>
                <w:bCs/>
                <w:szCs w:val="24"/>
              </w:rPr>
            </w:pPr>
            <w:r w:rsidRPr="00E334CD">
              <w:t xml:space="preserve"> 111,560 </w:t>
            </w:r>
          </w:p>
        </w:tc>
        <w:tc>
          <w:tcPr>
            <w:tcW w:w="2393" w:type="dxa"/>
            <w:tcBorders>
              <w:top w:val="single" w:sz="4" w:space="0" w:color="000000"/>
              <w:left w:val="single" w:sz="4" w:space="0" w:color="000000"/>
              <w:bottom w:val="single" w:sz="4" w:space="0" w:color="000000"/>
              <w:right w:val="single" w:sz="4" w:space="0" w:color="000000"/>
            </w:tcBorders>
          </w:tcPr>
          <w:p w14:paraId="4173771A" w14:textId="77777777" w:rsidR="00C73740" w:rsidRPr="00664147" w:rsidRDefault="00C73740" w:rsidP="00F158A1">
            <w:pPr>
              <w:widowControl w:val="0"/>
              <w:autoSpaceDE w:val="0"/>
              <w:autoSpaceDN w:val="0"/>
              <w:spacing w:before="100" w:beforeAutospacing="1" w:after="100" w:afterAutospacing="1"/>
              <w:outlineLvl w:val="0"/>
              <w:rPr>
                <w:rFonts w:eastAsia="Times New Roman" w:cs="Times New Roman"/>
                <w:bCs/>
                <w:szCs w:val="24"/>
              </w:rPr>
            </w:pPr>
            <w:r w:rsidRPr="00BC63AE">
              <w:t xml:space="preserve"> 4,616 </w:t>
            </w:r>
          </w:p>
        </w:tc>
      </w:tr>
      <w:tr w:rsidR="00C73740" w:rsidRPr="00664147" w14:paraId="46D1BA5A" w14:textId="77777777" w:rsidTr="00F158A1">
        <w:trPr>
          <w:trHeight w:hRule="exact" w:val="288"/>
        </w:trPr>
        <w:tc>
          <w:tcPr>
            <w:tcW w:w="2395" w:type="dxa"/>
            <w:tcBorders>
              <w:top w:val="single" w:sz="4" w:space="0" w:color="000000"/>
              <w:left w:val="single" w:sz="4" w:space="0" w:color="000000"/>
              <w:bottom w:val="single" w:sz="4" w:space="0" w:color="000000"/>
              <w:right w:val="single" w:sz="4" w:space="0" w:color="000000"/>
            </w:tcBorders>
          </w:tcPr>
          <w:p w14:paraId="5A57D9AE" w14:textId="77777777" w:rsidR="00C73740" w:rsidRPr="00664147" w:rsidRDefault="00C73740" w:rsidP="00F158A1">
            <w:pPr>
              <w:widowControl w:val="0"/>
              <w:autoSpaceDE w:val="0"/>
              <w:autoSpaceDN w:val="0"/>
              <w:spacing w:before="100" w:beforeAutospacing="1" w:after="100" w:afterAutospacing="1"/>
              <w:outlineLvl w:val="0"/>
              <w:rPr>
                <w:rFonts w:eastAsia="Times New Roman" w:cs="Times New Roman"/>
                <w:szCs w:val="24"/>
              </w:rPr>
            </w:pPr>
            <w:r w:rsidRPr="00664147">
              <w:rPr>
                <w:rFonts w:eastAsia="Times New Roman" w:cs="Times New Roman"/>
                <w:szCs w:val="24"/>
              </w:rPr>
              <w:t>MBHP*</w:t>
            </w:r>
          </w:p>
        </w:tc>
        <w:tc>
          <w:tcPr>
            <w:tcW w:w="2393" w:type="dxa"/>
            <w:tcBorders>
              <w:top w:val="single" w:sz="4" w:space="0" w:color="000000"/>
              <w:left w:val="single" w:sz="4" w:space="0" w:color="000000"/>
              <w:bottom w:val="single" w:sz="4" w:space="0" w:color="000000"/>
              <w:right w:val="single" w:sz="4" w:space="0" w:color="000000"/>
            </w:tcBorders>
          </w:tcPr>
          <w:p w14:paraId="7746C0C6" w14:textId="77777777" w:rsidR="00C73740" w:rsidRPr="00664147" w:rsidRDefault="00C73740" w:rsidP="00F158A1">
            <w:pPr>
              <w:widowControl w:val="0"/>
              <w:autoSpaceDE w:val="0"/>
              <w:autoSpaceDN w:val="0"/>
              <w:spacing w:before="100" w:beforeAutospacing="1" w:after="100" w:afterAutospacing="1"/>
              <w:outlineLvl w:val="0"/>
              <w:rPr>
                <w:rFonts w:eastAsia="Times New Roman" w:cs="Times New Roman"/>
                <w:bCs/>
                <w:szCs w:val="24"/>
              </w:rPr>
            </w:pPr>
            <w:r w:rsidRPr="0002278D">
              <w:t xml:space="preserve"> 601,215 </w:t>
            </w:r>
          </w:p>
        </w:tc>
        <w:tc>
          <w:tcPr>
            <w:tcW w:w="2395" w:type="dxa"/>
            <w:tcBorders>
              <w:top w:val="single" w:sz="4" w:space="0" w:color="000000"/>
              <w:left w:val="single" w:sz="4" w:space="0" w:color="000000"/>
              <w:bottom w:val="single" w:sz="4" w:space="0" w:color="000000"/>
              <w:right w:val="single" w:sz="4" w:space="0" w:color="000000"/>
            </w:tcBorders>
          </w:tcPr>
          <w:p w14:paraId="705E6097" w14:textId="77777777" w:rsidR="00C73740" w:rsidRPr="00664147" w:rsidRDefault="00C73740" w:rsidP="00F158A1">
            <w:pPr>
              <w:widowControl w:val="0"/>
              <w:autoSpaceDE w:val="0"/>
              <w:autoSpaceDN w:val="0"/>
              <w:spacing w:before="100" w:beforeAutospacing="1" w:after="100" w:afterAutospacing="1"/>
              <w:outlineLvl w:val="0"/>
              <w:rPr>
                <w:rFonts w:eastAsia="Times New Roman" w:cs="Times New Roman"/>
                <w:bCs/>
                <w:szCs w:val="24"/>
              </w:rPr>
            </w:pPr>
            <w:r w:rsidRPr="00E334CD">
              <w:t xml:space="preserve"> 617,692 </w:t>
            </w:r>
          </w:p>
        </w:tc>
        <w:tc>
          <w:tcPr>
            <w:tcW w:w="2393" w:type="dxa"/>
            <w:tcBorders>
              <w:top w:val="single" w:sz="4" w:space="0" w:color="000000"/>
              <w:left w:val="single" w:sz="4" w:space="0" w:color="000000"/>
              <w:bottom w:val="single" w:sz="4" w:space="0" w:color="000000"/>
              <w:right w:val="single" w:sz="4" w:space="0" w:color="000000"/>
            </w:tcBorders>
          </w:tcPr>
          <w:p w14:paraId="6FAC7A03" w14:textId="77777777" w:rsidR="00C73740" w:rsidRPr="00664147" w:rsidRDefault="00C73740" w:rsidP="00F158A1">
            <w:pPr>
              <w:widowControl w:val="0"/>
              <w:autoSpaceDE w:val="0"/>
              <w:autoSpaceDN w:val="0"/>
              <w:spacing w:before="100" w:beforeAutospacing="1" w:after="100" w:afterAutospacing="1"/>
              <w:outlineLvl w:val="0"/>
              <w:rPr>
                <w:rFonts w:eastAsia="Times New Roman" w:cs="Times New Roman"/>
                <w:bCs/>
                <w:szCs w:val="24"/>
              </w:rPr>
            </w:pPr>
            <w:r w:rsidRPr="00BC63AE">
              <w:t xml:space="preserve"> 16,477 </w:t>
            </w:r>
          </w:p>
        </w:tc>
      </w:tr>
      <w:tr w:rsidR="00C73740" w:rsidRPr="00664147" w14:paraId="5ABB5E77" w14:textId="77777777" w:rsidTr="00F158A1">
        <w:trPr>
          <w:trHeight w:hRule="exact" w:val="286"/>
        </w:trPr>
        <w:tc>
          <w:tcPr>
            <w:tcW w:w="2395" w:type="dxa"/>
            <w:tcBorders>
              <w:top w:val="single" w:sz="4" w:space="0" w:color="000000"/>
              <w:left w:val="single" w:sz="4" w:space="0" w:color="000000"/>
              <w:bottom w:val="single" w:sz="4" w:space="0" w:color="000000"/>
              <w:right w:val="single" w:sz="4" w:space="0" w:color="000000"/>
            </w:tcBorders>
          </w:tcPr>
          <w:p w14:paraId="76E6F2DF" w14:textId="77777777" w:rsidR="00C73740" w:rsidRPr="00664147" w:rsidRDefault="00C73740" w:rsidP="00F158A1">
            <w:pPr>
              <w:widowControl w:val="0"/>
              <w:autoSpaceDE w:val="0"/>
              <w:autoSpaceDN w:val="0"/>
              <w:spacing w:before="100" w:beforeAutospacing="1" w:after="100" w:afterAutospacing="1"/>
              <w:outlineLvl w:val="0"/>
              <w:rPr>
                <w:rFonts w:eastAsia="Times New Roman" w:cs="Times New Roman"/>
                <w:szCs w:val="24"/>
              </w:rPr>
            </w:pPr>
            <w:r w:rsidRPr="00664147">
              <w:rPr>
                <w:rFonts w:eastAsia="Times New Roman" w:cs="Times New Roman"/>
                <w:szCs w:val="24"/>
              </w:rPr>
              <w:t>FFS/PA**</w:t>
            </w:r>
          </w:p>
        </w:tc>
        <w:tc>
          <w:tcPr>
            <w:tcW w:w="2393" w:type="dxa"/>
            <w:tcBorders>
              <w:top w:val="single" w:sz="4" w:space="0" w:color="000000"/>
              <w:left w:val="single" w:sz="4" w:space="0" w:color="000000"/>
              <w:bottom w:val="single" w:sz="4" w:space="0" w:color="000000"/>
              <w:right w:val="single" w:sz="4" w:space="0" w:color="000000"/>
            </w:tcBorders>
          </w:tcPr>
          <w:p w14:paraId="15004F99" w14:textId="77777777" w:rsidR="00C73740" w:rsidRPr="00664147" w:rsidRDefault="00C73740" w:rsidP="00F158A1">
            <w:pPr>
              <w:widowControl w:val="0"/>
              <w:autoSpaceDE w:val="0"/>
              <w:autoSpaceDN w:val="0"/>
              <w:spacing w:before="100" w:beforeAutospacing="1" w:after="100" w:afterAutospacing="1"/>
              <w:outlineLvl w:val="0"/>
              <w:rPr>
                <w:rFonts w:eastAsia="Times New Roman" w:cs="Times New Roman"/>
                <w:bCs/>
                <w:szCs w:val="24"/>
              </w:rPr>
            </w:pPr>
            <w:r w:rsidRPr="0002278D">
              <w:t xml:space="preserve"> 602,010 </w:t>
            </w:r>
          </w:p>
        </w:tc>
        <w:tc>
          <w:tcPr>
            <w:tcW w:w="2395" w:type="dxa"/>
            <w:tcBorders>
              <w:top w:val="single" w:sz="4" w:space="0" w:color="000000"/>
              <w:left w:val="single" w:sz="4" w:space="0" w:color="000000"/>
              <w:bottom w:val="single" w:sz="4" w:space="0" w:color="000000"/>
              <w:right w:val="single" w:sz="4" w:space="0" w:color="000000"/>
            </w:tcBorders>
          </w:tcPr>
          <w:p w14:paraId="47FA5A5A" w14:textId="77777777" w:rsidR="00C73740" w:rsidRPr="00664147" w:rsidRDefault="00C73740" w:rsidP="00F158A1">
            <w:pPr>
              <w:widowControl w:val="0"/>
              <w:autoSpaceDE w:val="0"/>
              <w:autoSpaceDN w:val="0"/>
              <w:spacing w:before="100" w:beforeAutospacing="1" w:after="100" w:afterAutospacing="1"/>
              <w:outlineLvl w:val="0"/>
              <w:rPr>
                <w:rFonts w:eastAsia="Times New Roman" w:cs="Times New Roman"/>
                <w:bCs/>
                <w:szCs w:val="24"/>
              </w:rPr>
            </w:pPr>
            <w:r w:rsidRPr="00E334CD">
              <w:t xml:space="preserve"> 619,392 </w:t>
            </w:r>
          </w:p>
        </w:tc>
        <w:tc>
          <w:tcPr>
            <w:tcW w:w="2393" w:type="dxa"/>
            <w:tcBorders>
              <w:top w:val="single" w:sz="4" w:space="0" w:color="000000"/>
              <w:left w:val="single" w:sz="4" w:space="0" w:color="000000"/>
              <w:bottom w:val="single" w:sz="4" w:space="0" w:color="000000"/>
              <w:right w:val="single" w:sz="4" w:space="0" w:color="000000"/>
            </w:tcBorders>
          </w:tcPr>
          <w:p w14:paraId="6A690A41" w14:textId="77777777" w:rsidR="00C73740" w:rsidRPr="00664147" w:rsidRDefault="00C73740" w:rsidP="00F158A1">
            <w:pPr>
              <w:widowControl w:val="0"/>
              <w:autoSpaceDE w:val="0"/>
              <w:autoSpaceDN w:val="0"/>
              <w:spacing w:before="100" w:beforeAutospacing="1" w:after="100" w:afterAutospacing="1"/>
              <w:outlineLvl w:val="0"/>
              <w:rPr>
                <w:rFonts w:eastAsia="Times New Roman" w:cs="Times New Roman"/>
                <w:bCs/>
                <w:szCs w:val="24"/>
              </w:rPr>
            </w:pPr>
            <w:r w:rsidRPr="00BC63AE">
              <w:t xml:space="preserve"> 17,382 </w:t>
            </w:r>
          </w:p>
        </w:tc>
      </w:tr>
      <w:tr w:rsidR="00C73740" w:rsidRPr="00664147" w14:paraId="110E712E" w14:textId="77777777" w:rsidTr="00F158A1">
        <w:trPr>
          <w:trHeight w:hRule="exact" w:val="288"/>
        </w:trPr>
        <w:tc>
          <w:tcPr>
            <w:tcW w:w="2395" w:type="dxa"/>
            <w:tcBorders>
              <w:top w:val="single" w:sz="4" w:space="0" w:color="000000"/>
              <w:left w:val="single" w:sz="4" w:space="0" w:color="000000"/>
              <w:bottom w:val="single" w:sz="4" w:space="0" w:color="000000"/>
              <w:right w:val="single" w:sz="4" w:space="0" w:color="000000"/>
            </w:tcBorders>
          </w:tcPr>
          <w:p w14:paraId="6123E8EC" w14:textId="77777777" w:rsidR="00C73740" w:rsidRPr="00664147" w:rsidRDefault="00C73740" w:rsidP="00F158A1">
            <w:pPr>
              <w:widowControl w:val="0"/>
              <w:autoSpaceDE w:val="0"/>
              <w:autoSpaceDN w:val="0"/>
              <w:spacing w:before="100" w:beforeAutospacing="1" w:after="100" w:afterAutospacing="1"/>
              <w:outlineLvl w:val="0"/>
              <w:rPr>
                <w:rFonts w:eastAsia="Times New Roman" w:cs="Times New Roman"/>
                <w:szCs w:val="24"/>
              </w:rPr>
            </w:pPr>
            <w:r w:rsidRPr="00664147">
              <w:rPr>
                <w:rFonts w:eastAsia="Times New Roman" w:cs="Times New Roman"/>
                <w:szCs w:val="24"/>
              </w:rPr>
              <w:t>ACO</w:t>
            </w:r>
          </w:p>
        </w:tc>
        <w:tc>
          <w:tcPr>
            <w:tcW w:w="2393" w:type="dxa"/>
            <w:tcBorders>
              <w:top w:val="single" w:sz="4" w:space="0" w:color="000000"/>
              <w:left w:val="single" w:sz="4" w:space="0" w:color="000000"/>
              <w:bottom w:val="single" w:sz="4" w:space="0" w:color="000000"/>
              <w:right w:val="single" w:sz="4" w:space="0" w:color="000000"/>
            </w:tcBorders>
          </w:tcPr>
          <w:p w14:paraId="39ABA2F1" w14:textId="77777777" w:rsidR="00C73740" w:rsidRPr="00664147" w:rsidRDefault="00C73740" w:rsidP="00F158A1">
            <w:pPr>
              <w:widowControl w:val="0"/>
              <w:autoSpaceDE w:val="0"/>
              <w:autoSpaceDN w:val="0"/>
              <w:spacing w:before="100" w:beforeAutospacing="1" w:after="100" w:afterAutospacing="1"/>
              <w:outlineLvl w:val="0"/>
              <w:rPr>
                <w:rFonts w:eastAsia="Times New Roman" w:cs="Times New Roman"/>
                <w:bCs/>
                <w:szCs w:val="24"/>
              </w:rPr>
            </w:pPr>
            <w:r w:rsidRPr="0002278D">
              <w:t xml:space="preserve"> 1,084,264 </w:t>
            </w:r>
          </w:p>
        </w:tc>
        <w:tc>
          <w:tcPr>
            <w:tcW w:w="2395" w:type="dxa"/>
            <w:tcBorders>
              <w:top w:val="single" w:sz="4" w:space="0" w:color="000000"/>
              <w:left w:val="single" w:sz="4" w:space="0" w:color="000000"/>
              <w:bottom w:val="single" w:sz="4" w:space="0" w:color="000000"/>
              <w:right w:val="single" w:sz="4" w:space="0" w:color="000000"/>
            </w:tcBorders>
          </w:tcPr>
          <w:p w14:paraId="0896BF09" w14:textId="77777777" w:rsidR="00C73740" w:rsidRPr="00664147" w:rsidRDefault="00C73740" w:rsidP="00F158A1">
            <w:pPr>
              <w:widowControl w:val="0"/>
              <w:autoSpaceDE w:val="0"/>
              <w:autoSpaceDN w:val="0"/>
              <w:spacing w:before="100" w:beforeAutospacing="1" w:after="100" w:afterAutospacing="1"/>
              <w:outlineLvl w:val="0"/>
              <w:rPr>
                <w:rFonts w:eastAsia="Times New Roman" w:cs="Times New Roman"/>
                <w:bCs/>
                <w:szCs w:val="24"/>
              </w:rPr>
            </w:pPr>
            <w:r w:rsidRPr="00E334CD">
              <w:t xml:space="preserve"> 1,103,326 </w:t>
            </w:r>
          </w:p>
        </w:tc>
        <w:tc>
          <w:tcPr>
            <w:tcW w:w="2393" w:type="dxa"/>
            <w:tcBorders>
              <w:top w:val="single" w:sz="4" w:space="0" w:color="000000"/>
              <w:left w:val="single" w:sz="4" w:space="0" w:color="000000"/>
              <w:bottom w:val="single" w:sz="4" w:space="0" w:color="000000"/>
              <w:right w:val="single" w:sz="4" w:space="0" w:color="000000"/>
            </w:tcBorders>
          </w:tcPr>
          <w:p w14:paraId="1A2B7AB0" w14:textId="77777777" w:rsidR="00C73740" w:rsidRPr="00664147" w:rsidRDefault="00C73740" w:rsidP="00F158A1">
            <w:pPr>
              <w:widowControl w:val="0"/>
              <w:autoSpaceDE w:val="0"/>
              <w:autoSpaceDN w:val="0"/>
              <w:spacing w:before="100" w:beforeAutospacing="1" w:after="100" w:afterAutospacing="1"/>
              <w:outlineLvl w:val="0"/>
              <w:rPr>
                <w:rFonts w:eastAsia="Times New Roman" w:cs="Times New Roman"/>
                <w:bCs/>
                <w:szCs w:val="24"/>
              </w:rPr>
            </w:pPr>
            <w:r w:rsidRPr="00BC63AE">
              <w:t xml:space="preserve"> 19,062 </w:t>
            </w:r>
          </w:p>
        </w:tc>
      </w:tr>
    </w:tbl>
    <w:p w14:paraId="7218B0DF" w14:textId="77777777" w:rsidR="00C73740" w:rsidRPr="00664147" w:rsidRDefault="00C73740" w:rsidP="00945667">
      <w:r w:rsidRPr="00664147">
        <w:t>*MBHP enrollment does not represent members unique to the plan, as there is overlap with PCC and ACO Model B enrollment.</w:t>
      </w:r>
    </w:p>
    <w:p w14:paraId="38465FEF" w14:textId="77777777" w:rsidR="00C73740" w:rsidRPr="00664147" w:rsidRDefault="00C73740" w:rsidP="00945667">
      <w:r w:rsidRPr="00664147">
        <w:t>**PA included in FFS and MBHP enrollment counts</w:t>
      </w:r>
    </w:p>
    <w:p w14:paraId="7EDB36A7" w14:textId="77777777" w:rsidR="00C73740" w:rsidRDefault="00C73740" w:rsidP="00C73740"/>
    <w:p w14:paraId="3ACC94E9" w14:textId="77777777" w:rsidR="00C73740" w:rsidRDefault="00C73740" w:rsidP="00C73740"/>
    <w:p w14:paraId="6C7D337F" w14:textId="77777777" w:rsidR="00BE6D44" w:rsidRPr="00F10407" w:rsidRDefault="00BE6D44" w:rsidP="00945667">
      <w:pPr>
        <w:pStyle w:val="Heading2"/>
      </w:pPr>
      <w:r w:rsidRPr="00F10407">
        <w:lastRenderedPageBreak/>
        <w:t>Enrollment in Premium Assistance and Small Business Employee Premium Assistance</w:t>
      </w:r>
    </w:p>
    <w:p w14:paraId="14EEB384" w14:textId="581D9A84" w:rsidR="000A6B82" w:rsidRDefault="000A6B82" w:rsidP="000A6B82">
      <w:pPr>
        <w:ind w:firstLine="720"/>
        <w:rPr>
          <w:b/>
          <w:bCs/>
          <w:iCs/>
          <w:szCs w:val="24"/>
          <w:u w:val="single"/>
        </w:rPr>
      </w:pPr>
    </w:p>
    <w:tbl>
      <w:tblPr>
        <w:tblpPr w:leftFromText="180" w:rightFromText="180" w:vertAnchor="text" w:horzAnchor="margin" w:tblpY="368"/>
        <w:tblW w:w="9090" w:type="dxa"/>
        <w:tblLayout w:type="fixed"/>
        <w:tblLook w:val="04A0" w:firstRow="1" w:lastRow="0" w:firstColumn="1" w:lastColumn="0" w:noHBand="0" w:noVBand="1"/>
      </w:tblPr>
      <w:tblGrid>
        <w:gridCol w:w="3690"/>
        <w:gridCol w:w="1260"/>
        <w:gridCol w:w="1800"/>
        <w:gridCol w:w="2340"/>
      </w:tblGrid>
      <w:tr w:rsidR="000A6B82" w14:paraId="299D42DB" w14:textId="77777777" w:rsidTr="000A6B82">
        <w:trPr>
          <w:trHeight w:val="960"/>
        </w:trPr>
        <w:tc>
          <w:tcPr>
            <w:tcW w:w="36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659520" w14:textId="77777777" w:rsidR="000A6B82" w:rsidRDefault="000A6B82" w:rsidP="000A6B82">
            <w:pPr>
              <w:spacing w:line="256" w:lineRule="auto"/>
              <w:rPr>
                <w:b/>
                <w:bCs/>
                <w:color w:val="000000"/>
                <w:szCs w:val="24"/>
              </w:rPr>
            </w:pPr>
            <w:r>
              <w:rPr>
                <w:b/>
                <w:bCs/>
                <w:color w:val="000000"/>
                <w:szCs w:val="24"/>
              </w:rPr>
              <w:t>SHIP Premium Assistance Program (SHIP PA)</w:t>
            </w:r>
          </w:p>
        </w:tc>
        <w:tc>
          <w:tcPr>
            <w:tcW w:w="1260" w:type="dxa"/>
            <w:tcBorders>
              <w:top w:val="single" w:sz="8" w:space="0" w:color="000000"/>
              <w:left w:val="nil"/>
              <w:bottom w:val="single" w:sz="8" w:space="0" w:color="000000"/>
              <w:right w:val="single" w:sz="8" w:space="0" w:color="000000"/>
            </w:tcBorders>
            <w:shd w:val="clear" w:color="auto" w:fill="FFFFFF"/>
            <w:vAlign w:val="center"/>
            <w:hideMark/>
          </w:tcPr>
          <w:p w14:paraId="6616B454" w14:textId="77777777" w:rsidR="000A6B82" w:rsidRDefault="000A6B82" w:rsidP="000A6B82">
            <w:pPr>
              <w:spacing w:line="256" w:lineRule="auto"/>
              <w:rPr>
                <w:b/>
                <w:bCs/>
                <w:color w:val="000000"/>
                <w:szCs w:val="24"/>
              </w:rPr>
            </w:pPr>
            <w:r>
              <w:rPr>
                <w:b/>
                <w:bCs/>
                <w:color w:val="000000"/>
                <w:szCs w:val="24"/>
              </w:rPr>
              <w:t xml:space="preserve">Disabled Members </w:t>
            </w:r>
          </w:p>
        </w:tc>
        <w:tc>
          <w:tcPr>
            <w:tcW w:w="1800" w:type="dxa"/>
            <w:tcBorders>
              <w:top w:val="single" w:sz="8" w:space="0" w:color="000000"/>
              <w:left w:val="nil"/>
              <w:bottom w:val="single" w:sz="8" w:space="0" w:color="000000"/>
              <w:right w:val="single" w:sz="8" w:space="0" w:color="000000"/>
            </w:tcBorders>
            <w:shd w:val="clear" w:color="auto" w:fill="FFFFFF"/>
            <w:vAlign w:val="center"/>
            <w:hideMark/>
          </w:tcPr>
          <w:p w14:paraId="1010F434" w14:textId="77777777" w:rsidR="000A6B82" w:rsidRDefault="000A6B82" w:rsidP="000A6B82">
            <w:pPr>
              <w:spacing w:line="256" w:lineRule="auto"/>
              <w:ind w:firstLineChars="100" w:firstLine="241"/>
              <w:rPr>
                <w:b/>
                <w:bCs/>
                <w:color w:val="000000"/>
                <w:szCs w:val="24"/>
              </w:rPr>
            </w:pPr>
            <w:r>
              <w:rPr>
                <w:b/>
                <w:bCs/>
                <w:color w:val="000000"/>
                <w:szCs w:val="24"/>
              </w:rPr>
              <w:t>Non-Disabled Members</w:t>
            </w:r>
          </w:p>
        </w:tc>
        <w:tc>
          <w:tcPr>
            <w:tcW w:w="2340" w:type="dxa"/>
            <w:tcBorders>
              <w:top w:val="single" w:sz="8" w:space="0" w:color="000000"/>
              <w:left w:val="nil"/>
              <w:bottom w:val="single" w:sz="8" w:space="0" w:color="000000"/>
              <w:right w:val="single" w:sz="8" w:space="0" w:color="000000"/>
            </w:tcBorders>
            <w:shd w:val="clear" w:color="auto" w:fill="FFFFFF"/>
            <w:vAlign w:val="center"/>
            <w:hideMark/>
          </w:tcPr>
          <w:p w14:paraId="757521C4" w14:textId="77777777" w:rsidR="000A6B82" w:rsidRDefault="000A6B82" w:rsidP="000A6B82">
            <w:pPr>
              <w:spacing w:line="256" w:lineRule="auto"/>
              <w:ind w:firstLineChars="100" w:firstLine="241"/>
              <w:rPr>
                <w:b/>
                <w:bCs/>
                <w:color w:val="000000"/>
                <w:szCs w:val="24"/>
              </w:rPr>
            </w:pPr>
            <w:r>
              <w:rPr>
                <w:b/>
                <w:bCs/>
                <w:color w:val="000000"/>
                <w:szCs w:val="24"/>
              </w:rPr>
              <w:t>Total MassHealth Enrolled Members</w:t>
            </w:r>
          </w:p>
        </w:tc>
      </w:tr>
      <w:tr w:rsidR="000A6B82" w14:paraId="47A170ED" w14:textId="77777777" w:rsidTr="000A6B82">
        <w:trPr>
          <w:trHeight w:val="420"/>
        </w:trPr>
        <w:tc>
          <w:tcPr>
            <w:tcW w:w="3690" w:type="dxa"/>
            <w:tcBorders>
              <w:top w:val="nil"/>
              <w:left w:val="single" w:sz="8" w:space="0" w:color="000000"/>
              <w:bottom w:val="single" w:sz="8" w:space="0" w:color="000000"/>
              <w:right w:val="single" w:sz="8" w:space="0" w:color="000000"/>
            </w:tcBorders>
            <w:shd w:val="clear" w:color="auto" w:fill="FFFFFF"/>
            <w:vAlign w:val="center"/>
            <w:hideMark/>
          </w:tcPr>
          <w:p w14:paraId="111A9FB5" w14:textId="77777777" w:rsidR="000A6B82" w:rsidRDefault="000A6B82" w:rsidP="000A6B82">
            <w:pPr>
              <w:spacing w:line="256" w:lineRule="auto"/>
              <w:ind w:firstLineChars="100" w:firstLine="240"/>
              <w:rPr>
                <w:i/>
                <w:iCs/>
                <w:color w:val="000000"/>
                <w:szCs w:val="24"/>
              </w:rPr>
            </w:pPr>
            <w:r>
              <w:rPr>
                <w:i/>
                <w:iCs/>
                <w:color w:val="000000"/>
                <w:szCs w:val="24"/>
              </w:rPr>
              <w:t xml:space="preserve">Standard </w:t>
            </w:r>
          </w:p>
        </w:tc>
        <w:tc>
          <w:tcPr>
            <w:tcW w:w="1260" w:type="dxa"/>
            <w:tcBorders>
              <w:top w:val="nil"/>
              <w:left w:val="nil"/>
              <w:bottom w:val="single" w:sz="8" w:space="0" w:color="000000"/>
              <w:right w:val="single" w:sz="8" w:space="0" w:color="000000"/>
            </w:tcBorders>
            <w:shd w:val="clear" w:color="auto" w:fill="FFFFFF"/>
            <w:vAlign w:val="center"/>
            <w:hideMark/>
          </w:tcPr>
          <w:p w14:paraId="456D958E" w14:textId="77777777" w:rsidR="000A6B82" w:rsidRDefault="000A6B82" w:rsidP="000A6B82">
            <w:pPr>
              <w:spacing w:line="256" w:lineRule="auto"/>
              <w:ind w:firstLineChars="100" w:firstLine="240"/>
              <w:rPr>
                <w:color w:val="000000"/>
                <w:szCs w:val="24"/>
              </w:rPr>
            </w:pPr>
            <w:r>
              <w:rPr>
                <w:color w:val="000000"/>
                <w:szCs w:val="24"/>
              </w:rPr>
              <w:t>1,101</w:t>
            </w:r>
          </w:p>
        </w:tc>
        <w:tc>
          <w:tcPr>
            <w:tcW w:w="1800" w:type="dxa"/>
            <w:tcBorders>
              <w:top w:val="nil"/>
              <w:left w:val="nil"/>
              <w:bottom w:val="single" w:sz="8" w:space="0" w:color="000000"/>
              <w:right w:val="single" w:sz="8" w:space="0" w:color="000000"/>
            </w:tcBorders>
            <w:shd w:val="clear" w:color="auto" w:fill="FFFFFF"/>
            <w:vAlign w:val="center"/>
            <w:hideMark/>
          </w:tcPr>
          <w:p w14:paraId="180F4846" w14:textId="77777777" w:rsidR="000A6B82" w:rsidRDefault="000A6B82" w:rsidP="000A6B82">
            <w:pPr>
              <w:spacing w:line="256" w:lineRule="auto"/>
              <w:ind w:firstLineChars="100" w:firstLine="240"/>
              <w:rPr>
                <w:color w:val="000000"/>
                <w:szCs w:val="24"/>
              </w:rPr>
            </w:pPr>
            <w:r>
              <w:rPr>
                <w:color w:val="000000"/>
                <w:szCs w:val="24"/>
              </w:rPr>
              <w:t>19,183</w:t>
            </w:r>
          </w:p>
        </w:tc>
        <w:tc>
          <w:tcPr>
            <w:tcW w:w="2340" w:type="dxa"/>
            <w:tcBorders>
              <w:top w:val="nil"/>
              <w:left w:val="nil"/>
              <w:bottom w:val="single" w:sz="8" w:space="0" w:color="000000"/>
              <w:right w:val="single" w:sz="8" w:space="0" w:color="000000"/>
            </w:tcBorders>
            <w:shd w:val="clear" w:color="auto" w:fill="FFFFFF"/>
            <w:vAlign w:val="center"/>
            <w:hideMark/>
          </w:tcPr>
          <w:p w14:paraId="1D54572F" w14:textId="77777777" w:rsidR="000A6B82" w:rsidRDefault="000A6B82" w:rsidP="000A6B82">
            <w:pPr>
              <w:spacing w:line="256" w:lineRule="auto"/>
              <w:ind w:firstLineChars="100" w:firstLine="240"/>
              <w:rPr>
                <w:color w:val="000000"/>
                <w:szCs w:val="24"/>
              </w:rPr>
            </w:pPr>
            <w:r>
              <w:rPr>
                <w:color w:val="000000"/>
                <w:szCs w:val="24"/>
              </w:rPr>
              <w:t>20,284</w:t>
            </w:r>
          </w:p>
        </w:tc>
      </w:tr>
      <w:tr w:rsidR="000A6B82" w14:paraId="12F6F35A" w14:textId="77777777" w:rsidTr="000A6B82">
        <w:trPr>
          <w:trHeight w:val="420"/>
        </w:trPr>
        <w:tc>
          <w:tcPr>
            <w:tcW w:w="3690" w:type="dxa"/>
            <w:tcBorders>
              <w:top w:val="nil"/>
              <w:left w:val="single" w:sz="8" w:space="0" w:color="000000"/>
              <w:bottom w:val="single" w:sz="8" w:space="0" w:color="000000"/>
              <w:right w:val="single" w:sz="8" w:space="0" w:color="000000"/>
            </w:tcBorders>
            <w:vAlign w:val="center"/>
            <w:hideMark/>
          </w:tcPr>
          <w:p w14:paraId="17761F8C" w14:textId="77777777" w:rsidR="000A6B82" w:rsidRDefault="000A6B82" w:rsidP="000A6B82">
            <w:pPr>
              <w:spacing w:line="256" w:lineRule="auto"/>
              <w:ind w:firstLineChars="100" w:firstLine="240"/>
              <w:rPr>
                <w:i/>
                <w:iCs/>
                <w:color w:val="000000"/>
                <w:szCs w:val="24"/>
              </w:rPr>
            </w:pPr>
            <w:r>
              <w:rPr>
                <w:i/>
                <w:iCs/>
                <w:color w:val="000000"/>
                <w:szCs w:val="24"/>
              </w:rPr>
              <w:t>CommonHealth</w:t>
            </w:r>
          </w:p>
        </w:tc>
        <w:tc>
          <w:tcPr>
            <w:tcW w:w="1260" w:type="dxa"/>
            <w:tcBorders>
              <w:top w:val="nil"/>
              <w:left w:val="nil"/>
              <w:bottom w:val="single" w:sz="8" w:space="0" w:color="000000"/>
              <w:right w:val="single" w:sz="8" w:space="0" w:color="000000"/>
            </w:tcBorders>
            <w:vAlign w:val="center"/>
            <w:hideMark/>
          </w:tcPr>
          <w:p w14:paraId="29A50378" w14:textId="77777777" w:rsidR="000A6B82" w:rsidRDefault="000A6B82" w:rsidP="000A6B82">
            <w:pPr>
              <w:spacing w:line="256" w:lineRule="auto"/>
              <w:ind w:firstLineChars="100" w:firstLine="240"/>
              <w:rPr>
                <w:color w:val="000000"/>
                <w:szCs w:val="24"/>
              </w:rPr>
            </w:pPr>
            <w:r>
              <w:rPr>
                <w:color w:val="000000"/>
                <w:szCs w:val="24"/>
              </w:rPr>
              <w:t>61</w:t>
            </w:r>
          </w:p>
        </w:tc>
        <w:tc>
          <w:tcPr>
            <w:tcW w:w="1800" w:type="dxa"/>
            <w:tcBorders>
              <w:top w:val="nil"/>
              <w:left w:val="nil"/>
              <w:bottom w:val="single" w:sz="8" w:space="0" w:color="000000"/>
              <w:right w:val="single" w:sz="8" w:space="0" w:color="000000"/>
            </w:tcBorders>
            <w:vAlign w:val="center"/>
            <w:hideMark/>
          </w:tcPr>
          <w:p w14:paraId="3A82E29E" w14:textId="77777777" w:rsidR="000A6B82" w:rsidRDefault="000A6B82" w:rsidP="000A6B82">
            <w:pPr>
              <w:spacing w:line="256" w:lineRule="auto"/>
              <w:ind w:firstLineChars="100" w:firstLine="240"/>
              <w:rPr>
                <w:color w:val="000000"/>
                <w:szCs w:val="24"/>
              </w:rPr>
            </w:pPr>
            <w:r>
              <w:rPr>
                <w:color w:val="000000"/>
                <w:szCs w:val="24"/>
              </w:rPr>
              <w:t>0</w:t>
            </w:r>
          </w:p>
        </w:tc>
        <w:tc>
          <w:tcPr>
            <w:tcW w:w="2340" w:type="dxa"/>
            <w:tcBorders>
              <w:top w:val="nil"/>
              <w:left w:val="nil"/>
              <w:bottom w:val="single" w:sz="8" w:space="0" w:color="000000"/>
              <w:right w:val="single" w:sz="8" w:space="0" w:color="000000"/>
            </w:tcBorders>
            <w:vAlign w:val="center"/>
            <w:hideMark/>
          </w:tcPr>
          <w:p w14:paraId="4A3CA0F0" w14:textId="77777777" w:rsidR="000A6B82" w:rsidRDefault="000A6B82" w:rsidP="000A6B82">
            <w:pPr>
              <w:spacing w:line="256" w:lineRule="auto"/>
              <w:ind w:firstLineChars="100" w:firstLine="240"/>
              <w:rPr>
                <w:color w:val="000000"/>
                <w:szCs w:val="24"/>
              </w:rPr>
            </w:pPr>
            <w:r>
              <w:rPr>
                <w:color w:val="000000"/>
                <w:szCs w:val="24"/>
              </w:rPr>
              <w:t>61</w:t>
            </w:r>
          </w:p>
        </w:tc>
      </w:tr>
      <w:tr w:rsidR="000A6B82" w14:paraId="231E5696" w14:textId="77777777" w:rsidTr="000A6B82">
        <w:trPr>
          <w:trHeight w:val="420"/>
        </w:trPr>
        <w:tc>
          <w:tcPr>
            <w:tcW w:w="3690" w:type="dxa"/>
            <w:tcBorders>
              <w:top w:val="nil"/>
              <w:left w:val="single" w:sz="8" w:space="0" w:color="000000"/>
              <w:bottom w:val="single" w:sz="8" w:space="0" w:color="000000"/>
              <w:right w:val="single" w:sz="8" w:space="0" w:color="000000"/>
            </w:tcBorders>
            <w:shd w:val="clear" w:color="auto" w:fill="FFFFFF"/>
            <w:vAlign w:val="center"/>
            <w:hideMark/>
          </w:tcPr>
          <w:p w14:paraId="26E28735" w14:textId="77777777" w:rsidR="000A6B82" w:rsidRDefault="000A6B82" w:rsidP="000A6B82">
            <w:pPr>
              <w:spacing w:line="256" w:lineRule="auto"/>
              <w:ind w:firstLineChars="100" w:firstLine="240"/>
              <w:rPr>
                <w:i/>
                <w:iCs/>
                <w:color w:val="000000"/>
                <w:szCs w:val="24"/>
              </w:rPr>
            </w:pPr>
            <w:r>
              <w:rPr>
                <w:i/>
                <w:iCs/>
                <w:color w:val="000000"/>
                <w:szCs w:val="24"/>
              </w:rPr>
              <w:t xml:space="preserve">Family Assistance </w:t>
            </w:r>
          </w:p>
        </w:tc>
        <w:tc>
          <w:tcPr>
            <w:tcW w:w="1260" w:type="dxa"/>
            <w:tcBorders>
              <w:top w:val="nil"/>
              <w:left w:val="nil"/>
              <w:bottom w:val="single" w:sz="8" w:space="0" w:color="000000"/>
              <w:right w:val="single" w:sz="8" w:space="0" w:color="000000"/>
            </w:tcBorders>
            <w:shd w:val="clear" w:color="auto" w:fill="FFFFFF"/>
            <w:vAlign w:val="center"/>
            <w:hideMark/>
          </w:tcPr>
          <w:p w14:paraId="5B69C8FB" w14:textId="77777777" w:rsidR="000A6B82" w:rsidRDefault="000A6B82" w:rsidP="000A6B82">
            <w:pPr>
              <w:spacing w:line="256" w:lineRule="auto"/>
              <w:ind w:firstLineChars="100" w:firstLine="240"/>
              <w:rPr>
                <w:color w:val="000000"/>
                <w:szCs w:val="24"/>
              </w:rPr>
            </w:pPr>
            <w:r>
              <w:rPr>
                <w:color w:val="000000"/>
                <w:szCs w:val="24"/>
              </w:rPr>
              <w:t>7</w:t>
            </w:r>
          </w:p>
        </w:tc>
        <w:tc>
          <w:tcPr>
            <w:tcW w:w="1800" w:type="dxa"/>
            <w:tcBorders>
              <w:top w:val="nil"/>
              <w:left w:val="nil"/>
              <w:bottom w:val="single" w:sz="8" w:space="0" w:color="000000"/>
              <w:right w:val="single" w:sz="8" w:space="0" w:color="000000"/>
            </w:tcBorders>
            <w:shd w:val="clear" w:color="auto" w:fill="FFFFFF"/>
            <w:vAlign w:val="center"/>
            <w:hideMark/>
          </w:tcPr>
          <w:p w14:paraId="04501F07" w14:textId="77777777" w:rsidR="000A6B82" w:rsidRDefault="000A6B82" w:rsidP="000A6B82">
            <w:pPr>
              <w:spacing w:line="256" w:lineRule="auto"/>
              <w:ind w:firstLineChars="100" w:firstLine="240"/>
              <w:rPr>
                <w:color w:val="000000"/>
                <w:szCs w:val="24"/>
              </w:rPr>
            </w:pPr>
            <w:r>
              <w:rPr>
                <w:color w:val="000000"/>
                <w:szCs w:val="24"/>
              </w:rPr>
              <w:t>2,186</w:t>
            </w:r>
          </w:p>
        </w:tc>
        <w:tc>
          <w:tcPr>
            <w:tcW w:w="2340" w:type="dxa"/>
            <w:tcBorders>
              <w:top w:val="nil"/>
              <w:left w:val="nil"/>
              <w:bottom w:val="single" w:sz="8" w:space="0" w:color="000000"/>
              <w:right w:val="single" w:sz="8" w:space="0" w:color="000000"/>
            </w:tcBorders>
            <w:shd w:val="clear" w:color="auto" w:fill="FFFFFF"/>
            <w:vAlign w:val="center"/>
            <w:hideMark/>
          </w:tcPr>
          <w:p w14:paraId="10C2FADB" w14:textId="77777777" w:rsidR="000A6B82" w:rsidRDefault="000A6B82" w:rsidP="000A6B82">
            <w:pPr>
              <w:spacing w:line="256" w:lineRule="auto"/>
              <w:ind w:firstLineChars="100" w:firstLine="240"/>
              <w:rPr>
                <w:color w:val="000000"/>
                <w:szCs w:val="24"/>
              </w:rPr>
            </w:pPr>
            <w:r>
              <w:rPr>
                <w:color w:val="000000"/>
                <w:szCs w:val="24"/>
              </w:rPr>
              <w:t>2,193</w:t>
            </w:r>
          </w:p>
        </w:tc>
      </w:tr>
      <w:tr w:rsidR="000A6B82" w14:paraId="671592E5" w14:textId="77777777" w:rsidTr="000A6B82">
        <w:trPr>
          <w:trHeight w:val="420"/>
        </w:trPr>
        <w:tc>
          <w:tcPr>
            <w:tcW w:w="3690" w:type="dxa"/>
            <w:tcBorders>
              <w:top w:val="nil"/>
              <w:left w:val="single" w:sz="8" w:space="0" w:color="000000"/>
              <w:bottom w:val="single" w:sz="8" w:space="0" w:color="000000"/>
              <w:right w:val="single" w:sz="8" w:space="0" w:color="000000"/>
            </w:tcBorders>
            <w:shd w:val="clear" w:color="auto" w:fill="FFFFFF"/>
            <w:vAlign w:val="center"/>
            <w:hideMark/>
          </w:tcPr>
          <w:p w14:paraId="5DEC86B7" w14:textId="77777777" w:rsidR="000A6B82" w:rsidRDefault="000A6B82" w:rsidP="000A6B82">
            <w:pPr>
              <w:spacing w:line="256" w:lineRule="auto"/>
              <w:ind w:firstLineChars="100" w:firstLine="240"/>
              <w:rPr>
                <w:i/>
                <w:iCs/>
                <w:color w:val="000000"/>
                <w:szCs w:val="24"/>
              </w:rPr>
            </w:pPr>
            <w:r>
              <w:rPr>
                <w:i/>
                <w:iCs/>
                <w:color w:val="000000"/>
                <w:szCs w:val="24"/>
              </w:rPr>
              <w:t>CarePlus</w:t>
            </w:r>
          </w:p>
        </w:tc>
        <w:tc>
          <w:tcPr>
            <w:tcW w:w="1260" w:type="dxa"/>
            <w:tcBorders>
              <w:top w:val="nil"/>
              <w:left w:val="nil"/>
              <w:bottom w:val="single" w:sz="8" w:space="0" w:color="000000"/>
              <w:right w:val="single" w:sz="8" w:space="0" w:color="000000"/>
            </w:tcBorders>
            <w:shd w:val="clear" w:color="auto" w:fill="FFFFFF"/>
            <w:vAlign w:val="center"/>
            <w:hideMark/>
          </w:tcPr>
          <w:p w14:paraId="55F90C98" w14:textId="77777777" w:rsidR="000A6B82" w:rsidRDefault="000A6B82" w:rsidP="000A6B82">
            <w:pPr>
              <w:spacing w:line="256" w:lineRule="auto"/>
              <w:ind w:firstLineChars="100" w:firstLine="240"/>
              <w:rPr>
                <w:color w:val="000000"/>
                <w:szCs w:val="24"/>
              </w:rPr>
            </w:pPr>
            <w:r>
              <w:rPr>
                <w:color w:val="000000"/>
                <w:szCs w:val="24"/>
              </w:rPr>
              <w:t>0</w:t>
            </w:r>
          </w:p>
        </w:tc>
        <w:tc>
          <w:tcPr>
            <w:tcW w:w="1800" w:type="dxa"/>
            <w:tcBorders>
              <w:top w:val="nil"/>
              <w:left w:val="nil"/>
              <w:bottom w:val="single" w:sz="8" w:space="0" w:color="000000"/>
              <w:right w:val="single" w:sz="8" w:space="0" w:color="000000"/>
            </w:tcBorders>
            <w:shd w:val="clear" w:color="auto" w:fill="FFFFFF"/>
            <w:vAlign w:val="center"/>
            <w:hideMark/>
          </w:tcPr>
          <w:p w14:paraId="4E65158F" w14:textId="77777777" w:rsidR="000A6B82" w:rsidRDefault="000A6B82" w:rsidP="000A6B82">
            <w:pPr>
              <w:spacing w:line="256" w:lineRule="auto"/>
              <w:ind w:firstLineChars="100" w:firstLine="240"/>
              <w:rPr>
                <w:color w:val="000000"/>
                <w:szCs w:val="24"/>
              </w:rPr>
            </w:pPr>
            <w:r>
              <w:rPr>
                <w:color w:val="000000"/>
                <w:szCs w:val="24"/>
              </w:rPr>
              <w:t>8,228</w:t>
            </w:r>
          </w:p>
        </w:tc>
        <w:tc>
          <w:tcPr>
            <w:tcW w:w="2340" w:type="dxa"/>
            <w:tcBorders>
              <w:top w:val="nil"/>
              <w:left w:val="nil"/>
              <w:bottom w:val="single" w:sz="8" w:space="0" w:color="000000"/>
              <w:right w:val="single" w:sz="8" w:space="0" w:color="000000"/>
            </w:tcBorders>
            <w:shd w:val="clear" w:color="auto" w:fill="FFFFFF"/>
            <w:vAlign w:val="center"/>
            <w:hideMark/>
          </w:tcPr>
          <w:p w14:paraId="16F8EFD6" w14:textId="77777777" w:rsidR="000A6B82" w:rsidRDefault="000A6B82" w:rsidP="000A6B82">
            <w:pPr>
              <w:spacing w:line="256" w:lineRule="auto"/>
              <w:ind w:firstLineChars="100" w:firstLine="240"/>
              <w:rPr>
                <w:color w:val="000000"/>
                <w:szCs w:val="24"/>
              </w:rPr>
            </w:pPr>
            <w:r>
              <w:rPr>
                <w:color w:val="000000"/>
                <w:szCs w:val="24"/>
              </w:rPr>
              <w:t>8,228</w:t>
            </w:r>
          </w:p>
        </w:tc>
      </w:tr>
      <w:tr w:rsidR="000A6B82" w14:paraId="41D6727E" w14:textId="77777777" w:rsidTr="000A6B82">
        <w:trPr>
          <w:trHeight w:val="645"/>
        </w:trPr>
        <w:tc>
          <w:tcPr>
            <w:tcW w:w="3690" w:type="dxa"/>
            <w:tcBorders>
              <w:top w:val="nil"/>
              <w:left w:val="single" w:sz="8" w:space="0" w:color="000000"/>
              <w:bottom w:val="single" w:sz="8" w:space="0" w:color="000000"/>
              <w:right w:val="single" w:sz="8" w:space="0" w:color="000000"/>
            </w:tcBorders>
            <w:shd w:val="clear" w:color="auto" w:fill="FFFF99"/>
            <w:vAlign w:val="center"/>
            <w:hideMark/>
          </w:tcPr>
          <w:p w14:paraId="41B15733" w14:textId="77777777" w:rsidR="000A6B82" w:rsidRDefault="000A6B82" w:rsidP="000A6B82">
            <w:pPr>
              <w:spacing w:line="256" w:lineRule="auto"/>
              <w:ind w:firstLineChars="100" w:firstLine="241"/>
              <w:rPr>
                <w:b/>
                <w:bCs/>
                <w:color w:val="000000"/>
                <w:szCs w:val="24"/>
              </w:rPr>
            </w:pPr>
            <w:r>
              <w:rPr>
                <w:b/>
                <w:bCs/>
                <w:color w:val="000000"/>
                <w:szCs w:val="24"/>
              </w:rPr>
              <w:t>Total for FY 7/1/20-6/30/21</w:t>
            </w:r>
          </w:p>
        </w:tc>
        <w:tc>
          <w:tcPr>
            <w:tcW w:w="1260" w:type="dxa"/>
            <w:tcBorders>
              <w:top w:val="nil"/>
              <w:left w:val="nil"/>
              <w:bottom w:val="single" w:sz="8" w:space="0" w:color="000000"/>
              <w:right w:val="single" w:sz="8" w:space="0" w:color="000000"/>
            </w:tcBorders>
            <w:shd w:val="clear" w:color="auto" w:fill="FFFF99"/>
            <w:vAlign w:val="center"/>
            <w:hideMark/>
          </w:tcPr>
          <w:p w14:paraId="4B6B0A9B" w14:textId="77777777" w:rsidR="000A6B82" w:rsidRDefault="000A6B82" w:rsidP="000A6B82">
            <w:pPr>
              <w:spacing w:line="256" w:lineRule="auto"/>
              <w:ind w:firstLineChars="100" w:firstLine="241"/>
              <w:rPr>
                <w:b/>
                <w:bCs/>
                <w:color w:val="000000"/>
                <w:szCs w:val="24"/>
              </w:rPr>
            </w:pPr>
            <w:r>
              <w:rPr>
                <w:b/>
                <w:bCs/>
                <w:color w:val="000000"/>
                <w:szCs w:val="24"/>
              </w:rPr>
              <w:t>1,169</w:t>
            </w:r>
          </w:p>
        </w:tc>
        <w:tc>
          <w:tcPr>
            <w:tcW w:w="1800" w:type="dxa"/>
            <w:tcBorders>
              <w:top w:val="nil"/>
              <w:left w:val="nil"/>
              <w:bottom w:val="single" w:sz="8" w:space="0" w:color="000000"/>
              <w:right w:val="single" w:sz="8" w:space="0" w:color="000000"/>
            </w:tcBorders>
            <w:shd w:val="clear" w:color="auto" w:fill="FFFF99"/>
            <w:vAlign w:val="center"/>
            <w:hideMark/>
          </w:tcPr>
          <w:p w14:paraId="6482B64C" w14:textId="77777777" w:rsidR="000A6B82" w:rsidRDefault="000A6B82" w:rsidP="000A6B82">
            <w:pPr>
              <w:spacing w:line="256" w:lineRule="auto"/>
              <w:ind w:firstLineChars="100" w:firstLine="241"/>
              <w:rPr>
                <w:b/>
                <w:bCs/>
                <w:color w:val="000000"/>
                <w:szCs w:val="24"/>
              </w:rPr>
            </w:pPr>
            <w:r>
              <w:rPr>
                <w:b/>
                <w:bCs/>
                <w:color w:val="000000"/>
                <w:szCs w:val="24"/>
              </w:rPr>
              <w:t>29,597</w:t>
            </w:r>
          </w:p>
        </w:tc>
        <w:tc>
          <w:tcPr>
            <w:tcW w:w="2340" w:type="dxa"/>
            <w:tcBorders>
              <w:top w:val="nil"/>
              <w:left w:val="nil"/>
              <w:bottom w:val="single" w:sz="8" w:space="0" w:color="000000"/>
              <w:right w:val="single" w:sz="8" w:space="0" w:color="000000"/>
            </w:tcBorders>
            <w:shd w:val="clear" w:color="auto" w:fill="FFFF99"/>
            <w:vAlign w:val="center"/>
            <w:hideMark/>
          </w:tcPr>
          <w:p w14:paraId="05986139" w14:textId="77777777" w:rsidR="000A6B82" w:rsidRDefault="000A6B82" w:rsidP="000A6B82">
            <w:pPr>
              <w:spacing w:line="256" w:lineRule="auto"/>
              <w:ind w:firstLineChars="100" w:firstLine="241"/>
              <w:rPr>
                <w:b/>
                <w:bCs/>
                <w:color w:val="000000"/>
                <w:szCs w:val="24"/>
              </w:rPr>
            </w:pPr>
            <w:r>
              <w:rPr>
                <w:b/>
                <w:bCs/>
                <w:color w:val="000000"/>
                <w:szCs w:val="24"/>
              </w:rPr>
              <w:t>30,766</w:t>
            </w:r>
          </w:p>
        </w:tc>
      </w:tr>
    </w:tbl>
    <w:p w14:paraId="24699E01" w14:textId="77777777" w:rsidR="000A6B82" w:rsidRDefault="000A6B82" w:rsidP="000A6B82">
      <w:pPr>
        <w:ind w:firstLine="720"/>
        <w:rPr>
          <w:b/>
          <w:bCs/>
          <w:iCs/>
          <w:szCs w:val="24"/>
          <w:u w:val="single"/>
        </w:rPr>
      </w:pPr>
    </w:p>
    <w:p w14:paraId="2C8B34F2" w14:textId="77777777" w:rsidR="000A6B82" w:rsidRDefault="000A6B82" w:rsidP="000A6B82">
      <w:pPr>
        <w:ind w:firstLine="720"/>
        <w:rPr>
          <w:rFonts w:eastAsia="Times New Roman"/>
          <w:b/>
          <w:bCs/>
          <w:iCs/>
          <w:szCs w:val="24"/>
          <w:u w:val="single"/>
        </w:rPr>
      </w:pPr>
    </w:p>
    <w:tbl>
      <w:tblPr>
        <w:tblpPr w:leftFromText="180" w:rightFromText="180" w:vertAnchor="text" w:horzAnchor="margin" w:tblpY="462"/>
        <w:tblW w:w="9090" w:type="dxa"/>
        <w:tblLook w:val="04A0" w:firstRow="1" w:lastRow="0" w:firstColumn="1" w:lastColumn="0" w:noHBand="0" w:noVBand="1"/>
      </w:tblPr>
      <w:tblGrid>
        <w:gridCol w:w="3690"/>
        <w:gridCol w:w="1260"/>
        <w:gridCol w:w="1800"/>
        <w:gridCol w:w="2340"/>
      </w:tblGrid>
      <w:tr w:rsidR="000A6B82" w14:paraId="70271A28" w14:textId="77777777" w:rsidTr="000A6B82">
        <w:trPr>
          <w:trHeight w:val="315"/>
        </w:trPr>
        <w:tc>
          <w:tcPr>
            <w:tcW w:w="3690" w:type="dxa"/>
            <w:tcBorders>
              <w:top w:val="single" w:sz="8" w:space="0" w:color="000000"/>
              <w:left w:val="single" w:sz="8" w:space="0" w:color="000000"/>
              <w:bottom w:val="nil"/>
              <w:right w:val="single" w:sz="8" w:space="0" w:color="000000"/>
            </w:tcBorders>
            <w:shd w:val="clear" w:color="auto" w:fill="FFFFFF"/>
            <w:vAlign w:val="center"/>
            <w:hideMark/>
          </w:tcPr>
          <w:p w14:paraId="15163701" w14:textId="77777777" w:rsidR="000A6B82" w:rsidRDefault="000A6B82" w:rsidP="000A6B82">
            <w:pPr>
              <w:spacing w:line="256" w:lineRule="auto"/>
              <w:rPr>
                <w:b/>
                <w:bCs/>
                <w:color w:val="000000"/>
                <w:szCs w:val="24"/>
              </w:rPr>
            </w:pPr>
            <w:r>
              <w:rPr>
                <w:b/>
                <w:bCs/>
                <w:color w:val="000000"/>
                <w:szCs w:val="24"/>
              </w:rPr>
              <w:t> </w:t>
            </w:r>
          </w:p>
        </w:tc>
        <w:tc>
          <w:tcPr>
            <w:tcW w:w="126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48CE53" w14:textId="77777777" w:rsidR="000A6B82" w:rsidRDefault="000A6B82" w:rsidP="000A6B82">
            <w:pPr>
              <w:spacing w:line="256" w:lineRule="auto"/>
              <w:rPr>
                <w:b/>
                <w:bCs/>
                <w:color w:val="000000"/>
                <w:szCs w:val="24"/>
              </w:rPr>
            </w:pPr>
            <w:r>
              <w:rPr>
                <w:b/>
                <w:bCs/>
                <w:color w:val="000000"/>
                <w:szCs w:val="24"/>
              </w:rPr>
              <w:t>Disabled Members Average Q1-Q4</w:t>
            </w:r>
          </w:p>
        </w:tc>
        <w:tc>
          <w:tcPr>
            <w:tcW w:w="1800" w:type="dxa"/>
            <w:vMerge w:val="restart"/>
            <w:tcBorders>
              <w:top w:val="single" w:sz="8" w:space="0" w:color="000000"/>
              <w:left w:val="nil"/>
              <w:bottom w:val="single" w:sz="8" w:space="0" w:color="000000"/>
              <w:right w:val="single" w:sz="8" w:space="0" w:color="000000"/>
            </w:tcBorders>
            <w:shd w:val="clear" w:color="auto" w:fill="FFFFFF"/>
            <w:vAlign w:val="center"/>
            <w:hideMark/>
          </w:tcPr>
          <w:p w14:paraId="541FF907" w14:textId="77777777" w:rsidR="000A6B82" w:rsidRDefault="000A6B82" w:rsidP="000A6B82">
            <w:pPr>
              <w:spacing w:line="256" w:lineRule="auto"/>
              <w:rPr>
                <w:b/>
                <w:bCs/>
                <w:color w:val="000000"/>
                <w:szCs w:val="24"/>
              </w:rPr>
            </w:pPr>
            <w:r>
              <w:rPr>
                <w:b/>
                <w:bCs/>
                <w:color w:val="000000"/>
                <w:szCs w:val="24"/>
              </w:rPr>
              <w:t>Non-Disabled Members Average Q1-Q4</w:t>
            </w:r>
          </w:p>
        </w:tc>
        <w:tc>
          <w:tcPr>
            <w:tcW w:w="234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A16831" w14:textId="77777777" w:rsidR="000A6B82" w:rsidRDefault="000A6B82" w:rsidP="000A6B82">
            <w:pPr>
              <w:spacing w:line="256" w:lineRule="auto"/>
              <w:rPr>
                <w:b/>
                <w:bCs/>
                <w:color w:val="000000"/>
                <w:szCs w:val="24"/>
              </w:rPr>
            </w:pPr>
            <w:r>
              <w:rPr>
                <w:b/>
                <w:bCs/>
                <w:color w:val="000000"/>
                <w:szCs w:val="24"/>
              </w:rPr>
              <w:t>Total MassHealth Enrolled Members Average Q1-Q4</w:t>
            </w:r>
          </w:p>
        </w:tc>
      </w:tr>
      <w:tr w:rsidR="000A6B82" w14:paraId="5F9AEF3A" w14:textId="77777777" w:rsidTr="000A6B82">
        <w:trPr>
          <w:trHeight w:val="645"/>
        </w:trPr>
        <w:tc>
          <w:tcPr>
            <w:tcW w:w="3690" w:type="dxa"/>
            <w:tcBorders>
              <w:top w:val="nil"/>
              <w:left w:val="single" w:sz="8" w:space="0" w:color="000000"/>
              <w:bottom w:val="single" w:sz="8" w:space="0" w:color="000000"/>
              <w:right w:val="single" w:sz="8" w:space="0" w:color="000000"/>
            </w:tcBorders>
            <w:shd w:val="clear" w:color="auto" w:fill="FFFFFF"/>
            <w:vAlign w:val="center"/>
            <w:hideMark/>
          </w:tcPr>
          <w:p w14:paraId="27236220" w14:textId="77777777" w:rsidR="000A6B82" w:rsidRDefault="000A6B82" w:rsidP="000A6B82">
            <w:pPr>
              <w:spacing w:line="256" w:lineRule="auto"/>
              <w:rPr>
                <w:b/>
                <w:bCs/>
                <w:color w:val="000000"/>
                <w:szCs w:val="24"/>
              </w:rPr>
            </w:pPr>
            <w:r>
              <w:rPr>
                <w:b/>
                <w:bCs/>
                <w:color w:val="000000"/>
                <w:szCs w:val="24"/>
              </w:rPr>
              <w:t>Premium Assistance Program: Employer Sponsored Insurance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782731" w14:textId="77777777" w:rsidR="000A6B82" w:rsidRDefault="000A6B82" w:rsidP="000A6B82">
            <w:pPr>
              <w:spacing w:line="256" w:lineRule="auto"/>
              <w:rPr>
                <w:rFonts w:eastAsia="Times New Roman" w:cs="Times New Roman"/>
                <w:b/>
                <w:bCs/>
                <w:color w:val="000000"/>
                <w:szCs w:val="24"/>
              </w:rPr>
            </w:pPr>
          </w:p>
        </w:tc>
        <w:tc>
          <w:tcPr>
            <w:tcW w:w="0" w:type="auto"/>
            <w:vMerge/>
            <w:tcBorders>
              <w:top w:val="single" w:sz="8" w:space="0" w:color="000000"/>
              <w:left w:val="nil"/>
              <w:bottom w:val="single" w:sz="8" w:space="0" w:color="000000"/>
              <w:right w:val="single" w:sz="8" w:space="0" w:color="000000"/>
            </w:tcBorders>
            <w:vAlign w:val="center"/>
            <w:hideMark/>
          </w:tcPr>
          <w:p w14:paraId="038433CF" w14:textId="77777777" w:rsidR="000A6B82" w:rsidRDefault="000A6B82" w:rsidP="000A6B82">
            <w:pPr>
              <w:spacing w:line="256" w:lineRule="auto"/>
              <w:rPr>
                <w:rFonts w:eastAsia="Times New Roman" w:cs="Times New Roman"/>
                <w:b/>
                <w:bCs/>
                <w:color w:val="000000"/>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C437BD" w14:textId="77777777" w:rsidR="000A6B82" w:rsidRDefault="000A6B82" w:rsidP="000A6B82">
            <w:pPr>
              <w:spacing w:line="256" w:lineRule="auto"/>
              <w:rPr>
                <w:rFonts w:eastAsia="Times New Roman" w:cs="Times New Roman"/>
                <w:b/>
                <w:bCs/>
                <w:color w:val="000000"/>
                <w:szCs w:val="24"/>
              </w:rPr>
            </w:pPr>
          </w:p>
        </w:tc>
      </w:tr>
      <w:tr w:rsidR="000A6B82" w14:paraId="3A876E05" w14:textId="77777777" w:rsidTr="000A6B82">
        <w:trPr>
          <w:trHeight w:val="330"/>
        </w:trPr>
        <w:tc>
          <w:tcPr>
            <w:tcW w:w="3690" w:type="dxa"/>
            <w:tcBorders>
              <w:top w:val="nil"/>
              <w:left w:val="single" w:sz="8" w:space="0" w:color="000000"/>
              <w:bottom w:val="single" w:sz="8" w:space="0" w:color="000000"/>
              <w:right w:val="single" w:sz="8" w:space="0" w:color="000000"/>
            </w:tcBorders>
            <w:shd w:val="clear" w:color="auto" w:fill="FFFFFF"/>
            <w:noWrap/>
            <w:vAlign w:val="center"/>
            <w:hideMark/>
          </w:tcPr>
          <w:p w14:paraId="55D86C4C" w14:textId="77777777" w:rsidR="000A6B82" w:rsidRDefault="000A6B82" w:rsidP="000A6B82">
            <w:pPr>
              <w:spacing w:line="256" w:lineRule="auto"/>
              <w:rPr>
                <w:i/>
                <w:iCs/>
                <w:color w:val="000000"/>
                <w:szCs w:val="24"/>
              </w:rPr>
            </w:pPr>
            <w:r>
              <w:rPr>
                <w:i/>
                <w:iCs/>
                <w:color w:val="000000"/>
                <w:szCs w:val="24"/>
              </w:rPr>
              <w:t xml:space="preserve">Standard </w:t>
            </w:r>
          </w:p>
        </w:tc>
        <w:tc>
          <w:tcPr>
            <w:tcW w:w="1260" w:type="dxa"/>
            <w:tcBorders>
              <w:top w:val="nil"/>
              <w:left w:val="nil"/>
              <w:bottom w:val="single" w:sz="8" w:space="0" w:color="000000"/>
              <w:right w:val="single" w:sz="8" w:space="0" w:color="000000"/>
            </w:tcBorders>
            <w:shd w:val="clear" w:color="auto" w:fill="FFFFFF"/>
            <w:noWrap/>
            <w:vAlign w:val="center"/>
            <w:hideMark/>
          </w:tcPr>
          <w:p w14:paraId="6ABF837D" w14:textId="77777777" w:rsidR="000A6B82" w:rsidRDefault="000A6B82" w:rsidP="000A6B82">
            <w:pPr>
              <w:spacing w:line="256" w:lineRule="auto"/>
              <w:rPr>
                <w:color w:val="000000"/>
                <w:szCs w:val="24"/>
              </w:rPr>
            </w:pPr>
            <w:r>
              <w:rPr>
                <w:color w:val="000000"/>
                <w:szCs w:val="24"/>
              </w:rPr>
              <w:t>1,797</w:t>
            </w:r>
          </w:p>
        </w:tc>
        <w:tc>
          <w:tcPr>
            <w:tcW w:w="1800" w:type="dxa"/>
            <w:tcBorders>
              <w:top w:val="nil"/>
              <w:left w:val="nil"/>
              <w:bottom w:val="single" w:sz="8" w:space="0" w:color="000000"/>
              <w:right w:val="single" w:sz="8" w:space="0" w:color="000000"/>
            </w:tcBorders>
            <w:shd w:val="clear" w:color="auto" w:fill="FFFFFF"/>
            <w:noWrap/>
            <w:vAlign w:val="center"/>
            <w:hideMark/>
          </w:tcPr>
          <w:p w14:paraId="5024311E" w14:textId="77777777" w:rsidR="000A6B82" w:rsidRDefault="000A6B82" w:rsidP="000A6B82">
            <w:pPr>
              <w:spacing w:line="256" w:lineRule="auto"/>
              <w:rPr>
                <w:color w:val="000000"/>
                <w:szCs w:val="24"/>
              </w:rPr>
            </w:pPr>
            <w:r>
              <w:rPr>
                <w:color w:val="000000"/>
                <w:szCs w:val="24"/>
              </w:rPr>
              <w:t>10,890</w:t>
            </w:r>
          </w:p>
        </w:tc>
        <w:tc>
          <w:tcPr>
            <w:tcW w:w="2340" w:type="dxa"/>
            <w:tcBorders>
              <w:top w:val="nil"/>
              <w:left w:val="nil"/>
              <w:bottom w:val="single" w:sz="8" w:space="0" w:color="000000"/>
              <w:right w:val="single" w:sz="8" w:space="0" w:color="000000"/>
            </w:tcBorders>
            <w:shd w:val="clear" w:color="auto" w:fill="FFFFFF"/>
            <w:noWrap/>
            <w:vAlign w:val="center"/>
            <w:hideMark/>
          </w:tcPr>
          <w:p w14:paraId="177D3C85" w14:textId="77777777" w:rsidR="000A6B82" w:rsidRDefault="000A6B82" w:rsidP="000A6B82">
            <w:pPr>
              <w:spacing w:line="256" w:lineRule="auto"/>
              <w:rPr>
                <w:color w:val="000000"/>
                <w:szCs w:val="24"/>
              </w:rPr>
            </w:pPr>
            <w:r>
              <w:rPr>
                <w:color w:val="000000"/>
                <w:szCs w:val="24"/>
              </w:rPr>
              <w:t>12,687</w:t>
            </w:r>
          </w:p>
        </w:tc>
      </w:tr>
      <w:tr w:rsidR="000A6B82" w14:paraId="058D5688" w14:textId="77777777" w:rsidTr="000A6B82">
        <w:trPr>
          <w:trHeight w:val="330"/>
        </w:trPr>
        <w:tc>
          <w:tcPr>
            <w:tcW w:w="3690" w:type="dxa"/>
            <w:tcBorders>
              <w:top w:val="nil"/>
              <w:left w:val="single" w:sz="8" w:space="0" w:color="000000"/>
              <w:bottom w:val="single" w:sz="8" w:space="0" w:color="000000"/>
              <w:right w:val="single" w:sz="8" w:space="0" w:color="000000"/>
            </w:tcBorders>
            <w:noWrap/>
            <w:vAlign w:val="center"/>
            <w:hideMark/>
          </w:tcPr>
          <w:p w14:paraId="78947607" w14:textId="77777777" w:rsidR="000A6B82" w:rsidRDefault="000A6B82" w:rsidP="000A6B82">
            <w:pPr>
              <w:spacing w:line="256" w:lineRule="auto"/>
              <w:rPr>
                <w:i/>
                <w:iCs/>
                <w:color w:val="000000"/>
                <w:szCs w:val="24"/>
              </w:rPr>
            </w:pPr>
            <w:r>
              <w:rPr>
                <w:i/>
                <w:iCs/>
                <w:color w:val="000000"/>
                <w:szCs w:val="24"/>
              </w:rPr>
              <w:t>CommonHealth</w:t>
            </w:r>
          </w:p>
        </w:tc>
        <w:tc>
          <w:tcPr>
            <w:tcW w:w="1260" w:type="dxa"/>
            <w:tcBorders>
              <w:top w:val="nil"/>
              <w:left w:val="nil"/>
              <w:bottom w:val="single" w:sz="8" w:space="0" w:color="000000"/>
              <w:right w:val="single" w:sz="8" w:space="0" w:color="000000"/>
            </w:tcBorders>
            <w:shd w:val="clear" w:color="auto" w:fill="FFFFFF"/>
            <w:noWrap/>
            <w:vAlign w:val="center"/>
            <w:hideMark/>
          </w:tcPr>
          <w:p w14:paraId="7280DDEE" w14:textId="77777777" w:rsidR="000A6B82" w:rsidRDefault="000A6B82" w:rsidP="000A6B82">
            <w:pPr>
              <w:spacing w:line="256" w:lineRule="auto"/>
              <w:rPr>
                <w:color w:val="000000"/>
                <w:szCs w:val="24"/>
              </w:rPr>
            </w:pPr>
            <w:r>
              <w:rPr>
                <w:color w:val="000000"/>
                <w:szCs w:val="24"/>
              </w:rPr>
              <w:t>3,727</w:t>
            </w:r>
          </w:p>
        </w:tc>
        <w:tc>
          <w:tcPr>
            <w:tcW w:w="1800" w:type="dxa"/>
            <w:tcBorders>
              <w:top w:val="nil"/>
              <w:left w:val="nil"/>
              <w:bottom w:val="single" w:sz="8" w:space="0" w:color="000000"/>
              <w:right w:val="single" w:sz="8" w:space="0" w:color="000000"/>
            </w:tcBorders>
            <w:shd w:val="clear" w:color="auto" w:fill="FFFFFF"/>
            <w:noWrap/>
            <w:vAlign w:val="center"/>
            <w:hideMark/>
          </w:tcPr>
          <w:p w14:paraId="54CEE92C" w14:textId="77777777" w:rsidR="000A6B82" w:rsidRDefault="000A6B82" w:rsidP="000A6B82">
            <w:pPr>
              <w:spacing w:line="256" w:lineRule="auto"/>
              <w:rPr>
                <w:color w:val="000000"/>
                <w:szCs w:val="24"/>
              </w:rPr>
            </w:pPr>
            <w:r>
              <w:rPr>
                <w:color w:val="000000"/>
                <w:szCs w:val="24"/>
              </w:rPr>
              <w:t>0</w:t>
            </w:r>
          </w:p>
        </w:tc>
        <w:tc>
          <w:tcPr>
            <w:tcW w:w="2340" w:type="dxa"/>
            <w:tcBorders>
              <w:top w:val="nil"/>
              <w:left w:val="nil"/>
              <w:bottom w:val="single" w:sz="8" w:space="0" w:color="000000"/>
              <w:right w:val="single" w:sz="8" w:space="0" w:color="000000"/>
            </w:tcBorders>
            <w:shd w:val="clear" w:color="auto" w:fill="FFFFFF"/>
            <w:noWrap/>
            <w:vAlign w:val="center"/>
            <w:hideMark/>
          </w:tcPr>
          <w:p w14:paraId="20D4249D" w14:textId="77777777" w:rsidR="000A6B82" w:rsidRDefault="000A6B82" w:rsidP="000A6B82">
            <w:pPr>
              <w:spacing w:line="256" w:lineRule="auto"/>
              <w:rPr>
                <w:color w:val="000000"/>
                <w:szCs w:val="24"/>
              </w:rPr>
            </w:pPr>
            <w:r>
              <w:rPr>
                <w:color w:val="000000"/>
                <w:szCs w:val="24"/>
              </w:rPr>
              <w:t>3,727</w:t>
            </w:r>
          </w:p>
        </w:tc>
      </w:tr>
      <w:tr w:rsidR="000A6B82" w14:paraId="299DCF46" w14:textId="77777777" w:rsidTr="000A6B82">
        <w:trPr>
          <w:trHeight w:val="330"/>
        </w:trPr>
        <w:tc>
          <w:tcPr>
            <w:tcW w:w="3690" w:type="dxa"/>
            <w:tcBorders>
              <w:top w:val="nil"/>
              <w:left w:val="single" w:sz="8" w:space="0" w:color="000000"/>
              <w:bottom w:val="single" w:sz="8" w:space="0" w:color="000000"/>
              <w:right w:val="single" w:sz="8" w:space="0" w:color="000000"/>
            </w:tcBorders>
            <w:shd w:val="clear" w:color="auto" w:fill="FFFFFF"/>
            <w:noWrap/>
            <w:vAlign w:val="center"/>
            <w:hideMark/>
          </w:tcPr>
          <w:p w14:paraId="1A3D5B6D" w14:textId="77777777" w:rsidR="000A6B82" w:rsidRDefault="000A6B82" w:rsidP="000A6B82">
            <w:pPr>
              <w:spacing w:line="256" w:lineRule="auto"/>
              <w:rPr>
                <w:i/>
                <w:iCs/>
                <w:color w:val="000000"/>
                <w:szCs w:val="24"/>
              </w:rPr>
            </w:pPr>
            <w:r>
              <w:rPr>
                <w:i/>
                <w:iCs/>
                <w:color w:val="000000"/>
                <w:szCs w:val="24"/>
              </w:rPr>
              <w:t xml:space="preserve">Family Assistance </w:t>
            </w:r>
          </w:p>
        </w:tc>
        <w:tc>
          <w:tcPr>
            <w:tcW w:w="1260" w:type="dxa"/>
            <w:tcBorders>
              <w:top w:val="nil"/>
              <w:left w:val="nil"/>
              <w:bottom w:val="single" w:sz="8" w:space="0" w:color="000000"/>
              <w:right w:val="single" w:sz="8" w:space="0" w:color="000000"/>
            </w:tcBorders>
            <w:shd w:val="clear" w:color="auto" w:fill="FFFFFF"/>
            <w:noWrap/>
            <w:vAlign w:val="center"/>
            <w:hideMark/>
          </w:tcPr>
          <w:p w14:paraId="3EE92B08" w14:textId="77777777" w:rsidR="000A6B82" w:rsidRDefault="000A6B82" w:rsidP="000A6B82">
            <w:pPr>
              <w:spacing w:line="256" w:lineRule="auto"/>
              <w:rPr>
                <w:color w:val="000000"/>
                <w:szCs w:val="24"/>
              </w:rPr>
            </w:pPr>
            <w:r>
              <w:rPr>
                <w:color w:val="000000"/>
                <w:szCs w:val="24"/>
              </w:rPr>
              <w:t>17</w:t>
            </w:r>
          </w:p>
        </w:tc>
        <w:tc>
          <w:tcPr>
            <w:tcW w:w="1800" w:type="dxa"/>
            <w:tcBorders>
              <w:top w:val="nil"/>
              <w:left w:val="nil"/>
              <w:bottom w:val="single" w:sz="8" w:space="0" w:color="000000"/>
              <w:right w:val="single" w:sz="8" w:space="0" w:color="000000"/>
            </w:tcBorders>
            <w:shd w:val="clear" w:color="auto" w:fill="FFFFFF"/>
            <w:noWrap/>
            <w:vAlign w:val="center"/>
            <w:hideMark/>
          </w:tcPr>
          <w:p w14:paraId="1224A1DC" w14:textId="77777777" w:rsidR="000A6B82" w:rsidRDefault="000A6B82" w:rsidP="000A6B82">
            <w:pPr>
              <w:spacing w:line="256" w:lineRule="auto"/>
              <w:rPr>
                <w:color w:val="000000"/>
                <w:szCs w:val="24"/>
              </w:rPr>
            </w:pPr>
            <w:r>
              <w:rPr>
                <w:color w:val="000000"/>
                <w:szCs w:val="24"/>
              </w:rPr>
              <w:t>8,286</w:t>
            </w:r>
          </w:p>
        </w:tc>
        <w:tc>
          <w:tcPr>
            <w:tcW w:w="2340" w:type="dxa"/>
            <w:tcBorders>
              <w:top w:val="nil"/>
              <w:left w:val="nil"/>
              <w:bottom w:val="single" w:sz="8" w:space="0" w:color="000000"/>
              <w:right w:val="single" w:sz="8" w:space="0" w:color="000000"/>
            </w:tcBorders>
            <w:shd w:val="clear" w:color="auto" w:fill="FFFFFF"/>
            <w:noWrap/>
            <w:vAlign w:val="center"/>
            <w:hideMark/>
          </w:tcPr>
          <w:p w14:paraId="22622122" w14:textId="77777777" w:rsidR="000A6B82" w:rsidRDefault="000A6B82" w:rsidP="000A6B82">
            <w:pPr>
              <w:spacing w:line="256" w:lineRule="auto"/>
              <w:rPr>
                <w:color w:val="000000"/>
                <w:szCs w:val="24"/>
              </w:rPr>
            </w:pPr>
            <w:r>
              <w:rPr>
                <w:color w:val="000000"/>
                <w:szCs w:val="24"/>
              </w:rPr>
              <w:t>8,303</w:t>
            </w:r>
          </w:p>
        </w:tc>
      </w:tr>
      <w:tr w:rsidR="000A6B82" w14:paraId="6A5D0B4C" w14:textId="77777777" w:rsidTr="000A6B82">
        <w:trPr>
          <w:trHeight w:val="330"/>
        </w:trPr>
        <w:tc>
          <w:tcPr>
            <w:tcW w:w="3690" w:type="dxa"/>
            <w:tcBorders>
              <w:top w:val="nil"/>
              <w:left w:val="single" w:sz="8" w:space="0" w:color="000000"/>
              <w:bottom w:val="single" w:sz="8" w:space="0" w:color="000000"/>
              <w:right w:val="single" w:sz="8" w:space="0" w:color="000000"/>
            </w:tcBorders>
            <w:shd w:val="clear" w:color="auto" w:fill="FFFFFF"/>
            <w:noWrap/>
            <w:vAlign w:val="center"/>
            <w:hideMark/>
          </w:tcPr>
          <w:p w14:paraId="26257391" w14:textId="77777777" w:rsidR="000A6B82" w:rsidRDefault="000A6B82" w:rsidP="000A6B82">
            <w:pPr>
              <w:spacing w:line="256" w:lineRule="auto"/>
              <w:rPr>
                <w:i/>
                <w:iCs/>
                <w:color w:val="000000"/>
                <w:szCs w:val="24"/>
              </w:rPr>
            </w:pPr>
            <w:r>
              <w:rPr>
                <w:i/>
                <w:iCs/>
                <w:color w:val="000000"/>
                <w:szCs w:val="24"/>
              </w:rPr>
              <w:t>CarePlus</w:t>
            </w:r>
          </w:p>
        </w:tc>
        <w:tc>
          <w:tcPr>
            <w:tcW w:w="1260" w:type="dxa"/>
            <w:tcBorders>
              <w:top w:val="nil"/>
              <w:left w:val="nil"/>
              <w:bottom w:val="single" w:sz="8" w:space="0" w:color="000000"/>
              <w:right w:val="single" w:sz="8" w:space="0" w:color="000000"/>
            </w:tcBorders>
            <w:shd w:val="clear" w:color="auto" w:fill="FFFFFF"/>
            <w:noWrap/>
            <w:vAlign w:val="center"/>
            <w:hideMark/>
          </w:tcPr>
          <w:p w14:paraId="05CF51EE" w14:textId="77777777" w:rsidR="000A6B82" w:rsidRDefault="000A6B82" w:rsidP="000A6B82">
            <w:pPr>
              <w:spacing w:line="256" w:lineRule="auto"/>
              <w:rPr>
                <w:color w:val="000000"/>
                <w:szCs w:val="24"/>
              </w:rPr>
            </w:pPr>
            <w:r>
              <w:rPr>
                <w:color w:val="000000"/>
                <w:szCs w:val="24"/>
              </w:rPr>
              <w:t>0</w:t>
            </w:r>
          </w:p>
        </w:tc>
        <w:tc>
          <w:tcPr>
            <w:tcW w:w="1800" w:type="dxa"/>
            <w:tcBorders>
              <w:top w:val="nil"/>
              <w:left w:val="nil"/>
              <w:bottom w:val="single" w:sz="8" w:space="0" w:color="000000"/>
              <w:right w:val="single" w:sz="8" w:space="0" w:color="000000"/>
            </w:tcBorders>
            <w:shd w:val="clear" w:color="auto" w:fill="FFFFFF"/>
            <w:noWrap/>
            <w:vAlign w:val="center"/>
            <w:hideMark/>
          </w:tcPr>
          <w:p w14:paraId="7D86B92D" w14:textId="77777777" w:rsidR="000A6B82" w:rsidRDefault="000A6B82" w:rsidP="000A6B82">
            <w:pPr>
              <w:spacing w:line="256" w:lineRule="auto"/>
              <w:rPr>
                <w:color w:val="000000"/>
                <w:szCs w:val="24"/>
              </w:rPr>
            </w:pPr>
            <w:r>
              <w:rPr>
                <w:color w:val="000000"/>
                <w:szCs w:val="24"/>
              </w:rPr>
              <w:t>580</w:t>
            </w:r>
          </w:p>
        </w:tc>
        <w:tc>
          <w:tcPr>
            <w:tcW w:w="2340" w:type="dxa"/>
            <w:tcBorders>
              <w:top w:val="nil"/>
              <w:left w:val="nil"/>
              <w:bottom w:val="single" w:sz="8" w:space="0" w:color="000000"/>
              <w:right w:val="single" w:sz="8" w:space="0" w:color="000000"/>
            </w:tcBorders>
            <w:shd w:val="clear" w:color="auto" w:fill="FFFFFF"/>
            <w:noWrap/>
            <w:vAlign w:val="center"/>
            <w:hideMark/>
          </w:tcPr>
          <w:p w14:paraId="347AE983" w14:textId="77777777" w:rsidR="000A6B82" w:rsidRDefault="000A6B82" w:rsidP="000A6B82">
            <w:pPr>
              <w:spacing w:line="256" w:lineRule="auto"/>
              <w:rPr>
                <w:color w:val="000000"/>
                <w:szCs w:val="24"/>
              </w:rPr>
            </w:pPr>
            <w:r>
              <w:rPr>
                <w:color w:val="000000"/>
                <w:szCs w:val="24"/>
              </w:rPr>
              <w:t>580</w:t>
            </w:r>
          </w:p>
        </w:tc>
      </w:tr>
      <w:tr w:rsidR="000A6B82" w14:paraId="7187CF0A" w14:textId="77777777" w:rsidTr="000A6B82">
        <w:trPr>
          <w:trHeight w:val="330"/>
        </w:trPr>
        <w:tc>
          <w:tcPr>
            <w:tcW w:w="3690" w:type="dxa"/>
            <w:tcBorders>
              <w:top w:val="nil"/>
              <w:left w:val="single" w:sz="8" w:space="0" w:color="000000"/>
              <w:bottom w:val="single" w:sz="8" w:space="0" w:color="000000"/>
              <w:right w:val="single" w:sz="8" w:space="0" w:color="000000"/>
            </w:tcBorders>
            <w:shd w:val="clear" w:color="auto" w:fill="FFFFFF"/>
            <w:noWrap/>
            <w:vAlign w:val="center"/>
            <w:hideMark/>
          </w:tcPr>
          <w:p w14:paraId="0E87521B" w14:textId="77777777" w:rsidR="000A6B82" w:rsidRDefault="000A6B82" w:rsidP="000A6B82">
            <w:pPr>
              <w:spacing w:line="256" w:lineRule="auto"/>
              <w:rPr>
                <w:i/>
                <w:iCs/>
                <w:color w:val="000000"/>
                <w:szCs w:val="24"/>
              </w:rPr>
            </w:pPr>
            <w:r>
              <w:rPr>
                <w:i/>
                <w:iCs/>
                <w:color w:val="000000"/>
                <w:szCs w:val="24"/>
              </w:rPr>
              <w:t>Small Business Employee Premium Assistance (SBEPA)</w:t>
            </w:r>
          </w:p>
        </w:tc>
        <w:tc>
          <w:tcPr>
            <w:tcW w:w="1260" w:type="dxa"/>
            <w:tcBorders>
              <w:top w:val="nil"/>
              <w:left w:val="nil"/>
              <w:bottom w:val="single" w:sz="8" w:space="0" w:color="000000"/>
              <w:right w:val="single" w:sz="8" w:space="0" w:color="000000"/>
            </w:tcBorders>
            <w:shd w:val="clear" w:color="auto" w:fill="FFFFFF"/>
            <w:noWrap/>
            <w:vAlign w:val="center"/>
            <w:hideMark/>
          </w:tcPr>
          <w:p w14:paraId="78659412" w14:textId="77777777" w:rsidR="000A6B82" w:rsidRDefault="000A6B82" w:rsidP="000A6B82">
            <w:pPr>
              <w:spacing w:line="256" w:lineRule="auto"/>
              <w:rPr>
                <w:color w:val="000000"/>
                <w:szCs w:val="24"/>
              </w:rPr>
            </w:pPr>
            <w:r>
              <w:rPr>
                <w:color w:val="000000"/>
                <w:szCs w:val="24"/>
              </w:rPr>
              <w:t>0</w:t>
            </w:r>
          </w:p>
        </w:tc>
        <w:tc>
          <w:tcPr>
            <w:tcW w:w="1800" w:type="dxa"/>
            <w:tcBorders>
              <w:top w:val="nil"/>
              <w:left w:val="nil"/>
              <w:bottom w:val="single" w:sz="8" w:space="0" w:color="000000"/>
              <w:right w:val="single" w:sz="8" w:space="0" w:color="000000"/>
            </w:tcBorders>
            <w:shd w:val="clear" w:color="auto" w:fill="FFFFFF"/>
            <w:noWrap/>
            <w:vAlign w:val="center"/>
            <w:hideMark/>
          </w:tcPr>
          <w:p w14:paraId="6BEE7491" w14:textId="77777777" w:rsidR="000A6B82" w:rsidRDefault="000A6B82" w:rsidP="000A6B82">
            <w:pPr>
              <w:spacing w:line="256" w:lineRule="auto"/>
              <w:rPr>
                <w:color w:val="000000"/>
                <w:szCs w:val="24"/>
              </w:rPr>
            </w:pPr>
            <w:r>
              <w:rPr>
                <w:color w:val="000000"/>
                <w:szCs w:val="24"/>
              </w:rPr>
              <w:t>0</w:t>
            </w:r>
          </w:p>
        </w:tc>
        <w:tc>
          <w:tcPr>
            <w:tcW w:w="2340" w:type="dxa"/>
            <w:tcBorders>
              <w:top w:val="nil"/>
              <w:left w:val="nil"/>
              <w:bottom w:val="single" w:sz="8" w:space="0" w:color="000000"/>
              <w:right w:val="single" w:sz="8" w:space="0" w:color="000000"/>
            </w:tcBorders>
            <w:shd w:val="clear" w:color="auto" w:fill="FFFFFF"/>
            <w:noWrap/>
            <w:vAlign w:val="center"/>
            <w:hideMark/>
          </w:tcPr>
          <w:p w14:paraId="35FACC99" w14:textId="77777777" w:rsidR="000A6B82" w:rsidRDefault="000A6B82" w:rsidP="000A6B82">
            <w:pPr>
              <w:spacing w:line="256" w:lineRule="auto"/>
              <w:rPr>
                <w:color w:val="000000"/>
                <w:szCs w:val="24"/>
              </w:rPr>
            </w:pPr>
            <w:r>
              <w:rPr>
                <w:color w:val="000000"/>
                <w:szCs w:val="24"/>
              </w:rPr>
              <w:t>0</w:t>
            </w:r>
          </w:p>
        </w:tc>
      </w:tr>
      <w:tr w:rsidR="000A6B82" w14:paraId="5FFBB202" w14:textId="77777777" w:rsidTr="000A6B82">
        <w:trPr>
          <w:trHeight w:val="330"/>
        </w:trPr>
        <w:tc>
          <w:tcPr>
            <w:tcW w:w="3690" w:type="dxa"/>
            <w:tcBorders>
              <w:top w:val="nil"/>
              <w:left w:val="single" w:sz="8" w:space="0" w:color="000000"/>
              <w:bottom w:val="single" w:sz="8" w:space="0" w:color="000000"/>
              <w:right w:val="single" w:sz="8" w:space="0" w:color="000000"/>
            </w:tcBorders>
            <w:shd w:val="clear" w:color="auto" w:fill="FFFF99"/>
            <w:noWrap/>
            <w:vAlign w:val="center"/>
            <w:hideMark/>
          </w:tcPr>
          <w:p w14:paraId="021E9B16" w14:textId="77777777" w:rsidR="000A6B82" w:rsidRDefault="000A6B82" w:rsidP="000A6B82">
            <w:pPr>
              <w:spacing w:line="256" w:lineRule="auto"/>
              <w:rPr>
                <w:b/>
                <w:bCs/>
                <w:color w:val="000000"/>
                <w:szCs w:val="24"/>
              </w:rPr>
            </w:pPr>
            <w:r>
              <w:rPr>
                <w:b/>
                <w:bCs/>
                <w:color w:val="000000"/>
                <w:szCs w:val="24"/>
              </w:rPr>
              <w:t>Total Average Q1-4</w:t>
            </w:r>
          </w:p>
        </w:tc>
        <w:tc>
          <w:tcPr>
            <w:tcW w:w="1260" w:type="dxa"/>
            <w:tcBorders>
              <w:top w:val="nil"/>
              <w:left w:val="nil"/>
              <w:bottom w:val="single" w:sz="8" w:space="0" w:color="000000"/>
              <w:right w:val="single" w:sz="8" w:space="0" w:color="000000"/>
            </w:tcBorders>
            <w:shd w:val="clear" w:color="auto" w:fill="FFFF99"/>
            <w:noWrap/>
            <w:vAlign w:val="center"/>
            <w:hideMark/>
          </w:tcPr>
          <w:p w14:paraId="6B30568F" w14:textId="77777777" w:rsidR="000A6B82" w:rsidRDefault="000A6B82" w:rsidP="000A6B82">
            <w:pPr>
              <w:spacing w:line="256" w:lineRule="auto"/>
              <w:rPr>
                <w:b/>
                <w:bCs/>
                <w:color w:val="000000"/>
                <w:szCs w:val="24"/>
              </w:rPr>
            </w:pPr>
            <w:r>
              <w:rPr>
                <w:b/>
                <w:bCs/>
                <w:color w:val="000000"/>
                <w:szCs w:val="24"/>
              </w:rPr>
              <w:t>5,540</w:t>
            </w:r>
          </w:p>
        </w:tc>
        <w:tc>
          <w:tcPr>
            <w:tcW w:w="1800" w:type="dxa"/>
            <w:tcBorders>
              <w:top w:val="nil"/>
              <w:left w:val="nil"/>
              <w:bottom w:val="single" w:sz="8" w:space="0" w:color="000000"/>
              <w:right w:val="single" w:sz="8" w:space="0" w:color="000000"/>
            </w:tcBorders>
            <w:shd w:val="clear" w:color="auto" w:fill="FFFF99"/>
            <w:noWrap/>
            <w:vAlign w:val="center"/>
            <w:hideMark/>
          </w:tcPr>
          <w:p w14:paraId="3875954D" w14:textId="77777777" w:rsidR="000A6B82" w:rsidRDefault="000A6B82" w:rsidP="000A6B82">
            <w:pPr>
              <w:spacing w:line="256" w:lineRule="auto"/>
              <w:rPr>
                <w:b/>
                <w:bCs/>
                <w:color w:val="000000"/>
                <w:szCs w:val="24"/>
              </w:rPr>
            </w:pPr>
            <w:r>
              <w:rPr>
                <w:b/>
                <w:bCs/>
                <w:color w:val="000000"/>
                <w:szCs w:val="24"/>
              </w:rPr>
              <w:t>19,756</w:t>
            </w:r>
          </w:p>
        </w:tc>
        <w:tc>
          <w:tcPr>
            <w:tcW w:w="2340" w:type="dxa"/>
            <w:tcBorders>
              <w:top w:val="nil"/>
              <w:left w:val="nil"/>
              <w:bottom w:val="single" w:sz="8" w:space="0" w:color="000000"/>
              <w:right w:val="single" w:sz="8" w:space="0" w:color="000000"/>
            </w:tcBorders>
            <w:shd w:val="clear" w:color="auto" w:fill="FFFF99"/>
            <w:noWrap/>
            <w:vAlign w:val="center"/>
            <w:hideMark/>
          </w:tcPr>
          <w:p w14:paraId="11ED845E" w14:textId="77777777" w:rsidR="000A6B82" w:rsidRDefault="000A6B82" w:rsidP="000A6B82">
            <w:pPr>
              <w:spacing w:line="256" w:lineRule="auto"/>
              <w:rPr>
                <w:b/>
                <w:bCs/>
                <w:color w:val="000000"/>
                <w:szCs w:val="24"/>
              </w:rPr>
            </w:pPr>
            <w:r>
              <w:rPr>
                <w:b/>
                <w:bCs/>
                <w:color w:val="000000"/>
                <w:szCs w:val="24"/>
              </w:rPr>
              <w:t>25,296</w:t>
            </w:r>
          </w:p>
        </w:tc>
      </w:tr>
    </w:tbl>
    <w:p w14:paraId="0E6ECAAC" w14:textId="0FE8269A" w:rsidR="00D57C57" w:rsidRPr="00D57C57" w:rsidRDefault="00D57C57" w:rsidP="00D57C57">
      <w:pPr>
        <w:rPr>
          <w:rFonts w:ascii="Calibri" w:eastAsia="Calibri" w:hAnsi="Calibri" w:cs="Times New Roman"/>
        </w:rPr>
      </w:pPr>
    </w:p>
    <w:p w14:paraId="0F0D3599" w14:textId="0844DD95" w:rsidR="00893916" w:rsidRPr="00AE7E02" w:rsidRDefault="00893916" w:rsidP="002C262C">
      <w:pPr>
        <w:pStyle w:val="Heading2"/>
      </w:pPr>
      <w:r w:rsidRPr="00AE7E02">
        <w:t>Outreach/Innovative Activities</w:t>
      </w:r>
      <w:r>
        <w:t xml:space="preserve"> </w:t>
      </w:r>
    </w:p>
    <w:p w14:paraId="08CDF565" w14:textId="77777777" w:rsidR="00893916" w:rsidRPr="001F6BB2" w:rsidRDefault="00893916" w:rsidP="002C262C">
      <w:pPr>
        <w:pStyle w:val="Heading3"/>
      </w:pPr>
      <w:r w:rsidRPr="001F6BB2">
        <w:t>Certified Application Counselor Training and Communication</w:t>
      </w:r>
    </w:p>
    <w:p w14:paraId="604BC9C1" w14:textId="77777777" w:rsidR="00893916" w:rsidRPr="00AE7E02" w:rsidRDefault="00893916" w:rsidP="00893916">
      <w:pPr>
        <w:spacing w:before="100" w:beforeAutospacing="1" w:after="100" w:afterAutospacing="1"/>
        <w:rPr>
          <w:rFonts w:eastAsia="Times New Roman" w:cs="Times New Roman"/>
          <w:szCs w:val="24"/>
        </w:rPr>
      </w:pPr>
      <w:r w:rsidRPr="00AE7E02">
        <w:rPr>
          <w:rFonts w:eastAsia="Times New Roman" w:cs="Times New Roman"/>
          <w:szCs w:val="24"/>
        </w:rPr>
        <w:t xml:space="preserve">MassHealth continues its extensive training and communication efforts to continually educate and inform the </w:t>
      </w:r>
      <w:r w:rsidRPr="00FF710F">
        <w:rPr>
          <w:rFonts w:eastAsia="Times New Roman" w:cs="Times New Roman"/>
          <w:szCs w:val="24"/>
        </w:rPr>
        <w:t xml:space="preserve">over 1,317 Certified Application Counselors (CACs) across 269 CAC hospitals, community health centers, and community service organizations. </w:t>
      </w:r>
      <w:r>
        <w:rPr>
          <w:rFonts w:eastAsia="Times New Roman" w:cs="Times New Roman"/>
          <w:szCs w:val="24"/>
        </w:rPr>
        <w:t xml:space="preserve"> </w:t>
      </w:r>
      <w:r w:rsidRPr="00AE7E02">
        <w:rPr>
          <w:rFonts w:eastAsia="Times New Roman" w:cs="Times New Roman"/>
          <w:szCs w:val="24"/>
        </w:rPr>
        <w:t xml:space="preserve">Collaboration with the </w:t>
      </w:r>
      <w:r w:rsidRPr="00AE7E02">
        <w:rPr>
          <w:rFonts w:eastAsia="Times New Roman" w:cs="Times New Roman"/>
          <w:szCs w:val="24"/>
        </w:rPr>
        <w:lastRenderedPageBreak/>
        <w:t xml:space="preserve">Massachusetts Health Connector on these activities provides timely, uniform knowledge and messaging across all enrollment Assisters (CACs and the Health Connector Navigators, Independent Enrollment Assisters).  </w:t>
      </w:r>
    </w:p>
    <w:p w14:paraId="5687D571" w14:textId="77777777" w:rsidR="00893916" w:rsidRPr="00AE7E02" w:rsidRDefault="00893916" w:rsidP="00893916">
      <w:pPr>
        <w:spacing w:before="100" w:beforeAutospacing="1" w:after="100" w:afterAutospacing="1"/>
        <w:rPr>
          <w:rFonts w:eastAsia="Times New Roman" w:cs="Times New Roman"/>
          <w:szCs w:val="24"/>
        </w:rPr>
      </w:pPr>
      <w:r w:rsidRPr="00AE7E02">
        <w:rPr>
          <w:rFonts w:eastAsia="Times New Roman" w:cs="Times New Roman"/>
          <w:szCs w:val="24"/>
        </w:rPr>
        <w:t xml:space="preserve">This quarter, CAC outreach and educational activities focused on ensuring </w:t>
      </w:r>
      <w:r w:rsidRPr="00FF710F">
        <w:rPr>
          <w:rFonts w:eastAsia="Times New Roman" w:cs="Times New Roman"/>
          <w:szCs w:val="24"/>
        </w:rPr>
        <w:t xml:space="preserve">our 1,317 CACs </w:t>
      </w:r>
      <w:r w:rsidRPr="00AE7E02">
        <w:rPr>
          <w:rFonts w:eastAsia="Times New Roman" w:cs="Times New Roman"/>
          <w:szCs w:val="24"/>
        </w:rPr>
        <w:t xml:space="preserve">continued to be well informed about new and ongoing activities across both MassHealth and the Health Connector. </w:t>
      </w:r>
      <w:r>
        <w:rPr>
          <w:rFonts w:eastAsia="Times New Roman" w:cs="Times New Roman"/>
          <w:szCs w:val="24"/>
        </w:rPr>
        <w:t xml:space="preserve"> </w:t>
      </w:r>
      <w:r w:rsidRPr="00AE7E02">
        <w:rPr>
          <w:rFonts w:eastAsia="Times New Roman" w:cs="Times New Roman"/>
          <w:szCs w:val="24"/>
        </w:rPr>
        <w:t>This was accomplished through “</w:t>
      </w:r>
      <w:r w:rsidRPr="000A6B82">
        <w:rPr>
          <w:rFonts w:eastAsia="Times New Roman" w:cs="Times New Roman"/>
          <w:i/>
          <w:iCs/>
          <w:szCs w:val="24"/>
        </w:rPr>
        <w:t>Assister Update</w:t>
      </w:r>
      <w:r w:rsidRPr="00AE7E02">
        <w:rPr>
          <w:rFonts w:eastAsia="Times New Roman" w:cs="Times New Roman"/>
          <w:szCs w:val="24"/>
        </w:rPr>
        <w:t xml:space="preserve">” emails, </w:t>
      </w:r>
      <w:r>
        <w:rPr>
          <w:rFonts w:eastAsia="Times New Roman" w:cs="Times New Roman"/>
          <w:szCs w:val="24"/>
        </w:rPr>
        <w:t>five</w:t>
      </w:r>
      <w:r w:rsidRPr="00AE7E02">
        <w:rPr>
          <w:rFonts w:eastAsia="Times New Roman" w:cs="Times New Roman"/>
          <w:szCs w:val="24"/>
        </w:rPr>
        <w:t xml:space="preserve"> </w:t>
      </w:r>
      <w:r>
        <w:rPr>
          <w:rFonts w:eastAsia="Times New Roman" w:cs="Times New Roman"/>
          <w:szCs w:val="24"/>
        </w:rPr>
        <w:t>A</w:t>
      </w:r>
      <w:r w:rsidRPr="00AE7E02">
        <w:rPr>
          <w:rFonts w:eastAsia="Times New Roman" w:cs="Times New Roman"/>
          <w:szCs w:val="24"/>
        </w:rPr>
        <w:t>ssister conference calls and webinars, and statewide educational Massachusetts Health Care Training Forum (MTF) sessions, held virtually due to the COVID-19 public health emergency.</w:t>
      </w:r>
    </w:p>
    <w:p w14:paraId="34143235" w14:textId="77777777" w:rsidR="00893916" w:rsidRPr="00AE7E02" w:rsidRDefault="00893916" w:rsidP="00893916">
      <w:pPr>
        <w:spacing w:before="100" w:beforeAutospacing="1" w:after="100" w:afterAutospacing="1"/>
        <w:rPr>
          <w:rFonts w:eastAsia="Times New Roman" w:cs="Times New Roman"/>
          <w:szCs w:val="24"/>
        </w:rPr>
      </w:pPr>
      <w:r>
        <w:rPr>
          <w:rFonts w:eastAsia="Times New Roman" w:cs="Times New Roman"/>
          <w:szCs w:val="24"/>
        </w:rPr>
        <w:t>A</w:t>
      </w:r>
      <w:r w:rsidRPr="00AE7E02">
        <w:rPr>
          <w:rFonts w:eastAsia="Times New Roman" w:cs="Times New Roman"/>
          <w:szCs w:val="24"/>
        </w:rPr>
        <w:t xml:space="preserve">ssister conference calls </w:t>
      </w:r>
      <w:r>
        <w:rPr>
          <w:rFonts w:eastAsia="Times New Roman" w:cs="Times New Roman"/>
          <w:szCs w:val="24"/>
        </w:rPr>
        <w:t xml:space="preserve">and webinars </w:t>
      </w:r>
      <w:r w:rsidRPr="00AE7E02">
        <w:rPr>
          <w:rFonts w:eastAsia="Times New Roman" w:cs="Times New Roman"/>
          <w:szCs w:val="24"/>
        </w:rPr>
        <w:t>covered topics such as updates to MassHealth Health Plans, online enrollment, MassHealth’s response to COVID-19, and Health Safety Net updates.</w:t>
      </w:r>
    </w:p>
    <w:p w14:paraId="05D6F326" w14:textId="77777777" w:rsidR="00893916" w:rsidRPr="00AE7E02" w:rsidRDefault="00893916" w:rsidP="00893916">
      <w:pPr>
        <w:spacing w:before="100" w:beforeAutospacing="1" w:after="100" w:afterAutospacing="1"/>
        <w:rPr>
          <w:rFonts w:eastAsia="Times New Roman" w:cs="Times New Roman"/>
          <w:szCs w:val="24"/>
        </w:rPr>
      </w:pPr>
      <w:r w:rsidRPr="00AE7E02">
        <w:rPr>
          <w:rFonts w:eastAsia="Times New Roman" w:cs="Times New Roman"/>
          <w:i/>
          <w:szCs w:val="24"/>
        </w:rPr>
        <w:t>Assister Update</w:t>
      </w:r>
      <w:r w:rsidRPr="00AE7E02">
        <w:rPr>
          <w:rFonts w:eastAsia="Times New Roman" w:cs="Times New Roman"/>
          <w:szCs w:val="24"/>
        </w:rPr>
        <w:t xml:space="preserve"> emails </w:t>
      </w:r>
      <w:r>
        <w:rPr>
          <w:rFonts w:eastAsia="Times New Roman" w:cs="Times New Roman"/>
          <w:szCs w:val="24"/>
        </w:rPr>
        <w:t xml:space="preserve">and webinars </w:t>
      </w:r>
      <w:r w:rsidRPr="00AE7E02">
        <w:rPr>
          <w:rFonts w:eastAsia="Times New Roman" w:cs="Times New Roman"/>
          <w:szCs w:val="24"/>
        </w:rPr>
        <w:t>kept CACs informed about key topics and updates to online courses and resources this quarter, including:</w:t>
      </w:r>
    </w:p>
    <w:p w14:paraId="223AAEC1" w14:textId="77777777" w:rsidR="00893916" w:rsidRPr="001A3AF3" w:rsidRDefault="00893916" w:rsidP="00893916">
      <w:pPr>
        <w:numPr>
          <w:ilvl w:val="0"/>
          <w:numId w:val="20"/>
        </w:numPr>
        <w:spacing w:before="100" w:beforeAutospacing="1" w:after="100" w:afterAutospacing="1" w:line="240" w:lineRule="auto"/>
        <w:rPr>
          <w:rFonts w:eastAsia="Times New Roman" w:cs="Times New Roman"/>
          <w:color w:val="000000"/>
          <w:szCs w:val="24"/>
        </w:rPr>
      </w:pPr>
      <w:r w:rsidRPr="001A3AF3">
        <w:rPr>
          <w:rFonts w:eastAsia="Times New Roman" w:cs="Times New Roman"/>
          <w:color w:val="000000"/>
          <w:szCs w:val="24"/>
        </w:rPr>
        <w:t>Reminder:  Join tomorrow’s webinar to learn more about the American Rescue Plan</w:t>
      </w:r>
      <w:r>
        <w:rPr>
          <w:rFonts w:eastAsia="Times New Roman" w:cs="Times New Roman"/>
          <w:color w:val="000000"/>
          <w:szCs w:val="24"/>
        </w:rPr>
        <w:t xml:space="preserve"> (ARP)</w:t>
      </w:r>
    </w:p>
    <w:p w14:paraId="404EF390" w14:textId="77777777" w:rsidR="00893916" w:rsidRPr="001A3AF3" w:rsidRDefault="00893916" w:rsidP="00893916">
      <w:pPr>
        <w:numPr>
          <w:ilvl w:val="0"/>
          <w:numId w:val="20"/>
        </w:numPr>
        <w:spacing w:before="100" w:beforeAutospacing="1" w:after="100" w:afterAutospacing="1" w:line="240" w:lineRule="auto"/>
        <w:rPr>
          <w:rFonts w:eastAsia="Times New Roman" w:cs="Times New Roman"/>
          <w:color w:val="000000"/>
          <w:szCs w:val="24"/>
        </w:rPr>
      </w:pPr>
      <w:r w:rsidRPr="001A3AF3">
        <w:rPr>
          <w:rFonts w:eastAsia="Times New Roman" w:cs="Times New Roman"/>
          <w:color w:val="000000"/>
          <w:szCs w:val="24"/>
        </w:rPr>
        <w:t xml:space="preserve">Health Connector Member and Guest Payment Portals Unavailable Today </w:t>
      </w:r>
    </w:p>
    <w:p w14:paraId="2FE29FCC" w14:textId="77777777" w:rsidR="00893916" w:rsidRPr="001A3AF3" w:rsidRDefault="00893916" w:rsidP="00893916">
      <w:pPr>
        <w:numPr>
          <w:ilvl w:val="0"/>
          <w:numId w:val="20"/>
        </w:numPr>
        <w:spacing w:before="100" w:beforeAutospacing="1" w:after="100" w:afterAutospacing="1" w:line="240" w:lineRule="auto"/>
        <w:rPr>
          <w:rFonts w:eastAsia="Times New Roman" w:cs="Times New Roman"/>
          <w:color w:val="000000"/>
          <w:szCs w:val="24"/>
        </w:rPr>
      </w:pPr>
      <w:r w:rsidRPr="001A3AF3">
        <w:rPr>
          <w:rFonts w:eastAsia="Times New Roman" w:cs="Times New Roman"/>
          <w:color w:val="000000"/>
          <w:szCs w:val="24"/>
        </w:rPr>
        <w:t xml:space="preserve">Important Update: ACA-3 and SACA-2 Application </w:t>
      </w:r>
    </w:p>
    <w:p w14:paraId="24192FB3" w14:textId="77777777" w:rsidR="00893916" w:rsidRPr="001A3AF3" w:rsidRDefault="00893916" w:rsidP="00893916">
      <w:pPr>
        <w:numPr>
          <w:ilvl w:val="0"/>
          <w:numId w:val="20"/>
        </w:numPr>
        <w:spacing w:before="100" w:beforeAutospacing="1" w:after="100" w:afterAutospacing="1" w:line="240" w:lineRule="auto"/>
        <w:rPr>
          <w:rFonts w:eastAsia="Times New Roman" w:cs="Times New Roman"/>
          <w:color w:val="000000"/>
          <w:szCs w:val="24"/>
        </w:rPr>
      </w:pPr>
      <w:r w:rsidRPr="001A3AF3">
        <w:rPr>
          <w:rFonts w:eastAsia="Times New Roman" w:cs="Times New Roman"/>
          <w:color w:val="000000"/>
          <w:szCs w:val="24"/>
        </w:rPr>
        <w:t xml:space="preserve">More details on Savings through the American Rescue Plan + Save the Date for New Health Connector Webinar </w:t>
      </w:r>
    </w:p>
    <w:p w14:paraId="7547B0A7" w14:textId="77777777" w:rsidR="00893916" w:rsidRPr="001A3AF3" w:rsidRDefault="00893916" w:rsidP="00893916">
      <w:pPr>
        <w:numPr>
          <w:ilvl w:val="0"/>
          <w:numId w:val="20"/>
        </w:numPr>
        <w:spacing w:before="100" w:beforeAutospacing="1" w:after="100" w:afterAutospacing="1" w:line="240" w:lineRule="auto"/>
        <w:rPr>
          <w:rFonts w:eastAsia="Times New Roman" w:cs="Times New Roman"/>
          <w:color w:val="000000"/>
          <w:szCs w:val="24"/>
        </w:rPr>
      </w:pPr>
      <w:r w:rsidRPr="001A3AF3">
        <w:rPr>
          <w:rFonts w:eastAsia="Times New Roman" w:cs="Times New Roman"/>
          <w:color w:val="000000"/>
          <w:szCs w:val="24"/>
        </w:rPr>
        <w:t xml:space="preserve">Changes to MassHealth’s Cost Sharing Policy </w:t>
      </w:r>
    </w:p>
    <w:p w14:paraId="5A50F392" w14:textId="77777777" w:rsidR="00893916" w:rsidRPr="001A3AF3" w:rsidRDefault="00893916" w:rsidP="00893916">
      <w:pPr>
        <w:numPr>
          <w:ilvl w:val="0"/>
          <w:numId w:val="20"/>
        </w:numPr>
        <w:spacing w:before="100" w:beforeAutospacing="1" w:after="100" w:afterAutospacing="1" w:line="240" w:lineRule="auto"/>
        <w:rPr>
          <w:rFonts w:eastAsia="Times New Roman" w:cs="Times New Roman"/>
          <w:color w:val="000000"/>
          <w:szCs w:val="24"/>
        </w:rPr>
      </w:pPr>
      <w:r w:rsidRPr="001A3AF3">
        <w:rPr>
          <w:rFonts w:eastAsia="Times New Roman" w:cs="Times New Roman"/>
          <w:color w:val="000000"/>
          <w:szCs w:val="24"/>
        </w:rPr>
        <w:t>System Update: ARP Subsidies for H</w:t>
      </w:r>
      <w:r>
        <w:rPr>
          <w:rFonts w:eastAsia="Times New Roman" w:cs="Times New Roman"/>
          <w:color w:val="000000"/>
          <w:szCs w:val="24"/>
        </w:rPr>
        <w:t xml:space="preserve">ealth </w:t>
      </w:r>
      <w:r w:rsidRPr="001A3AF3">
        <w:rPr>
          <w:rFonts w:eastAsia="Times New Roman" w:cs="Times New Roman"/>
          <w:color w:val="000000"/>
          <w:szCs w:val="24"/>
        </w:rPr>
        <w:t>C</w:t>
      </w:r>
      <w:r>
        <w:rPr>
          <w:rFonts w:eastAsia="Times New Roman" w:cs="Times New Roman"/>
          <w:color w:val="000000"/>
          <w:szCs w:val="24"/>
        </w:rPr>
        <w:t>onnector</w:t>
      </w:r>
      <w:r w:rsidRPr="001A3AF3">
        <w:rPr>
          <w:rFonts w:eastAsia="Times New Roman" w:cs="Times New Roman"/>
          <w:color w:val="000000"/>
          <w:szCs w:val="24"/>
        </w:rPr>
        <w:t xml:space="preserve"> members with income above 400% FPL now available </w:t>
      </w:r>
    </w:p>
    <w:p w14:paraId="6E9D2072" w14:textId="77777777" w:rsidR="00893916" w:rsidRPr="001A3AF3" w:rsidRDefault="00893916" w:rsidP="00893916">
      <w:pPr>
        <w:numPr>
          <w:ilvl w:val="0"/>
          <w:numId w:val="20"/>
        </w:numPr>
        <w:spacing w:before="100" w:beforeAutospacing="1" w:after="100" w:afterAutospacing="1" w:line="240" w:lineRule="auto"/>
        <w:rPr>
          <w:rFonts w:eastAsia="Times New Roman" w:cs="Times New Roman"/>
          <w:color w:val="000000"/>
          <w:szCs w:val="24"/>
        </w:rPr>
      </w:pPr>
      <w:r w:rsidRPr="001A3AF3">
        <w:rPr>
          <w:rFonts w:eastAsia="Times New Roman" w:cs="Times New Roman"/>
          <w:color w:val="000000"/>
          <w:szCs w:val="24"/>
        </w:rPr>
        <w:t xml:space="preserve">Join </w:t>
      </w:r>
      <w:r>
        <w:rPr>
          <w:rFonts w:eastAsia="Times New Roman" w:cs="Times New Roman"/>
          <w:color w:val="000000"/>
          <w:szCs w:val="24"/>
        </w:rPr>
        <w:t>or</w:t>
      </w:r>
      <w:r w:rsidRPr="001A3AF3">
        <w:rPr>
          <w:rFonts w:eastAsia="Times New Roman" w:cs="Times New Roman"/>
          <w:color w:val="000000"/>
          <w:szCs w:val="24"/>
        </w:rPr>
        <w:t xml:space="preserve"> Share this month’s H</w:t>
      </w:r>
      <w:r>
        <w:rPr>
          <w:rFonts w:eastAsia="Times New Roman" w:cs="Times New Roman"/>
          <w:color w:val="000000"/>
          <w:szCs w:val="24"/>
        </w:rPr>
        <w:t xml:space="preserve">ealth </w:t>
      </w:r>
      <w:r w:rsidRPr="001A3AF3">
        <w:rPr>
          <w:rFonts w:eastAsia="Times New Roman" w:cs="Times New Roman"/>
          <w:color w:val="000000"/>
          <w:szCs w:val="24"/>
        </w:rPr>
        <w:t>C</w:t>
      </w:r>
      <w:r>
        <w:rPr>
          <w:rFonts w:eastAsia="Times New Roman" w:cs="Times New Roman"/>
          <w:color w:val="000000"/>
          <w:szCs w:val="24"/>
        </w:rPr>
        <w:t>onnector</w:t>
      </w:r>
      <w:r w:rsidRPr="001A3AF3">
        <w:rPr>
          <w:rFonts w:eastAsia="Times New Roman" w:cs="Times New Roman"/>
          <w:color w:val="000000"/>
          <w:szCs w:val="24"/>
        </w:rPr>
        <w:t>’s Webinar and Promote Health Connector Coverage!</w:t>
      </w:r>
    </w:p>
    <w:p w14:paraId="1CF2B1A6" w14:textId="77777777" w:rsidR="00893916" w:rsidRPr="001A3AF3" w:rsidRDefault="00893916" w:rsidP="00893916">
      <w:pPr>
        <w:numPr>
          <w:ilvl w:val="0"/>
          <w:numId w:val="20"/>
        </w:numPr>
        <w:spacing w:before="100" w:beforeAutospacing="1" w:after="100" w:afterAutospacing="1" w:line="240" w:lineRule="auto"/>
        <w:rPr>
          <w:rFonts w:eastAsia="Times New Roman" w:cs="Times New Roman"/>
          <w:color w:val="000000"/>
          <w:szCs w:val="24"/>
        </w:rPr>
      </w:pPr>
      <w:r w:rsidRPr="001A3AF3">
        <w:rPr>
          <w:rFonts w:eastAsia="Times New Roman" w:cs="Times New Roman"/>
          <w:color w:val="000000"/>
          <w:szCs w:val="24"/>
        </w:rPr>
        <w:t>Updating Addresses using the Assister Portal</w:t>
      </w:r>
    </w:p>
    <w:p w14:paraId="2595E714" w14:textId="77777777" w:rsidR="00893916" w:rsidRPr="001A3AF3" w:rsidRDefault="00893916" w:rsidP="00893916">
      <w:pPr>
        <w:numPr>
          <w:ilvl w:val="0"/>
          <w:numId w:val="20"/>
        </w:numPr>
        <w:spacing w:before="100" w:beforeAutospacing="1" w:after="100" w:afterAutospacing="1" w:line="240" w:lineRule="auto"/>
        <w:rPr>
          <w:rFonts w:eastAsia="Times New Roman" w:cs="Times New Roman"/>
          <w:color w:val="000000"/>
          <w:szCs w:val="24"/>
        </w:rPr>
      </w:pPr>
      <w:r w:rsidRPr="001A3AF3">
        <w:rPr>
          <w:rFonts w:eastAsia="Times New Roman" w:cs="Times New Roman"/>
          <w:color w:val="000000"/>
          <w:szCs w:val="24"/>
        </w:rPr>
        <w:t>MassHealth COVID-19 Guidance: May 2021 Update</w:t>
      </w:r>
    </w:p>
    <w:p w14:paraId="02CE9F78" w14:textId="77777777" w:rsidR="00893916" w:rsidRPr="001A3AF3" w:rsidRDefault="00893916" w:rsidP="00893916">
      <w:pPr>
        <w:numPr>
          <w:ilvl w:val="0"/>
          <w:numId w:val="20"/>
        </w:numPr>
        <w:spacing w:before="100" w:beforeAutospacing="1" w:after="100" w:afterAutospacing="1" w:line="240" w:lineRule="auto"/>
        <w:rPr>
          <w:rFonts w:eastAsia="Times New Roman" w:cs="Times New Roman"/>
          <w:color w:val="000000"/>
          <w:szCs w:val="24"/>
        </w:rPr>
      </w:pPr>
      <w:r w:rsidRPr="001A3AF3">
        <w:rPr>
          <w:rFonts w:eastAsia="Times New Roman" w:cs="Times New Roman"/>
          <w:color w:val="000000"/>
          <w:szCs w:val="24"/>
        </w:rPr>
        <w:t>Emergency Rental Assistance Program (ERAP) Now Available</w:t>
      </w:r>
    </w:p>
    <w:p w14:paraId="4BC870B8" w14:textId="77777777" w:rsidR="00893916" w:rsidRPr="001A3AF3" w:rsidRDefault="00893916" w:rsidP="00893916">
      <w:pPr>
        <w:numPr>
          <w:ilvl w:val="0"/>
          <w:numId w:val="20"/>
        </w:numPr>
        <w:spacing w:before="100" w:beforeAutospacing="1" w:after="100" w:afterAutospacing="1" w:line="240" w:lineRule="auto"/>
        <w:rPr>
          <w:rFonts w:eastAsia="Times New Roman" w:cs="Times New Roman"/>
          <w:color w:val="000000"/>
          <w:szCs w:val="24"/>
        </w:rPr>
      </w:pPr>
      <w:r w:rsidRPr="001A3AF3">
        <w:rPr>
          <w:rFonts w:eastAsia="Times New Roman" w:cs="Times New Roman"/>
          <w:color w:val="000000"/>
          <w:szCs w:val="24"/>
        </w:rPr>
        <w:t>MassHealth Estate Recovery</w:t>
      </w:r>
    </w:p>
    <w:p w14:paraId="6399308A" w14:textId="77777777" w:rsidR="00893916" w:rsidRDefault="00893916" w:rsidP="00893916">
      <w:pPr>
        <w:numPr>
          <w:ilvl w:val="0"/>
          <w:numId w:val="20"/>
        </w:numPr>
        <w:spacing w:before="100" w:beforeAutospacing="1" w:after="100" w:afterAutospacing="1" w:line="240" w:lineRule="auto"/>
        <w:rPr>
          <w:rFonts w:eastAsia="Times New Roman" w:cs="Times New Roman"/>
          <w:color w:val="000000"/>
          <w:szCs w:val="24"/>
        </w:rPr>
      </w:pPr>
      <w:r w:rsidRPr="001A3AF3">
        <w:rPr>
          <w:rFonts w:eastAsia="Times New Roman" w:cs="Times New Roman"/>
          <w:color w:val="000000"/>
          <w:szCs w:val="24"/>
        </w:rPr>
        <w:t>New Enhanced Benefits for Unemployment Income Recipients on H</w:t>
      </w:r>
      <w:r>
        <w:rPr>
          <w:rFonts w:eastAsia="Times New Roman" w:cs="Times New Roman"/>
          <w:color w:val="000000"/>
          <w:szCs w:val="24"/>
        </w:rPr>
        <w:t xml:space="preserve">ealth </w:t>
      </w:r>
      <w:r w:rsidRPr="001A3AF3">
        <w:rPr>
          <w:rFonts w:eastAsia="Times New Roman" w:cs="Times New Roman"/>
          <w:color w:val="000000"/>
          <w:szCs w:val="24"/>
        </w:rPr>
        <w:t>C</w:t>
      </w:r>
      <w:r>
        <w:rPr>
          <w:rFonts w:eastAsia="Times New Roman" w:cs="Times New Roman"/>
          <w:color w:val="000000"/>
          <w:szCs w:val="24"/>
        </w:rPr>
        <w:t>onnector</w:t>
      </w:r>
      <w:r w:rsidRPr="001A3AF3">
        <w:rPr>
          <w:rFonts w:eastAsia="Times New Roman" w:cs="Times New Roman"/>
          <w:color w:val="000000"/>
          <w:szCs w:val="24"/>
        </w:rPr>
        <w:t xml:space="preserve"> Plans</w:t>
      </w:r>
    </w:p>
    <w:p w14:paraId="06E80BFB" w14:textId="77777777" w:rsidR="00893916" w:rsidRPr="001A3AF3" w:rsidRDefault="00893916" w:rsidP="00893916">
      <w:pPr>
        <w:numPr>
          <w:ilvl w:val="0"/>
          <w:numId w:val="20"/>
        </w:numPr>
        <w:spacing w:before="100" w:beforeAutospacing="1" w:after="100" w:afterAutospacing="1" w:line="240" w:lineRule="auto"/>
        <w:rPr>
          <w:rFonts w:eastAsia="Times New Roman" w:cs="Times New Roman"/>
          <w:color w:val="000000"/>
          <w:szCs w:val="24"/>
        </w:rPr>
      </w:pPr>
      <w:r w:rsidRPr="001A3AF3">
        <w:rPr>
          <w:rFonts w:eastAsia="Times New Roman" w:cs="Times New Roman"/>
          <w:color w:val="000000"/>
          <w:szCs w:val="24"/>
        </w:rPr>
        <w:t>MassHealth Cost Sharing Policy Update</w:t>
      </w:r>
      <w:r>
        <w:rPr>
          <w:rFonts w:eastAsia="Times New Roman" w:cs="Times New Roman"/>
          <w:color w:val="000000"/>
          <w:szCs w:val="24"/>
        </w:rPr>
        <w:t>s</w:t>
      </w:r>
    </w:p>
    <w:p w14:paraId="0F205A9A" w14:textId="7EA66096" w:rsidR="00893916" w:rsidRPr="00886DCC" w:rsidRDefault="00893916" w:rsidP="00893916">
      <w:pPr>
        <w:spacing w:before="100" w:beforeAutospacing="1" w:after="100" w:afterAutospacing="1"/>
        <w:rPr>
          <w:rFonts w:eastAsia="Times New Roman" w:cs="Times New Roman"/>
          <w:szCs w:val="24"/>
        </w:rPr>
      </w:pPr>
      <w:r w:rsidRPr="00886DCC">
        <w:rPr>
          <w:rFonts w:eastAsia="Times New Roman" w:cs="Times New Roman"/>
          <w:szCs w:val="24"/>
        </w:rPr>
        <w:t>Assister webinar opportunities</w:t>
      </w:r>
    </w:p>
    <w:p w14:paraId="6740852F" w14:textId="77777777" w:rsidR="00893916" w:rsidRPr="001A3AF3" w:rsidRDefault="00893916" w:rsidP="00893916">
      <w:pPr>
        <w:pStyle w:val="ListParagraph"/>
        <w:numPr>
          <w:ilvl w:val="0"/>
          <w:numId w:val="57"/>
        </w:numPr>
        <w:spacing w:before="100" w:beforeAutospacing="1" w:after="100" w:afterAutospacing="1"/>
        <w:rPr>
          <w:rFonts w:eastAsia="Times New Roman" w:cs="Times New Roman"/>
          <w:szCs w:val="24"/>
        </w:rPr>
      </w:pPr>
      <w:r>
        <w:rPr>
          <w:rFonts w:eastAsia="Times New Roman" w:cs="Times New Roman"/>
          <w:szCs w:val="24"/>
        </w:rPr>
        <w:t xml:space="preserve">4/6/21 </w:t>
      </w:r>
      <w:r w:rsidRPr="001A3AF3">
        <w:rPr>
          <w:rFonts w:eastAsia="Times New Roman" w:cs="Times New Roman"/>
          <w:szCs w:val="24"/>
        </w:rPr>
        <w:t>American Rescue Plan</w:t>
      </w:r>
    </w:p>
    <w:p w14:paraId="3142419A" w14:textId="77777777" w:rsidR="00893916" w:rsidRPr="001A3AF3" w:rsidRDefault="00893916" w:rsidP="00893916">
      <w:pPr>
        <w:pStyle w:val="ListParagraph"/>
        <w:numPr>
          <w:ilvl w:val="0"/>
          <w:numId w:val="57"/>
        </w:numPr>
        <w:spacing w:before="100" w:beforeAutospacing="1" w:after="100" w:afterAutospacing="1"/>
        <w:rPr>
          <w:rFonts w:eastAsia="Times New Roman" w:cs="Times New Roman"/>
          <w:szCs w:val="24"/>
        </w:rPr>
      </w:pPr>
      <w:r>
        <w:rPr>
          <w:rFonts w:eastAsia="Times New Roman" w:cs="Times New Roman"/>
          <w:szCs w:val="24"/>
        </w:rPr>
        <w:t xml:space="preserve">5/14/21 </w:t>
      </w:r>
      <w:r w:rsidRPr="001A3AF3">
        <w:rPr>
          <w:rFonts w:eastAsia="Times New Roman" w:cs="Times New Roman"/>
          <w:szCs w:val="24"/>
        </w:rPr>
        <w:t>Assister Updates Webinar</w:t>
      </w:r>
    </w:p>
    <w:p w14:paraId="55DB8F81" w14:textId="77777777" w:rsidR="00893916" w:rsidRPr="001A3AF3" w:rsidRDefault="00893916" w:rsidP="00893916">
      <w:pPr>
        <w:pStyle w:val="ListParagraph"/>
        <w:numPr>
          <w:ilvl w:val="0"/>
          <w:numId w:val="57"/>
        </w:numPr>
        <w:spacing w:before="100" w:beforeAutospacing="1" w:after="100" w:afterAutospacing="1"/>
        <w:rPr>
          <w:rFonts w:eastAsia="Times New Roman" w:cs="Times New Roman"/>
          <w:szCs w:val="24"/>
        </w:rPr>
      </w:pPr>
      <w:r>
        <w:rPr>
          <w:rFonts w:eastAsia="Times New Roman" w:cs="Times New Roman"/>
          <w:szCs w:val="24"/>
        </w:rPr>
        <w:t xml:space="preserve">5/27/21 </w:t>
      </w:r>
      <w:r w:rsidRPr="001A3AF3">
        <w:rPr>
          <w:rFonts w:eastAsia="Times New Roman" w:cs="Times New Roman"/>
          <w:szCs w:val="24"/>
        </w:rPr>
        <w:t>Assister Webinar: Learn more about the Health Connector rollout of the American Rescue Plan</w:t>
      </w:r>
    </w:p>
    <w:p w14:paraId="631D2A8B" w14:textId="77777777" w:rsidR="00893916" w:rsidRDefault="00893916" w:rsidP="00893916">
      <w:pPr>
        <w:pStyle w:val="ListParagraph"/>
        <w:numPr>
          <w:ilvl w:val="0"/>
          <w:numId w:val="57"/>
        </w:numPr>
        <w:spacing w:before="100" w:beforeAutospacing="1" w:after="100" w:afterAutospacing="1"/>
        <w:rPr>
          <w:rFonts w:eastAsia="Times New Roman" w:cs="Times New Roman"/>
          <w:szCs w:val="24"/>
        </w:rPr>
      </w:pPr>
      <w:r>
        <w:rPr>
          <w:rFonts w:eastAsia="Times New Roman" w:cs="Times New Roman"/>
          <w:szCs w:val="24"/>
        </w:rPr>
        <w:t xml:space="preserve">6/1/21 and 6/9/21 Understanding </w:t>
      </w:r>
      <w:r w:rsidRPr="001A3AF3">
        <w:rPr>
          <w:rFonts w:eastAsia="Times New Roman" w:cs="Times New Roman"/>
          <w:szCs w:val="24"/>
        </w:rPr>
        <w:t>MassHealth Cost Sharing</w:t>
      </w:r>
      <w:r>
        <w:rPr>
          <w:rFonts w:eastAsia="Times New Roman" w:cs="Times New Roman"/>
          <w:szCs w:val="24"/>
        </w:rPr>
        <w:t xml:space="preserve"> Policy Updates</w:t>
      </w:r>
    </w:p>
    <w:p w14:paraId="70F5F8CD" w14:textId="5F7DB765" w:rsidR="00893916" w:rsidRPr="001A3AF3" w:rsidRDefault="00893916" w:rsidP="00893916">
      <w:pPr>
        <w:pStyle w:val="ListParagraph"/>
        <w:numPr>
          <w:ilvl w:val="0"/>
          <w:numId w:val="57"/>
        </w:numPr>
        <w:spacing w:before="100" w:beforeAutospacing="1" w:after="100" w:afterAutospacing="1"/>
        <w:rPr>
          <w:rFonts w:eastAsia="Times New Roman" w:cs="Times New Roman"/>
          <w:szCs w:val="24"/>
        </w:rPr>
      </w:pPr>
      <w:r>
        <w:rPr>
          <w:rFonts w:eastAsia="Times New Roman" w:cs="Times New Roman"/>
          <w:szCs w:val="24"/>
        </w:rPr>
        <w:lastRenderedPageBreak/>
        <w:t xml:space="preserve">5/11/21 </w:t>
      </w:r>
      <w:r w:rsidRPr="001A3AF3">
        <w:rPr>
          <w:rFonts w:eastAsia="Times New Roman" w:cs="Times New Roman"/>
          <w:szCs w:val="24"/>
        </w:rPr>
        <w:t>Massachusetts Health Connector webinar: “Need health insurance? New savings are here through the Health Connector”</w:t>
      </w:r>
    </w:p>
    <w:p w14:paraId="449C7C1E" w14:textId="77777777" w:rsidR="00893916" w:rsidRPr="009B549A" w:rsidRDefault="00893916" w:rsidP="00893916">
      <w:pPr>
        <w:spacing w:before="100" w:beforeAutospacing="1" w:after="100" w:afterAutospacing="1"/>
        <w:rPr>
          <w:rFonts w:cs="Times New Roman"/>
          <w:b/>
          <w:bCs/>
          <w:iCs/>
          <w:szCs w:val="24"/>
        </w:rPr>
      </w:pPr>
      <w:r w:rsidRPr="009B549A">
        <w:rPr>
          <w:rFonts w:cs="Times New Roman"/>
          <w:b/>
          <w:bCs/>
          <w:iCs/>
          <w:szCs w:val="24"/>
        </w:rPr>
        <w:t>MassHealth In-Person Enrollment Events &amp; MassHealth Attended Events during the Quarter</w:t>
      </w:r>
    </w:p>
    <w:p w14:paraId="42526410" w14:textId="769D9933" w:rsidR="00893916" w:rsidRDefault="00893916" w:rsidP="00893916">
      <w:pPr>
        <w:spacing w:before="100" w:beforeAutospacing="1" w:after="100" w:afterAutospacing="1"/>
        <w:rPr>
          <w:rFonts w:cs="Times New Roman"/>
          <w:bCs/>
          <w:iCs/>
          <w:szCs w:val="24"/>
        </w:rPr>
      </w:pPr>
      <w:r w:rsidRPr="00AE7E02">
        <w:rPr>
          <w:rFonts w:cs="Times New Roman"/>
          <w:bCs/>
          <w:iCs/>
          <w:szCs w:val="24"/>
        </w:rPr>
        <w:t xml:space="preserve">Due to the COVID-19 public health emergency, no hosted events were held this quarter. We continued to update member related materials on our COVID related website. </w:t>
      </w:r>
    </w:p>
    <w:p w14:paraId="049C68E3" w14:textId="77777777" w:rsidR="0041366B" w:rsidRDefault="0041366B" w:rsidP="0041366B">
      <w:pPr>
        <w:spacing w:before="100" w:beforeAutospacing="1" w:after="100" w:afterAutospacing="1"/>
        <w:rPr>
          <w:rFonts w:cs="Times New Roman"/>
          <w:bCs/>
          <w:iCs/>
          <w:szCs w:val="24"/>
          <w:u w:val="single"/>
        </w:rPr>
      </w:pPr>
      <w:r>
        <w:rPr>
          <w:rFonts w:cs="Times New Roman"/>
          <w:bCs/>
          <w:iCs/>
          <w:szCs w:val="24"/>
          <w:u w:val="single"/>
        </w:rPr>
        <w:t>Annual Summary</w:t>
      </w:r>
    </w:p>
    <w:p w14:paraId="7F7080C3" w14:textId="77777777" w:rsidR="0041366B" w:rsidRDefault="0041366B" w:rsidP="0041366B">
      <w:pPr>
        <w:spacing w:before="100" w:beforeAutospacing="1" w:after="100" w:afterAutospacing="1"/>
        <w:rPr>
          <w:rFonts w:eastAsia="Times New Roman" w:cs="Times New Roman"/>
          <w:bCs/>
          <w:iCs/>
          <w:szCs w:val="24"/>
        </w:rPr>
      </w:pPr>
      <w:r>
        <w:rPr>
          <w:rFonts w:eastAsia="Times New Roman" w:cs="Times New Roman"/>
          <w:bCs/>
          <w:iCs/>
          <w:szCs w:val="24"/>
        </w:rPr>
        <w:t xml:space="preserve">Activities throughout the year focused on ensuring CACs were informed about MassHealth’s health plan options, and MassHealth’s response due to the COVID-19 public health emergency. Efforts included series of monthly virtual meetings, emails with reminders about important dates, and refreshers on rules for members wishing to enroll in or change a health plan or change primary care providers.  </w:t>
      </w:r>
    </w:p>
    <w:p w14:paraId="1A08B0CD" w14:textId="77777777" w:rsidR="0041366B" w:rsidRDefault="0041366B" w:rsidP="0041366B">
      <w:pPr>
        <w:spacing w:before="100" w:beforeAutospacing="1" w:after="100" w:afterAutospacing="1"/>
        <w:rPr>
          <w:rFonts w:cs="Times New Roman"/>
          <w:bCs/>
          <w:iCs/>
          <w:szCs w:val="24"/>
        </w:rPr>
      </w:pPr>
      <w:r>
        <w:rPr>
          <w:rFonts w:cs="Times New Roman"/>
          <w:bCs/>
          <w:iCs/>
          <w:szCs w:val="24"/>
        </w:rPr>
        <w:t>Ongoing CAC education and training continued in earnest throughout the year consisting of over 100 CAC touchpoints (emails, virtual meetings, and webinars) and new/updated online educational content (new/updated courses, job aids, access to recorded webinars, and Q&amp;A). Key topics included:</w:t>
      </w:r>
    </w:p>
    <w:p w14:paraId="5A737AF8" w14:textId="77777777" w:rsidR="0041366B" w:rsidRDefault="0041366B" w:rsidP="0041366B">
      <w:pPr>
        <w:numPr>
          <w:ilvl w:val="0"/>
          <w:numId w:val="59"/>
        </w:numPr>
        <w:spacing w:before="100" w:beforeAutospacing="1" w:after="100" w:afterAutospacing="1"/>
        <w:rPr>
          <w:rFonts w:eastAsia="Times New Roman" w:cs="Times New Roman"/>
          <w:szCs w:val="24"/>
        </w:rPr>
      </w:pPr>
      <w:r>
        <w:rPr>
          <w:rFonts w:eastAsia="Times New Roman" w:cs="Times New Roman"/>
          <w:szCs w:val="24"/>
        </w:rPr>
        <w:t>MassHealth's Cost Sharing Policy Updates</w:t>
      </w:r>
    </w:p>
    <w:p w14:paraId="1B415569" w14:textId="77777777" w:rsidR="0041366B" w:rsidRDefault="0041366B" w:rsidP="0041366B">
      <w:pPr>
        <w:numPr>
          <w:ilvl w:val="0"/>
          <w:numId w:val="59"/>
        </w:numPr>
        <w:spacing w:before="100" w:beforeAutospacing="1" w:after="100" w:afterAutospacing="1"/>
        <w:rPr>
          <w:rFonts w:eastAsia="Times New Roman" w:cs="Times New Roman"/>
          <w:szCs w:val="24"/>
        </w:rPr>
      </w:pPr>
      <w:r>
        <w:rPr>
          <w:rFonts w:eastAsia="Times New Roman" w:cs="Times New Roman"/>
          <w:szCs w:val="24"/>
        </w:rPr>
        <w:t>Health Connector Redeterminations and Renewals for Open Enrollment 2021</w:t>
      </w:r>
    </w:p>
    <w:p w14:paraId="34766467" w14:textId="77777777" w:rsidR="0041366B" w:rsidRDefault="0041366B" w:rsidP="0041366B">
      <w:pPr>
        <w:numPr>
          <w:ilvl w:val="0"/>
          <w:numId w:val="59"/>
        </w:numPr>
        <w:spacing w:before="100" w:beforeAutospacing="1" w:after="100" w:afterAutospacing="1"/>
        <w:rPr>
          <w:rFonts w:eastAsia="Times New Roman" w:cs="Times New Roman"/>
          <w:szCs w:val="24"/>
        </w:rPr>
      </w:pPr>
      <w:r>
        <w:rPr>
          <w:rFonts w:eastAsia="Times New Roman" w:cs="Times New Roman"/>
          <w:szCs w:val="24"/>
        </w:rPr>
        <w:t xml:space="preserve">MassHealth COVID-19 Updates </w:t>
      </w:r>
    </w:p>
    <w:p w14:paraId="3CF6934B" w14:textId="77777777" w:rsidR="0041366B" w:rsidRDefault="0041366B" w:rsidP="0041366B">
      <w:pPr>
        <w:numPr>
          <w:ilvl w:val="0"/>
          <w:numId w:val="59"/>
        </w:numPr>
        <w:spacing w:before="100" w:beforeAutospacing="1" w:after="100" w:afterAutospacing="1"/>
        <w:rPr>
          <w:rFonts w:eastAsia="Times New Roman" w:cs="Times New Roman"/>
          <w:szCs w:val="24"/>
        </w:rPr>
      </w:pPr>
      <w:r>
        <w:rPr>
          <w:rFonts w:eastAsia="Times New Roman" w:cs="Times New Roman"/>
          <w:szCs w:val="24"/>
        </w:rPr>
        <w:t>Changes to Hospital-Determined Presumptive Eligibility (HPE) during COVID-19</w:t>
      </w:r>
    </w:p>
    <w:p w14:paraId="5A7D6FD9" w14:textId="77777777" w:rsidR="0041366B" w:rsidRDefault="0041366B" w:rsidP="0041366B">
      <w:pPr>
        <w:numPr>
          <w:ilvl w:val="0"/>
          <w:numId w:val="59"/>
        </w:numPr>
        <w:spacing w:before="100" w:beforeAutospacing="1" w:after="100" w:afterAutospacing="1"/>
        <w:rPr>
          <w:rFonts w:eastAsia="Times New Roman" w:cs="Times New Roman"/>
          <w:color w:val="000000"/>
          <w:szCs w:val="24"/>
        </w:rPr>
      </w:pPr>
      <w:r>
        <w:rPr>
          <w:rFonts w:eastAsia="Times New Roman" w:cs="Times New Roman"/>
          <w:color w:val="000000"/>
          <w:szCs w:val="24"/>
        </w:rPr>
        <w:t>New Worksheet: Helping Applicants and Members Estimate Annual Income</w:t>
      </w:r>
    </w:p>
    <w:p w14:paraId="1938BC3D" w14:textId="77777777" w:rsidR="0041366B" w:rsidRDefault="0041366B" w:rsidP="0041366B">
      <w:pPr>
        <w:numPr>
          <w:ilvl w:val="0"/>
          <w:numId w:val="59"/>
        </w:numPr>
        <w:spacing w:before="100" w:beforeAutospacing="1" w:after="100" w:afterAutospacing="1"/>
        <w:rPr>
          <w:rFonts w:eastAsia="Times New Roman" w:cs="Times New Roman"/>
          <w:color w:val="000000"/>
          <w:szCs w:val="24"/>
        </w:rPr>
      </w:pPr>
      <w:r>
        <w:rPr>
          <w:rFonts w:eastAsia="Times New Roman" w:cs="Times New Roman"/>
          <w:color w:val="000000"/>
          <w:szCs w:val="24"/>
        </w:rPr>
        <w:t>Important COVID-19 Update</w:t>
      </w:r>
    </w:p>
    <w:p w14:paraId="309A32EC" w14:textId="77777777" w:rsidR="0041366B" w:rsidRDefault="0041366B" w:rsidP="0041366B">
      <w:pPr>
        <w:numPr>
          <w:ilvl w:val="0"/>
          <w:numId w:val="59"/>
        </w:numPr>
        <w:spacing w:before="100" w:beforeAutospacing="1" w:after="100" w:afterAutospacing="1"/>
        <w:rPr>
          <w:rFonts w:eastAsia="Times New Roman" w:cs="Times New Roman"/>
          <w:color w:val="000000"/>
          <w:szCs w:val="24"/>
        </w:rPr>
      </w:pPr>
      <w:r>
        <w:rPr>
          <w:rFonts w:eastAsia="Times New Roman" w:cs="Times New Roman"/>
          <w:color w:val="000000"/>
          <w:szCs w:val="24"/>
        </w:rPr>
        <w:t xml:space="preserve">Assister Update - Vaccination Distribution </w:t>
      </w:r>
    </w:p>
    <w:p w14:paraId="6DD5997E" w14:textId="77777777" w:rsidR="00893916" w:rsidRPr="001F6BB2" w:rsidRDefault="00893916" w:rsidP="00DC0BA2">
      <w:pPr>
        <w:pStyle w:val="Heading3"/>
      </w:pPr>
      <w:r w:rsidRPr="001F6BB2">
        <w:t xml:space="preserve">Member Education and Communication </w:t>
      </w:r>
    </w:p>
    <w:p w14:paraId="366E7541" w14:textId="77777777" w:rsidR="00893916" w:rsidRPr="00AE7E02" w:rsidRDefault="00893916" w:rsidP="00893916">
      <w:pPr>
        <w:spacing w:before="100" w:beforeAutospacing="1" w:after="100" w:afterAutospacing="1"/>
        <w:rPr>
          <w:rFonts w:cs="Times New Roman"/>
          <w:bCs/>
          <w:iCs/>
          <w:szCs w:val="24"/>
        </w:rPr>
      </w:pPr>
      <w:r w:rsidRPr="00AE7E02">
        <w:rPr>
          <w:rFonts w:cs="Times New Roman"/>
          <w:bCs/>
          <w:iCs/>
          <w:szCs w:val="24"/>
        </w:rPr>
        <w:t>During Q</w:t>
      </w:r>
      <w:r>
        <w:rPr>
          <w:rFonts w:cs="Times New Roman"/>
          <w:bCs/>
          <w:iCs/>
          <w:szCs w:val="24"/>
        </w:rPr>
        <w:t>4</w:t>
      </w:r>
      <w:r w:rsidRPr="00AE7E02">
        <w:rPr>
          <w:rFonts w:cs="Times New Roman"/>
          <w:bCs/>
          <w:iCs/>
          <w:szCs w:val="24"/>
        </w:rPr>
        <w:t>, MassHealth continued to engage the health plans to be sure the Member Service Centers were adjusting in response to COVID-19, to assist members with access to care and supports. MassHealth also engaged health plans to verify each plan’s population health operations had adjusted their member engagement strategies and operations to respond to COVID-19.  </w:t>
      </w:r>
    </w:p>
    <w:p w14:paraId="46950977" w14:textId="77777777" w:rsidR="00893916" w:rsidRPr="00AE7E02" w:rsidRDefault="00893916" w:rsidP="00893916">
      <w:pPr>
        <w:spacing w:before="100" w:beforeAutospacing="1" w:after="100" w:afterAutospacing="1"/>
        <w:rPr>
          <w:rFonts w:cs="Times New Roman"/>
          <w:bCs/>
          <w:iCs/>
          <w:szCs w:val="24"/>
        </w:rPr>
      </w:pPr>
      <w:r w:rsidRPr="00AE7E02">
        <w:rPr>
          <w:rFonts w:cs="Times New Roman"/>
          <w:b/>
          <w:bCs/>
          <w:i/>
          <w:iCs/>
          <w:szCs w:val="24"/>
        </w:rPr>
        <w:t>Global Awareness and Education</w:t>
      </w:r>
      <w:r w:rsidRPr="00AE7E02">
        <w:rPr>
          <w:rFonts w:cs="Times New Roman"/>
          <w:bCs/>
          <w:iCs/>
          <w:szCs w:val="24"/>
        </w:rPr>
        <w:t xml:space="preserve">. </w:t>
      </w:r>
      <w:r w:rsidRPr="00284510">
        <w:rPr>
          <w:rFonts w:cs="Times New Roman"/>
          <w:bCs/>
          <w:iCs/>
          <w:szCs w:val="24"/>
        </w:rPr>
        <w:t xml:space="preserve">The quarterly Massachusetts </w:t>
      </w:r>
      <w:r w:rsidRPr="008250F9">
        <w:rPr>
          <w:rFonts w:cs="Times New Roman"/>
          <w:bCs/>
          <w:iCs/>
          <w:szCs w:val="24"/>
        </w:rPr>
        <w:t>Health Care</w:t>
      </w:r>
      <w:r>
        <w:rPr>
          <w:rFonts w:cs="Times New Roman"/>
          <w:bCs/>
          <w:iCs/>
          <w:szCs w:val="24"/>
        </w:rPr>
        <w:t xml:space="preserve"> </w:t>
      </w:r>
      <w:r w:rsidRPr="00284510">
        <w:rPr>
          <w:rFonts w:cs="Times New Roman"/>
          <w:bCs/>
          <w:iCs/>
          <w:szCs w:val="24"/>
        </w:rPr>
        <w:t xml:space="preserve">Training Forums (MTF) held ​two meetings virtually due to the COVID-19 public health emergency to educate and </w:t>
      </w:r>
      <w:r w:rsidRPr="00284510">
        <w:rPr>
          <w:rFonts w:cs="Times New Roman"/>
          <w:bCs/>
          <w:iCs/>
          <w:szCs w:val="24"/>
        </w:rPr>
        <w:lastRenderedPageBreak/>
        <w:t>train our stakeholders and organizations that support our members on health plan updates.  A total of 355 individuals joined the webinars.</w:t>
      </w:r>
    </w:p>
    <w:p w14:paraId="5E9905AD" w14:textId="77777777" w:rsidR="00893916" w:rsidRPr="00AE7E02" w:rsidRDefault="00893916" w:rsidP="00893916">
      <w:pPr>
        <w:spacing w:before="100" w:beforeAutospacing="1" w:after="100" w:afterAutospacing="1"/>
        <w:rPr>
          <w:rFonts w:cs="Times New Roman"/>
          <w:b/>
          <w:bCs/>
          <w:iCs/>
          <w:szCs w:val="24"/>
        </w:rPr>
      </w:pPr>
      <w:r w:rsidRPr="00AE7E02">
        <w:rPr>
          <w:rFonts w:cs="Times New Roman"/>
          <w:b/>
          <w:bCs/>
          <w:i/>
          <w:iCs/>
          <w:szCs w:val="24"/>
        </w:rPr>
        <w:t>Support Materials and Member Engagement.</w:t>
      </w:r>
      <w:r w:rsidRPr="00AE7E02">
        <w:rPr>
          <w:rFonts w:cs="Times New Roman"/>
          <w:bCs/>
          <w:iCs/>
          <w:szCs w:val="24"/>
        </w:rPr>
        <w:t xml:space="preserve"> MassHealth used All Provider Bulletins</w:t>
      </w:r>
      <w:r>
        <w:rPr>
          <w:rFonts w:cs="Times New Roman"/>
          <w:bCs/>
          <w:iCs/>
          <w:szCs w:val="24"/>
        </w:rPr>
        <w:t>, communications to the MTF community,</w:t>
      </w:r>
      <w:r w:rsidRPr="00AE7E02">
        <w:rPr>
          <w:rFonts w:cs="Times New Roman"/>
          <w:bCs/>
          <w:iCs/>
          <w:szCs w:val="24"/>
        </w:rPr>
        <w:t xml:space="preserve"> as well as COVID-19 focused webinars to alert providers, plans and member stakeholders to the latest guidance from MassHealth in response to COVID-19.</w:t>
      </w:r>
    </w:p>
    <w:p w14:paraId="2F7BA9D2" w14:textId="631133BA" w:rsidR="00893916" w:rsidRDefault="00893916" w:rsidP="00893916">
      <w:pPr>
        <w:spacing w:before="100" w:beforeAutospacing="1" w:after="100" w:afterAutospacing="1"/>
        <w:rPr>
          <w:rFonts w:cs="Times New Roman"/>
          <w:bCs/>
          <w:iCs/>
          <w:szCs w:val="24"/>
        </w:rPr>
      </w:pPr>
      <w:r w:rsidRPr="00AE7E02">
        <w:rPr>
          <w:rFonts w:cs="Times New Roman"/>
          <w:b/>
          <w:bCs/>
          <w:i/>
          <w:iCs/>
          <w:szCs w:val="24"/>
        </w:rPr>
        <w:t>Enhancements to Customer Service Support.</w:t>
      </w:r>
      <w:r w:rsidRPr="00AE7E02">
        <w:rPr>
          <w:rFonts w:cs="Times New Roman"/>
          <w:bCs/>
          <w:iCs/>
          <w:szCs w:val="24"/>
        </w:rPr>
        <w:t xml:space="preserve"> MassHealth printed detailed MassHealth Enrollment Guides to be mailed to newly eligible managed care members.</w:t>
      </w:r>
      <w:r>
        <w:rPr>
          <w:rFonts w:cs="Times New Roman"/>
          <w:bCs/>
          <w:iCs/>
          <w:szCs w:val="24"/>
        </w:rPr>
        <w:t xml:space="preserve"> </w:t>
      </w:r>
      <w:r w:rsidRPr="00AE7E02">
        <w:rPr>
          <w:rFonts w:cs="Times New Roman"/>
          <w:bCs/>
          <w:iCs/>
          <w:szCs w:val="24"/>
        </w:rPr>
        <w:t xml:space="preserve"> They are also available upon request from MassHealth Customer Service. </w:t>
      </w:r>
      <w:r>
        <w:rPr>
          <w:rFonts w:cs="Times New Roman"/>
          <w:bCs/>
          <w:iCs/>
          <w:szCs w:val="24"/>
        </w:rPr>
        <w:t xml:space="preserve"> </w:t>
      </w:r>
      <w:r w:rsidRPr="00AE7E02">
        <w:rPr>
          <w:rFonts w:cs="Times New Roman"/>
          <w:bCs/>
          <w:iCs/>
          <w:szCs w:val="24"/>
        </w:rPr>
        <w:t>The member website (</w:t>
      </w:r>
      <w:hyperlink r:id="rId8" w:tgtFrame="_blank" w:history="1">
        <w:r w:rsidRPr="00AE7E02">
          <w:rPr>
            <w:rStyle w:val="Hyperlink"/>
            <w:rFonts w:cs="Times New Roman"/>
            <w:bCs/>
            <w:iCs/>
            <w:szCs w:val="24"/>
          </w:rPr>
          <w:t>MassHealthChoices.com</w:t>
        </w:r>
      </w:hyperlink>
      <w:r w:rsidRPr="00AE7E02">
        <w:rPr>
          <w:rFonts w:cs="Times New Roman"/>
          <w:bCs/>
          <w:iCs/>
          <w:szCs w:val="24"/>
        </w:rPr>
        <w:t>) continued to support members in understanding their managed care enrollment options, their ability to search for providers and enroll in a plan. </w:t>
      </w:r>
    </w:p>
    <w:p w14:paraId="3D004AF4" w14:textId="77777777" w:rsidR="001F6BB2" w:rsidRDefault="001F6BB2" w:rsidP="001F6BB2">
      <w:pPr>
        <w:spacing w:before="100" w:beforeAutospacing="1" w:after="100" w:afterAutospacing="1"/>
        <w:rPr>
          <w:rFonts w:cs="Times New Roman"/>
          <w:bCs/>
          <w:iCs/>
          <w:szCs w:val="24"/>
          <w:u w:val="single"/>
        </w:rPr>
      </w:pPr>
      <w:r>
        <w:rPr>
          <w:rFonts w:cs="Times New Roman"/>
          <w:bCs/>
          <w:iCs/>
          <w:szCs w:val="24"/>
          <w:u w:val="single"/>
        </w:rPr>
        <w:t>Annual Summary</w:t>
      </w:r>
    </w:p>
    <w:p w14:paraId="4F483567" w14:textId="770697B0" w:rsidR="001F6BB2" w:rsidRDefault="001F6BB2" w:rsidP="001F6BB2">
      <w:pPr>
        <w:widowControl w:val="0"/>
        <w:autoSpaceDE w:val="0"/>
        <w:autoSpaceDN w:val="0"/>
        <w:spacing w:before="100" w:beforeAutospacing="1" w:after="100" w:afterAutospacing="1"/>
        <w:rPr>
          <w:rFonts w:cs="Times New Roman"/>
          <w:iCs/>
          <w:szCs w:val="24"/>
        </w:rPr>
      </w:pPr>
      <w:r>
        <w:rPr>
          <w:rFonts w:cs="Times New Roman"/>
          <w:iCs/>
          <w:szCs w:val="24"/>
        </w:rPr>
        <w:t xml:space="preserve">In response to COVID-19, MassHealth implemented temporary changes in eligibility-related policies and processes to support the public health efforts, to expedite access to necessary health care, and maintain health care coverage for existing members and new MassHealth applicants. MassHealth continued to support members, stakeholders, and health plans with COVID-19 related changes. MassHealth worked with plans to ensure that their websites, and our Member Service Centers, continued to be responsive in assisting members with access to care and supports. </w:t>
      </w:r>
    </w:p>
    <w:p w14:paraId="362EAD50" w14:textId="5D567263" w:rsidR="00893916" w:rsidRPr="001F6BB2" w:rsidRDefault="009B549A" w:rsidP="00DC0BA2">
      <w:pPr>
        <w:pStyle w:val="Heading3"/>
      </w:pPr>
      <w:r>
        <w:br/>
      </w:r>
      <w:r w:rsidR="00893916" w:rsidRPr="001F6BB2">
        <w:t>Provider Education and Communication</w:t>
      </w:r>
    </w:p>
    <w:p w14:paraId="37BBAF9A" w14:textId="0E9F51BF" w:rsidR="00893916" w:rsidRDefault="00893916" w:rsidP="001F6BB2">
      <w:pPr>
        <w:pStyle w:val="NormalWeb"/>
        <w:spacing w:before="100" w:beforeAutospacing="1" w:after="100" w:afterAutospacing="1" w:line="276" w:lineRule="auto"/>
      </w:pPr>
      <w:r>
        <w:t>The provider education and communication focus this quarter continued to be on supporting our members and providers with the latest updates and guidance from MassHealth to respond to the COVID-19 emergency, including communication to providers regarding COVID-19 vaccinations and Mass Vaccination sites.  Virtual resources continue</w:t>
      </w:r>
      <w:r w:rsidR="00421E49">
        <w:t>d</w:t>
      </w:r>
      <w:r>
        <w:t xml:space="preserve"> to play a key role in provider Education and Communication. These tools, such as a dedicated COVID-19 webpage for providers (</w:t>
      </w:r>
      <w:hyperlink r:id="rId9" w:history="1">
        <w:r w:rsidRPr="00F71972">
          <w:rPr>
            <w:rStyle w:val="Hyperlink"/>
          </w:rPr>
          <w:t>https://www.mass.gov/info-details/masshealth-coronavirus-disease-2019-covid-19-providers</w:t>
        </w:r>
      </w:hyperlink>
      <w:r>
        <w:t>), webinars using video conferencing tools, such as zoom and Cisco WebEx, enhanced customer service, and provider support emails were continuously updated with the latest policy and guidance from MassHealth.</w:t>
      </w:r>
    </w:p>
    <w:p w14:paraId="364C831C" w14:textId="4BFC1F06" w:rsidR="00893916" w:rsidRDefault="00893916" w:rsidP="001F6BB2">
      <w:pPr>
        <w:pStyle w:val="NormalWeb"/>
        <w:spacing w:before="100" w:beforeAutospacing="1" w:after="100" w:afterAutospacing="1" w:line="276" w:lineRule="auto"/>
      </w:pPr>
      <w:r>
        <w:t xml:space="preserve">In April, COVID-19 focused updates were presented at the virtual quarterly Provider Association Forum (PAF), and at two virtual MTF sessions to help providers understand MassHealth efforts in response to COVID-19 </w:t>
      </w:r>
      <w:r w:rsidR="001E400B">
        <w:t xml:space="preserve">as well as additional updates </w:t>
      </w:r>
      <w:r>
        <w:t>in the following areas:</w:t>
      </w:r>
    </w:p>
    <w:p w14:paraId="304E8CAF" w14:textId="77777777" w:rsidR="00893916" w:rsidRDefault="00893916" w:rsidP="00893916">
      <w:pPr>
        <w:pStyle w:val="NormalWeb"/>
        <w:numPr>
          <w:ilvl w:val="0"/>
          <w:numId w:val="58"/>
        </w:numPr>
        <w:spacing w:before="100" w:beforeAutospacing="1" w:after="100" w:afterAutospacing="1"/>
      </w:pPr>
      <w:r>
        <w:t>New Provider Bulletins</w:t>
      </w:r>
    </w:p>
    <w:p w14:paraId="5077E24D" w14:textId="77777777" w:rsidR="00893916" w:rsidRDefault="00893916" w:rsidP="00893916">
      <w:pPr>
        <w:pStyle w:val="NormalWeb"/>
        <w:numPr>
          <w:ilvl w:val="0"/>
          <w:numId w:val="58"/>
        </w:numPr>
        <w:spacing w:before="100" w:beforeAutospacing="1" w:after="100" w:afterAutospacing="1"/>
      </w:pPr>
      <w:r>
        <w:t>Telehealth updates</w:t>
      </w:r>
    </w:p>
    <w:p w14:paraId="22317DD0" w14:textId="77777777" w:rsidR="00893916" w:rsidRDefault="00893916" w:rsidP="00893916">
      <w:pPr>
        <w:pStyle w:val="NormalWeb"/>
        <w:numPr>
          <w:ilvl w:val="0"/>
          <w:numId w:val="58"/>
        </w:numPr>
        <w:spacing w:before="100" w:beforeAutospacing="1" w:after="100" w:afterAutospacing="1"/>
      </w:pPr>
      <w:r>
        <w:t>Vaccine Administration updates</w:t>
      </w:r>
    </w:p>
    <w:p w14:paraId="5FB4663C" w14:textId="77777777" w:rsidR="00893916" w:rsidRDefault="00893916" w:rsidP="00893916">
      <w:pPr>
        <w:pStyle w:val="NormalWeb"/>
        <w:numPr>
          <w:ilvl w:val="0"/>
          <w:numId w:val="58"/>
        </w:numPr>
        <w:spacing w:before="100" w:beforeAutospacing="1" w:after="100" w:afterAutospacing="1"/>
      </w:pPr>
      <w:r>
        <w:t>Additional provider program expansion of vaccination administration for certain current MassHealth providers</w:t>
      </w:r>
    </w:p>
    <w:p w14:paraId="26C2E530" w14:textId="77777777" w:rsidR="00893916" w:rsidRDefault="00893916" w:rsidP="00893916">
      <w:pPr>
        <w:pStyle w:val="NormalWeb"/>
        <w:numPr>
          <w:ilvl w:val="0"/>
          <w:numId w:val="58"/>
        </w:numPr>
        <w:spacing w:before="100" w:beforeAutospacing="1" w:after="100" w:afterAutospacing="1"/>
      </w:pPr>
      <w:r>
        <w:t>Health Plan COVID-19 outreach strategies</w:t>
      </w:r>
    </w:p>
    <w:p w14:paraId="1DDF30AA" w14:textId="77777777" w:rsidR="00893916" w:rsidRDefault="00893916" w:rsidP="00893916">
      <w:pPr>
        <w:pStyle w:val="NormalWeb"/>
        <w:numPr>
          <w:ilvl w:val="0"/>
          <w:numId w:val="58"/>
        </w:numPr>
        <w:spacing w:before="100" w:beforeAutospacing="1" w:after="100" w:afterAutospacing="1"/>
      </w:pPr>
      <w:r>
        <w:t>Massachusetts Human Service Transportation (HST) Brokerage &amp; MassHealth Provider Request for Transportation (PT-1) updates</w:t>
      </w:r>
    </w:p>
    <w:p w14:paraId="165AB583" w14:textId="77777777" w:rsidR="00893916" w:rsidRDefault="00893916" w:rsidP="00893916">
      <w:pPr>
        <w:pStyle w:val="NormalWeb"/>
        <w:numPr>
          <w:ilvl w:val="0"/>
          <w:numId w:val="58"/>
        </w:numPr>
        <w:spacing w:before="100" w:beforeAutospacing="1" w:after="100" w:afterAutospacing="1"/>
      </w:pPr>
      <w:r>
        <w:t>Payment and Care Delivery Innovation (PCDI) Year 4</w:t>
      </w:r>
    </w:p>
    <w:p w14:paraId="30F22E92" w14:textId="77777777" w:rsidR="00893916" w:rsidRDefault="00893916" w:rsidP="00893916">
      <w:pPr>
        <w:pStyle w:val="NormalWeb"/>
        <w:numPr>
          <w:ilvl w:val="0"/>
          <w:numId w:val="58"/>
        </w:numPr>
        <w:spacing w:before="100" w:beforeAutospacing="1" w:after="100" w:afterAutospacing="1"/>
      </w:pPr>
      <w:r>
        <w:t>Office of Long-Term Services and Supports (OLTSS) updates</w:t>
      </w:r>
    </w:p>
    <w:p w14:paraId="25D2AF78" w14:textId="77777777" w:rsidR="00893916" w:rsidRDefault="00893916" w:rsidP="00893916">
      <w:pPr>
        <w:pStyle w:val="NormalWeb"/>
        <w:numPr>
          <w:ilvl w:val="0"/>
          <w:numId w:val="58"/>
        </w:numPr>
        <w:spacing w:before="100" w:beforeAutospacing="1" w:after="100" w:afterAutospacing="1"/>
      </w:pPr>
      <w:r>
        <w:t>Cost Sharing/HIPAA Health Care Benefit Response Update</w:t>
      </w:r>
    </w:p>
    <w:p w14:paraId="1EA2643D" w14:textId="699B9CD5" w:rsidR="00893916" w:rsidRDefault="00893916" w:rsidP="00893916">
      <w:pPr>
        <w:pStyle w:val="NormalWeb"/>
        <w:spacing w:before="100" w:beforeAutospacing="1" w:after="100" w:afterAutospacing="1" w:line="276" w:lineRule="auto"/>
      </w:pPr>
      <w:r>
        <w:t xml:space="preserve">Since COVID-19 continues to impact all providers in various ways, it was important to ensure regular communication with providers.  In addition, any questions and escalations surrounding new policies </w:t>
      </w:r>
      <w:r w:rsidR="001E400B">
        <w:t xml:space="preserve">in response to COVID-19 </w:t>
      </w:r>
      <w:r>
        <w:t>were handled as priorities when needed, and providers' issues were addressed.  The goal was to make sure all communications were able to support providers as they continue to serve our members during this challenging time.</w:t>
      </w:r>
    </w:p>
    <w:p w14:paraId="66EA1445" w14:textId="77777777" w:rsidR="001F6BB2" w:rsidRDefault="001F6BB2" w:rsidP="001F6BB2">
      <w:pPr>
        <w:spacing w:before="100" w:beforeAutospacing="1" w:after="100" w:afterAutospacing="1"/>
        <w:rPr>
          <w:rFonts w:cs="Times New Roman"/>
          <w:szCs w:val="24"/>
          <w:u w:val="single"/>
        </w:rPr>
      </w:pPr>
      <w:r>
        <w:rPr>
          <w:rFonts w:cs="Times New Roman"/>
          <w:szCs w:val="24"/>
          <w:u w:val="single"/>
        </w:rPr>
        <w:t>Annual Summary</w:t>
      </w:r>
    </w:p>
    <w:p w14:paraId="72ECE48A" w14:textId="77777777" w:rsidR="001F6BB2" w:rsidRDefault="001F6BB2" w:rsidP="001F6BB2">
      <w:pPr>
        <w:spacing w:before="100" w:beforeAutospacing="1" w:after="100" w:afterAutospacing="1"/>
        <w:rPr>
          <w:rFonts w:cs="Times New Roman"/>
          <w:szCs w:val="24"/>
        </w:rPr>
      </w:pPr>
      <w:r>
        <w:rPr>
          <w:rFonts w:cs="Times New Roman"/>
          <w:szCs w:val="24"/>
        </w:rPr>
        <w:t>Throughout this year the provider education and communication focus was on supporting our members and providers with the latest updates and guidance from MassHealth to respond to the COVID-19 emergency, including communication to providers regarding COVID-19 vaccinations and Mass Vaccination sites.  Virtual resources played key roles in provider Education and Communication. These tools, such as a dedicated COVID-19 webpage for providers (</w:t>
      </w:r>
      <w:hyperlink r:id="rId10" w:history="1">
        <w:r>
          <w:rPr>
            <w:rStyle w:val="Hyperlink"/>
            <w:rFonts w:cs="Times New Roman"/>
            <w:szCs w:val="24"/>
          </w:rPr>
          <w:t>https://www.mass.gov/info-details/masshealth-coronavirus-disease-2019-covid-19-providers</w:t>
        </w:r>
      </w:hyperlink>
      <w:r>
        <w:rPr>
          <w:rFonts w:cs="Times New Roman"/>
          <w:szCs w:val="24"/>
        </w:rPr>
        <w:t>), webinars using video conferencing tools, such as Zoom and Cisco WebEx, enhanced customer service, and provider support emails were continuously updated with the latest policy and guidance from MassHealth.</w:t>
      </w:r>
    </w:p>
    <w:p w14:paraId="050873E1" w14:textId="77777777" w:rsidR="001F6BB2" w:rsidRDefault="001F6BB2" w:rsidP="001F6BB2">
      <w:pPr>
        <w:spacing w:before="100" w:beforeAutospacing="1" w:after="100" w:afterAutospacing="1"/>
        <w:rPr>
          <w:rFonts w:cs="Times New Roman"/>
          <w:szCs w:val="24"/>
        </w:rPr>
      </w:pPr>
      <w:r>
        <w:rPr>
          <w:rFonts w:cs="Times New Roman"/>
          <w:szCs w:val="24"/>
        </w:rPr>
        <w:t xml:space="preserve">Since COVID-19 continues to impact all providers in various ways, it was important to ensure regular communication with providers. The goal of these activities was to highlight the state and federal COVID-19 response to support both members and providers. </w:t>
      </w:r>
    </w:p>
    <w:p w14:paraId="3354241A" w14:textId="23E5D12C" w:rsidR="00BC0AF4" w:rsidRPr="00A97855" w:rsidRDefault="00B31F0D" w:rsidP="00945667">
      <w:pPr>
        <w:pStyle w:val="Heading2"/>
      </w:pPr>
      <w:r w:rsidRPr="00A97855">
        <w:t xml:space="preserve">Delivery System Reforms and DSRIP </w:t>
      </w:r>
    </w:p>
    <w:p w14:paraId="3F06770E" w14:textId="1A3BDC73" w:rsidR="00E8657B" w:rsidRPr="004B161F" w:rsidRDefault="00E8657B" w:rsidP="00945667">
      <w:pPr>
        <w:pStyle w:val="Heading3"/>
      </w:pPr>
      <w:r w:rsidRPr="002457B4">
        <w:t xml:space="preserve">Accountable Care Organizations (ACOs)  </w:t>
      </w:r>
    </w:p>
    <w:p w14:paraId="76121E7D" w14:textId="77777777" w:rsidR="00E8657B" w:rsidRPr="004B161F" w:rsidRDefault="00E8657B" w:rsidP="00E8657B">
      <w:pPr>
        <w:widowControl w:val="0"/>
        <w:autoSpaceDE w:val="0"/>
        <w:autoSpaceDN w:val="0"/>
        <w:spacing w:before="100" w:beforeAutospacing="1" w:after="100" w:afterAutospacing="1"/>
        <w:ind w:right="827"/>
        <w:rPr>
          <w:rFonts w:eastAsia="Times New Roman" w:cs="Times New Roman"/>
          <w:szCs w:val="24"/>
          <w:u w:val="single"/>
        </w:rPr>
      </w:pPr>
      <w:r w:rsidRPr="004B161F">
        <w:rPr>
          <w:rFonts w:eastAsia="Times New Roman" w:cs="Times New Roman"/>
          <w:szCs w:val="24"/>
          <w:u w:val="single"/>
        </w:rPr>
        <w:t>Q4 Update</w:t>
      </w:r>
    </w:p>
    <w:p w14:paraId="30288969" w14:textId="7E4657A2" w:rsidR="00E8657B" w:rsidRPr="00857AA8" w:rsidRDefault="00E8657B" w:rsidP="00E8657B">
      <w:pPr>
        <w:pStyle w:val="NoSpacing"/>
        <w:spacing w:after="120" w:line="276" w:lineRule="auto"/>
        <w:rPr>
          <w:rFonts w:ascii="Times New Roman" w:hAnsi="Times New Roman" w:cs="Times New Roman"/>
          <w:sz w:val="24"/>
          <w:highlight w:val="yellow"/>
        </w:rPr>
      </w:pPr>
      <w:r w:rsidRPr="008035AE">
        <w:rPr>
          <w:rFonts w:ascii="Times New Roman" w:hAnsi="Times New Roman" w:cs="Times New Roman"/>
          <w:sz w:val="24"/>
        </w:rPr>
        <w:t>During Q4</w:t>
      </w:r>
      <w:r>
        <w:rPr>
          <w:rFonts w:ascii="Times New Roman" w:hAnsi="Times New Roman" w:cs="Times New Roman"/>
          <w:sz w:val="24"/>
        </w:rPr>
        <w:t>, MassHealth c</w:t>
      </w:r>
      <w:r w:rsidRPr="00E04D22">
        <w:rPr>
          <w:rFonts w:ascii="Times New Roman" w:hAnsi="Times New Roman" w:cs="Times New Roman"/>
          <w:sz w:val="24"/>
        </w:rPr>
        <w:t xml:space="preserve">ontinued </w:t>
      </w:r>
      <w:r>
        <w:rPr>
          <w:rFonts w:ascii="Times New Roman" w:hAnsi="Times New Roman" w:cs="Times New Roman"/>
          <w:sz w:val="24"/>
        </w:rPr>
        <w:t xml:space="preserve">with a </w:t>
      </w:r>
      <w:r w:rsidRPr="00E04D22">
        <w:rPr>
          <w:rFonts w:ascii="Times New Roman" w:hAnsi="Times New Roman" w:cs="Times New Roman"/>
          <w:sz w:val="24"/>
        </w:rPr>
        <w:t xml:space="preserve">quarterly </w:t>
      </w:r>
      <w:r>
        <w:rPr>
          <w:rFonts w:ascii="Times New Roman" w:hAnsi="Times New Roman" w:cs="Times New Roman"/>
          <w:sz w:val="24"/>
        </w:rPr>
        <w:t>update to its internal</w:t>
      </w:r>
      <w:r w:rsidRPr="00E04D22">
        <w:rPr>
          <w:rFonts w:ascii="Times New Roman" w:hAnsi="Times New Roman" w:cs="Times New Roman"/>
          <w:sz w:val="24"/>
        </w:rPr>
        <w:t xml:space="preserve"> Integrated Performance Dashboard for ongoing monitoring and management of ACO financial, quality, and compliance performance</w:t>
      </w:r>
      <w:r>
        <w:rPr>
          <w:rFonts w:ascii="Times New Roman" w:hAnsi="Times New Roman" w:cs="Times New Roman"/>
          <w:sz w:val="24"/>
        </w:rPr>
        <w:t>. Also during this quarter, MassHealth c</w:t>
      </w:r>
      <w:r w:rsidRPr="004D3E6D">
        <w:rPr>
          <w:rFonts w:ascii="Times New Roman" w:hAnsi="Times New Roman" w:cs="Times New Roman"/>
          <w:sz w:val="24"/>
        </w:rPr>
        <w:t xml:space="preserve">ompleted </w:t>
      </w:r>
      <w:r>
        <w:rPr>
          <w:rFonts w:ascii="Times New Roman" w:hAnsi="Times New Roman" w:cs="Times New Roman"/>
          <w:sz w:val="24"/>
        </w:rPr>
        <w:t>two</w:t>
      </w:r>
      <w:r w:rsidRPr="004D3E6D">
        <w:rPr>
          <w:rFonts w:ascii="Times New Roman" w:hAnsi="Times New Roman" w:cs="Times New Roman"/>
          <w:sz w:val="24"/>
        </w:rPr>
        <w:t xml:space="preserve"> ACO performance engagements</w:t>
      </w:r>
      <w:r>
        <w:rPr>
          <w:rFonts w:ascii="Times New Roman" w:hAnsi="Times New Roman" w:cs="Times New Roman"/>
          <w:sz w:val="24"/>
        </w:rPr>
        <w:t>.</w:t>
      </w:r>
      <w:r w:rsidRPr="008035AE">
        <w:rPr>
          <w:rFonts w:ascii="Times New Roman" w:hAnsi="Times New Roman" w:cs="Times New Roman"/>
          <w:sz w:val="24"/>
        </w:rPr>
        <w:t xml:space="preserve"> </w:t>
      </w:r>
      <w:r>
        <w:rPr>
          <w:rFonts w:ascii="Times New Roman" w:hAnsi="Times New Roman" w:cs="Times New Roman"/>
          <w:sz w:val="24"/>
        </w:rPr>
        <w:t>O</w:t>
      </w:r>
      <w:r w:rsidRPr="004D3E6D">
        <w:rPr>
          <w:rFonts w:ascii="Times New Roman" w:hAnsi="Times New Roman" w:cs="Times New Roman"/>
          <w:sz w:val="24"/>
        </w:rPr>
        <w:t xml:space="preserve">ne focused on reducing high inpatient admissions. Using </w:t>
      </w:r>
      <w:r>
        <w:rPr>
          <w:rFonts w:ascii="Times New Roman" w:hAnsi="Times New Roman" w:cs="Times New Roman"/>
          <w:sz w:val="24"/>
        </w:rPr>
        <w:t xml:space="preserve">a </w:t>
      </w:r>
      <w:r w:rsidRPr="004D3E6D">
        <w:rPr>
          <w:rFonts w:ascii="Times New Roman" w:hAnsi="Times New Roman" w:cs="Times New Roman"/>
          <w:sz w:val="24"/>
        </w:rPr>
        <w:t xml:space="preserve">data-informed approach, </w:t>
      </w:r>
      <w:r>
        <w:rPr>
          <w:rFonts w:ascii="Times New Roman" w:hAnsi="Times New Roman" w:cs="Times New Roman"/>
          <w:sz w:val="24"/>
        </w:rPr>
        <w:t>MassHealth and an ACO</w:t>
      </w:r>
      <w:r w:rsidRPr="004D3E6D">
        <w:rPr>
          <w:rFonts w:ascii="Times New Roman" w:hAnsi="Times New Roman" w:cs="Times New Roman"/>
          <w:sz w:val="24"/>
        </w:rPr>
        <w:t xml:space="preserve"> jointly identified high utilizers and COPD patients driving their admissions</w:t>
      </w:r>
      <w:r>
        <w:rPr>
          <w:rFonts w:ascii="Times New Roman" w:hAnsi="Times New Roman" w:cs="Times New Roman"/>
          <w:sz w:val="24"/>
        </w:rPr>
        <w:t xml:space="preserve"> and a</w:t>
      </w:r>
      <w:r w:rsidRPr="004D3E6D">
        <w:rPr>
          <w:rFonts w:ascii="Times New Roman" w:hAnsi="Times New Roman" w:cs="Times New Roman"/>
          <w:sz w:val="24"/>
        </w:rPr>
        <w:t xml:space="preserve">ligned on an action plan for </w:t>
      </w:r>
      <w:r>
        <w:rPr>
          <w:rFonts w:ascii="Times New Roman" w:hAnsi="Times New Roman" w:cs="Times New Roman"/>
          <w:sz w:val="24"/>
        </w:rPr>
        <w:t xml:space="preserve">the </w:t>
      </w:r>
      <w:r w:rsidRPr="004D3E6D">
        <w:rPr>
          <w:rFonts w:ascii="Times New Roman" w:hAnsi="Times New Roman" w:cs="Times New Roman"/>
          <w:sz w:val="24"/>
        </w:rPr>
        <w:t xml:space="preserve">ACO to focus </w:t>
      </w:r>
      <w:r>
        <w:rPr>
          <w:rFonts w:ascii="Times New Roman" w:hAnsi="Times New Roman" w:cs="Times New Roman"/>
          <w:sz w:val="24"/>
        </w:rPr>
        <w:t xml:space="preserve">on </w:t>
      </w:r>
      <w:r w:rsidRPr="004D3E6D">
        <w:rPr>
          <w:rFonts w:ascii="Times New Roman" w:hAnsi="Times New Roman" w:cs="Times New Roman"/>
          <w:sz w:val="24"/>
        </w:rPr>
        <w:t xml:space="preserve">care management efforts </w:t>
      </w:r>
      <w:r>
        <w:rPr>
          <w:rFonts w:ascii="Times New Roman" w:hAnsi="Times New Roman" w:cs="Times New Roman"/>
          <w:sz w:val="24"/>
        </w:rPr>
        <w:t>for</w:t>
      </w:r>
      <w:r w:rsidRPr="004D3E6D">
        <w:rPr>
          <w:rFonts w:ascii="Times New Roman" w:hAnsi="Times New Roman" w:cs="Times New Roman"/>
          <w:sz w:val="24"/>
        </w:rPr>
        <w:t xml:space="preserve"> those population</w:t>
      </w:r>
      <w:r>
        <w:rPr>
          <w:rFonts w:ascii="Times New Roman" w:hAnsi="Times New Roman" w:cs="Times New Roman"/>
          <w:sz w:val="24"/>
        </w:rPr>
        <w:t xml:space="preserve">s. </w:t>
      </w:r>
      <w:r w:rsidRPr="00A938E5">
        <w:rPr>
          <w:rFonts w:ascii="Times New Roman" w:hAnsi="Times New Roman" w:cs="Times New Roman"/>
          <w:sz w:val="24"/>
        </w:rPr>
        <w:t>The second</w:t>
      </w:r>
      <w:r>
        <w:rPr>
          <w:rFonts w:ascii="Times New Roman" w:hAnsi="Times New Roman" w:cs="Times New Roman"/>
          <w:sz w:val="24"/>
        </w:rPr>
        <w:t xml:space="preserve"> engagement</w:t>
      </w:r>
      <w:r w:rsidRPr="00A938E5">
        <w:rPr>
          <w:rFonts w:ascii="Times New Roman" w:hAnsi="Times New Roman" w:cs="Times New Roman"/>
          <w:sz w:val="24"/>
        </w:rPr>
        <w:t xml:space="preserve"> </w:t>
      </w:r>
      <w:r>
        <w:rPr>
          <w:rFonts w:ascii="Times New Roman" w:hAnsi="Times New Roman" w:cs="Times New Roman"/>
          <w:sz w:val="24"/>
        </w:rPr>
        <w:t xml:space="preserve">with a different ACO </w:t>
      </w:r>
      <w:r w:rsidRPr="00A938E5">
        <w:rPr>
          <w:rFonts w:ascii="Times New Roman" w:hAnsi="Times New Roman" w:cs="Times New Roman"/>
          <w:sz w:val="24"/>
        </w:rPr>
        <w:t>focused on high ED visits, an area the ACO has been making increasing investments over the last almost 2 years, the impact of which has been confounded by COVID</w:t>
      </w:r>
      <w:r w:rsidR="00DA21B2">
        <w:rPr>
          <w:rFonts w:ascii="Times New Roman" w:hAnsi="Times New Roman" w:cs="Times New Roman"/>
          <w:sz w:val="24"/>
        </w:rPr>
        <w:t>-19</w:t>
      </w:r>
      <w:r w:rsidRPr="00A938E5">
        <w:rPr>
          <w:rFonts w:ascii="Times New Roman" w:hAnsi="Times New Roman" w:cs="Times New Roman"/>
          <w:sz w:val="24"/>
        </w:rPr>
        <w:t xml:space="preserve">. </w:t>
      </w:r>
      <w:r>
        <w:rPr>
          <w:rFonts w:ascii="Times New Roman" w:hAnsi="Times New Roman" w:cs="Times New Roman"/>
          <w:sz w:val="24"/>
        </w:rPr>
        <w:t>MassHealth</w:t>
      </w:r>
      <w:r w:rsidRPr="00A938E5">
        <w:rPr>
          <w:rFonts w:ascii="Times New Roman" w:hAnsi="Times New Roman" w:cs="Times New Roman"/>
          <w:sz w:val="24"/>
        </w:rPr>
        <w:t xml:space="preserve"> aligned </w:t>
      </w:r>
      <w:r>
        <w:rPr>
          <w:rFonts w:ascii="Times New Roman" w:hAnsi="Times New Roman" w:cs="Times New Roman"/>
          <w:sz w:val="24"/>
        </w:rPr>
        <w:t xml:space="preserve">with the ACO </w:t>
      </w:r>
      <w:r w:rsidRPr="00A938E5">
        <w:rPr>
          <w:rFonts w:ascii="Times New Roman" w:hAnsi="Times New Roman" w:cs="Times New Roman"/>
          <w:sz w:val="24"/>
        </w:rPr>
        <w:t>to continue to monitor impact of their ED reduction programs</w:t>
      </w:r>
      <w:r>
        <w:rPr>
          <w:rFonts w:ascii="Times New Roman" w:hAnsi="Times New Roman" w:cs="Times New Roman"/>
          <w:sz w:val="24"/>
        </w:rPr>
        <w:t>.</w:t>
      </w:r>
    </w:p>
    <w:p w14:paraId="1E2C5F7B" w14:textId="599DA7C3" w:rsidR="00E8657B" w:rsidRPr="00D1541C" w:rsidRDefault="00E8657B" w:rsidP="00E8657B">
      <w:pPr>
        <w:pStyle w:val="NoSpacing"/>
        <w:spacing w:after="120" w:line="276" w:lineRule="auto"/>
        <w:rPr>
          <w:rFonts w:ascii="Times New Roman" w:hAnsi="Times New Roman" w:cs="Times New Roman"/>
          <w:sz w:val="24"/>
          <w:szCs w:val="24"/>
        </w:rPr>
      </w:pPr>
      <w:r w:rsidRPr="00FB540E">
        <w:rPr>
          <w:rFonts w:ascii="Times New Roman" w:hAnsi="Times New Roman" w:cs="Times New Roman"/>
          <w:sz w:val="24"/>
          <w:szCs w:val="24"/>
        </w:rPr>
        <w:t>In mid-May, MassHealth delivered to the Model B ACOs a preliminary view of their RY20 financial performance. Also in May, MassHealth delivered to the Model B ACOs their RY19 final reconciliation reports. MassHealth finalized the most recent round of utilization reporting which includes a newly developed B</w:t>
      </w:r>
      <w:r w:rsidR="00DA21B2">
        <w:rPr>
          <w:rFonts w:ascii="Times New Roman" w:hAnsi="Times New Roman" w:cs="Times New Roman"/>
          <w:sz w:val="24"/>
          <w:szCs w:val="24"/>
        </w:rPr>
        <w:t xml:space="preserve">ehavioral </w:t>
      </w:r>
      <w:r w:rsidRPr="00FB540E">
        <w:rPr>
          <w:rFonts w:ascii="Times New Roman" w:hAnsi="Times New Roman" w:cs="Times New Roman"/>
          <w:sz w:val="24"/>
          <w:szCs w:val="24"/>
        </w:rPr>
        <w:t>H</w:t>
      </w:r>
      <w:r w:rsidR="00DA21B2">
        <w:rPr>
          <w:rFonts w:ascii="Times New Roman" w:hAnsi="Times New Roman" w:cs="Times New Roman"/>
          <w:sz w:val="24"/>
          <w:szCs w:val="24"/>
        </w:rPr>
        <w:t>ealth</w:t>
      </w:r>
      <w:r w:rsidRPr="00FB540E">
        <w:rPr>
          <w:rFonts w:ascii="Times New Roman" w:hAnsi="Times New Roman" w:cs="Times New Roman"/>
          <w:sz w:val="24"/>
          <w:szCs w:val="24"/>
        </w:rPr>
        <w:t xml:space="preserve"> Inpatient Readmissions measure </w:t>
      </w:r>
      <w:r>
        <w:rPr>
          <w:rFonts w:ascii="Times New Roman" w:hAnsi="Times New Roman" w:cs="Times New Roman"/>
          <w:sz w:val="24"/>
          <w:szCs w:val="24"/>
        </w:rPr>
        <w:t xml:space="preserve">(not a quality measure) </w:t>
      </w:r>
      <w:r w:rsidRPr="00FB540E">
        <w:rPr>
          <w:rFonts w:ascii="Times New Roman" w:hAnsi="Times New Roman" w:cs="Times New Roman"/>
          <w:sz w:val="24"/>
          <w:szCs w:val="24"/>
        </w:rPr>
        <w:t xml:space="preserve">and was delivered to Model A ACOs, Model B ACOs, and MCOs in July. MassHealth also engaged with stakeholders at Model B ACOs to hear about how the Model B ACO Care Coordination Reporting Suite is being used and what enhancements would be most helpful to the ACOs.  In response to feedback gathered via this engagement, MassHealth began implementing the requested enhancements to the most high value and utilized reports. </w:t>
      </w:r>
    </w:p>
    <w:p w14:paraId="2757BF76" w14:textId="78102612" w:rsidR="00E8657B" w:rsidRDefault="00E8657B" w:rsidP="00E8657B">
      <w:pPr>
        <w:pStyle w:val="NoSpacing"/>
        <w:spacing w:after="12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Earlier, </w:t>
      </w:r>
      <w:r w:rsidRPr="003B7355">
        <w:rPr>
          <w:rFonts w:ascii="Times New Roman" w:hAnsi="Times New Roman" w:cs="Times New Roman"/>
          <w:color w:val="000000"/>
          <w:sz w:val="24"/>
          <w:szCs w:val="24"/>
        </w:rPr>
        <w:t>ACOs, MCOs, and C</w:t>
      </w:r>
      <w:r w:rsidR="000C563C">
        <w:rPr>
          <w:rFonts w:ascii="Times New Roman" w:hAnsi="Times New Roman" w:cs="Times New Roman"/>
          <w:color w:val="000000"/>
          <w:sz w:val="24"/>
          <w:szCs w:val="24"/>
        </w:rPr>
        <w:t xml:space="preserve">ommunity </w:t>
      </w:r>
      <w:r w:rsidRPr="003B7355">
        <w:rPr>
          <w:rFonts w:ascii="Times New Roman" w:hAnsi="Times New Roman" w:cs="Times New Roman"/>
          <w:color w:val="000000"/>
          <w:sz w:val="24"/>
          <w:szCs w:val="24"/>
        </w:rPr>
        <w:t>P</w:t>
      </w:r>
      <w:r w:rsidR="000C563C">
        <w:rPr>
          <w:rFonts w:ascii="Times New Roman" w:hAnsi="Times New Roman" w:cs="Times New Roman"/>
          <w:color w:val="000000"/>
          <w:sz w:val="24"/>
          <w:szCs w:val="24"/>
        </w:rPr>
        <w:t>artners (CP</w:t>
      </w:r>
      <w:r w:rsidRPr="003B7355">
        <w:rPr>
          <w:rFonts w:ascii="Times New Roman" w:hAnsi="Times New Roman" w:cs="Times New Roman"/>
          <w:color w:val="000000"/>
          <w:sz w:val="24"/>
          <w:szCs w:val="24"/>
        </w:rPr>
        <w:t>s</w:t>
      </w:r>
      <w:r w:rsidR="000C563C">
        <w:rPr>
          <w:rFonts w:ascii="Times New Roman" w:hAnsi="Times New Roman" w:cs="Times New Roman"/>
          <w:color w:val="000000"/>
          <w:sz w:val="24"/>
          <w:szCs w:val="24"/>
        </w:rPr>
        <w:t>)</w:t>
      </w:r>
      <w:r w:rsidRPr="003B7355">
        <w:rPr>
          <w:rFonts w:ascii="Times New Roman" w:hAnsi="Times New Roman" w:cs="Times New Roman"/>
          <w:color w:val="000000"/>
          <w:sz w:val="24"/>
          <w:szCs w:val="24"/>
        </w:rPr>
        <w:t xml:space="preserve"> were given an opportunity to end sub-scale relationships via the ACO/MCO CP Preferred Relationships process. Proposals were due in April 2021. MassHealth received 10 proposals, all of which included robust plans for transitioning members out of the relationships, as well as plans to maintain CP volume through fewer partnerships. In May, MassHealth granted preliminary approval for all 10 proposals received, and the ACOs and CPs who were granted approval began transitioning shared members out of the relationships. MassHealth monitored these transitions and granted final approval once the relationships shared zero members. MassHealth continued to monitor overall and ACO/MCO-specific CP program enrollment, engagement, and member assessment during Q4. In May 2021, MassHealth engaged with a few ACOs/MCOs who were underperforming in these metrics. MassHealth also committed to giving ACOs/MCOs quarterly reports on certain measures relating to their performance in the CP program. The first ACO/MCO Community Partner Enrollment and Activities Report was delivered in May 2021.</w:t>
      </w:r>
      <w:r w:rsidRPr="00857AA8">
        <w:rPr>
          <w:rFonts w:ascii="Times New Roman" w:hAnsi="Times New Roman" w:cs="Times New Roman"/>
          <w:color w:val="000000"/>
          <w:sz w:val="24"/>
          <w:szCs w:val="24"/>
        </w:rPr>
        <w:t xml:space="preserve"> </w:t>
      </w:r>
    </w:p>
    <w:p w14:paraId="6C58DA2C" w14:textId="1E917E32" w:rsidR="00E8657B" w:rsidRDefault="00E8657B" w:rsidP="00E8657B">
      <w:pPr>
        <w:pStyle w:val="NoSpacing"/>
        <w:spacing w:line="276" w:lineRule="auto"/>
        <w:rPr>
          <w:rFonts w:ascii="Times New Roman" w:hAnsi="Times New Roman" w:cs="Times New Roman"/>
          <w:color w:val="000000"/>
          <w:sz w:val="24"/>
          <w:szCs w:val="24"/>
          <w:shd w:val="clear" w:color="auto" w:fill="FFFFFF"/>
        </w:rPr>
      </w:pPr>
      <w:r w:rsidRPr="00C917E3">
        <w:rPr>
          <w:rFonts w:ascii="Times New Roman" w:hAnsi="Times New Roman" w:cs="Times New Roman"/>
          <w:color w:val="000000"/>
          <w:sz w:val="24"/>
          <w:szCs w:val="24"/>
          <w:shd w:val="clear" w:color="auto" w:fill="FFFFFF"/>
        </w:rPr>
        <w:t>MassHealth executed Amendment 2 to the 3rd Amended and Restated Contracts, to reflect updated policies effective 1/1/2021</w:t>
      </w:r>
      <w:r>
        <w:rPr>
          <w:rFonts w:ascii="Times New Roman" w:hAnsi="Times New Roman" w:cs="Times New Roman"/>
          <w:color w:val="000000"/>
          <w:sz w:val="24"/>
          <w:szCs w:val="24"/>
          <w:shd w:val="clear" w:color="auto" w:fill="FFFFFF"/>
        </w:rPr>
        <w:t xml:space="preserve">, as well as </w:t>
      </w:r>
      <w:r w:rsidRPr="00C917E3">
        <w:rPr>
          <w:rFonts w:ascii="Times New Roman" w:hAnsi="Times New Roman" w:cs="Times New Roman"/>
          <w:color w:val="000000"/>
          <w:sz w:val="24"/>
          <w:szCs w:val="24"/>
          <w:shd w:val="clear" w:color="auto" w:fill="FFFFFF"/>
        </w:rPr>
        <w:t>Amendment 3 to the 3rd Amended and Restated Contracts, to reflect updated policies effective 7/1/2021</w:t>
      </w:r>
      <w:r w:rsidR="000C563C">
        <w:rPr>
          <w:rFonts w:ascii="Times New Roman" w:hAnsi="Times New Roman" w:cs="Times New Roman"/>
          <w:color w:val="000000"/>
          <w:sz w:val="24"/>
          <w:szCs w:val="24"/>
          <w:shd w:val="clear" w:color="auto" w:fill="FFFFFF"/>
        </w:rPr>
        <w:t>.</w:t>
      </w:r>
    </w:p>
    <w:p w14:paraId="26587493" w14:textId="77777777" w:rsidR="00E8657B" w:rsidRPr="004B161F" w:rsidRDefault="00E8657B" w:rsidP="00E8657B">
      <w:pPr>
        <w:widowControl w:val="0"/>
        <w:autoSpaceDE w:val="0"/>
        <w:autoSpaceDN w:val="0"/>
        <w:spacing w:before="100" w:beforeAutospacing="1" w:after="100" w:afterAutospacing="1"/>
        <w:ind w:right="827"/>
        <w:rPr>
          <w:rFonts w:eastAsia="Times New Roman" w:cs="Times New Roman"/>
          <w:szCs w:val="24"/>
          <w:u w:val="single"/>
        </w:rPr>
      </w:pPr>
      <w:r w:rsidRPr="004B161F">
        <w:rPr>
          <w:rFonts w:eastAsia="Times New Roman" w:cs="Times New Roman"/>
          <w:szCs w:val="24"/>
          <w:u w:val="single"/>
        </w:rPr>
        <w:t>Annual Summary</w:t>
      </w:r>
    </w:p>
    <w:p w14:paraId="2A7CEEB1" w14:textId="77777777" w:rsidR="00E8657B" w:rsidRPr="00D1541C" w:rsidRDefault="00E8657B" w:rsidP="00E8657B">
      <w:pPr>
        <w:pStyle w:val="NoSpacing"/>
        <w:spacing w:line="276" w:lineRule="auto"/>
        <w:rPr>
          <w:rFonts w:ascii="Times New Roman" w:hAnsi="Times New Roman" w:cs="Times New Roman"/>
          <w:sz w:val="24"/>
          <w:szCs w:val="24"/>
        </w:rPr>
      </w:pPr>
      <w:r w:rsidRPr="005C415B">
        <w:rPr>
          <w:rFonts w:ascii="Times New Roman" w:hAnsi="Times New Roman" w:cs="Times New Roman"/>
          <w:sz w:val="24"/>
          <w:szCs w:val="24"/>
        </w:rPr>
        <w:t>Q1:</w:t>
      </w:r>
    </w:p>
    <w:p w14:paraId="7553EF76" w14:textId="77777777" w:rsidR="00E8657B" w:rsidRPr="0034283B" w:rsidRDefault="00E8657B" w:rsidP="00E8657B">
      <w:pPr>
        <w:pStyle w:val="NoSpacing"/>
        <w:numPr>
          <w:ilvl w:val="0"/>
          <w:numId w:val="26"/>
        </w:numPr>
        <w:spacing w:line="276" w:lineRule="auto"/>
        <w:rPr>
          <w:rFonts w:ascii="Times New Roman" w:hAnsi="Times New Roman" w:cs="Times New Roman"/>
          <w:sz w:val="24"/>
          <w:szCs w:val="24"/>
        </w:rPr>
      </w:pPr>
      <w:r w:rsidRPr="0034283B">
        <w:rPr>
          <w:rFonts w:ascii="Times New Roman" w:hAnsi="Times New Roman" w:cs="Times New Roman"/>
          <w:sz w:val="24"/>
          <w:szCs w:val="24"/>
        </w:rPr>
        <w:t>Began planning the enhancements and release of the SFY21 Q2 version of the internal ACO Integrated Performance Dashboard</w:t>
      </w:r>
    </w:p>
    <w:p w14:paraId="301678C8" w14:textId="77777777" w:rsidR="00E8657B" w:rsidRPr="0034283B" w:rsidRDefault="00E8657B" w:rsidP="00E8657B">
      <w:pPr>
        <w:pStyle w:val="NoSpacing"/>
        <w:numPr>
          <w:ilvl w:val="0"/>
          <w:numId w:val="26"/>
        </w:numPr>
        <w:spacing w:line="276" w:lineRule="auto"/>
        <w:rPr>
          <w:rFonts w:ascii="Times New Roman" w:hAnsi="Times New Roman" w:cs="Times New Roman"/>
          <w:sz w:val="24"/>
          <w:szCs w:val="24"/>
        </w:rPr>
      </w:pPr>
      <w:r w:rsidRPr="0034283B">
        <w:rPr>
          <w:rFonts w:ascii="Times New Roman" w:hAnsi="Times New Roman" w:cs="Times New Roman"/>
          <w:sz w:val="24"/>
          <w:szCs w:val="24"/>
        </w:rPr>
        <w:t>Approved population health management program evaluation strategies submitted by ACOs, allowing the ACOs to begin executing evaluations</w:t>
      </w:r>
    </w:p>
    <w:p w14:paraId="69244E52" w14:textId="77777777" w:rsidR="00E8657B" w:rsidRPr="0034283B" w:rsidRDefault="00E8657B" w:rsidP="00E8657B">
      <w:pPr>
        <w:pStyle w:val="NoSpacing"/>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Continued d</w:t>
      </w:r>
      <w:r w:rsidRPr="0034283B">
        <w:rPr>
          <w:rFonts w:ascii="Times New Roman" w:hAnsi="Times New Roman" w:cs="Times New Roman"/>
          <w:sz w:val="24"/>
          <w:szCs w:val="24"/>
        </w:rPr>
        <w:t>iscussions with specific plans regarding performance opportunities related to quality, member experience, inappropriate utilization, and cost</w:t>
      </w:r>
    </w:p>
    <w:p w14:paraId="30DD8C70" w14:textId="77777777" w:rsidR="00E8657B" w:rsidRPr="00317C4D" w:rsidRDefault="00E8657B" w:rsidP="00E8657B">
      <w:pPr>
        <w:pStyle w:val="NoSpacing"/>
        <w:numPr>
          <w:ilvl w:val="0"/>
          <w:numId w:val="26"/>
        </w:numPr>
        <w:spacing w:line="276" w:lineRule="auto"/>
        <w:rPr>
          <w:rFonts w:ascii="Times New Roman" w:hAnsi="Times New Roman" w:cs="Times New Roman"/>
          <w:sz w:val="24"/>
          <w:szCs w:val="24"/>
        </w:rPr>
      </w:pPr>
      <w:r w:rsidRPr="00317C4D">
        <w:rPr>
          <w:rFonts w:ascii="Times New Roman" w:hAnsi="Times New Roman" w:cs="Times New Roman"/>
          <w:sz w:val="24"/>
          <w:szCs w:val="24"/>
        </w:rPr>
        <w:t>In July</w:t>
      </w:r>
      <w:r>
        <w:rPr>
          <w:rFonts w:ascii="Times New Roman" w:hAnsi="Times New Roman" w:cs="Times New Roman"/>
          <w:sz w:val="24"/>
          <w:szCs w:val="24"/>
        </w:rPr>
        <w:t xml:space="preserve"> 2020</w:t>
      </w:r>
      <w:r w:rsidRPr="00317C4D">
        <w:rPr>
          <w:rFonts w:ascii="Times New Roman" w:hAnsi="Times New Roman" w:cs="Times New Roman"/>
          <w:sz w:val="24"/>
          <w:szCs w:val="24"/>
        </w:rPr>
        <w:t>, delivered to ACOs and MCOs a third round of utilization reporting which included new utilization measures jointly prioritized for inclusion by ACO stakeholders and MassHealth.</w:t>
      </w:r>
    </w:p>
    <w:p w14:paraId="3E6166B3" w14:textId="77777777" w:rsidR="00E8657B" w:rsidRPr="00317C4D" w:rsidRDefault="00E8657B" w:rsidP="00E8657B">
      <w:pPr>
        <w:pStyle w:val="NoSpacing"/>
        <w:numPr>
          <w:ilvl w:val="0"/>
          <w:numId w:val="26"/>
        </w:numPr>
        <w:spacing w:line="276" w:lineRule="auto"/>
        <w:rPr>
          <w:rFonts w:ascii="Times New Roman" w:hAnsi="Times New Roman" w:cs="Times New Roman"/>
          <w:sz w:val="24"/>
          <w:szCs w:val="24"/>
        </w:rPr>
      </w:pPr>
      <w:r w:rsidRPr="00317C4D">
        <w:rPr>
          <w:rFonts w:ascii="Times New Roman" w:hAnsi="Times New Roman" w:cs="Times New Roman"/>
          <w:sz w:val="24"/>
          <w:szCs w:val="24"/>
        </w:rPr>
        <w:t>In August</w:t>
      </w:r>
      <w:r>
        <w:rPr>
          <w:rFonts w:ascii="Times New Roman" w:hAnsi="Times New Roman" w:cs="Times New Roman"/>
          <w:sz w:val="24"/>
          <w:szCs w:val="24"/>
        </w:rPr>
        <w:t xml:space="preserve"> 2020</w:t>
      </w:r>
      <w:r w:rsidRPr="00317C4D">
        <w:rPr>
          <w:rFonts w:ascii="Times New Roman" w:hAnsi="Times New Roman" w:cs="Times New Roman"/>
          <w:sz w:val="24"/>
          <w:szCs w:val="24"/>
        </w:rPr>
        <w:t>, began developing another round of Model B financial reporting which provides the Model B ACOs with a preliminary view of their performance in the first half of RY20 (Jan – Jun 2020).</w:t>
      </w:r>
    </w:p>
    <w:p w14:paraId="39ADBBD7" w14:textId="77777777" w:rsidR="00E8657B" w:rsidRDefault="00E8657B" w:rsidP="00E8657B">
      <w:pPr>
        <w:pStyle w:val="NoSpacing"/>
        <w:numPr>
          <w:ilvl w:val="0"/>
          <w:numId w:val="26"/>
        </w:numPr>
        <w:spacing w:line="276" w:lineRule="auto"/>
        <w:rPr>
          <w:rFonts w:ascii="Times New Roman" w:hAnsi="Times New Roman" w:cs="Times New Roman"/>
          <w:sz w:val="24"/>
          <w:szCs w:val="24"/>
        </w:rPr>
      </w:pPr>
      <w:r w:rsidRPr="00317C4D">
        <w:rPr>
          <w:rFonts w:ascii="Times New Roman" w:hAnsi="Times New Roman" w:cs="Times New Roman"/>
          <w:sz w:val="24"/>
          <w:szCs w:val="24"/>
        </w:rPr>
        <w:t>Throughout September</w:t>
      </w:r>
      <w:r>
        <w:rPr>
          <w:rFonts w:ascii="Times New Roman" w:hAnsi="Times New Roman" w:cs="Times New Roman"/>
          <w:sz w:val="24"/>
          <w:szCs w:val="24"/>
        </w:rPr>
        <w:t xml:space="preserve"> 2020</w:t>
      </w:r>
      <w:r w:rsidRPr="00317C4D">
        <w:rPr>
          <w:rFonts w:ascii="Times New Roman" w:hAnsi="Times New Roman" w:cs="Times New Roman"/>
          <w:sz w:val="24"/>
          <w:szCs w:val="24"/>
        </w:rPr>
        <w:t>, continued to finalize development on the next round of utilization reporting for the ACO/MCOs, focusing on incorporating both a PCP visits and a telehealth measure.</w:t>
      </w:r>
    </w:p>
    <w:p w14:paraId="590C06A3" w14:textId="77777777" w:rsidR="00E8657B" w:rsidRPr="00FA1305" w:rsidRDefault="00E8657B" w:rsidP="00E8657B">
      <w:pPr>
        <w:pStyle w:val="NoSpacing"/>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D</w:t>
      </w:r>
      <w:r w:rsidRPr="00FA1305">
        <w:rPr>
          <w:rFonts w:ascii="Times New Roman" w:hAnsi="Times New Roman" w:cs="Times New Roman"/>
          <w:sz w:val="24"/>
          <w:szCs w:val="24"/>
        </w:rPr>
        <w:t xml:space="preserve">eveloped plans to share data more regularly with ACOs/MCOs and CPs to foster integration and encourage joint process improvement. </w:t>
      </w:r>
    </w:p>
    <w:p w14:paraId="3D678BC2" w14:textId="77777777" w:rsidR="00E8657B" w:rsidRDefault="00E8657B" w:rsidP="00E8657B">
      <w:pPr>
        <w:pStyle w:val="NoSpacing"/>
        <w:numPr>
          <w:ilvl w:val="0"/>
          <w:numId w:val="26"/>
        </w:numPr>
        <w:spacing w:line="276" w:lineRule="auto"/>
        <w:rPr>
          <w:rFonts w:ascii="Times New Roman" w:hAnsi="Times New Roman" w:cs="Times New Roman"/>
          <w:sz w:val="24"/>
          <w:szCs w:val="24"/>
        </w:rPr>
      </w:pPr>
      <w:r w:rsidRPr="00FA1305">
        <w:rPr>
          <w:rFonts w:ascii="Times New Roman" w:hAnsi="Times New Roman" w:cs="Times New Roman"/>
          <w:sz w:val="24"/>
          <w:szCs w:val="24"/>
        </w:rPr>
        <w:t>ACO/MCO CP Change Teams who were participating in the Care Plan Learning Collaborative began meeting 1:1 for virtual Technical Assistance sessions with subject matter experts.</w:t>
      </w:r>
    </w:p>
    <w:p w14:paraId="48696492" w14:textId="77777777" w:rsidR="00E8657B" w:rsidRPr="00A24CA2" w:rsidRDefault="00E8657B" w:rsidP="00E8657B">
      <w:pPr>
        <w:pStyle w:val="NoSpacing"/>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D</w:t>
      </w:r>
      <w:r w:rsidRPr="00A24CA2">
        <w:rPr>
          <w:rFonts w:ascii="Times New Roman" w:hAnsi="Times New Roman" w:cs="Times New Roman"/>
          <w:sz w:val="24"/>
          <w:szCs w:val="24"/>
        </w:rPr>
        <w:t xml:space="preserve">eveloped Amendment 3 to the 2nd Amended and Restated ACO/MCO Contracts </w:t>
      </w:r>
    </w:p>
    <w:p w14:paraId="0E441FBE" w14:textId="77777777" w:rsidR="00E8657B" w:rsidRDefault="00E8657B" w:rsidP="00E8657B">
      <w:pPr>
        <w:pStyle w:val="NoSpacing"/>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D</w:t>
      </w:r>
      <w:r w:rsidRPr="00A24CA2">
        <w:rPr>
          <w:rFonts w:ascii="Times New Roman" w:hAnsi="Times New Roman" w:cs="Times New Roman"/>
          <w:sz w:val="24"/>
          <w:szCs w:val="24"/>
        </w:rPr>
        <w:t>eveloped the 3rd Amended and Restated ACO/MCO Contracts, along with Amendment 1 to the 3rd Amended and Restated ACO/MCO Contracts</w:t>
      </w:r>
    </w:p>
    <w:p w14:paraId="6682624F" w14:textId="77777777" w:rsidR="00E8657B" w:rsidRPr="00D1541C" w:rsidRDefault="00E8657B" w:rsidP="00E8657B">
      <w:pPr>
        <w:pStyle w:val="NoSpacing"/>
        <w:spacing w:line="276" w:lineRule="auto"/>
        <w:ind w:left="360"/>
        <w:rPr>
          <w:rFonts w:ascii="Times New Roman" w:hAnsi="Times New Roman" w:cs="Times New Roman"/>
          <w:sz w:val="24"/>
          <w:szCs w:val="24"/>
        </w:rPr>
      </w:pPr>
    </w:p>
    <w:p w14:paraId="7EA6CB9D" w14:textId="77777777" w:rsidR="00E8657B" w:rsidRPr="00D1541C" w:rsidRDefault="00E8657B" w:rsidP="000C563C">
      <w:pPr>
        <w:pStyle w:val="NoSpacing"/>
        <w:spacing w:line="276" w:lineRule="auto"/>
        <w:rPr>
          <w:rFonts w:ascii="Times New Roman" w:hAnsi="Times New Roman" w:cs="Times New Roman"/>
          <w:sz w:val="24"/>
          <w:szCs w:val="24"/>
        </w:rPr>
      </w:pPr>
      <w:r w:rsidRPr="00D1541C">
        <w:rPr>
          <w:rFonts w:ascii="Times New Roman" w:hAnsi="Times New Roman" w:cs="Times New Roman"/>
          <w:sz w:val="24"/>
          <w:szCs w:val="24"/>
        </w:rPr>
        <w:t>Q2:</w:t>
      </w:r>
    </w:p>
    <w:p w14:paraId="6D19C541" w14:textId="77777777" w:rsidR="00E8657B" w:rsidRPr="00774487" w:rsidRDefault="00E8657B" w:rsidP="00E8657B">
      <w:pPr>
        <w:pStyle w:val="NoSpacing"/>
        <w:numPr>
          <w:ilvl w:val="0"/>
          <w:numId w:val="27"/>
        </w:numPr>
        <w:tabs>
          <w:tab w:val="left" w:pos="720"/>
        </w:tabs>
        <w:spacing w:line="276" w:lineRule="auto"/>
        <w:rPr>
          <w:rFonts w:ascii="Times New Roman" w:hAnsi="Times New Roman" w:cs="Times New Roman"/>
          <w:sz w:val="24"/>
          <w:szCs w:val="24"/>
        </w:rPr>
      </w:pPr>
      <w:r w:rsidRPr="00774487">
        <w:rPr>
          <w:rFonts w:ascii="Times New Roman" w:hAnsi="Times New Roman" w:cs="Times New Roman"/>
          <w:sz w:val="24"/>
          <w:szCs w:val="24"/>
        </w:rPr>
        <w:t xml:space="preserve">Released another Integrated Performance Dashboard </w:t>
      </w:r>
      <w:r>
        <w:rPr>
          <w:rFonts w:ascii="Times New Roman" w:hAnsi="Times New Roman" w:cs="Times New Roman"/>
          <w:sz w:val="24"/>
          <w:szCs w:val="24"/>
        </w:rPr>
        <w:t>to</w:t>
      </w:r>
      <w:r w:rsidRPr="00774487">
        <w:rPr>
          <w:rFonts w:ascii="Times New Roman" w:hAnsi="Times New Roman" w:cs="Times New Roman"/>
          <w:sz w:val="24"/>
          <w:szCs w:val="24"/>
        </w:rPr>
        <w:t xml:space="preserve"> be used in ongoing monitoring and management of ACO financial, quality, and compliance performance</w:t>
      </w:r>
    </w:p>
    <w:p w14:paraId="10B12EF9" w14:textId="77777777" w:rsidR="00E8657B" w:rsidRPr="00774487" w:rsidRDefault="00E8657B" w:rsidP="00E8657B">
      <w:pPr>
        <w:pStyle w:val="NoSpacing"/>
        <w:numPr>
          <w:ilvl w:val="0"/>
          <w:numId w:val="27"/>
        </w:numPr>
        <w:tabs>
          <w:tab w:val="left" w:pos="720"/>
        </w:tabs>
        <w:spacing w:line="276" w:lineRule="auto"/>
        <w:rPr>
          <w:rFonts w:ascii="Times New Roman" w:hAnsi="Times New Roman" w:cs="Times New Roman"/>
          <w:sz w:val="24"/>
          <w:szCs w:val="24"/>
        </w:rPr>
      </w:pPr>
      <w:r w:rsidRPr="00774487">
        <w:rPr>
          <w:rFonts w:ascii="Times New Roman" w:hAnsi="Times New Roman" w:cs="Times New Roman"/>
          <w:sz w:val="24"/>
          <w:szCs w:val="24"/>
        </w:rPr>
        <w:t>ACOs submitted evaluations of their population health management strategies</w:t>
      </w:r>
    </w:p>
    <w:p w14:paraId="7863D0B5" w14:textId="77777777" w:rsidR="00E8657B" w:rsidRDefault="00E8657B" w:rsidP="00E8657B">
      <w:pPr>
        <w:pStyle w:val="NoSpacing"/>
        <w:numPr>
          <w:ilvl w:val="0"/>
          <w:numId w:val="27"/>
        </w:numPr>
        <w:tabs>
          <w:tab w:val="left" w:pos="720"/>
        </w:tabs>
        <w:spacing w:line="276" w:lineRule="auto"/>
        <w:rPr>
          <w:rFonts w:ascii="Times New Roman" w:hAnsi="Times New Roman" w:cs="Times New Roman"/>
          <w:sz w:val="24"/>
          <w:szCs w:val="24"/>
        </w:rPr>
      </w:pPr>
      <w:r>
        <w:rPr>
          <w:rFonts w:ascii="Times New Roman" w:hAnsi="Times New Roman" w:cs="Times New Roman"/>
          <w:sz w:val="24"/>
          <w:szCs w:val="24"/>
        </w:rPr>
        <w:t>C</w:t>
      </w:r>
      <w:r w:rsidRPr="00774487">
        <w:rPr>
          <w:rFonts w:ascii="Times New Roman" w:hAnsi="Times New Roman" w:cs="Times New Roman"/>
          <w:sz w:val="24"/>
          <w:szCs w:val="24"/>
        </w:rPr>
        <w:t>ontinued to engage with select ACOs on aspects of financial and quality performance, helping them identify areas of excess medical spend and strategies to improve quality scores</w:t>
      </w:r>
    </w:p>
    <w:p w14:paraId="284AB02F" w14:textId="77777777" w:rsidR="00E8657B" w:rsidRPr="0033166B" w:rsidRDefault="00E8657B" w:rsidP="00E8657B">
      <w:pPr>
        <w:pStyle w:val="NoSpacing"/>
        <w:numPr>
          <w:ilvl w:val="0"/>
          <w:numId w:val="27"/>
        </w:numPr>
        <w:tabs>
          <w:tab w:val="left" w:pos="720"/>
        </w:tabs>
        <w:spacing w:line="276" w:lineRule="auto"/>
        <w:rPr>
          <w:rFonts w:ascii="Times New Roman" w:hAnsi="Times New Roman" w:cs="Times New Roman"/>
          <w:sz w:val="24"/>
          <w:szCs w:val="24"/>
        </w:rPr>
      </w:pPr>
      <w:r w:rsidRPr="0033166B">
        <w:rPr>
          <w:rFonts w:ascii="Times New Roman" w:hAnsi="Times New Roman" w:cs="Times New Roman"/>
          <w:sz w:val="24"/>
          <w:szCs w:val="24"/>
        </w:rPr>
        <w:t>In October</w:t>
      </w:r>
      <w:r>
        <w:rPr>
          <w:rFonts w:ascii="Times New Roman" w:hAnsi="Times New Roman" w:cs="Times New Roman"/>
          <w:sz w:val="24"/>
          <w:szCs w:val="24"/>
        </w:rPr>
        <w:t xml:space="preserve"> 2020</w:t>
      </w:r>
      <w:r w:rsidRPr="0033166B">
        <w:rPr>
          <w:rFonts w:ascii="Times New Roman" w:hAnsi="Times New Roman" w:cs="Times New Roman"/>
          <w:sz w:val="24"/>
          <w:szCs w:val="24"/>
        </w:rPr>
        <w:t>, provided to the Model B ACOs a round of financial reporting showing them a preliminary view of their performance in the first half of RY20.</w:t>
      </w:r>
    </w:p>
    <w:p w14:paraId="5455BB70" w14:textId="77777777" w:rsidR="00E8657B" w:rsidRPr="0033166B" w:rsidRDefault="00E8657B" w:rsidP="00E8657B">
      <w:pPr>
        <w:pStyle w:val="NoSpacing"/>
        <w:numPr>
          <w:ilvl w:val="0"/>
          <w:numId w:val="27"/>
        </w:numPr>
        <w:tabs>
          <w:tab w:val="left" w:pos="720"/>
        </w:tabs>
        <w:spacing w:line="276" w:lineRule="auto"/>
        <w:rPr>
          <w:rFonts w:ascii="Times New Roman" w:hAnsi="Times New Roman" w:cs="Times New Roman"/>
          <w:sz w:val="24"/>
          <w:szCs w:val="24"/>
        </w:rPr>
      </w:pPr>
      <w:r w:rsidRPr="0033166B">
        <w:rPr>
          <w:rFonts w:ascii="Times New Roman" w:hAnsi="Times New Roman" w:cs="Times New Roman"/>
          <w:sz w:val="24"/>
          <w:szCs w:val="24"/>
        </w:rPr>
        <w:t>Also in October</w:t>
      </w:r>
      <w:r>
        <w:rPr>
          <w:rFonts w:ascii="Times New Roman" w:hAnsi="Times New Roman" w:cs="Times New Roman"/>
          <w:sz w:val="24"/>
          <w:szCs w:val="24"/>
        </w:rPr>
        <w:t xml:space="preserve"> 2020</w:t>
      </w:r>
      <w:r w:rsidRPr="0033166B">
        <w:rPr>
          <w:rFonts w:ascii="Times New Roman" w:hAnsi="Times New Roman" w:cs="Times New Roman"/>
          <w:sz w:val="24"/>
          <w:szCs w:val="24"/>
        </w:rPr>
        <w:t xml:space="preserve">, provided the Model B ACOs with an RY19 Interim Reconciliation Report which shows the ACOs a more refined view of their performance in RY19.   </w:t>
      </w:r>
    </w:p>
    <w:p w14:paraId="780492A6" w14:textId="77777777" w:rsidR="00E8657B" w:rsidRPr="0033166B" w:rsidRDefault="00E8657B" w:rsidP="00E8657B">
      <w:pPr>
        <w:pStyle w:val="NoSpacing"/>
        <w:numPr>
          <w:ilvl w:val="0"/>
          <w:numId w:val="27"/>
        </w:numPr>
        <w:tabs>
          <w:tab w:val="left" w:pos="720"/>
        </w:tabs>
        <w:spacing w:line="276" w:lineRule="auto"/>
        <w:rPr>
          <w:rFonts w:ascii="Times New Roman" w:hAnsi="Times New Roman" w:cs="Times New Roman"/>
          <w:sz w:val="24"/>
          <w:szCs w:val="24"/>
        </w:rPr>
      </w:pPr>
      <w:r w:rsidRPr="0033166B">
        <w:rPr>
          <w:rFonts w:ascii="Times New Roman" w:hAnsi="Times New Roman" w:cs="Times New Roman"/>
          <w:sz w:val="24"/>
          <w:szCs w:val="24"/>
        </w:rPr>
        <w:t>In December</w:t>
      </w:r>
      <w:r>
        <w:rPr>
          <w:rFonts w:ascii="Times New Roman" w:hAnsi="Times New Roman" w:cs="Times New Roman"/>
          <w:sz w:val="24"/>
          <w:szCs w:val="24"/>
        </w:rPr>
        <w:t xml:space="preserve"> 2020</w:t>
      </w:r>
      <w:r w:rsidRPr="0033166B">
        <w:rPr>
          <w:rFonts w:ascii="Times New Roman" w:hAnsi="Times New Roman" w:cs="Times New Roman"/>
          <w:sz w:val="24"/>
          <w:szCs w:val="24"/>
        </w:rPr>
        <w:t>, completed development on and began finalizing for delivery the latest round of utilization reporting which includes a PCP visits and a telehealth measure.</w:t>
      </w:r>
    </w:p>
    <w:p w14:paraId="627AD7C6" w14:textId="77777777" w:rsidR="00E8657B" w:rsidRPr="00B64561" w:rsidRDefault="00E8657B" w:rsidP="00E8657B">
      <w:pPr>
        <w:pStyle w:val="NoSpacing"/>
        <w:numPr>
          <w:ilvl w:val="0"/>
          <w:numId w:val="27"/>
        </w:numPr>
        <w:tabs>
          <w:tab w:val="left" w:pos="720"/>
        </w:tabs>
        <w:spacing w:line="276" w:lineRule="auto"/>
        <w:rPr>
          <w:rFonts w:ascii="Times New Roman" w:hAnsi="Times New Roman" w:cs="Times New Roman"/>
          <w:sz w:val="24"/>
          <w:szCs w:val="24"/>
        </w:rPr>
      </w:pPr>
      <w:r>
        <w:rPr>
          <w:rFonts w:ascii="Times New Roman" w:hAnsi="Times New Roman" w:cs="Times New Roman"/>
          <w:sz w:val="24"/>
          <w:szCs w:val="24"/>
        </w:rPr>
        <w:t>C</w:t>
      </w:r>
      <w:r w:rsidRPr="00B64561">
        <w:rPr>
          <w:rFonts w:ascii="Times New Roman" w:hAnsi="Times New Roman" w:cs="Times New Roman"/>
          <w:sz w:val="24"/>
          <w:szCs w:val="24"/>
        </w:rPr>
        <w:t xml:space="preserve">ontinued to monitor CP member enrollment levels, engaging with a few low performing ACO/MCOs in October 2020. </w:t>
      </w:r>
    </w:p>
    <w:p w14:paraId="1DB4AF4F" w14:textId="77777777" w:rsidR="00E8657B" w:rsidRPr="00B64561" w:rsidRDefault="00E8657B" w:rsidP="00E8657B">
      <w:pPr>
        <w:pStyle w:val="NoSpacing"/>
        <w:numPr>
          <w:ilvl w:val="0"/>
          <w:numId w:val="27"/>
        </w:numPr>
        <w:tabs>
          <w:tab w:val="left" w:pos="720"/>
        </w:tabs>
        <w:spacing w:line="276" w:lineRule="auto"/>
        <w:rPr>
          <w:rFonts w:ascii="Times New Roman" w:hAnsi="Times New Roman" w:cs="Times New Roman"/>
          <w:sz w:val="24"/>
          <w:szCs w:val="24"/>
        </w:rPr>
      </w:pPr>
      <w:r w:rsidRPr="00B64561">
        <w:rPr>
          <w:rFonts w:ascii="Times New Roman" w:hAnsi="Times New Roman" w:cs="Times New Roman"/>
          <w:sz w:val="24"/>
          <w:szCs w:val="24"/>
        </w:rPr>
        <w:t>ACOs/MCOs and CPs that requested to end relationships in 2020 successfully transitioned all shared members and effectively ended their Agreements by the end of Q2 FY21.</w:t>
      </w:r>
    </w:p>
    <w:p w14:paraId="37B61E26" w14:textId="77777777" w:rsidR="00E8657B" w:rsidRPr="00B64561" w:rsidRDefault="00E8657B" w:rsidP="00E8657B">
      <w:pPr>
        <w:pStyle w:val="NoSpacing"/>
        <w:numPr>
          <w:ilvl w:val="0"/>
          <w:numId w:val="27"/>
        </w:numPr>
        <w:tabs>
          <w:tab w:val="left" w:pos="720"/>
        </w:tabs>
        <w:spacing w:line="276" w:lineRule="auto"/>
        <w:rPr>
          <w:rFonts w:ascii="Times New Roman" w:hAnsi="Times New Roman" w:cs="Times New Roman"/>
          <w:sz w:val="24"/>
          <w:szCs w:val="24"/>
        </w:rPr>
      </w:pPr>
      <w:r w:rsidRPr="00B64561">
        <w:rPr>
          <w:rFonts w:ascii="Times New Roman" w:hAnsi="Times New Roman" w:cs="Times New Roman"/>
          <w:sz w:val="24"/>
          <w:szCs w:val="24"/>
        </w:rPr>
        <w:t>MassHealth amended the ACO and MCO contracts to reflect changes to CP assignment policy.</w:t>
      </w:r>
    </w:p>
    <w:p w14:paraId="46820EC9" w14:textId="77777777" w:rsidR="00E8657B" w:rsidRPr="00D1541C" w:rsidRDefault="00E8657B" w:rsidP="00E8657B">
      <w:pPr>
        <w:pStyle w:val="NoSpacing"/>
        <w:spacing w:line="276" w:lineRule="auto"/>
        <w:ind w:left="360"/>
        <w:rPr>
          <w:rFonts w:ascii="Times New Roman" w:hAnsi="Times New Roman" w:cs="Times New Roman"/>
          <w:sz w:val="24"/>
          <w:szCs w:val="24"/>
        </w:rPr>
      </w:pPr>
    </w:p>
    <w:p w14:paraId="067E081E" w14:textId="77777777" w:rsidR="00E8657B" w:rsidRPr="00D1541C" w:rsidRDefault="00E8657B" w:rsidP="009B549A">
      <w:pPr>
        <w:pStyle w:val="NoSpacing"/>
        <w:spacing w:line="276" w:lineRule="auto"/>
        <w:rPr>
          <w:rFonts w:ascii="Times New Roman" w:hAnsi="Times New Roman" w:cs="Times New Roman"/>
          <w:sz w:val="24"/>
          <w:szCs w:val="24"/>
        </w:rPr>
      </w:pPr>
      <w:r w:rsidRPr="00D1541C">
        <w:rPr>
          <w:rFonts w:ascii="Times New Roman" w:hAnsi="Times New Roman" w:cs="Times New Roman"/>
          <w:sz w:val="24"/>
          <w:szCs w:val="24"/>
        </w:rPr>
        <w:t>Q3:</w:t>
      </w:r>
    </w:p>
    <w:p w14:paraId="2C0A2B3C" w14:textId="77777777" w:rsidR="00E8657B" w:rsidRPr="00434884" w:rsidRDefault="00E8657B" w:rsidP="009B549A">
      <w:pPr>
        <w:numPr>
          <w:ilvl w:val="0"/>
          <w:numId w:val="28"/>
        </w:numPr>
        <w:shd w:val="clear" w:color="auto" w:fill="FFFFFF"/>
        <w:spacing w:after="0"/>
        <w:rPr>
          <w:rFonts w:eastAsia="Times New Roman" w:cs="Times New Roman"/>
          <w:color w:val="000000"/>
          <w:szCs w:val="24"/>
        </w:rPr>
      </w:pPr>
      <w:r w:rsidRPr="00434884">
        <w:rPr>
          <w:rFonts w:eastAsia="Times New Roman" w:cs="Times New Roman"/>
          <w:color w:val="000000"/>
          <w:szCs w:val="24"/>
        </w:rPr>
        <w:t>Analyzed results of ACO-submitted program evaluations, finding that ~70% of programs showed improved outcomes</w:t>
      </w:r>
    </w:p>
    <w:p w14:paraId="1D296973" w14:textId="77777777" w:rsidR="00E8657B" w:rsidRPr="00434884" w:rsidRDefault="00E8657B" w:rsidP="00E8657B">
      <w:pPr>
        <w:numPr>
          <w:ilvl w:val="0"/>
          <w:numId w:val="28"/>
        </w:numPr>
        <w:shd w:val="clear" w:color="auto" w:fill="FFFFFF"/>
        <w:spacing w:before="100" w:beforeAutospacing="1" w:after="100" w:afterAutospacing="1"/>
        <w:rPr>
          <w:rFonts w:eastAsia="Times New Roman" w:cs="Times New Roman"/>
          <w:color w:val="000000"/>
          <w:szCs w:val="24"/>
        </w:rPr>
      </w:pPr>
      <w:r w:rsidRPr="00434884">
        <w:rPr>
          <w:rFonts w:eastAsia="Times New Roman" w:cs="Times New Roman"/>
          <w:color w:val="000000"/>
          <w:szCs w:val="24"/>
        </w:rPr>
        <w:t>Continued to engage with select ACOs on aspects of financial and quality performance</w:t>
      </w:r>
    </w:p>
    <w:p w14:paraId="58BF33A6" w14:textId="77777777" w:rsidR="00E8657B" w:rsidRDefault="00E8657B" w:rsidP="00E8657B">
      <w:pPr>
        <w:numPr>
          <w:ilvl w:val="0"/>
          <w:numId w:val="28"/>
        </w:numPr>
        <w:shd w:val="clear" w:color="auto" w:fill="FFFFFF"/>
        <w:spacing w:before="100" w:beforeAutospacing="1" w:after="100" w:afterAutospacing="1"/>
        <w:rPr>
          <w:rFonts w:eastAsia="Times New Roman" w:cs="Times New Roman"/>
          <w:color w:val="000000"/>
          <w:szCs w:val="24"/>
        </w:rPr>
      </w:pPr>
      <w:r w:rsidRPr="00434884">
        <w:rPr>
          <w:rFonts w:eastAsia="Times New Roman" w:cs="Times New Roman"/>
          <w:color w:val="000000"/>
          <w:szCs w:val="24"/>
        </w:rPr>
        <w:t>Stood up 2 short-term, targeted engagements with ACOs on high inpatient and ED utilization based on results from the Integrated Performance Dashboard, with a goal of working with the ACO to take a data-driven approach to identify drivers and an action plan to improve performance</w:t>
      </w:r>
    </w:p>
    <w:p w14:paraId="3A2D3D19" w14:textId="77777777" w:rsidR="00E8657B" w:rsidRPr="00F03227" w:rsidRDefault="00E8657B" w:rsidP="00E8657B">
      <w:pPr>
        <w:numPr>
          <w:ilvl w:val="0"/>
          <w:numId w:val="28"/>
        </w:numPr>
        <w:shd w:val="clear" w:color="auto" w:fill="FFFFFF"/>
        <w:spacing w:before="100" w:beforeAutospacing="1" w:after="100" w:afterAutospacing="1"/>
        <w:rPr>
          <w:rFonts w:eastAsia="Times New Roman" w:cs="Times New Roman"/>
          <w:color w:val="000000"/>
          <w:szCs w:val="24"/>
        </w:rPr>
      </w:pPr>
      <w:r w:rsidRPr="00F03227">
        <w:rPr>
          <w:rFonts w:eastAsia="Times New Roman" w:cs="Times New Roman"/>
          <w:color w:val="000000"/>
          <w:szCs w:val="24"/>
        </w:rPr>
        <w:t>In January</w:t>
      </w:r>
      <w:r>
        <w:rPr>
          <w:rFonts w:eastAsia="Times New Roman" w:cs="Times New Roman"/>
          <w:color w:val="000000"/>
          <w:szCs w:val="24"/>
        </w:rPr>
        <w:t xml:space="preserve"> 2021</w:t>
      </w:r>
      <w:r w:rsidRPr="00F03227">
        <w:rPr>
          <w:rFonts w:eastAsia="Times New Roman" w:cs="Times New Roman"/>
          <w:color w:val="000000"/>
          <w:szCs w:val="24"/>
        </w:rPr>
        <w:t xml:space="preserve">, delivered to the Model A and B ACOs and MCOs the round of utilization reporting finalized in Q2. </w:t>
      </w:r>
    </w:p>
    <w:p w14:paraId="748DC118" w14:textId="77777777" w:rsidR="00E8657B" w:rsidRPr="00F03227" w:rsidRDefault="00E8657B" w:rsidP="00E8657B">
      <w:pPr>
        <w:numPr>
          <w:ilvl w:val="0"/>
          <w:numId w:val="28"/>
        </w:numPr>
        <w:shd w:val="clear" w:color="auto" w:fill="FFFFFF"/>
        <w:spacing w:before="100" w:beforeAutospacing="1" w:after="100" w:afterAutospacing="1"/>
        <w:rPr>
          <w:rFonts w:eastAsia="Times New Roman" w:cs="Times New Roman"/>
          <w:color w:val="000000"/>
          <w:szCs w:val="24"/>
        </w:rPr>
      </w:pPr>
      <w:r>
        <w:rPr>
          <w:rFonts w:eastAsia="Times New Roman" w:cs="Times New Roman"/>
          <w:color w:val="000000"/>
          <w:szCs w:val="24"/>
        </w:rPr>
        <w:t>C</w:t>
      </w:r>
      <w:r w:rsidRPr="00F03227">
        <w:rPr>
          <w:rFonts w:eastAsia="Times New Roman" w:cs="Times New Roman"/>
          <w:color w:val="000000"/>
          <w:szCs w:val="24"/>
        </w:rPr>
        <w:t>ontinued to work on the next round of Model B financial reporting that provides Model B ACOs a preliminary view of their RY20 financial performance.</w:t>
      </w:r>
    </w:p>
    <w:p w14:paraId="7D35ADD3" w14:textId="77777777" w:rsidR="00E8657B" w:rsidRDefault="00E8657B" w:rsidP="00E8657B">
      <w:pPr>
        <w:numPr>
          <w:ilvl w:val="0"/>
          <w:numId w:val="28"/>
        </w:numPr>
        <w:shd w:val="clear" w:color="auto" w:fill="FFFFFF"/>
        <w:spacing w:before="100" w:beforeAutospacing="1" w:after="100" w:afterAutospacing="1"/>
        <w:rPr>
          <w:rFonts w:eastAsia="Times New Roman" w:cs="Times New Roman"/>
          <w:color w:val="000000"/>
          <w:szCs w:val="24"/>
        </w:rPr>
      </w:pPr>
      <w:r w:rsidRPr="00804449">
        <w:rPr>
          <w:rFonts w:eastAsia="Times New Roman" w:cs="Times New Roman"/>
          <w:color w:val="000000"/>
          <w:szCs w:val="24"/>
        </w:rPr>
        <w:t>In February</w:t>
      </w:r>
      <w:r>
        <w:rPr>
          <w:rFonts w:eastAsia="Times New Roman" w:cs="Times New Roman"/>
          <w:color w:val="000000"/>
          <w:szCs w:val="24"/>
        </w:rPr>
        <w:t xml:space="preserve"> 2021</w:t>
      </w:r>
      <w:r w:rsidRPr="00804449">
        <w:rPr>
          <w:rFonts w:eastAsia="Times New Roman" w:cs="Times New Roman"/>
          <w:color w:val="000000"/>
          <w:szCs w:val="24"/>
        </w:rPr>
        <w:t>, sent out an ACO Reporting Survey. MassHealth used the responses from th</w:t>
      </w:r>
      <w:r w:rsidRPr="00E62F5B">
        <w:rPr>
          <w:rFonts w:eastAsia="Times New Roman" w:cs="Times New Roman"/>
          <w:color w:val="000000"/>
          <w:szCs w:val="24"/>
        </w:rPr>
        <w:t>is survey to inform the implementation of a few high priority enhancements to the member rosters and claims extracts that MassHealth sends to ACOs/MCOs each month. MassHealth also used the results of this survey to stand up an engagement with the Model B ACOs on care coordination reporting.</w:t>
      </w:r>
    </w:p>
    <w:p w14:paraId="0F5A7E74" w14:textId="77777777" w:rsidR="00E8657B" w:rsidRPr="00E62F5B" w:rsidRDefault="00E8657B" w:rsidP="00E8657B">
      <w:pPr>
        <w:numPr>
          <w:ilvl w:val="0"/>
          <w:numId w:val="28"/>
        </w:numPr>
        <w:shd w:val="clear" w:color="auto" w:fill="FFFFFF"/>
        <w:spacing w:before="100" w:beforeAutospacing="1" w:after="100" w:afterAutospacing="1"/>
        <w:rPr>
          <w:rFonts w:eastAsia="Times New Roman" w:cs="Times New Roman"/>
          <w:color w:val="000000"/>
          <w:szCs w:val="24"/>
        </w:rPr>
      </w:pPr>
      <w:r>
        <w:rPr>
          <w:rFonts w:eastAsia="Times New Roman" w:cs="Times New Roman"/>
          <w:color w:val="000000"/>
          <w:szCs w:val="24"/>
        </w:rPr>
        <w:t>R</w:t>
      </w:r>
      <w:r w:rsidRPr="00E62F5B">
        <w:rPr>
          <w:rFonts w:eastAsia="Times New Roman" w:cs="Times New Roman"/>
          <w:color w:val="000000"/>
          <w:szCs w:val="24"/>
        </w:rPr>
        <w:t xml:space="preserve">eleased a Managed Care Entity Bulletin regarding ACO/MCO roles in care planning for CP enrollees and clarified that PCPs and PCP Designees may sign care plans electronically. </w:t>
      </w:r>
    </w:p>
    <w:p w14:paraId="1DB1D2ED" w14:textId="0F906FC4" w:rsidR="00E8657B" w:rsidRPr="00E62F5B" w:rsidRDefault="00E8657B" w:rsidP="00E8657B">
      <w:pPr>
        <w:numPr>
          <w:ilvl w:val="0"/>
          <w:numId w:val="28"/>
        </w:numPr>
        <w:shd w:val="clear" w:color="auto" w:fill="FFFFFF"/>
        <w:spacing w:before="100" w:beforeAutospacing="1" w:after="100" w:afterAutospacing="1"/>
        <w:rPr>
          <w:rFonts w:eastAsia="Times New Roman" w:cs="Times New Roman"/>
          <w:color w:val="000000"/>
          <w:szCs w:val="24"/>
        </w:rPr>
      </w:pPr>
      <w:r>
        <w:rPr>
          <w:rFonts w:eastAsia="Times New Roman" w:cs="Times New Roman"/>
          <w:color w:val="000000"/>
          <w:szCs w:val="24"/>
        </w:rPr>
        <w:t>R</w:t>
      </w:r>
      <w:r w:rsidRPr="00E62F5B">
        <w:rPr>
          <w:rFonts w:eastAsia="Times New Roman" w:cs="Times New Roman"/>
          <w:color w:val="000000"/>
          <w:szCs w:val="24"/>
        </w:rPr>
        <w:t>eleased an updated Community Partners Member Identification and Assignment Guidance Document for MassHealth ACO</w:t>
      </w:r>
      <w:r w:rsidR="004253E7">
        <w:rPr>
          <w:rFonts w:eastAsia="Times New Roman" w:cs="Times New Roman"/>
          <w:color w:val="000000"/>
          <w:szCs w:val="24"/>
        </w:rPr>
        <w:t>s</w:t>
      </w:r>
      <w:r w:rsidRPr="00E62F5B">
        <w:rPr>
          <w:rFonts w:eastAsia="Times New Roman" w:cs="Times New Roman"/>
          <w:color w:val="000000"/>
          <w:szCs w:val="24"/>
        </w:rPr>
        <w:t>, M</w:t>
      </w:r>
      <w:r w:rsidR="004253E7">
        <w:rPr>
          <w:rFonts w:eastAsia="Times New Roman" w:cs="Times New Roman"/>
          <w:color w:val="000000"/>
          <w:szCs w:val="24"/>
        </w:rPr>
        <w:t>C</w:t>
      </w:r>
      <w:r w:rsidRPr="00E62F5B">
        <w:rPr>
          <w:rFonts w:eastAsia="Times New Roman" w:cs="Times New Roman"/>
          <w:color w:val="000000"/>
          <w:szCs w:val="24"/>
        </w:rPr>
        <w:t>O</w:t>
      </w:r>
      <w:r w:rsidR="004253E7">
        <w:rPr>
          <w:rFonts w:eastAsia="Times New Roman" w:cs="Times New Roman"/>
          <w:color w:val="000000"/>
          <w:szCs w:val="24"/>
        </w:rPr>
        <w:t>s</w:t>
      </w:r>
      <w:r w:rsidRPr="00E62F5B">
        <w:rPr>
          <w:rFonts w:eastAsia="Times New Roman" w:cs="Times New Roman"/>
          <w:color w:val="000000"/>
          <w:szCs w:val="24"/>
        </w:rPr>
        <w:t>, and CPs, which provides details about CP program member identification, assignment, referral, enrollment and disenrollment.</w:t>
      </w:r>
    </w:p>
    <w:p w14:paraId="49F59D12" w14:textId="77777777" w:rsidR="00E8657B" w:rsidRDefault="00E8657B" w:rsidP="00E8657B">
      <w:pPr>
        <w:numPr>
          <w:ilvl w:val="0"/>
          <w:numId w:val="28"/>
        </w:numPr>
        <w:shd w:val="clear" w:color="auto" w:fill="FFFFFF"/>
        <w:spacing w:before="100" w:beforeAutospacing="1" w:after="100" w:afterAutospacing="1"/>
        <w:rPr>
          <w:rFonts w:eastAsia="Times New Roman" w:cs="Times New Roman"/>
          <w:color w:val="000000"/>
          <w:szCs w:val="24"/>
        </w:rPr>
      </w:pPr>
      <w:r>
        <w:rPr>
          <w:rFonts w:eastAsia="Times New Roman" w:cs="Times New Roman"/>
          <w:color w:val="000000"/>
          <w:szCs w:val="24"/>
        </w:rPr>
        <w:t>C</w:t>
      </w:r>
      <w:r w:rsidRPr="00E62F5B">
        <w:rPr>
          <w:rFonts w:eastAsia="Times New Roman" w:cs="Times New Roman"/>
          <w:color w:val="000000"/>
          <w:szCs w:val="24"/>
        </w:rPr>
        <w:t>alculated “CP enrollment benchmarks” for each ACO/MCO, to be used as targets for CP enrollment volume, which were shared in early 2021.</w:t>
      </w:r>
    </w:p>
    <w:p w14:paraId="4FF8226D" w14:textId="77777777" w:rsidR="00E8657B" w:rsidRPr="004B161F" w:rsidRDefault="00E8657B" w:rsidP="00945667">
      <w:pPr>
        <w:pStyle w:val="Heading3"/>
        <w:rPr>
          <w:color w:val="000000"/>
        </w:rPr>
      </w:pPr>
      <w:r w:rsidRPr="002457B4">
        <w:t>Community Partners (CPs)</w:t>
      </w:r>
      <w:r w:rsidRPr="004B161F">
        <w:rPr>
          <w:color w:val="000000"/>
        </w:rPr>
        <w:t xml:space="preserve"> </w:t>
      </w:r>
    </w:p>
    <w:p w14:paraId="7D4D884F" w14:textId="77777777" w:rsidR="00E8657B" w:rsidRDefault="00E8657B" w:rsidP="00E8657B">
      <w:pPr>
        <w:widowControl w:val="0"/>
        <w:autoSpaceDE w:val="0"/>
        <w:autoSpaceDN w:val="0"/>
        <w:spacing w:before="100" w:beforeAutospacing="1" w:after="100" w:afterAutospacing="1"/>
        <w:rPr>
          <w:rFonts w:cs="Times New Roman"/>
          <w:color w:val="212121"/>
          <w:szCs w:val="24"/>
          <w:u w:val="single"/>
        </w:rPr>
      </w:pPr>
      <w:r w:rsidRPr="004B161F">
        <w:rPr>
          <w:rFonts w:cs="Times New Roman"/>
          <w:color w:val="212121"/>
          <w:szCs w:val="24"/>
          <w:u w:val="single"/>
        </w:rPr>
        <w:t>Q4 Update:</w:t>
      </w:r>
    </w:p>
    <w:p w14:paraId="2273414D" w14:textId="1C7E8D5E" w:rsidR="00E8657B" w:rsidRPr="00857AA8" w:rsidRDefault="00E8657B" w:rsidP="00E8657B">
      <w:pPr>
        <w:widowControl w:val="0"/>
        <w:autoSpaceDE w:val="0"/>
        <w:autoSpaceDN w:val="0"/>
        <w:spacing w:before="100" w:beforeAutospacing="1" w:after="100" w:afterAutospacing="1"/>
        <w:rPr>
          <w:rFonts w:cs="Times New Roman"/>
          <w:color w:val="212121"/>
          <w:szCs w:val="24"/>
        </w:rPr>
      </w:pPr>
      <w:r w:rsidRPr="002855AC">
        <w:rPr>
          <w:rFonts w:cs="Times New Roman"/>
          <w:color w:val="212121"/>
          <w:szCs w:val="24"/>
        </w:rPr>
        <w:t>As of June 28, 2021, 33,488 members were actively enrolled in the B</w:t>
      </w:r>
      <w:r w:rsidR="003168BB">
        <w:rPr>
          <w:rFonts w:cs="Times New Roman"/>
          <w:color w:val="212121"/>
          <w:szCs w:val="24"/>
        </w:rPr>
        <w:t xml:space="preserve">ehavioral </w:t>
      </w:r>
      <w:r w:rsidRPr="002855AC">
        <w:rPr>
          <w:rFonts w:cs="Times New Roman"/>
          <w:color w:val="212121"/>
          <w:szCs w:val="24"/>
        </w:rPr>
        <w:t>H</w:t>
      </w:r>
      <w:r w:rsidR="003168BB">
        <w:rPr>
          <w:rFonts w:cs="Times New Roman"/>
          <w:color w:val="212121"/>
          <w:szCs w:val="24"/>
        </w:rPr>
        <w:t>ealth (BH)</w:t>
      </w:r>
      <w:r w:rsidRPr="002855AC">
        <w:rPr>
          <w:rFonts w:cs="Times New Roman"/>
          <w:color w:val="212121"/>
          <w:szCs w:val="24"/>
        </w:rPr>
        <w:t xml:space="preserve"> CP Program and 9,391 members were actively enrolled in the </w:t>
      </w:r>
      <w:r w:rsidR="003168BB">
        <w:rPr>
          <w:rFonts w:cs="Times New Roman"/>
          <w:color w:val="212121"/>
          <w:szCs w:val="24"/>
        </w:rPr>
        <w:t>Long Term Services and Supports (</w:t>
      </w:r>
      <w:r w:rsidRPr="002855AC">
        <w:rPr>
          <w:rFonts w:cs="Times New Roman"/>
          <w:color w:val="212121"/>
          <w:szCs w:val="24"/>
        </w:rPr>
        <w:t>LTSS</w:t>
      </w:r>
      <w:r w:rsidR="003168BB">
        <w:rPr>
          <w:rFonts w:cs="Times New Roman"/>
          <w:color w:val="212121"/>
          <w:szCs w:val="24"/>
        </w:rPr>
        <w:t>)</w:t>
      </w:r>
      <w:r w:rsidRPr="002855AC">
        <w:rPr>
          <w:rFonts w:cs="Times New Roman"/>
          <w:color w:val="212121"/>
          <w:szCs w:val="24"/>
        </w:rPr>
        <w:t xml:space="preserve"> CP Program. For the BH CP population, the cumulative Participation Form rate was 69%, meaning the CP had located the member and began working with the member on completing a Care Plan. Approximately 58% of BH CP members were "engaged" (i.e., had a CP Care Plan completed). For the LTSS CPs, the cumulative Participation Form completion rate was 66%, and 52% of LTSS CP members were "engaged." </w:t>
      </w:r>
      <w:r w:rsidRPr="00857AA8">
        <w:rPr>
          <w:rFonts w:cs="Times New Roman"/>
          <w:color w:val="212121"/>
          <w:szCs w:val="24"/>
        </w:rPr>
        <w:t xml:space="preserve"> Engagement rates reflect CPs’ increasing ability to locate, outreach, and establish strong relationships with members. Many CPs have adopted unique and innovative strategies to help successfully find members such as creating dedicated outreach teams to locate and work with hard-to-reach members. As a result of these strategies, CPs have demonstrated their value to ACOs and MCOs as it pertains to contacting and engaging some of MassHealth’s most vulnerable and least connected members.</w:t>
      </w:r>
    </w:p>
    <w:p w14:paraId="3A9CF187" w14:textId="77777777" w:rsidR="00E8657B" w:rsidRPr="00196365" w:rsidRDefault="00E8657B" w:rsidP="00E8657B">
      <w:pPr>
        <w:widowControl w:val="0"/>
        <w:autoSpaceDE w:val="0"/>
        <w:autoSpaceDN w:val="0"/>
        <w:spacing w:before="100" w:beforeAutospacing="1" w:after="100" w:afterAutospacing="1"/>
        <w:rPr>
          <w:rFonts w:cs="Times New Roman"/>
          <w:color w:val="212121"/>
          <w:szCs w:val="24"/>
        </w:rPr>
      </w:pPr>
      <w:r w:rsidRPr="0007764D">
        <w:rPr>
          <w:rFonts w:cs="Times New Roman"/>
          <w:b/>
          <w:bCs/>
          <w:color w:val="212121"/>
          <w:szCs w:val="24"/>
        </w:rPr>
        <w:t>Operational Improvements.</w:t>
      </w:r>
      <w:r w:rsidRPr="00196365">
        <w:rPr>
          <w:rFonts w:cs="Times New Roman"/>
          <w:color w:val="212121"/>
          <w:szCs w:val="24"/>
        </w:rPr>
        <w:t xml:space="preserve"> As of June 27, 2021, over 113,000 CP enrollments and disenrollments have been processed through the CP Program Portal. </w:t>
      </w:r>
      <w:r>
        <w:rPr>
          <w:rFonts w:cs="Times New Roman"/>
          <w:color w:val="212121"/>
          <w:szCs w:val="24"/>
        </w:rPr>
        <w:t>MassHealth</w:t>
      </w:r>
      <w:r w:rsidRPr="00196365">
        <w:rPr>
          <w:rFonts w:cs="Times New Roman"/>
          <w:color w:val="212121"/>
          <w:szCs w:val="24"/>
        </w:rPr>
        <w:t xml:space="preserve"> provide</w:t>
      </w:r>
      <w:r>
        <w:rPr>
          <w:rFonts w:cs="Times New Roman"/>
          <w:color w:val="212121"/>
          <w:szCs w:val="24"/>
        </w:rPr>
        <w:t>d</w:t>
      </w:r>
      <w:r w:rsidRPr="00196365">
        <w:rPr>
          <w:rFonts w:cs="Times New Roman"/>
          <w:color w:val="212121"/>
          <w:szCs w:val="24"/>
        </w:rPr>
        <w:t xml:space="preserve"> CPs with information on their members that have received renewal letters. CPs began receiving these files in mid-April 2021. The MassHealth renewal letter is a pre-populated form with member eligibility information and identifies what information is outstanding and provides directions for responding. Renewal letters are sent to members that cannot be auto-renewed and when more information is necessary. While CPs are not responsible for maintaining members' MassHealth coverage, the CP MassHealth renewal files provide the information CPs could use to assist ACO/MCOs with connecting members to enrollment resources.</w:t>
      </w:r>
    </w:p>
    <w:p w14:paraId="31EA979E" w14:textId="77777777" w:rsidR="00E8657B" w:rsidRPr="00196365" w:rsidRDefault="00E8657B" w:rsidP="00E8657B">
      <w:pPr>
        <w:widowControl w:val="0"/>
        <w:autoSpaceDE w:val="0"/>
        <w:autoSpaceDN w:val="0"/>
        <w:spacing w:before="100" w:beforeAutospacing="1" w:after="100" w:afterAutospacing="1"/>
        <w:rPr>
          <w:rFonts w:cs="Times New Roman"/>
          <w:color w:val="212121"/>
          <w:szCs w:val="24"/>
        </w:rPr>
      </w:pPr>
      <w:r w:rsidRPr="0007764D">
        <w:rPr>
          <w:rFonts w:cs="Times New Roman"/>
          <w:b/>
          <w:bCs/>
          <w:color w:val="212121"/>
          <w:szCs w:val="24"/>
        </w:rPr>
        <w:t>Reporting and Performance Management Strategy</w:t>
      </w:r>
      <w:r w:rsidRPr="00196365">
        <w:rPr>
          <w:rFonts w:cs="Times New Roman"/>
          <w:color w:val="212121"/>
          <w:szCs w:val="24"/>
        </w:rPr>
        <w:t xml:space="preserve">. Phase II </w:t>
      </w:r>
      <w:r>
        <w:rPr>
          <w:rFonts w:cs="Times New Roman"/>
          <w:color w:val="212121"/>
          <w:szCs w:val="24"/>
        </w:rPr>
        <w:t xml:space="preserve">CP-facing quarterly report </w:t>
      </w:r>
      <w:r w:rsidRPr="00196365">
        <w:rPr>
          <w:rFonts w:cs="Times New Roman"/>
          <w:color w:val="212121"/>
          <w:szCs w:val="24"/>
        </w:rPr>
        <w:t>was launched in May 2021 along with the quarterly data refresh. In collaboration with MassHealth, CPs</w:t>
      </w:r>
      <w:r>
        <w:rPr>
          <w:rFonts w:cs="Times New Roman"/>
          <w:color w:val="212121"/>
          <w:szCs w:val="24"/>
        </w:rPr>
        <w:t xml:space="preserve"> continue to</w:t>
      </w:r>
      <w:r w:rsidRPr="00196365">
        <w:rPr>
          <w:rFonts w:cs="Times New Roman"/>
          <w:color w:val="212121"/>
          <w:szCs w:val="24"/>
        </w:rPr>
        <w:t xml:space="preserve"> actively utilize the quarterly reports and other data sources to launch data-driven performance improvement initiatives. </w:t>
      </w:r>
    </w:p>
    <w:p w14:paraId="0FC75E7F" w14:textId="3AFE6092" w:rsidR="00E8657B" w:rsidRPr="00196365" w:rsidRDefault="00E8657B" w:rsidP="00E8657B">
      <w:pPr>
        <w:widowControl w:val="0"/>
        <w:autoSpaceDE w:val="0"/>
        <w:autoSpaceDN w:val="0"/>
        <w:spacing w:before="100" w:beforeAutospacing="1" w:after="100" w:afterAutospacing="1"/>
        <w:rPr>
          <w:rFonts w:cs="Times New Roman"/>
          <w:color w:val="212121"/>
          <w:szCs w:val="24"/>
        </w:rPr>
      </w:pPr>
      <w:r w:rsidRPr="0001443E">
        <w:rPr>
          <w:rFonts w:cs="Times New Roman"/>
          <w:b/>
          <w:bCs/>
          <w:color w:val="212121"/>
          <w:szCs w:val="24"/>
        </w:rPr>
        <w:t>Service Area Additions and Removals</w:t>
      </w:r>
      <w:r>
        <w:rPr>
          <w:rFonts w:cs="Times New Roman"/>
          <w:b/>
          <w:bCs/>
          <w:color w:val="212121"/>
          <w:szCs w:val="24"/>
        </w:rPr>
        <w:t>.</w:t>
      </w:r>
      <w:r w:rsidRPr="00196365">
        <w:rPr>
          <w:rFonts w:cs="Times New Roman"/>
          <w:color w:val="212121"/>
          <w:szCs w:val="24"/>
        </w:rPr>
        <w:t xml:space="preserve"> </w:t>
      </w:r>
      <w:r>
        <w:rPr>
          <w:rFonts w:cs="Times New Roman"/>
          <w:color w:val="212121"/>
          <w:szCs w:val="24"/>
        </w:rPr>
        <w:t>I</w:t>
      </w:r>
      <w:r w:rsidRPr="00196365">
        <w:rPr>
          <w:rFonts w:cs="Times New Roman"/>
          <w:color w:val="212121"/>
          <w:szCs w:val="24"/>
        </w:rPr>
        <w:t>n May 2021, MassHealth issued guidance to BH and LTSS CPs to allow CPs to propose to add or remove Service Areas. MassHealth may approve, deny, or require modification of, in whole or in part, a proposal based on its reasonable judgment as to whether the proposed additions or removals will support the goals of the CP program, be in the best interests of members, and meet the needs of MassHealth. If approved, changes to Service Areas will take effect on October 1, 2021</w:t>
      </w:r>
      <w:r w:rsidR="00B732CE">
        <w:rPr>
          <w:rFonts w:cs="Times New Roman"/>
          <w:color w:val="212121"/>
          <w:szCs w:val="24"/>
        </w:rPr>
        <w:t xml:space="preserve">. </w:t>
      </w:r>
      <w:r w:rsidRPr="00196365">
        <w:rPr>
          <w:rFonts w:cs="Times New Roman"/>
          <w:color w:val="212121"/>
          <w:szCs w:val="24"/>
        </w:rPr>
        <w:t xml:space="preserve">CPs seeking to add or remove Service Areas were required to respond to the guidance with certain information. MassHealth is </w:t>
      </w:r>
      <w:r>
        <w:rPr>
          <w:rFonts w:cs="Times New Roman"/>
          <w:color w:val="212121"/>
          <w:szCs w:val="24"/>
        </w:rPr>
        <w:t>currently</w:t>
      </w:r>
      <w:r w:rsidRPr="00196365">
        <w:rPr>
          <w:rFonts w:cs="Times New Roman"/>
          <w:color w:val="212121"/>
          <w:szCs w:val="24"/>
        </w:rPr>
        <w:t xml:space="preserve"> considering these requests.</w:t>
      </w:r>
    </w:p>
    <w:p w14:paraId="6E80D64C" w14:textId="556BB6DC" w:rsidR="00E8657B" w:rsidRDefault="00E8657B" w:rsidP="00E8657B">
      <w:pPr>
        <w:widowControl w:val="0"/>
        <w:autoSpaceDE w:val="0"/>
        <w:autoSpaceDN w:val="0"/>
        <w:spacing w:before="100" w:beforeAutospacing="1" w:after="100" w:afterAutospacing="1"/>
        <w:rPr>
          <w:rFonts w:cs="Times New Roman"/>
          <w:color w:val="212121"/>
          <w:szCs w:val="24"/>
          <w:u w:val="single"/>
        </w:rPr>
      </w:pPr>
      <w:r w:rsidRPr="00DA00F6">
        <w:rPr>
          <w:rFonts w:cs="Times New Roman"/>
          <w:b/>
          <w:bCs/>
          <w:color w:val="212121"/>
          <w:szCs w:val="24"/>
        </w:rPr>
        <w:t>Policy.</w:t>
      </w:r>
      <w:r w:rsidRPr="00196365">
        <w:rPr>
          <w:rFonts w:cs="Times New Roman"/>
          <w:color w:val="212121"/>
          <w:szCs w:val="24"/>
        </w:rPr>
        <w:t xml:space="preserve"> Due to the </w:t>
      </w:r>
      <w:r>
        <w:rPr>
          <w:rFonts w:cs="Times New Roman"/>
          <w:color w:val="212121"/>
          <w:szCs w:val="24"/>
        </w:rPr>
        <w:t xml:space="preserve">Commonwealth’s </w:t>
      </w:r>
      <w:r w:rsidRPr="00196365">
        <w:rPr>
          <w:rFonts w:cs="Times New Roman"/>
          <w:color w:val="212121"/>
          <w:szCs w:val="24"/>
        </w:rPr>
        <w:t>Public Health Emergency ending on June 15, 2021, the COVID-19 flexibilities for CP Qualifying Activities were set to expire. As such, MassHealth has been working to ensure timely updated guidance on each of the flexibilities and determine which flexibilities should remain and which should be discontinued. This work will continue into the next quarter.</w:t>
      </w:r>
    </w:p>
    <w:p w14:paraId="5FAA093C" w14:textId="77777777" w:rsidR="00E8657B" w:rsidRPr="004B161F" w:rsidRDefault="00E8657B" w:rsidP="00E8657B">
      <w:pPr>
        <w:widowControl w:val="0"/>
        <w:autoSpaceDE w:val="0"/>
        <w:autoSpaceDN w:val="0"/>
        <w:spacing w:before="100" w:beforeAutospacing="1" w:after="100" w:afterAutospacing="1"/>
        <w:ind w:right="827"/>
        <w:rPr>
          <w:rFonts w:cs="Times New Roman"/>
          <w:color w:val="212121"/>
          <w:szCs w:val="24"/>
          <w:u w:val="single"/>
        </w:rPr>
      </w:pPr>
      <w:r w:rsidRPr="004B161F">
        <w:rPr>
          <w:rFonts w:cs="Times New Roman"/>
          <w:color w:val="212121"/>
          <w:szCs w:val="24"/>
          <w:u w:val="single"/>
        </w:rPr>
        <w:t>Annual Summary</w:t>
      </w:r>
    </w:p>
    <w:p w14:paraId="193124BB" w14:textId="77777777" w:rsidR="00E8657B" w:rsidRPr="00F873F3" w:rsidRDefault="00E8657B" w:rsidP="009B549A">
      <w:pPr>
        <w:widowControl w:val="0"/>
        <w:autoSpaceDE w:val="0"/>
        <w:autoSpaceDN w:val="0"/>
        <w:spacing w:after="0"/>
        <w:ind w:right="827"/>
        <w:rPr>
          <w:rFonts w:cs="Times New Roman"/>
          <w:color w:val="212121"/>
          <w:szCs w:val="24"/>
        </w:rPr>
      </w:pPr>
      <w:r w:rsidRPr="00880AA4">
        <w:rPr>
          <w:rFonts w:cs="Times New Roman"/>
          <w:color w:val="212121"/>
          <w:szCs w:val="24"/>
        </w:rPr>
        <w:t>Q1:</w:t>
      </w:r>
    </w:p>
    <w:p w14:paraId="0D5ADCEC" w14:textId="77777777" w:rsidR="00E8657B" w:rsidRPr="00AA57F3" w:rsidRDefault="00E8657B" w:rsidP="009B549A">
      <w:pPr>
        <w:pStyle w:val="ListParagraph"/>
        <w:numPr>
          <w:ilvl w:val="0"/>
          <w:numId w:val="30"/>
        </w:numPr>
        <w:spacing w:after="0"/>
        <w:rPr>
          <w:rFonts w:cs="Times New Roman"/>
          <w:szCs w:val="24"/>
        </w:rPr>
      </w:pPr>
      <w:r w:rsidRPr="00AA57F3">
        <w:rPr>
          <w:rFonts w:cs="Times New Roman"/>
          <w:szCs w:val="24"/>
        </w:rPr>
        <w:t>MassHealth hosted a virtual statewide meeting for ACO/MCOs and CPs to review SFY21 Q1 cross-entity programmatic updates and forthcoming SFY21 Q2 activities.</w:t>
      </w:r>
    </w:p>
    <w:p w14:paraId="71DA0C0B" w14:textId="77777777" w:rsidR="00E8657B" w:rsidRPr="00AA57F3" w:rsidRDefault="00E8657B" w:rsidP="00E8657B">
      <w:pPr>
        <w:pStyle w:val="ListParagraph"/>
        <w:numPr>
          <w:ilvl w:val="0"/>
          <w:numId w:val="30"/>
        </w:numPr>
        <w:spacing w:after="160"/>
        <w:rPr>
          <w:rFonts w:cs="Times New Roman"/>
          <w:szCs w:val="24"/>
        </w:rPr>
      </w:pPr>
      <w:r w:rsidRPr="00AA57F3">
        <w:rPr>
          <w:rFonts w:cs="Times New Roman"/>
          <w:szCs w:val="24"/>
        </w:rPr>
        <w:t>MassHealth launched the CP Program Portal ("Portal") on August 7, 2020. The Portal received nearly 24,000 batch file and single submissions by September 29, 2020.</w:t>
      </w:r>
    </w:p>
    <w:p w14:paraId="550CF8AE" w14:textId="77777777" w:rsidR="00E8657B" w:rsidRPr="00AA57F3" w:rsidRDefault="00E8657B" w:rsidP="00E8657B">
      <w:pPr>
        <w:pStyle w:val="ListParagraph"/>
        <w:numPr>
          <w:ilvl w:val="0"/>
          <w:numId w:val="30"/>
        </w:numPr>
        <w:spacing w:after="160"/>
        <w:rPr>
          <w:rFonts w:cs="Times New Roman"/>
          <w:szCs w:val="24"/>
        </w:rPr>
      </w:pPr>
      <w:r w:rsidRPr="00AA57F3">
        <w:rPr>
          <w:rFonts w:cs="Times New Roman"/>
          <w:szCs w:val="24"/>
        </w:rPr>
        <w:t>As of August 2020, all 27 CPs have access to the Daily 834 to assist in confirming enrollments, disenrollments and member information changes.</w:t>
      </w:r>
    </w:p>
    <w:p w14:paraId="6DAD209F" w14:textId="10A672BA" w:rsidR="00E8657B" w:rsidRPr="00857AA8" w:rsidRDefault="00E8657B" w:rsidP="00E8657B">
      <w:pPr>
        <w:pStyle w:val="ListParagraph"/>
        <w:numPr>
          <w:ilvl w:val="0"/>
          <w:numId w:val="30"/>
        </w:numPr>
        <w:spacing w:after="160"/>
        <w:rPr>
          <w:rFonts w:cs="Times New Roman"/>
          <w:szCs w:val="24"/>
        </w:rPr>
      </w:pPr>
      <w:r w:rsidRPr="00AA57F3">
        <w:rPr>
          <w:rFonts w:cs="Times New Roman"/>
          <w:szCs w:val="24"/>
        </w:rPr>
        <w:t>MassHealth received and approved 19 Service Area change requests from CPs. Six CPs requested to add a Service Area (3 BH CPs, 3 LTSS CPs) and 2 CPs</w:t>
      </w:r>
      <w:r w:rsidR="009B549A">
        <w:rPr>
          <w:rFonts w:cs="Times New Roman"/>
          <w:szCs w:val="24"/>
        </w:rPr>
        <w:t xml:space="preserve"> (1 BH, 1 LTSS)</w:t>
      </w:r>
      <w:r w:rsidRPr="00AA57F3">
        <w:rPr>
          <w:rFonts w:cs="Times New Roman"/>
          <w:szCs w:val="24"/>
        </w:rPr>
        <w:t xml:space="preserve"> requested to drop a Service Area. Service Area changes went into effect on August 1, 2020.</w:t>
      </w:r>
    </w:p>
    <w:p w14:paraId="25C965CE" w14:textId="77777777" w:rsidR="00E8657B" w:rsidRPr="00B94008" w:rsidRDefault="00E8657B" w:rsidP="009B549A">
      <w:pPr>
        <w:widowControl w:val="0"/>
        <w:autoSpaceDE w:val="0"/>
        <w:autoSpaceDN w:val="0"/>
        <w:spacing w:after="0"/>
        <w:rPr>
          <w:rFonts w:cs="Times New Roman"/>
          <w:color w:val="212121"/>
          <w:szCs w:val="24"/>
        </w:rPr>
      </w:pPr>
      <w:r w:rsidRPr="00B94008">
        <w:rPr>
          <w:rFonts w:cs="Times New Roman"/>
          <w:color w:val="212121"/>
          <w:szCs w:val="24"/>
        </w:rPr>
        <w:t>Q2:</w:t>
      </w:r>
    </w:p>
    <w:p w14:paraId="3A5354FF" w14:textId="77777777" w:rsidR="00E8657B" w:rsidRPr="00E6734D" w:rsidRDefault="00E8657B" w:rsidP="009B549A">
      <w:pPr>
        <w:pStyle w:val="ListParagraph"/>
        <w:numPr>
          <w:ilvl w:val="0"/>
          <w:numId w:val="31"/>
        </w:numPr>
        <w:spacing w:after="0"/>
        <w:rPr>
          <w:rFonts w:cs="Times New Roman"/>
          <w:szCs w:val="24"/>
        </w:rPr>
      </w:pPr>
      <w:r w:rsidRPr="00E6734D">
        <w:rPr>
          <w:rFonts w:cs="Times New Roman"/>
          <w:szCs w:val="24"/>
        </w:rPr>
        <w:t>MassHealth hosted a virtual statewide meeting for ACO/MCOs and CPs in December 2020 to review updates related to enrollment and engagement data; member supports under the COVID-19 state of emergency; operational improvements; quality measures and accountability; and the reporting and performance management strategy.</w:t>
      </w:r>
    </w:p>
    <w:p w14:paraId="29F08737" w14:textId="77777777" w:rsidR="00E8657B" w:rsidRPr="00E6734D" w:rsidRDefault="00E8657B" w:rsidP="00E8657B">
      <w:pPr>
        <w:pStyle w:val="ListParagraph"/>
        <w:numPr>
          <w:ilvl w:val="0"/>
          <w:numId w:val="31"/>
        </w:numPr>
        <w:spacing w:after="0"/>
        <w:rPr>
          <w:rFonts w:cs="Times New Roman"/>
          <w:szCs w:val="24"/>
        </w:rPr>
      </w:pPr>
      <w:r w:rsidRPr="00E6734D">
        <w:rPr>
          <w:rFonts w:cs="Times New Roman"/>
          <w:szCs w:val="24"/>
        </w:rPr>
        <w:t>MassHealth received Capacity Cap Modifications from 9 CPs (4 LTSS, 5 BH) to “right-size” CP capacity caps in response to the new ACO assignment policy and Service Area changes. Eight CPs submitted proposals to increase capacity caps, and 1 CP requested to decrease its capacity cap. MassHealth CP Account Managers reviewed requests, and recommended each request be approved.</w:t>
      </w:r>
    </w:p>
    <w:p w14:paraId="0B8014E3" w14:textId="77777777" w:rsidR="00E8657B" w:rsidRPr="00E6734D" w:rsidRDefault="00E8657B" w:rsidP="00E8657B">
      <w:pPr>
        <w:pStyle w:val="ListParagraph"/>
        <w:numPr>
          <w:ilvl w:val="0"/>
          <w:numId w:val="31"/>
        </w:numPr>
        <w:spacing w:after="0"/>
        <w:rPr>
          <w:rFonts w:cs="Times New Roman"/>
          <w:szCs w:val="24"/>
        </w:rPr>
      </w:pPr>
      <w:r w:rsidRPr="00E6734D">
        <w:rPr>
          <w:rFonts w:cs="Times New Roman"/>
          <w:szCs w:val="24"/>
        </w:rPr>
        <w:t xml:space="preserve">In October 2020, </w:t>
      </w:r>
      <w:r>
        <w:rPr>
          <w:rFonts w:cs="Times New Roman"/>
          <w:szCs w:val="24"/>
        </w:rPr>
        <w:t>MassHealth</w:t>
      </w:r>
      <w:r w:rsidRPr="00E6734D">
        <w:rPr>
          <w:rFonts w:cs="Times New Roman"/>
          <w:szCs w:val="24"/>
        </w:rPr>
        <w:t xml:space="preserve"> </w:t>
      </w:r>
      <w:r>
        <w:rPr>
          <w:rFonts w:cs="Times New Roman"/>
          <w:szCs w:val="24"/>
        </w:rPr>
        <w:t>developed</w:t>
      </w:r>
      <w:r w:rsidRPr="00E6734D">
        <w:rPr>
          <w:rFonts w:cs="Times New Roman"/>
          <w:szCs w:val="24"/>
        </w:rPr>
        <w:t xml:space="preserve"> an integrated stakeholder outreach strategy</w:t>
      </w:r>
      <w:r>
        <w:rPr>
          <w:rFonts w:cs="Times New Roman"/>
          <w:szCs w:val="24"/>
        </w:rPr>
        <w:t xml:space="preserve"> and</w:t>
      </w:r>
      <w:r w:rsidRPr="00E6734D">
        <w:rPr>
          <w:rFonts w:cs="Times New Roman"/>
          <w:szCs w:val="24"/>
        </w:rPr>
        <w:t xml:space="preserve"> launched a web-based survey to gauge CPs’ efforts related to outreach, care planning, care team dynamics, care coordination, transitions of care, and health and wellness coaching under the state of emergency.</w:t>
      </w:r>
    </w:p>
    <w:p w14:paraId="4BADFC04" w14:textId="77777777" w:rsidR="00E8657B" w:rsidRPr="00E6734D" w:rsidRDefault="00E8657B" w:rsidP="00E8657B">
      <w:pPr>
        <w:pStyle w:val="ListParagraph"/>
        <w:numPr>
          <w:ilvl w:val="0"/>
          <w:numId w:val="31"/>
        </w:numPr>
        <w:spacing w:after="0"/>
        <w:rPr>
          <w:rFonts w:cs="Times New Roman"/>
          <w:szCs w:val="24"/>
        </w:rPr>
      </w:pPr>
      <w:r w:rsidRPr="00E6734D">
        <w:rPr>
          <w:rFonts w:cs="Times New Roman"/>
          <w:szCs w:val="24"/>
        </w:rPr>
        <w:t>MassHealth continued to monitor the impact of two new policies (effective 2020) that afford CPs and ACOs/MCOs more flexibility in identifying members and developing preferred partnerships.</w:t>
      </w:r>
    </w:p>
    <w:p w14:paraId="6CA9FE17" w14:textId="20530112" w:rsidR="00E8657B" w:rsidRPr="00E6734D" w:rsidRDefault="00E8657B" w:rsidP="00E8657B">
      <w:pPr>
        <w:pStyle w:val="ListParagraph"/>
        <w:numPr>
          <w:ilvl w:val="0"/>
          <w:numId w:val="31"/>
        </w:numPr>
        <w:spacing w:after="0"/>
        <w:rPr>
          <w:rFonts w:cs="Times New Roman"/>
          <w:szCs w:val="24"/>
        </w:rPr>
      </w:pPr>
      <w:r w:rsidRPr="00E6734D">
        <w:rPr>
          <w:rFonts w:cs="Times New Roman"/>
          <w:szCs w:val="24"/>
        </w:rPr>
        <w:t xml:space="preserve">As part of ongoing stakeholder engagement for the upcoming </w:t>
      </w:r>
      <w:r w:rsidR="009E405A">
        <w:rPr>
          <w:rFonts w:cs="Times New Roman"/>
          <w:szCs w:val="24"/>
        </w:rPr>
        <w:t>extension</w:t>
      </w:r>
      <w:r w:rsidRPr="00E6734D">
        <w:rPr>
          <w:rFonts w:cs="Times New Roman"/>
          <w:szCs w:val="24"/>
        </w:rPr>
        <w:t>, MassHealth has held four stakeholder sessions to gather feedback on the current state of care coordination, and input around potential proposals and policy development for future state.</w:t>
      </w:r>
    </w:p>
    <w:p w14:paraId="5085B3FD" w14:textId="77777777" w:rsidR="00E8657B" w:rsidRPr="00857AA8" w:rsidRDefault="00E8657B" w:rsidP="00E8657B">
      <w:pPr>
        <w:pStyle w:val="ListParagraph"/>
        <w:widowControl w:val="0"/>
        <w:autoSpaceDE w:val="0"/>
        <w:autoSpaceDN w:val="0"/>
        <w:spacing w:before="100" w:beforeAutospacing="1" w:after="100" w:afterAutospacing="1"/>
        <w:ind w:left="770"/>
        <w:rPr>
          <w:rFonts w:cs="Times New Roman"/>
          <w:color w:val="212121"/>
          <w:szCs w:val="24"/>
          <w:u w:val="single"/>
        </w:rPr>
      </w:pPr>
    </w:p>
    <w:p w14:paraId="3456BFA9" w14:textId="77777777" w:rsidR="00E8657B" w:rsidRPr="00880AA4" w:rsidRDefault="00E8657B" w:rsidP="009B549A">
      <w:pPr>
        <w:widowControl w:val="0"/>
        <w:autoSpaceDE w:val="0"/>
        <w:autoSpaceDN w:val="0"/>
        <w:spacing w:after="0"/>
        <w:rPr>
          <w:rFonts w:cs="Times New Roman"/>
          <w:color w:val="212121"/>
          <w:szCs w:val="24"/>
          <w:u w:val="single"/>
        </w:rPr>
      </w:pPr>
      <w:r w:rsidRPr="00880AA4">
        <w:rPr>
          <w:rFonts w:cs="Times New Roman"/>
          <w:color w:val="212121"/>
          <w:szCs w:val="24"/>
          <w:u w:val="single"/>
        </w:rPr>
        <w:t>Q3:</w:t>
      </w:r>
    </w:p>
    <w:p w14:paraId="7F038C8F" w14:textId="77777777" w:rsidR="00E8657B" w:rsidRPr="00E6734D" w:rsidRDefault="00E8657B" w:rsidP="009B549A">
      <w:pPr>
        <w:pStyle w:val="ListParagraph"/>
        <w:numPr>
          <w:ilvl w:val="0"/>
          <w:numId w:val="33"/>
        </w:numPr>
        <w:spacing w:after="0"/>
        <w:rPr>
          <w:rFonts w:cs="Times New Roman"/>
          <w:szCs w:val="24"/>
        </w:rPr>
      </w:pPr>
      <w:r w:rsidRPr="00E6734D">
        <w:rPr>
          <w:rFonts w:cs="Times New Roman"/>
          <w:szCs w:val="24"/>
        </w:rPr>
        <w:t>In February 2021, MassHealth introduced new functionality for the CP Program Portal, which allows users to more easily filter and track processing statuses, and export results to Excel. As of March 28, 2021, over 84,000 CP enrollments and disenrollments have been processed through the CP Program Portal.</w:t>
      </w:r>
    </w:p>
    <w:p w14:paraId="463445CE" w14:textId="77777777" w:rsidR="00E8657B" w:rsidRPr="00E6734D" w:rsidRDefault="00E8657B" w:rsidP="00E8657B">
      <w:pPr>
        <w:pStyle w:val="ListParagraph"/>
        <w:numPr>
          <w:ilvl w:val="0"/>
          <w:numId w:val="33"/>
        </w:numPr>
        <w:spacing w:after="0"/>
        <w:rPr>
          <w:rFonts w:cs="Times New Roman"/>
          <w:szCs w:val="24"/>
        </w:rPr>
      </w:pPr>
      <w:r w:rsidRPr="00E6734D">
        <w:rPr>
          <w:rFonts w:cs="Times New Roman"/>
          <w:szCs w:val="24"/>
        </w:rPr>
        <w:t>On March 21, 2021, MassHealth resumed sending renewal letters to members, with the ACO/MCOs receiving their first files on April 2, 2021. The MassHealth renewal letter is a pre-populated member eligibility form that identifies outstanding information and provides directions for responding. While CPs are not responsible for maintaining members' MassHealth coverage, the CP MassHealth renewal files provide the information CPs could use to assist ACO/MCOs with connecting members to enrollment resources.</w:t>
      </w:r>
    </w:p>
    <w:p w14:paraId="5E66D36A" w14:textId="77777777" w:rsidR="00E8657B" w:rsidRPr="00857AA8" w:rsidRDefault="00E8657B" w:rsidP="00E8657B">
      <w:pPr>
        <w:pStyle w:val="ListParagraph"/>
        <w:numPr>
          <w:ilvl w:val="0"/>
          <w:numId w:val="32"/>
        </w:numPr>
        <w:spacing w:after="160"/>
        <w:rPr>
          <w:rFonts w:cs="Times New Roman"/>
          <w:szCs w:val="24"/>
        </w:rPr>
      </w:pPr>
      <w:r w:rsidRPr="00E6734D">
        <w:rPr>
          <w:rFonts w:cs="Times New Roman"/>
          <w:szCs w:val="24"/>
        </w:rPr>
        <w:t>In February 2021, MassHealth released the first refresh of the Phase I quarterly report, which was launched in December 2020. In collaboration with MassHealth, CPs actively utilized the quarterly reports and other data sources to launch data-driven performance improvement initiatives. CPs have already made improvements on measures such as "Days to Care Plan Complete" and "Percent of Billable Enrollees".</w:t>
      </w:r>
    </w:p>
    <w:p w14:paraId="23671288" w14:textId="77777777" w:rsidR="000A19C6" w:rsidRPr="004B161F" w:rsidRDefault="000A19C6" w:rsidP="00945667">
      <w:pPr>
        <w:pStyle w:val="Heading3"/>
      </w:pPr>
      <w:r w:rsidRPr="002457B4">
        <w:t>DSRIP Statewide Investments</w:t>
      </w:r>
    </w:p>
    <w:p w14:paraId="443EA673" w14:textId="77777777" w:rsidR="000A19C6" w:rsidRPr="004B161F" w:rsidRDefault="000A19C6" w:rsidP="000A19C6">
      <w:pPr>
        <w:widowControl w:val="0"/>
        <w:autoSpaceDE w:val="0"/>
        <w:autoSpaceDN w:val="0"/>
        <w:spacing w:before="100" w:beforeAutospacing="1" w:after="100" w:afterAutospacing="1"/>
        <w:rPr>
          <w:rFonts w:eastAsia="Times New Roman" w:cs="Times New Roman"/>
          <w:b/>
          <w:szCs w:val="24"/>
          <w:u w:val="single"/>
        </w:rPr>
      </w:pPr>
      <w:r w:rsidRPr="004B161F">
        <w:rPr>
          <w:rFonts w:eastAsia="Times New Roman" w:cs="Times New Roman"/>
          <w:szCs w:val="24"/>
          <w:u w:val="single"/>
        </w:rPr>
        <w:t>Overview</w:t>
      </w:r>
    </w:p>
    <w:p w14:paraId="328468B6" w14:textId="77777777" w:rsidR="000A19C6" w:rsidRPr="004B161F" w:rsidRDefault="000A19C6" w:rsidP="000A19C6">
      <w:pPr>
        <w:widowControl w:val="0"/>
        <w:autoSpaceDE w:val="0"/>
        <w:autoSpaceDN w:val="0"/>
        <w:spacing w:after="0"/>
        <w:ind w:right="821"/>
        <w:rPr>
          <w:rFonts w:cs="Times New Roman"/>
          <w:color w:val="212121"/>
          <w:szCs w:val="24"/>
        </w:rPr>
      </w:pPr>
      <w:r w:rsidRPr="004B161F">
        <w:rPr>
          <w:rFonts w:cs="Times New Roman"/>
          <w:color w:val="212121"/>
          <w:szCs w:val="24"/>
        </w:rPr>
        <w:t>DSRIP Statewide Investments (SWI) is a portfolio of eight investment streams designed to build and strengthen healthcare workforce capacity and delivery system infrastructure across Massachusetts, with the goal of helping ACOs, CPs, and CSAs succeed in MassHealth payment reform.</w:t>
      </w:r>
    </w:p>
    <w:p w14:paraId="1CB1ED47" w14:textId="77777777" w:rsidR="000A19C6" w:rsidRPr="004B161F" w:rsidRDefault="000A19C6" w:rsidP="000A19C6">
      <w:pPr>
        <w:widowControl w:val="0"/>
        <w:autoSpaceDE w:val="0"/>
        <w:autoSpaceDN w:val="0"/>
        <w:spacing w:before="100" w:beforeAutospacing="1" w:after="100" w:afterAutospacing="1"/>
        <w:ind w:right="827"/>
        <w:rPr>
          <w:rFonts w:cs="Times New Roman"/>
          <w:color w:val="212121"/>
          <w:szCs w:val="24"/>
          <w:u w:val="single"/>
        </w:rPr>
      </w:pPr>
      <w:r w:rsidRPr="004B161F">
        <w:rPr>
          <w:rFonts w:cs="Times New Roman"/>
          <w:color w:val="212121"/>
          <w:szCs w:val="24"/>
          <w:u w:val="single"/>
        </w:rPr>
        <w:t>Q4 Update:</w:t>
      </w:r>
    </w:p>
    <w:p w14:paraId="70E88A7E" w14:textId="301CEAF5" w:rsidR="000A19C6" w:rsidRDefault="000A19C6" w:rsidP="000A19C6">
      <w:pPr>
        <w:widowControl w:val="0"/>
        <w:autoSpaceDE w:val="0"/>
        <w:autoSpaceDN w:val="0"/>
        <w:spacing w:after="0"/>
        <w:ind w:right="821"/>
        <w:rPr>
          <w:rFonts w:cs="Times New Roman"/>
          <w:color w:val="212121"/>
          <w:szCs w:val="24"/>
        </w:rPr>
      </w:pPr>
      <w:r w:rsidRPr="000052D3">
        <w:rPr>
          <w:rFonts w:cs="Times New Roman"/>
          <w:color w:val="212121"/>
          <w:szCs w:val="24"/>
        </w:rPr>
        <w:t xml:space="preserve">During Quarter 4, MassHealth published on the Technical Assistance (TA) Marketplace web site </w:t>
      </w:r>
      <w:r>
        <w:rPr>
          <w:rFonts w:cs="Times New Roman"/>
          <w:color w:val="212121"/>
          <w:szCs w:val="24"/>
        </w:rPr>
        <w:t>a</w:t>
      </w:r>
      <w:r w:rsidRPr="000052D3">
        <w:rPr>
          <w:rFonts w:cs="Times New Roman"/>
          <w:color w:val="212121"/>
          <w:szCs w:val="24"/>
        </w:rPr>
        <w:t xml:space="preserve"> Statewide Investments Member Engagement Toolkit.  It was developed based on content from the SWI Pop-Up series that MassHealth hosted on member engagement, as well as from practices, resources</w:t>
      </w:r>
      <w:r>
        <w:rPr>
          <w:rFonts w:cs="Times New Roman"/>
          <w:color w:val="212121"/>
          <w:szCs w:val="24"/>
        </w:rPr>
        <w:t>,</w:t>
      </w:r>
      <w:r w:rsidRPr="000052D3">
        <w:rPr>
          <w:rFonts w:cs="Times New Roman"/>
          <w:color w:val="212121"/>
          <w:szCs w:val="24"/>
        </w:rPr>
        <w:t xml:space="preserve"> and examples from ACO and CP DSRIP TA projects.  Also in Quarter 4, MassHealth hosted a second webinar on member engagement, as part of the ACO/CP Integration Learning Collaborative.  The webinar featured a presentation from Camden Coalition on lessons learned from their work in outreach to hard-to-reach members.  The event was held on May 25, 2021 and attracted over 150 participants.  Finally, MassHealth implemented the “Opt-In TA Cards” initiative, which provided an additional $200,000 in TA Card funds to ACOs and CPs with a history of robust TA Card spending from the past three program years.  Forty-two Opt-In TA Card funding requests, totaling $3.2 million, were approved through this initiative.</w:t>
      </w:r>
      <w:r w:rsidR="0020441C">
        <w:rPr>
          <w:rFonts w:cs="Times New Roman"/>
          <w:color w:val="212121"/>
          <w:szCs w:val="24"/>
        </w:rPr>
        <w:br/>
      </w:r>
    </w:p>
    <w:p w14:paraId="2415EB7A" w14:textId="77777777" w:rsidR="000A19C6" w:rsidRDefault="000A19C6" w:rsidP="000A19C6">
      <w:pPr>
        <w:widowControl w:val="0"/>
        <w:autoSpaceDE w:val="0"/>
        <w:autoSpaceDN w:val="0"/>
        <w:spacing w:after="0"/>
        <w:ind w:right="821"/>
        <w:rPr>
          <w:rFonts w:cs="Times New Roman"/>
          <w:color w:val="212121"/>
          <w:szCs w:val="24"/>
        </w:rPr>
      </w:pPr>
      <w:r w:rsidRPr="00BD10F1">
        <w:rPr>
          <w:rFonts w:cs="Times New Roman"/>
          <w:color w:val="212121"/>
          <w:szCs w:val="24"/>
        </w:rPr>
        <w:t xml:space="preserve">All Cycle 2 awardees </w:t>
      </w:r>
      <w:r>
        <w:rPr>
          <w:rFonts w:cs="Times New Roman"/>
          <w:color w:val="212121"/>
          <w:szCs w:val="24"/>
        </w:rPr>
        <w:t xml:space="preserve">of the Provider Access Improvement Grant Program </w:t>
      </w:r>
      <w:r w:rsidRPr="00BD10F1">
        <w:rPr>
          <w:rFonts w:cs="Times New Roman"/>
          <w:color w:val="212121"/>
          <w:szCs w:val="24"/>
        </w:rPr>
        <w:t>submitted their final invoices, expense reports, and final reports at the end of the extension period. Cycle 3 application window was closed on 4/14/2021, and</w:t>
      </w:r>
      <w:r>
        <w:rPr>
          <w:rFonts w:cs="Times New Roman"/>
          <w:color w:val="212121"/>
          <w:szCs w:val="24"/>
        </w:rPr>
        <w:t xml:space="preserve"> </w:t>
      </w:r>
      <w:r w:rsidRPr="006D7C61">
        <w:rPr>
          <w:rFonts w:cs="Times New Roman"/>
          <w:color w:val="212121"/>
          <w:szCs w:val="24"/>
        </w:rPr>
        <w:t>Health Resources in Action</w:t>
      </w:r>
      <w:r w:rsidRPr="00BD10F1">
        <w:rPr>
          <w:rFonts w:cs="Times New Roman"/>
          <w:color w:val="212121"/>
          <w:szCs w:val="24"/>
        </w:rPr>
        <w:t xml:space="preserve"> </w:t>
      </w:r>
      <w:r>
        <w:rPr>
          <w:rFonts w:cs="Times New Roman"/>
          <w:color w:val="212121"/>
          <w:szCs w:val="24"/>
        </w:rPr>
        <w:t>(</w:t>
      </w:r>
      <w:r w:rsidRPr="00BD10F1">
        <w:rPr>
          <w:rFonts w:cs="Times New Roman"/>
          <w:color w:val="212121"/>
          <w:szCs w:val="24"/>
        </w:rPr>
        <w:t>HRiA</w:t>
      </w:r>
      <w:r>
        <w:rPr>
          <w:rFonts w:cs="Times New Roman"/>
          <w:color w:val="212121"/>
          <w:szCs w:val="24"/>
        </w:rPr>
        <w:t>)</w:t>
      </w:r>
      <w:r w:rsidRPr="00BD10F1">
        <w:rPr>
          <w:rFonts w:cs="Times New Roman"/>
          <w:color w:val="212121"/>
          <w:szCs w:val="24"/>
        </w:rPr>
        <w:t xml:space="preserve"> is currently reviewing the applications for completeness, scoring, and recommendations of the grant applications for equipment and resources designed to improve accessibility for individuals with disabilities or for whom English is not a primary language.  A total of 87 applications have been received for consideration and HRiA’s recommendation deadline is June 30, 2021.</w:t>
      </w:r>
    </w:p>
    <w:p w14:paraId="77F769C7" w14:textId="77777777" w:rsidR="000A19C6" w:rsidRDefault="000A19C6" w:rsidP="000A19C6">
      <w:pPr>
        <w:widowControl w:val="0"/>
        <w:autoSpaceDE w:val="0"/>
        <w:autoSpaceDN w:val="0"/>
        <w:spacing w:after="0"/>
        <w:ind w:right="821"/>
        <w:rPr>
          <w:rFonts w:cs="Times New Roman"/>
          <w:color w:val="212121"/>
          <w:szCs w:val="24"/>
        </w:rPr>
      </w:pPr>
      <w:r w:rsidRPr="000052D3">
        <w:rPr>
          <w:rFonts w:cs="Times New Roman"/>
          <w:color w:val="212121"/>
          <w:szCs w:val="24"/>
        </w:rPr>
        <w:t xml:space="preserve"> </w:t>
      </w:r>
      <w:r w:rsidRPr="00F443D0">
        <w:rPr>
          <w:rFonts w:cs="Times New Roman"/>
          <w:color w:val="212121"/>
          <w:szCs w:val="24"/>
        </w:rPr>
        <w:t xml:space="preserve"> </w:t>
      </w:r>
    </w:p>
    <w:p w14:paraId="69A1FBEA" w14:textId="77777777" w:rsidR="000A19C6" w:rsidRPr="004B161F" w:rsidRDefault="000A19C6" w:rsidP="000A19C6">
      <w:pPr>
        <w:widowControl w:val="0"/>
        <w:autoSpaceDE w:val="0"/>
        <w:autoSpaceDN w:val="0"/>
        <w:spacing w:before="100" w:beforeAutospacing="1" w:after="100" w:afterAutospacing="1"/>
        <w:ind w:right="827"/>
        <w:rPr>
          <w:rFonts w:cs="Times New Roman"/>
          <w:color w:val="212121"/>
          <w:szCs w:val="24"/>
          <w:u w:val="single"/>
        </w:rPr>
      </w:pPr>
      <w:r w:rsidRPr="004B161F">
        <w:rPr>
          <w:rFonts w:cs="Times New Roman"/>
          <w:color w:val="212121"/>
          <w:szCs w:val="24"/>
          <w:u w:val="single"/>
        </w:rPr>
        <w:t>Annual Summary</w:t>
      </w:r>
    </w:p>
    <w:p w14:paraId="064A2D55" w14:textId="77777777" w:rsidR="000A19C6" w:rsidRPr="004B161F" w:rsidRDefault="000A19C6" w:rsidP="009B549A">
      <w:pPr>
        <w:widowControl w:val="0"/>
        <w:autoSpaceDE w:val="0"/>
        <w:autoSpaceDN w:val="0"/>
        <w:spacing w:after="0"/>
        <w:ind w:right="821"/>
        <w:rPr>
          <w:rFonts w:cs="Times New Roman"/>
          <w:color w:val="212121"/>
          <w:szCs w:val="24"/>
        </w:rPr>
      </w:pPr>
      <w:r w:rsidRPr="004B161F">
        <w:rPr>
          <w:rFonts w:cs="Times New Roman"/>
          <w:color w:val="212121"/>
          <w:szCs w:val="24"/>
        </w:rPr>
        <w:t>Q1:</w:t>
      </w:r>
    </w:p>
    <w:p w14:paraId="66B9C9E1" w14:textId="77777777" w:rsidR="000A19C6" w:rsidRPr="00FD1F97" w:rsidRDefault="000A19C6" w:rsidP="009B549A">
      <w:pPr>
        <w:pStyle w:val="ListParagraph"/>
        <w:widowControl w:val="0"/>
        <w:numPr>
          <w:ilvl w:val="0"/>
          <w:numId w:val="34"/>
        </w:numPr>
        <w:autoSpaceDE w:val="0"/>
        <w:autoSpaceDN w:val="0"/>
        <w:spacing w:after="0"/>
        <w:ind w:right="821"/>
        <w:rPr>
          <w:rFonts w:cs="Times New Roman"/>
          <w:color w:val="212121"/>
          <w:szCs w:val="24"/>
        </w:rPr>
      </w:pPr>
      <w:r w:rsidRPr="00FD1F97">
        <w:rPr>
          <w:rFonts w:cs="Times New Roman"/>
          <w:color w:val="212121"/>
          <w:szCs w:val="24"/>
        </w:rPr>
        <w:t xml:space="preserve">Reviewed 100 proposals received from 33 entities in response to a second Request for Proposal to procure additional Technical Assistance (TA) Vendors for the TA Program </w:t>
      </w:r>
    </w:p>
    <w:p w14:paraId="008298D4" w14:textId="76E0ADA5" w:rsidR="000A19C6" w:rsidRPr="00FD1F97" w:rsidRDefault="000A19C6" w:rsidP="000A19C6">
      <w:pPr>
        <w:pStyle w:val="ListParagraph"/>
        <w:widowControl w:val="0"/>
        <w:numPr>
          <w:ilvl w:val="0"/>
          <w:numId w:val="34"/>
        </w:numPr>
        <w:autoSpaceDE w:val="0"/>
        <w:autoSpaceDN w:val="0"/>
        <w:spacing w:before="100" w:beforeAutospacing="1" w:after="100" w:afterAutospacing="1"/>
        <w:ind w:right="827"/>
        <w:rPr>
          <w:rFonts w:cs="Times New Roman"/>
          <w:color w:val="212121"/>
          <w:szCs w:val="24"/>
        </w:rPr>
      </w:pPr>
      <w:r w:rsidRPr="00FD1F97">
        <w:rPr>
          <w:rFonts w:cs="Times New Roman"/>
          <w:color w:val="212121"/>
          <w:szCs w:val="24"/>
        </w:rPr>
        <w:t>Hosted a virtual MA DSRIP Statewide Investments Pop Up Event: “Spotlight on Medical-Oral Health Integration,” which was attended by representatives from 76% of the ACO</w:t>
      </w:r>
      <w:r w:rsidR="002457B4">
        <w:rPr>
          <w:rFonts w:cs="Times New Roman"/>
          <w:color w:val="212121"/>
          <w:szCs w:val="24"/>
        </w:rPr>
        <w:t>s</w:t>
      </w:r>
      <w:r w:rsidRPr="00FD1F97">
        <w:rPr>
          <w:rFonts w:cs="Times New Roman"/>
          <w:color w:val="212121"/>
          <w:szCs w:val="24"/>
        </w:rPr>
        <w:t xml:space="preserve"> and 41% of the </w:t>
      </w:r>
      <w:r w:rsidR="002457B4">
        <w:rPr>
          <w:rFonts w:cs="Times New Roman"/>
          <w:color w:val="212121"/>
          <w:szCs w:val="24"/>
        </w:rPr>
        <w:t>C</w:t>
      </w:r>
      <w:r w:rsidRPr="00FD1F97">
        <w:rPr>
          <w:rFonts w:cs="Times New Roman"/>
          <w:color w:val="212121"/>
          <w:szCs w:val="24"/>
        </w:rPr>
        <w:t>P</w:t>
      </w:r>
      <w:r w:rsidR="002457B4">
        <w:rPr>
          <w:rFonts w:cs="Times New Roman"/>
          <w:color w:val="212121"/>
          <w:szCs w:val="24"/>
        </w:rPr>
        <w:t>s</w:t>
      </w:r>
      <w:r w:rsidRPr="00FD1F97">
        <w:rPr>
          <w:rFonts w:cs="Times New Roman"/>
          <w:color w:val="212121"/>
          <w:szCs w:val="24"/>
        </w:rPr>
        <w:t xml:space="preserve"> participating in the TA Program </w:t>
      </w:r>
    </w:p>
    <w:p w14:paraId="2D2DB98F" w14:textId="77777777" w:rsidR="000A19C6" w:rsidRPr="00FD1F97" w:rsidRDefault="000A19C6" w:rsidP="000A19C6">
      <w:pPr>
        <w:pStyle w:val="ListParagraph"/>
        <w:widowControl w:val="0"/>
        <w:numPr>
          <w:ilvl w:val="0"/>
          <w:numId w:val="34"/>
        </w:numPr>
        <w:autoSpaceDE w:val="0"/>
        <w:autoSpaceDN w:val="0"/>
        <w:spacing w:before="100" w:beforeAutospacing="1" w:after="100" w:afterAutospacing="1"/>
        <w:ind w:right="827"/>
        <w:rPr>
          <w:rFonts w:cs="Times New Roman"/>
          <w:color w:val="212121"/>
          <w:szCs w:val="24"/>
        </w:rPr>
      </w:pPr>
      <w:r w:rsidRPr="00FD1F97">
        <w:rPr>
          <w:rFonts w:cs="Times New Roman"/>
          <w:color w:val="212121"/>
          <w:szCs w:val="24"/>
        </w:rPr>
        <w:t>Launched two training cohorts of the Community Health Worker (CHW) Supervisor training curriculum, which was developed to increase the capacity of CHW supervisors to provide more responsive and informed support for their CHW teams</w:t>
      </w:r>
    </w:p>
    <w:p w14:paraId="4E3473CC" w14:textId="77777777" w:rsidR="000A19C6" w:rsidRDefault="000A19C6" w:rsidP="000A19C6">
      <w:pPr>
        <w:pStyle w:val="ListParagraph"/>
        <w:widowControl w:val="0"/>
        <w:numPr>
          <w:ilvl w:val="0"/>
          <w:numId w:val="34"/>
        </w:numPr>
        <w:autoSpaceDE w:val="0"/>
        <w:autoSpaceDN w:val="0"/>
        <w:spacing w:before="100" w:beforeAutospacing="1" w:after="100" w:afterAutospacing="1"/>
        <w:ind w:right="827"/>
        <w:rPr>
          <w:rFonts w:cs="Times New Roman"/>
          <w:color w:val="212121"/>
          <w:szCs w:val="24"/>
        </w:rPr>
      </w:pPr>
      <w:r w:rsidRPr="00FD1F97">
        <w:rPr>
          <w:rFonts w:cs="Times New Roman"/>
          <w:color w:val="212121"/>
          <w:szCs w:val="24"/>
        </w:rPr>
        <w:t>Released applications for the Competency-Based Training Program, which makes the Healthcare Management Fundamentals Certificate Program at Southern New Hampshire University available to frontline healthcare workers in ACOs, CPs and affiliated provider entities</w:t>
      </w:r>
    </w:p>
    <w:p w14:paraId="4D4B3E13" w14:textId="0A862B6C" w:rsidR="000A19C6" w:rsidRPr="00DE71E9" w:rsidRDefault="000A19C6" w:rsidP="000A19C6">
      <w:pPr>
        <w:pStyle w:val="ListParagraph"/>
        <w:widowControl w:val="0"/>
        <w:numPr>
          <w:ilvl w:val="0"/>
          <w:numId w:val="34"/>
        </w:numPr>
        <w:autoSpaceDE w:val="0"/>
        <w:autoSpaceDN w:val="0"/>
        <w:spacing w:before="100" w:beforeAutospacing="1" w:after="100" w:afterAutospacing="1"/>
        <w:ind w:right="827"/>
        <w:rPr>
          <w:rFonts w:cs="Times New Roman"/>
          <w:color w:val="212121"/>
          <w:szCs w:val="24"/>
        </w:rPr>
      </w:pPr>
      <w:r w:rsidRPr="00DE71E9">
        <w:rPr>
          <w:rFonts w:cs="Times New Roman"/>
          <w:color w:val="212121"/>
          <w:szCs w:val="24"/>
        </w:rPr>
        <w:t xml:space="preserve">HRiA, on behalf of the Commonwealth, completed reviewing of 128 </w:t>
      </w:r>
      <w:r>
        <w:rPr>
          <w:rFonts w:cs="Times New Roman"/>
          <w:color w:val="212121"/>
          <w:szCs w:val="24"/>
        </w:rPr>
        <w:t xml:space="preserve">Cycle 2 </w:t>
      </w:r>
      <w:r w:rsidRPr="00DE71E9">
        <w:rPr>
          <w:rFonts w:cs="Times New Roman"/>
          <w:color w:val="212121"/>
          <w:szCs w:val="24"/>
        </w:rPr>
        <w:t>Provider Access Improvement Grant proposals for completeness, impact, and ability to improve access to healthcare for individuals with disabilities or for whom English is not a primary languag</w:t>
      </w:r>
      <w:r>
        <w:rPr>
          <w:rFonts w:cs="Times New Roman"/>
          <w:color w:val="212121"/>
          <w:szCs w:val="24"/>
        </w:rPr>
        <w:t>e</w:t>
      </w:r>
    </w:p>
    <w:p w14:paraId="5A9942B5" w14:textId="77777777" w:rsidR="000A19C6" w:rsidRPr="00645CF6" w:rsidRDefault="000A19C6" w:rsidP="000A19C6">
      <w:pPr>
        <w:pStyle w:val="ListParagraph"/>
        <w:widowControl w:val="0"/>
        <w:numPr>
          <w:ilvl w:val="0"/>
          <w:numId w:val="34"/>
        </w:numPr>
        <w:autoSpaceDE w:val="0"/>
        <w:autoSpaceDN w:val="0"/>
        <w:spacing w:before="100" w:beforeAutospacing="1" w:after="100" w:afterAutospacing="1"/>
        <w:ind w:right="827"/>
        <w:rPr>
          <w:rFonts w:cs="Times New Roman"/>
          <w:color w:val="212121"/>
          <w:szCs w:val="24"/>
        </w:rPr>
      </w:pPr>
      <w:r w:rsidRPr="00645CF6">
        <w:rPr>
          <w:rFonts w:cs="Times New Roman"/>
          <w:color w:val="212121"/>
          <w:szCs w:val="24"/>
        </w:rPr>
        <w:t>HRiA compiled the results of the review and made funding recommendations to EOHHS on July 31, 2020. EOHHS completed the internal review of the approved applications and the recommendation memo was sent for internal review and approval</w:t>
      </w:r>
    </w:p>
    <w:p w14:paraId="44A0F17F" w14:textId="77777777" w:rsidR="000A19C6" w:rsidRPr="00382F3F" w:rsidRDefault="000A19C6" w:rsidP="009B549A">
      <w:pPr>
        <w:widowControl w:val="0"/>
        <w:autoSpaceDE w:val="0"/>
        <w:autoSpaceDN w:val="0"/>
        <w:spacing w:after="0"/>
        <w:ind w:right="821"/>
        <w:rPr>
          <w:rFonts w:cs="Times New Roman"/>
          <w:color w:val="212121"/>
          <w:szCs w:val="24"/>
        </w:rPr>
      </w:pPr>
      <w:r w:rsidRPr="004B161F">
        <w:rPr>
          <w:rFonts w:cs="Times New Roman"/>
          <w:color w:val="212121"/>
          <w:szCs w:val="24"/>
        </w:rPr>
        <w:t>Q2:</w:t>
      </w:r>
    </w:p>
    <w:p w14:paraId="6D5D6382" w14:textId="77777777" w:rsidR="000A19C6" w:rsidRPr="00382F3F" w:rsidRDefault="000A19C6" w:rsidP="009B549A">
      <w:pPr>
        <w:pStyle w:val="ListParagraph"/>
        <w:widowControl w:val="0"/>
        <w:numPr>
          <w:ilvl w:val="0"/>
          <w:numId w:val="35"/>
        </w:numPr>
        <w:autoSpaceDE w:val="0"/>
        <w:autoSpaceDN w:val="0"/>
        <w:spacing w:after="0"/>
        <w:ind w:right="821"/>
        <w:rPr>
          <w:rFonts w:cs="Times New Roman"/>
          <w:color w:val="212121"/>
          <w:szCs w:val="24"/>
        </w:rPr>
      </w:pPr>
      <w:r w:rsidRPr="00382F3F">
        <w:rPr>
          <w:rFonts w:cs="Times New Roman"/>
          <w:color w:val="212121"/>
          <w:szCs w:val="24"/>
        </w:rPr>
        <w:t xml:space="preserve">Hosted the first virtual Shared Learning Event for ACOs and CPs, during which was introduced the "Off the Shelf Project" option – TA projects that have been packaged for convenient, efficient and time-saving delivery   </w:t>
      </w:r>
    </w:p>
    <w:p w14:paraId="32BF7248" w14:textId="77777777" w:rsidR="000A19C6" w:rsidRPr="00382F3F" w:rsidRDefault="000A19C6" w:rsidP="000A19C6">
      <w:pPr>
        <w:pStyle w:val="ListParagraph"/>
        <w:widowControl w:val="0"/>
        <w:numPr>
          <w:ilvl w:val="0"/>
          <w:numId w:val="35"/>
        </w:numPr>
        <w:autoSpaceDE w:val="0"/>
        <w:autoSpaceDN w:val="0"/>
        <w:spacing w:before="100" w:beforeAutospacing="1" w:after="100" w:afterAutospacing="1"/>
        <w:ind w:right="827"/>
        <w:rPr>
          <w:rFonts w:cs="Times New Roman"/>
          <w:color w:val="212121"/>
          <w:szCs w:val="24"/>
        </w:rPr>
      </w:pPr>
      <w:r w:rsidRPr="00382F3F">
        <w:rPr>
          <w:rFonts w:cs="Times New Roman"/>
          <w:color w:val="212121"/>
          <w:szCs w:val="24"/>
        </w:rPr>
        <w:t xml:space="preserve">Hosted a virtual Gallery Walk to showcase the progress of ACO/CP teams participating in the ACO/CP Integration Learning Collaborative </w:t>
      </w:r>
    </w:p>
    <w:p w14:paraId="758FF7F7" w14:textId="77777777" w:rsidR="000A19C6" w:rsidRDefault="000A19C6" w:rsidP="000A19C6">
      <w:pPr>
        <w:pStyle w:val="ListParagraph"/>
        <w:widowControl w:val="0"/>
        <w:numPr>
          <w:ilvl w:val="0"/>
          <w:numId w:val="35"/>
        </w:numPr>
        <w:autoSpaceDE w:val="0"/>
        <w:autoSpaceDN w:val="0"/>
        <w:spacing w:before="100" w:beforeAutospacing="1" w:after="100" w:afterAutospacing="1"/>
        <w:ind w:right="827"/>
        <w:rPr>
          <w:rFonts w:cs="Times New Roman"/>
          <w:color w:val="212121"/>
          <w:szCs w:val="24"/>
        </w:rPr>
      </w:pPr>
      <w:r w:rsidRPr="00382F3F">
        <w:rPr>
          <w:rFonts w:cs="Times New Roman"/>
          <w:color w:val="212121"/>
          <w:szCs w:val="24"/>
        </w:rPr>
        <w:t>Delivered the final 2020 cohort of the CHW Supervisor training curriculum</w:t>
      </w:r>
    </w:p>
    <w:p w14:paraId="2F28A755" w14:textId="77777777" w:rsidR="000A19C6" w:rsidRPr="00926C62" w:rsidRDefault="000A19C6" w:rsidP="000A19C6">
      <w:pPr>
        <w:pStyle w:val="ListParagraph"/>
        <w:widowControl w:val="0"/>
        <w:numPr>
          <w:ilvl w:val="0"/>
          <w:numId w:val="35"/>
        </w:numPr>
        <w:autoSpaceDE w:val="0"/>
        <w:autoSpaceDN w:val="0"/>
        <w:spacing w:before="100" w:beforeAutospacing="1" w:after="100" w:afterAutospacing="1"/>
        <w:ind w:right="827"/>
        <w:rPr>
          <w:rFonts w:cs="Times New Roman"/>
          <w:color w:val="212121"/>
          <w:szCs w:val="24"/>
        </w:rPr>
      </w:pPr>
      <w:r w:rsidRPr="00926C62">
        <w:rPr>
          <w:rFonts w:cs="Times New Roman"/>
          <w:color w:val="212121"/>
          <w:szCs w:val="24"/>
        </w:rPr>
        <w:t xml:space="preserve">EOHHS selected 65 </w:t>
      </w:r>
      <w:r>
        <w:rPr>
          <w:rFonts w:cs="Times New Roman"/>
          <w:color w:val="212121"/>
          <w:szCs w:val="24"/>
        </w:rPr>
        <w:t xml:space="preserve">Cycle 2 </w:t>
      </w:r>
      <w:r w:rsidRPr="00926C62">
        <w:rPr>
          <w:rFonts w:cs="Times New Roman"/>
          <w:color w:val="212121"/>
          <w:szCs w:val="24"/>
        </w:rPr>
        <w:t>Provider Access Improvement Grant proposals for funding amounting to $2,174,145.32 for equipment and resources designed to improve accessibility for individuals with disabilities or for whom English is not a primary language.</w:t>
      </w:r>
    </w:p>
    <w:p w14:paraId="45A8313C" w14:textId="77777777" w:rsidR="000A19C6" w:rsidRPr="00926C62" w:rsidRDefault="000A19C6" w:rsidP="000A19C6">
      <w:pPr>
        <w:pStyle w:val="ListParagraph"/>
        <w:widowControl w:val="0"/>
        <w:numPr>
          <w:ilvl w:val="0"/>
          <w:numId w:val="35"/>
        </w:numPr>
        <w:autoSpaceDE w:val="0"/>
        <w:autoSpaceDN w:val="0"/>
        <w:spacing w:before="100" w:beforeAutospacing="1" w:after="100" w:afterAutospacing="1"/>
        <w:ind w:right="827"/>
        <w:rPr>
          <w:rFonts w:cs="Times New Roman"/>
          <w:color w:val="212121"/>
          <w:szCs w:val="24"/>
        </w:rPr>
      </w:pPr>
      <w:r w:rsidRPr="00926C62">
        <w:rPr>
          <w:rFonts w:cs="Times New Roman"/>
          <w:color w:val="212121"/>
          <w:szCs w:val="24"/>
        </w:rPr>
        <w:t>HRiA entered grant agreements with awardees</w:t>
      </w:r>
    </w:p>
    <w:p w14:paraId="60759DF7" w14:textId="7AE54AE2" w:rsidR="000A19C6" w:rsidRPr="00382F3F" w:rsidRDefault="000A19C6" w:rsidP="000A19C6">
      <w:pPr>
        <w:pStyle w:val="ListParagraph"/>
        <w:widowControl w:val="0"/>
        <w:numPr>
          <w:ilvl w:val="0"/>
          <w:numId w:val="35"/>
        </w:numPr>
        <w:autoSpaceDE w:val="0"/>
        <w:autoSpaceDN w:val="0"/>
        <w:spacing w:before="100" w:beforeAutospacing="1" w:after="100" w:afterAutospacing="1"/>
        <w:ind w:right="827"/>
        <w:rPr>
          <w:rFonts w:cs="Times New Roman"/>
          <w:color w:val="212121"/>
          <w:szCs w:val="24"/>
        </w:rPr>
      </w:pPr>
      <w:r w:rsidRPr="00926C62">
        <w:rPr>
          <w:rFonts w:cs="Times New Roman"/>
          <w:color w:val="212121"/>
          <w:szCs w:val="24"/>
        </w:rPr>
        <w:t xml:space="preserve">Cycle 2 grant application period and timeline </w:t>
      </w:r>
      <w:r>
        <w:rPr>
          <w:rFonts w:cs="Times New Roman"/>
          <w:color w:val="212121"/>
          <w:szCs w:val="24"/>
        </w:rPr>
        <w:t xml:space="preserve">extended </w:t>
      </w:r>
      <w:r w:rsidRPr="00926C62">
        <w:rPr>
          <w:rFonts w:cs="Times New Roman"/>
          <w:color w:val="212121"/>
          <w:szCs w:val="24"/>
        </w:rPr>
        <w:t>from a 12-month project duration to a 17.5-month project duration for corresponding tasks and deliverables due to the C</w:t>
      </w:r>
      <w:r w:rsidR="00596921">
        <w:rPr>
          <w:rFonts w:cs="Times New Roman"/>
          <w:color w:val="212121"/>
          <w:szCs w:val="24"/>
        </w:rPr>
        <w:t>OVID</w:t>
      </w:r>
      <w:r w:rsidRPr="00926C62">
        <w:rPr>
          <w:rFonts w:cs="Times New Roman"/>
          <w:color w:val="212121"/>
          <w:szCs w:val="24"/>
        </w:rPr>
        <w:t>-19 shift in agency resources and impacts on the target provider community.</w:t>
      </w:r>
      <w:r w:rsidRPr="00382F3F">
        <w:rPr>
          <w:rFonts w:cs="Times New Roman"/>
          <w:color w:val="212121"/>
          <w:szCs w:val="24"/>
        </w:rPr>
        <w:t xml:space="preserve"> </w:t>
      </w:r>
    </w:p>
    <w:p w14:paraId="1B39FE66" w14:textId="77777777" w:rsidR="000A19C6" w:rsidRPr="00857AA8" w:rsidRDefault="000A19C6" w:rsidP="000A19C6">
      <w:pPr>
        <w:pStyle w:val="ListParagraph"/>
        <w:widowControl w:val="0"/>
        <w:autoSpaceDE w:val="0"/>
        <w:autoSpaceDN w:val="0"/>
        <w:spacing w:before="100" w:beforeAutospacing="1" w:after="100" w:afterAutospacing="1"/>
        <w:ind w:right="827"/>
        <w:rPr>
          <w:rFonts w:cs="Times New Roman"/>
          <w:color w:val="212121"/>
          <w:szCs w:val="24"/>
        </w:rPr>
      </w:pPr>
    </w:p>
    <w:p w14:paraId="1AE15796" w14:textId="77777777" w:rsidR="000A19C6" w:rsidRDefault="000A19C6" w:rsidP="009B549A">
      <w:pPr>
        <w:widowControl w:val="0"/>
        <w:autoSpaceDE w:val="0"/>
        <w:autoSpaceDN w:val="0"/>
        <w:spacing w:after="0"/>
        <w:ind w:right="821"/>
        <w:rPr>
          <w:rFonts w:cs="Times New Roman"/>
          <w:color w:val="212121"/>
          <w:szCs w:val="24"/>
        </w:rPr>
      </w:pPr>
      <w:r w:rsidRPr="004B161F">
        <w:rPr>
          <w:rFonts w:cs="Times New Roman"/>
          <w:color w:val="212121"/>
          <w:szCs w:val="24"/>
        </w:rPr>
        <w:t xml:space="preserve">Q3: </w:t>
      </w:r>
    </w:p>
    <w:p w14:paraId="51E9E8BD" w14:textId="77777777" w:rsidR="000A19C6" w:rsidRPr="00BF4AAF" w:rsidRDefault="000A19C6" w:rsidP="009B549A">
      <w:pPr>
        <w:pStyle w:val="ListParagraph"/>
        <w:widowControl w:val="0"/>
        <w:numPr>
          <w:ilvl w:val="0"/>
          <w:numId w:val="36"/>
        </w:numPr>
        <w:autoSpaceDE w:val="0"/>
        <w:autoSpaceDN w:val="0"/>
        <w:spacing w:after="0"/>
        <w:ind w:right="821"/>
        <w:rPr>
          <w:rFonts w:cs="Times New Roman"/>
          <w:color w:val="212121"/>
          <w:szCs w:val="24"/>
        </w:rPr>
      </w:pPr>
      <w:r w:rsidRPr="00BF4AAF">
        <w:rPr>
          <w:rFonts w:cs="Times New Roman"/>
          <w:color w:val="212121"/>
          <w:szCs w:val="24"/>
        </w:rPr>
        <w:t xml:space="preserve">Announced the 2021 Student Loan Repayment Program, a recruitment and retention program offering 130 slots for providers in community-based provider organizations across Massachusetts. </w:t>
      </w:r>
    </w:p>
    <w:p w14:paraId="15926CEF" w14:textId="77777777" w:rsidR="000A19C6" w:rsidRPr="00BF4AAF" w:rsidRDefault="000A19C6" w:rsidP="000A19C6">
      <w:pPr>
        <w:pStyle w:val="ListParagraph"/>
        <w:widowControl w:val="0"/>
        <w:numPr>
          <w:ilvl w:val="0"/>
          <w:numId w:val="36"/>
        </w:numPr>
        <w:autoSpaceDE w:val="0"/>
        <w:autoSpaceDN w:val="0"/>
        <w:spacing w:before="100" w:beforeAutospacing="1" w:after="100" w:afterAutospacing="1"/>
        <w:ind w:right="827"/>
        <w:rPr>
          <w:rFonts w:cs="Times New Roman"/>
          <w:color w:val="212121"/>
          <w:szCs w:val="24"/>
        </w:rPr>
      </w:pPr>
      <w:r w:rsidRPr="00BF4AAF">
        <w:rPr>
          <w:rFonts w:cs="Times New Roman"/>
          <w:color w:val="212121"/>
          <w:szCs w:val="24"/>
        </w:rPr>
        <w:t xml:space="preserve">Announced the 2021 Primary Care/Behavioral Health Special Projects Program, offering 20 grants of up to $40,000 each to support provider-led projects that strengthen the ability of community health centers and community-based behavioral health provider organizations to succeed in an accountable care environment. </w:t>
      </w:r>
    </w:p>
    <w:p w14:paraId="2D69D13C" w14:textId="77777777" w:rsidR="000A19C6" w:rsidRPr="00BF4AAF" w:rsidRDefault="000A19C6" w:rsidP="000A19C6">
      <w:pPr>
        <w:pStyle w:val="ListParagraph"/>
        <w:widowControl w:val="0"/>
        <w:numPr>
          <w:ilvl w:val="0"/>
          <w:numId w:val="36"/>
        </w:numPr>
        <w:autoSpaceDE w:val="0"/>
        <w:autoSpaceDN w:val="0"/>
        <w:spacing w:before="100" w:beforeAutospacing="1" w:after="100" w:afterAutospacing="1"/>
        <w:ind w:right="827"/>
        <w:rPr>
          <w:rFonts w:cs="Times New Roman"/>
          <w:color w:val="212121"/>
          <w:szCs w:val="24"/>
        </w:rPr>
      </w:pPr>
      <w:r w:rsidRPr="00BF4AAF">
        <w:rPr>
          <w:rFonts w:cs="Times New Roman"/>
          <w:color w:val="212121"/>
          <w:szCs w:val="24"/>
        </w:rPr>
        <w:t xml:space="preserve">Announced the 2021 Family Nurse Practitioner (FNP) Residency Training Program, offering funding </w:t>
      </w:r>
      <w:r>
        <w:rPr>
          <w:rFonts w:cs="Times New Roman"/>
          <w:color w:val="212121"/>
          <w:szCs w:val="24"/>
        </w:rPr>
        <w:t xml:space="preserve">for </w:t>
      </w:r>
      <w:r w:rsidRPr="00BF4AAF">
        <w:rPr>
          <w:rFonts w:cs="Times New Roman"/>
          <w:color w:val="212121"/>
          <w:szCs w:val="24"/>
        </w:rPr>
        <w:t xml:space="preserve">eight FNP residency training slots in community health centers to increase structured training opportunities across the state which facilitate transition to community-based practice for novice NPs. </w:t>
      </w:r>
    </w:p>
    <w:p w14:paraId="4F8CBE6B" w14:textId="6C93D875" w:rsidR="000A19C6" w:rsidRPr="00BF4AAF" w:rsidRDefault="000A19C6" w:rsidP="000A19C6">
      <w:pPr>
        <w:pStyle w:val="ListParagraph"/>
        <w:widowControl w:val="0"/>
        <w:numPr>
          <w:ilvl w:val="0"/>
          <w:numId w:val="36"/>
        </w:numPr>
        <w:autoSpaceDE w:val="0"/>
        <w:autoSpaceDN w:val="0"/>
        <w:spacing w:before="100" w:beforeAutospacing="1" w:after="100" w:afterAutospacing="1"/>
        <w:ind w:right="827"/>
        <w:rPr>
          <w:rFonts w:cs="Times New Roman"/>
          <w:color w:val="212121"/>
          <w:szCs w:val="24"/>
        </w:rPr>
      </w:pPr>
      <w:r w:rsidRPr="00BF4AAF">
        <w:rPr>
          <w:rFonts w:cs="Times New Roman"/>
          <w:color w:val="212121"/>
          <w:szCs w:val="24"/>
        </w:rPr>
        <w:t>Hosted the third and final (virtual) SWI Pop Up in the series focused on member engagement.  Entitled "Community Health Workers, Peer Specialists, and Recovery Coaches: How Lived Experience Can Strengthen Member Engagement”</w:t>
      </w:r>
      <w:r w:rsidR="00596921">
        <w:rPr>
          <w:rFonts w:cs="Times New Roman"/>
          <w:color w:val="212121"/>
          <w:szCs w:val="24"/>
        </w:rPr>
        <w:t>,</w:t>
      </w:r>
      <w:r w:rsidRPr="00BF4AAF">
        <w:rPr>
          <w:rFonts w:cs="Times New Roman"/>
          <w:color w:val="212121"/>
          <w:szCs w:val="24"/>
        </w:rPr>
        <w:t xml:space="preserve"> the event attracted over 150 participants. </w:t>
      </w:r>
    </w:p>
    <w:p w14:paraId="6571DD9E" w14:textId="5A242946" w:rsidR="000A19C6" w:rsidRPr="00BF4AAF" w:rsidRDefault="000A19C6" w:rsidP="000A19C6">
      <w:pPr>
        <w:pStyle w:val="ListParagraph"/>
        <w:widowControl w:val="0"/>
        <w:numPr>
          <w:ilvl w:val="0"/>
          <w:numId w:val="36"/>
        </w:numPr>
        <w:autoSpaceDE w:val="0"/>
        <w:autoSpaceDN w:val="0"/>
        <w:spacing w:before="100" w:beforeAutospacing="1" w:after="100" w:afterAutospacing="1"/>
        <w:ind w:right="827"/>
        <w:rPr>
          <w:rFonts w:cs="Times New Roman"/>
          <w:color w:val="212121"/>
          <w:szCs w:val="24"/>
        </w:rPr>
      </w:pPr>
      <w:r w:rsidRPr="00BF4AAF">
        <w:rPr>
          <w:rFonts w:cs="Times New Roman"/>
          <w:color w:val="212121"/>
          <w:szCs w:val="24"/>
        </w:rPr>
        <w:t xml:space="preserve">Hosted a webinar focused on member engagement and highlighting specific strategies that have been effective </w:t>
      </w:r>
      <w:r w:rsidR="00596921">
        <w:rPr>
          <w:rFonts w:cs="Times New Roman"/>
          <w:color w:val="212121"/>
          <w:szCs w:val="24"/>
        </w:rPr>
        <w:t xml:space="preserve">in </w:t>
      </w:r>
      <w:r w:rsidRPr="00BF4AAF">
        <w:rPr>
          <w:rFonts w:cs="Times New Roman"/>
          <w:color w:val="212121"/>
          <w:szCs w:val="24"/>
        </w:rPr>
        <w:t xml:space="preserve">improving member engagement for ACOs and CPs participating in the ACO/CP Integration Learning Collaborative. </w:t>
      </w:r>
    </w:p>
    <w:p w14:paraId="5C4FF2EE" w14:textId="77777777" w:rsidR="000A19C6" w:rsidRDefault="000A19C6" w:rsidP="000A19C6">
      <w:pPr>
        <w:pStyle w:val="ListParagraph"/>
        <w:widowControl w:val="0"/>
        <w:numPr>
          <w:ilvl w:val="0"/>
          <w:numId w:val="36"/>
        </w:numPr>
        <w:autoSpaceDE w:val="0"/>
        <w:autoSpaceDN w:val="0"/>
        <w:spacing w:before="100" w:beforeAutospacing="1" w:after="100" w:afterAutospacing="1"/>
        <w:ind w:right="827"/>
        <w:rPr>
          <w:rFonts w:cs="Times New Roman"/>
          <w:color w:val="212121"/>
          <w:szCs w:val="24"/>
        </w:rPr>
      </w:pPr>
      <w:r w:rsidRPr="00BF4AAF">
        <w:rPr>
          <w:rFonts w:cs="Times New Roman"/>
          <w:color w:val="212121"/>
          <w:szCs w:val="24"/>
        </w:rPr>
        <w:t xml:space="preserve">Released a call for applications for funding to design and deliver an advanced training telehealth curriculum for CHWs. </w:t>
      </w:r>
    </w:p>
    <w:p w14:paraId="022769F5" w14:textId="4BC8DDC2" w:rsidR="000A19C6" w:rsidRPr="00E00CC5" w:rsidRDefault="000A19C6" w:rsidP="000A19C6">
      <w:pPr>
        <w:pStyle w:val="ListParagraph"/>
        <w:widowControl w:val="0"/>
        <w:numPr>
          <w:ilvl w:val="0"/>
          <w:numId w:val="36"/>
        </w:numPr>
        <w:autoSpaceDE w:val="0"/>
        <w:autoSpaceDN w:val="0"/>
        <w:spacing w:before="100" w:beforeAutospacing="1" w:after="100" w:afterAutospacing="1"/>
        <w:ind w:right="827"/>
        <w:rPr>
          <w:rFonts w:cs="Times New Roman"/>
          <w:color w:val="212121"/>
          <w:szCs w:val="24"/>
        </w:rPr>
      </w:pPr>
      <w:r w:rsidRPr="00E00CC5">
        <w:rPr>
          <w:rFonts w:cs="Times New Roman"/>
          <w:color w:val="212121"/>
          <w:szCs w:val="24"/>
        </w:rPr>
        <w:t>EOHHS has selected to keep HRiA, as the managing provider for the Provider Access Improvement Grant Program (PAIGP) for Cycle 3.</w:t>
      </w:r>
    </w:p>
    <w:p w14:paraId="3D189925" w14:textId="77777777" w:rsidR="000A19C6" w:rsidRPr="00E00CC5" w:rsidRDefault="000A19C6" w:rsidP="000A19C6">
      <w:pPr>
        <w:pStyle w:val="ListParagraph"/>
        <w:widowControl w:val="0"/>
        <w:numPr>
          <w:ilvl w:val="0"/>
          <w:numId w:val="36"/>
        </w:numPr>
        <w:autoSpaceDE w:val="0"/>
        <w:autoSpaceDN w:val="0"/>
        <w:spacing w:before="100" w:beforeAutospacing="1" w:after="100" w:afterAutospacing="1"/>
        <w:ind w:right="827"/>
        <w:rPr>
          <w:rFonts w:cs="Times New Roman"/>
          <w:color w:val="212121"/>
          <w:szCs w:val="24"/>
        </w:rPr>
      </w:pPr>
      <w:r w:rsidRPr="00E00CC5">
        <w:rPr>
          <w:rFonts w:cs="Times New Roman"/>
          <w:color w:val="212121"/>
          <w:szCs w:val="24"/>
        </w:rPr>
        <w:t xml:space="preserve">EOHHS prepared an RFP for the </w:t>
      </w:r>
      <w:r>
        <w:rPr>
          <w:rFonts w:cs="Times New Roman"/>
          <w:color w:val="212121"/>
          <w:szCs w:val="24"/>
        </w:rPr>
        <w:t>Cycle 3 PAIGP</w:t>
      </w:r>
      <w:r w:rsidRPr="00E00CC5">
        <w:rPr>
          <w:rFonts w:cs="Times New Roman"/>
          <w:color w:val="212121"/>
          <w:szCs w:val="24"/>
        </w:rPr>
        <w:t>.</w:t>
      </w:r>
    </w:p>
    <w:p w14:paraId="73B802AC" w14:textId="77777777" w:rsidR="000A19C6" w:rsidRPr="00BF4AAF" w:rsidRDefault="000A19C6" w:rsidP="000A19C6">
      <w:pPr>
        <w:pStyle w:val="ListParagraph"/>
        <w:widowControl w:val="0"/>
        <w:numPr>
          <w:ilvl w:val="0"/>
          <w:numId w:val="36"/>
        </w:numPr>
        <w:autoSpaceDE w:val="0"/>
        <w:autoSpaceDN w:val="0"/>
        <w:spacing w:before="100" w:beforeAutospacing="1" w:after="100" w:afterAutospacing="1"/>
        <w:ind w:right="827"/>
        <w:rPr>
          <w:rFonts w:cs="Times New Roman"/>
          <w:color w:val="212121"/>
          <w:szCs w:val="24"/>
        </w:rPr>
      </w:pPr>
      <w:r w:rsidRPr="00E00CC5">
        <w:rPr>
          <w:rFonts w:cs="Times New Roman"/>
          <w:color w:val="212121"/>
          <w:szCs w:val="24"/>
        </w:rPr>
        <w:t>Cycle 3 application window was launched on 3/16/2021 and close</w:t>
      </w:r>
      <w:r>
        <w:rPr>
          <w:rFonts w:cs="Times New Roman"/>
          <w:color w:val="212121"/>
          <w:szCs w:val="24"/>
        </w:rPr>
        <w:t>d</w:t>
      </w:r>
      <w:r w:rsidRPr="00E00CC5">
        <w:rPr>
          <w:rFonts w:cs="Times New Roman"/>
          <w:color w:val="212121"/>
          <w:szCs w:val="24"/>
        </w:rPr>
        <w:t xml:space="preserve"> on </w:t>
      </w:r>
      <w:r>
        <w:rPr>
          <w:rFonts w:cs="Times New Roman"/>
          <w:color w:val="212121"/>
          <w:szCs w:val="24"/>
        </w:rPr>
        <w:t>4/14/21</w:t>
      </w:r>
      <w:r w:rsidRPr="00E00CC5">
        <w:rPr>
          <w:rFonts w:cs="Times New Roman"/>
          <w:color w:val="212121"/>
          <w:szCs w:val="24"/>
        </w:rPr>
        <w:t>.</w:t>
      </w:r>
    </w:p>
    <w:p w14:paraId="754B7658" w14:textId="5BA3C58E" w:rsidR="000A19C6" w:rsidRPr="00E00CC5" w:rsidRDefault="000A19C6" w:rsidP="000A19C6">
      <w:pPr>
        <w:pStyle w:val="ListParagraph"/>
        <w:widowControl w:val="0"/>
        <w:numPr>
          <w:ilvl w:val="0"/>
          <w:numId w:val="36"/>
        </w:numPr>
        <w:autoSpaceDE w:val="0"/>
        <w:autoSpaceDN w:val="0"/>
        <w:spacing w:before="100" w:beforeAutospacing="1" w:after="100" w:afterAutospacing="1"/>
        <w:ind w:right="827"/>
        <w:rPr>
          <w:rFonts w:cs="Times New Roman"/>
          <w:color w:val="212121"/>
          <w:szCs w:val="24"/>
        </w:rPr>
      </w:pPr>
      <w:r w:rsidRPr="00E00CC5">
        <w:rPr>
          <w:rFonts w:cs="Times New Roman"/>
          <w:color w:val="212121"/>
          <w:szCs w:val="24"/>
        </w:rPr>
        <w:t xml:space="preserve">Six </w:t>
      </w:r>
      <w:r>
        <w:rPr>
          <w:rFonts w:cs="Times New Roman"/>
          <w:color w:val="212121"/>
          <w:szCs w:val="24"/>
        </w:rPr>
        <w:t xml:space="preserve">Cycle 2 PAIGP </w:t>
      </w:r>
      <w:r w:rsidRPr="00E00CC5">
        <w:rPr>
          <w:rFonts w:cs="Times New Roman"/>
          <w:color w:val="212121"/>
          <w:szCs w:val="24"/>
        </w:rPr>
        <w:t>awardees have requested extensions to submit their invoices because of equipment delivery delays from C</w:t>
      </w:r>
      <w:r w:rsidR="00596921">
        <w:rPr>
          <w:rFonts w:cs="Times New Roman"/>
          <w:color w:val="212121"/>
          <w:szCs w:val="24"/>
        </w:rPr>
        <w:t>OVID</w:t>
      </w:r>
      <w:r w:rsidRPr="00E00CC5">
        <w:rPr>
          <w:rFonts w:cs="Times New Roman"/>
          <w:color w:val="212121"/>
          <w:szCs w:val="24"/>
        </w:rPr>
        <w:t xml:space="preserve"> - 19. EOHHS has granted the awardees extensions through April 26th.</w:t>
      </w:r>
    </w:p>
    <w:p w14:paraId="6B080387" w14:textId="77777777" w:rsidR="000A19C6" w:rsidRPr="00857AA8" w:rsidRDefault="000A19C6" w:rsidP="000A19C6">
      <w:pPr>
        <w:pStyle w:val="ListParagraph"/>
        <w:widowControl w:val="0"/>
        <w:autoSpaceDE w:val="0"/>
        <w:autoSpaceDN w:val="0"/>
        <w:spacing w:before="100" w:beforeAutospacing="1" w:after="100" w:afterAutospacing="1"/>
        <w:ind w:right="827"/>
        <w:rPr>
          <w:rFonts w:cs="Times New Roman"/>
          <w:color w:val="212121"/>
          <w:szCs w:val="24"/>
        </w:rPr>
      </w:pPr>
    </w:p>
    <w:p w14:paraId="02AD0AA3" w14:textId="2C9A0BD8" w:rsidR="002C3218" w:rsidRPr="002C3218" w:rsidRDefault="002C3218" w:rsidP="00945667">
      <w:pPr>
        <w:pStyle w:val="Heading3"/>
      </w:pPr>
      <w:r w:rsidRPr="002C3218">
        <w:t>Carry-Forward</w:t>
      </w:r>
      <w:r w:rsidR="000A19C6">
        <w:t xml:space="preserve"> </w:t>
      </w:r>
    </w:p>
    <w:p w14:paraId="17888167" w14:textId="77777777" w:rsidR="00863BB7" w:rsidRPr="00E33863" w:rsidRDefault="00863BB7" w:rsidP="00863BB7">
      <w:pPr>
        <w:rPr>
          <w:szCs w:val="24"/>
        </w:rPr>
      </w:pPr>
      <w:r w:rsidRPr="00E33863">
        <w:rPr>
          <w:szCs w:val="24"/>
        </w:rPr>
        <w:t>MassHealth is carrying forward $</w:t>
      </w:r>
      <w:r>
        <w:rPr>
          <w:szCs w:val="24"/>
        </w:rPr>
        <w:t>129.1</w:t>
      </w:r>
      <w:r w:rsidRPr="00E33863">
        <w:rPr>
          <w:szCs w:val="24"/>
        </w:rPr>
        <w:t>M of its DY</w:t>
      </w:r>
      <w:r>
        <w:rPr>
          <w:szCs w:val="24"/>
        </w:rPr>
        <w:t>4</w:t>
      </w:r>
      <w:r w:rsidRPr="00E33863">
        <w:rPr>
          <w:szCs w:val="24"/>
        </w:rPr>
        <w:t xml:space="preserve"> Expenditure Authority (</w:t>
      </w:r>
      <w:r>
        <w:rPr>
          <w:szCs w:val="24"/>
        </w:rPr>
        <w:t>28.17</w:t>
      </w:r>
      <w:r w:rsidRPr="00E33863">
        <w:rPr>
          <w:szCs w:val="24"/>
        </w:rPr>
        <w:t>%) into DY</w:t>
      </w:r>
      <w:r>
        <w:rPr>
          <w:szCs w:val="24"/>
        </w:rPr>
        <w:t>5</w:t>
      </w:r>
      <w:r w:rsidRPr="00E33863">
        <w:rPr>
          <w:szCs w:val="24"/>
        </w:rPr>
        <w:t xml:space="preserve">. As noted in the DSRIP Protocol (Section 4.7), the State </w:t>
      </w:r>
      <w:bookmarkStart w:id="3" w:name="_Hlk51941608"/>
      <w:r w:rsidRPr="00E33863">
        <w:rPr>
          <w:szCs w:val="24"/>
        </w:rPr>
        <w:t>may carry forward the DY</w:t>
      </w:r>
      <w:r>
        <w:rPr>
          <w:szCs w:val="24"/>
        </w:rPr>
        <w:t>4</w:t>
      </w:r>
      <w:r w:rsidRPr="00E33863">
        <w:rPr>
          <w:szCs w:val="24"/>
        </w:rPr>
        <w:t xml:space="preserve"> funding for the Flexible Services into the following DSRIP Year </w:t>
      </w:r>
      <w:bookmarkEnd w:id="3"/>
      <w:r w:rsidRPr="00E33863">
        <w:rPr>
          <w:szCs w:val="24"/>
        </w:rPr>
        <w:t xml:space="preserve">without counting against the carryforward 15% benchmark described in STC 60(d)(ii). With that exclusion, the carry forward percentage is reduced from </w:t>
      </w:r>
      <w:r>
        <w:rPr>
          <w:szCs w:val="24"/>
        </w:rPr>
        <w:t>28.17</w:t>
      </w:r>
      <w:r w:rsidRPr="00E33863">
        <w:rPr>
          <w:szCs w:val="24"/>
        </w:rPr>
        <w:t>% to 14.99% of DY</w:t>
      </w:r>
      <w:r>
        <w:rPr>
          <w:szCs w:val="24"/>
        </w:rPr>
        <w:t>4</w:t>
      </w:r>
      <w:r w:rsidRPr="00E33863">
        <w:rPr>
          <w:szCs w:val="24"/>
        </w:rPr>
        <w:t xml:space="preserve"> Expenditure Authority. </w:t>
      </w:r>
    </w:p>
    <w:tbl>
      <w:tblPr>
        <w:tblW w:w="9340" w:type="dxa"/>
        <w:tblBorders>
          <w:top w:val="single" w:sz="8" w:space="0" w:color="C6D9F1" w:themeColor="text2" w:themeTint="33"/>
          <w:left w:val="single" w:sz="8" w:space="0" w:color="C6D9F1" w:themeColor="text2" w:themeTint="33"/>
          <w:bottom w:val="single" w:sz="8" w:space="0" w:color="C6D9F1" w:themeColor="text2" w:themeTint="33"/>
          <w:right w:val="single" w:sz="8" w:space="0" w:color="C6D9F1" w:themeColor="text2" w:themeTint="33"/>
          <w:insideH w:val="single" w:sz="8" w:space="0" w:color="D9D9D9" w:themeColor="background1" w:themeShade="D9"/>
          <w:insideV w:val="single" w:sz="8" w:space="0" w:color="D9D9D9" w:themeColor="background1" w:themeShade="D9"/>
        </w:tblBorders>
        <w:tblLook w:val="04A0" w:firstRow="1" w:lastRow="0" w:firstColumn="1" w:lastColumn="0" w:noHBand="0" w:noVBand="1"/>
        <w:tblCaption w:val="Dollars (Shared with CMS in DY4 Annual Report)"/>
        <w:tblDescription w:val="New Total Expenditure Authority carry forward dollar amounts and percentages, including and excluding Flexible Services carry forward, as shared with CMS in DSRIP Year 4 Annual Report"/>
      </w:tblPr>
      <w:tblGrid>
        <w:gridCol w:w="1519"/>
        <w:gridCol w:w="963"/>
        <w:gridCol w:w="1087"/>
        <w:gridCol w:w="1247"/>
        <w:gridCol w:w="1098"/>
        <w:gridCol w:w="1262"/>
        <w:gridCol w:w="1096"/>
        <w:gridCol w:w="1068"/>
      </w:tblGrid>
      <w:tr w:rsidR="00E70272" w:rsidRPr="009337D1" w14:paraId="7BF6853B" w14:textId="77777777" w:rsidTr="00BD1E1E">
        <w:trPr>
          <w:trHeight w:val="290"/>
        </w:trPr>
        <w:tc>
          <w:tcPr>
            <w:tcW w:w="8272" w:type="dxa"/>
            <w:gridSpan w:val="7"/>
            <w:tcBorders>
              <w:bottom w:val="single" w:sz="8" w:space="0" w:color="D9D9D9" w:themeColor="background1" w:themeShade="D9"/>
            </w:tcBorders>
            <w:shd w:val="clear" w:color="D9E1F2" w:fill="D9E1F2"/>
            <w:noWrap/>
            <w:vAlign w:val="center"/>
            <w:hideMark/>
          </w:tcPr>
          <w:p w14:paraId="52E8D2C7" w14:textId="47BA50DA" w:rsidR="00E70272" w:rsidRPr="009337D1" w:rsidRDefault="00E70272" w:rsidP="00436E53">
            <w:pPr>
              <w:spacing w:after="0" w:line="240" w:lineRule="auto"/>
              <w:jc w:val="center"/>
              <w:rPr>
                <w:rFonts w:ascii="Calibri" w:eastAsia="Times New Roman" w:hAnsi="Calibri" w:cs="Calibri"/>
                <w:b/>
                <w:bCs/>
                <w:color w:val="000000"/>
                <w:sz w:val="20"/>
                <w:szCs w:val="20"/>
              </w:rPr>
            </w:pPr>
            <w:r w:rsidRPr="009337D1">
              <w:rPr>
                <w:rFonts w:ascii="Calibri" w:eastAsia="Times New Roman" w:hAnsi="Calibri" w:cs="Calibri"/>
                <w:b/>
                <w:bCs/>
                <w:color w:val="000000"/>
                <w:sz w:val="20"/>
                <w:szCs w:val="20"/>
              </w:rPr>
              <w:t>$Ms (Shared with CMS in DY4 Annual Report)</w:t>
            </w:r>
          </w:p>
        </w:tc>
        <w:tc>
          <w:tcPr>
            <w:tcW w:w="1068" w:type="dxa"/>
            <w:vMerge w:val="restart"/>
            <w:shd w:val="clear" w:color="000000" w:fill="D9E1F2"/>
            <w:noWrap/>
            <w:vAlign w:val="center"/>
            <w:hideMark/>
          </w:tcPr>
          <w:p w14:paraId="48EB0A4A" w14:textId="77777777" w:rsidR="00E70272" w:rsidRPr="009337D1" w:rsidRDefault="00E70272" w:rsidP="009337D1">
            <w:pPr>
              <w:spacing w:after="0" w:line="240" w:lineRule="auto"/>
              <w:rPr>
                <w:rFonts w:ascii="Calibri" w:eastAsia="Times New Roman" w:hAnsi="Calibri" w:cs="Calibri"/>
                <w:b/>
                <w:bCs/>
                <w:color w:val="000000"/>
              </w:rPr>
            </w:pPr>
            <w:r w:rsidRPr="009337D1">
              <w:rPr>
                <w:rFonts w:ascii="Calibri" w:eastAsia="Times New Roman" w:hAnsi="Calibri" w:cs="Calibri"/>
                <w:b/>
                <w:bCs/>
                <w:color w:val="000000"/>
                <w:sz w:val="20"/>
                <w:szCs w:val="20"/>
              </w:rPr>
              <w:t>% Carry Forward</w:t>
            </w:r>
          </w:p>
        </w:tc>
      </w:tr>
      <w:tr w:rsidR="00BD1E1E" w:rsidRPr="009337D1" w14:paraId="05E86549" w14:textId="77777777" w:rsidTr="00BD1E1E">
        <w:trPr>
          <w:trHeight w:val="300"/>
        </w:trPr>
        <w:tc>
          <w:tcPr>
            <w:tcW w:w="1519" w:type="dxa"/>
            <w:tcBorders>
              <w:top w:val="single" w:sz="8" w:space="0" w:color="D9D9D9" w:themeColor="background1" w:themeShade="D9"/>
              <w:bottom w:val="single" w:sz="8" w:space="0" w:color="D9D9D9" w:themeColor="background1" w:themeShade="D9"/>
              <w:right w:val="nil"/>
            </w:tcBorders>
            <w:shd w:val="clear" w:color="D9E1F2" w:fill="D9E1F2"/>
            <w:noWrap/>
            <w:vAlign w:val="center"/>
            <w:hideMark/>
          </w:tcPr>
          <w:p w14:paraId="3B622C28" w14:textId="64D26768" w:rsidR="009337D1" w:rsidRPr="009337D1" w:rsidRDefault="009337D1" w:rsidP="00F45236">
            <w:pPr>
              <w:spacing w:after="0" w:line="240" w:lineRule="auto"/>
              <w:jc w:val="center"/>
              <w:rPr>
                <w:rFonts w:ascii="Calibri" w:eastAsia="Times New Roman" w:hAnsi="Calibri" w:cs="Calibri"/>
                <w:b/>
                <w:bCs/>
                <w:color w:val="000000"/>
              </w:rPr>
            </w:pPr>
          </w:p>
        </w:tc>
        <w:tc>
          <w:tcPr>
            <w:tcW w:w="963" w:type="dxa"/>
            <w:tcBorders>
              <w:top w:val="single" w:sz="8" w:space="0" w:color="D9D9D9" w:themeColor="background1" w:themeShade="D9"/>
              <w:left w:val="nil"/>
              <w:bottom w:val="single" w:sz="8" w:space="0" w:color="D9D9D9" w:themeColor="background1" w:themeShade="D9"/>
              <w:right w:val="nil"/>
            </w:tcBorders>
            <w:shd w:val="clear" w:color="D9E1F2" w:fill="D9E1F2"/>
            <w:noWrap/>
            <w:vAlign w:val="center"/>
            <w:hideMark/>
          </w:tcPr>
          <w:p w14:paraId="4044E0F5" w14:textId="77777777" w:rsidR="009337D1" w:rsidRPr="009337D1" w:rsidRDefault="009337D1" w:rsidP="00F45236">
            <w:pPr>
              <w:spacing w:after="0" w:line="240" w:lineRule="auto"/>
              <w:jc w:val="center"/>
              <w:rPr>
                <w:rFonts w:ascii="Calibri" w:eastAsia="Times New Roman" w:hAnsi="Calibri" w:cs="Calibri"/>
                <w:b/>
                <w:bCs/>
                <w:color w:val="000000"/>
              </w:rPr>
            </w:pPr>
            <w:r w:rsidRPr="009337D1">
              <w:rPr>
                <w:rFonts w:ascii="Calibri" w:eastAsia="Times New Roman" w:hAnsi="Calibri" w:cs="Calibri"/>
                <w:b/>
                <w:bCs/>
                <w:color w:val="000000"/>
              </w:rPr>
              <w:t>DY1</w:t>
            </w:r>
          </w:p>
        </w:tc>
        <w:tc>
          <w:tcPr>
            <w:tcW w:w="1087" w:type="dxa"/>
            <w:tcBorders>
              <w:top w:val="single" w:sz="8" w:space="0" w:color="D9D9D9" w:themeColor="background1" w:themeShade="D9"/>
              <w:left w:val="nil"/>
              <w:bottom w:val="single" w:sz="8" w:space="0" w:color="D9D9D9" w:themeColor="background1" w:themeShade="D9"/>
              <w:right w:val="nil"/>
            </w:tcBorders>
            <w:shd w:val="clear" w:color="D9E1F2" w:fill="D9E1F2"/>
            <w:noWrap/>
            <w:vAlign w:val="center"/>
            <w:hideMark/>
          </w:tcPr>
          <w:p w14:paraId="2D76FC75" w14:textId="77777777" w:rsidR="009337D1" w:rsidRPr="009337D1" w:rsidRDefault="009337D1" w:rsidP="00F45236">
            <w:pPr>
              <w:spacing w:after="0" w:line="240" w:lineRule="auto"/>
              <w:jc w:val="center"/>
              <w:rPr>
                <w:rFonts w:ascii="Calibri" w:eastAsia="Times New Roman" w:hAnsi="Calibri" w:cs="Calibri"/>
                <w:b/>
                <w:bCs/>
                <w:color w:val="000000"/>
              </w:rPr>
            </w:pPr>
            <w:r w:rsidRPr="009337D1">
              <w:rPr>
                <w:rFonts w:ascii="Calibri" w:eastAsia="Times New Roman" w:hAnsi="Calibri" w:cs="Calibri"/>
                <w:b/>
                <w:bCs/>
                <w:color w:val="000000"/>
              </w:rPr>
              <w:t>DY2</w:t>
            </w:r>
          </w:p>
        </w:tc>
        <w:tc>
          <w:tcPr>
            <w:tcW w:w="1247" w:type="dxa"/>
            <w:tcBorders>
              <w:top w:val="single" w:sz="8" w:space="0" w:color="D9D9D9" w:themeColor="background1" w:themeShade="D9"/>
              <w:left w:val="nil"/>
              <w:bottom w:val="single" w:sz="8" w:space="0" w:color="D9D9D9" w:themeColor="background1" w:themeShade="D9"/>
              <w:right w:val="nil"/>
            </w:tcBorders>
            <w:shd w:val="clear" w:color="D9E1F2" w:fill="D9E1F2"/>
            <w:noWrap/>
            <w:vAlign w:val="center"/>
            <w:hideMark/>
          </w:tcPr>
          <w:p w14:paraId="48BFEC18" w14:textId="77777777" w:rsidR="009337D1" w:rsidRPr="009337D1" w:rsidRDefault="009337D1" w:rsidP="00F45236">
            <w:pPr>
              <w:spacing w:after="0" w:line="240" w:lineRule="auto"/>
              <w:jc w:val="center"/>
              <w:rPr>
                <w:rFonts w:ascii="Calibri" w:eastAsia="Times New Roman" w:hAnsi="Calibri" w:cs="Calibri"/>
                <w:b/>
                <w:bCs/>
                <w:color w:val="000000"/>
              </w:rPr>
            </w:pPr>
            <w:r w:rsidRPr="009337D1">
              <w:rPr>
                <w:rFonts w:ascii="Calibri" w:eastAsia="Times New Roman" w:hAnsi="Calibri" w:cs="Calibri"/>
                <w:b/>
                <w:bCs/>
                <w:color w:val="000000"/>
              </w:rPr>
              <w:t>DY3</w:t>
            </w:r>
          </w:p>
        </w:tc>
        <w:tc>
          <w:tcPr>
            <w:tcW w:w="1098" w:type="dxa"/>
            <w:tcBorders>
              <w:top w:val="single" w:sz="8" w:space="0" w:color="D9D9D9" w:themeColor="background1" w:themeShade="D9"/>
              <w:left w:val="nil"/>
              <w:bottom w:val="single" w:sz="8" w:space="0" w:color="D9D9D9" w:themeColor="background1" w:themeShade="D9"/>
              <w:right w:val="nil"/>
            </w:tcBorders>
            <w:shd w:val="clear" w:color="D9E1F2" w:fill="D9E1F2"/>
            <w:noWrap/>
            <w:vAlign w:val="center"/>
            <w:hideMark/>
          </w:tcPr>
          <w:p w14:paraId="05D13B86" w14:textId="77777777" w:rsidR="009337D1" w:rsidRPr="009337D1" w:rsidRDefault="009337D1" w:rsidP="00F45236">
            <w:pPr>
              <w:spacing w:after="0" w:line="240" w:lineRule="auto"/>
              <w:jc w:val="center"/>
              <w:rPr>
                <w:rFonts w:ascii="Calibri" w:eastAsia="Times New Roman" w:hAnsi="Calibri" w:cs="Calibri"/>
                <w:b/>
                <w:bCs/>
                <w:color w:val="000000"/>
              </w:rPr>
            </w:pPr>
            <w:r w:rsidRPr="009337D1">
              <w:rPr>
                <w:rFonts w:ascii="Calibri" w:eastAsia="Times New Roman" w:hAnsi="Calibri" w:cs="Calibri"/>
                <w:b/>
                <w:bCs/>
                <w:color w:val="000000"/>
              </w:rPr>
              <w:t>DY4</w:t>
            </w:r>
          </w:p>
        </w:tc>
        <w:tc>
          <w:tcPr>
            <w:tcW w:w="1262" w:type="dxa"/>
            <w:tcBorders>
              <w:top w:val="single" w:sz="8" w:space="0" w:color="D9D9D9" w:themeColor="background1" w:themeShade="D9"/>
              <w:left w:val="nil"/>
              <w:bottom w:val="single" w:sz="8" w:space="0" w:color="D9D9D9" w:themeColor="background1" w:themeShade="D9"/>
              <w:right w:val="nil"/>
            </w:tcBorders>
            <w:shd w:val="clear" w:color="D9E1F2" w:fill="D9E1F2"/>
            <w:noWrap/>
            <w:vAlign w:val="center"/>
            <w:hideMark/>
          </w:tcPr>
          <w:p w14:paraId="46E53F3F" w14:textId="77777777" w:rsidR="009337D1" w:rsidRPr="009337D1" w:rsidRDefault="009337D1" w:rsidP="00F45236">
            <w:pPr>
              <w:spacing w:after="0" w:line="240" w:lineRule="auto"/>
              <w:jc w:val="center"/>
              <w:rPr>
                <w:rFonts w:ascii="Calibri" w:eastAsia="Times New Roman" w:hAnsi="Calibri" w:cs="Calibri"/>
                <w:b/>
                <w:bCs/>
                <w:color w:val="000000"/>
                <w:sz w:val="20"/>
                <w:szCs w:val="20"/>
              </w:rPr>
            </w:pPr>
            <w:r w:rsidRPr="009337D1">
              <w:rPr>
                <w:rFonts w:ascii="Calibri" w:eastAsia="Times New Roman" w:hAnsi="Calibri" w:cs="Calibri"/>
                <w:b/>
                <w:bCs/>
                <w:color w:val="000000"/>
                <w:sz w:val="20"/>
                <w:szCs w:val="20"/>
              </w:rPr>
              <w:t>DY5</w:t>
            </w:r>
          </w:p>
        </w:tc>
        <w:tc>
          <w:tcPr>
            <w:tcW w:w="1096" w:type="dxa"/>
            <w:tcBorders>
              <w:top w:val="single" w:sz="8" w:space="0" w:color="D9D9D9" w:themeColor="background1" w:themeShade="D9"/>
              <w:left w:val="nil"/>
              <w:bottom w:val="single" w:sz="8" w:space="0" w:color="D9D9D9" w:themeColor="background1" w:themeShade="D9"/>
            </w:tcBorders>
            <w:shd w:val="clear" w:color="D9E1F2" w:fill="D9E1F2"/>
            <w:noWrap/>
            <w:vAlign w:val="center"/>
            <w:hideMark/>
          </w:tcPr>
          <w:p w14:paraId="63B83D3C" w14:textId="77777777" w:rsidR="009337D1" w:rsidRPr="009337D1" w:rsidRDefault="009337D1" w:rsidP="00F45236">
            <w:pPr>
              <w:spacing w:after="0" w:line="240" w:lineRule="auto"/>
              <w:jc w:val="center"/>
              <w:rPr>
                <w:rFonts w:ascii="Calibri" w:eastAsia="Times New Roman" w:hAnsi="Calibri" w:cs="Calibri"/>
                <w:b/>
                <w:bCs/>
                <w:color w:val="000000"/>
                <w:sz w:val="20"/>
                <w:szCs w:val="20"/>
              </w:rPr>
            </w:pPr>
            <w:r w:rsidRPr="009337D1">
              <w:rPr>
                <w:rFonts w:ascii="Calibri" w:eastAsia="Times New Roman" w:hAnsi="Calibri" w:cs="Calibri"/>
                <w:b/>
                <w:bCs/>
                <w:color w:val="000000"/>
                <w:sz w:val="20"/>
                <w:szCs w:val="20"/>
              </w:rPr>
              <w:t>Total</w:t>
            </w:r>
          </w:p>
        </w:tc>
        <w:tc>
          <w:tcPr>
            <w:tcW w:w="1068" w:type="dxa"/>
            <w:vMerge/>
            <w:vAlign w:val="center"/>
            <w:hideMark/>
          </w:tcPr>
          <w:p w14:paraId="2E120F79" w14:textId="77777777" w:rsidR="009337D1" w:rsidRPr="009337D1" w:rsidRDefault="009337D1" w:rsidP="009337D1">
            <w:pPr>
              <w:spacing w:after="0" w:line="240" w:lineRule="auto"/>
              <w:rPr>
                <w:rFonts w:ascii="Calibri" w:eastAsia="Times New Roman" w:hAnsi="Calibri" w:cs="Calibri"/>
                <w:b/>
                <w:bCs/>
                <w:color w:val="000000"/>
              </w:rPr>
            </w:pPr>
          </w:p>
        </w:tc>
      </w:tr>
      <w:tr w:rsidR="00BD1E1E" w:rsidRPr="009337D1" w14:paraId="101F1DE9" w14:textId="77777777" w:rsidTr="00BD1E1E">
        <w:trPr>
          <w:trHeight w:val="290"/>
        </w:trPr>
        <w:tc>
          <w:tcPr>
            <w:tcW w:w="1519" w:type="dxa"/>
            <w:tcBorders>
              <w:top w:val="single" w:sz="8" w:space="0" w:color="D9D9D9" w:themeColor="background1" w:themeShade="D9"/>
            </w:tcBorders>
            <w:shd w:val="clear" w:color="auto" w:fill="auto"/>
            <w:vAlign w:val="center"/>
            <w:hideMark/>
          </w:tcPr>
          <w:p w14:paraId="3F824A35" w14:textId="77777777" w:rsidR="009337D1" w:rsidRPr="009337D1" w:rsidRDefault="009337D1" w:rsidP="009337D1">
            <w:pPr>
              <w:spacing w:after="0" w:line="240" w:lineRule="auto"/>
              <w:rPr>
                <w:rFonts w:ascii="Calibri" w:eastAsia="Times New Roman" w:hAnsi="Calibri" w:cs="Calibri"/>
                <w:color w:val="000000"/>
                <w:sz w:val="20"/>
                <w:szCs w:val="20"/>
              </w:rPr>
            </w:pPr>
            <w:r w:rsidRPr="009337D1">
              <w:rPr>
                <w:rFonts w:ascii="Calibri" w:eastAsia="Times New Roman" w:hAnsi="Calibri" w:cs="Calibri"/>
                <w:color w:val="000000"/>
                <w:sz w:val="20"/>
                <w:szCs w:val="20"/>
              </w:rPr>
              <w:t>Protocol</w:t>
            </w:r>
          </w:p>
        </w:tc>
        <w:tc>
          <w:tcPr>
            <w:tcW w:w="963" w:type="dxa"/>
            <w:tcBorders>
              <w:top w:val="single" w:sz="8" w:space="0" w:color="D9D9D9" w:themeColor="background1" w:themeShade="D9"/>
            </w:tcBorders>
            <w:shd w:val="clear" w:color="auto" w:fill="auto"/>
            <w:noWrap/>
            <w:vAlign w:val="center"/>
            <w:hideMark/>
          </w:tcPr>
          <w:p w14:paraId="04659EEF" w14:textId="77777777" w:rsidR="009337D1" w:rsidRPr="009337D1" w:rsidRDefault="009337D1" w:rsidP="009337D1">
            <w:pPr>
              <w:spacing w:after="0" w:line="240" w:lineRule="auto"/>
              <w:jc w:val="center"/>
              <w:rPr>
                <w:rFonts w:ascii="Calibri" w:eastAsia="Times New Roman" w:hAnsi="Calibri" w:cs="Calibri"/>
                <w:color w:val="000000"/>
                <w:sz w:val="20"/>
                <w:szCs w:val="20"/>
              </w:rPr>
            </w:pPr>
            <w:r w:rsidRPr="009337D1">
              <w:rPr>
                <w:rFonts w:ascii="Calibri" w:eastAsia="Times New Roman" w:hAnsi="Calibri" w:cs="Calibri"/>
                <w:color w:val="000000"/>
                <w:sz w:val="20"/>
                <w:szCs w:val="20"/>
              </w:rPr>
              <w:t>$367.0M</w:t>
            </w:r>
          </w:p>
        </w:tc>
        <w:tc>
          <w:tcPr>
            <w:tcW w:w="1087" w:type="dxa"/>
            <w:tcBorders>
              <w:top w:val="single" w:sz="8" w:space="0" w:color="D9D9D9" w:themeColor="background1" w:themeShade="D9"/>
            </w:tcBorders>
            <w:shd w:val="clear" w:color="auto" w:fill="auto"/>
            <w:noWrap/>
            <w:vAlign w:val="center"/>
            <w:hideMark/>
          </w:tcPr>
          <w:p w14:paraId="498EFBD5" w14:textId="77777777" w:rsidR="009337D1" w:rsidRPr="009337D1" w:rsidRDefault="009337D1" w:rsidP="009337D1">
            <w:pPr>
              <w:spacing w:after="0" w:line="240" w:lineRule="auto"/>
              <w:jc w:val="center"/>
              <w:rPr>
                <w:rFonts w:ascii="Calibri" w:eastAsia="Times New Roman" w:hAnsi="Calibri" w:cs="Calibri"/>
                <w:color w:val="000000"/>
                <w:sz w:val="20"/>
                <w:szCs w:val="20"/>
              </w:rPr>
            </w:pPr>
            <w:r w:rsidRPr="009337D1">
              <w:rPr>
                <w:rFonts w:ascii="Calibri" w:eastAsia="Times New Roman" w:hAnsi="Calibri" w:cs="Calibri"/>
                <w:color w:val="000000"/>
                <w:sz w:val="20"/>
                <w:szCs w:val="20"/>
              </w:rPr>
              <w:t>$404.9M</w:t>
            </w:r>
          </w:p>
        </w:tc>
        <w:tc>
          <w:tcPr>
            <w:tcW w:w="1247" w:type="dxa"/>
            <w:tcBorders>
              <w:top w:val="single" w:sz="8" w:space="0" w:color="D9D9D9" w:themeColor="background1" w:themeShade="D9"/>
            </w:tcBorders>
            <w:shd w:val="clear" w:color="auto" w:fill="auto"/>
            <w:noWrap/>
            <w:vAlign w:val="center"/>
            <w:hideMark/>
          </w:tcPr>
          <w:p w14:paraId="0D5FFF63" w14:textId="77777777" w:rsidR="009337D1" w:rsidRPr="009337D1" w:rsidRDefault="009337D1" w:rsidP="009337D1">
            <w:pPr>
              <w:spacing w:after="0" w:line="240" w:lineRule="auto"/>
              <w:jc w:val="center"/>
              <w:rPr>
                <w:rFonts w:ascii="Calibri" w:eastAsia="Times New Roman" w:hAnsi="Calibri" w:cs="Calibri"/>
                <w:color w:val="000000"/>
                <w:sz w:val="20"/>
                <w:szCs w:val="20"/>
              </w:rPr>
            </w:pPr>
            <w:r w:rsidRPr="009337D1">
              <w:rPr>
                <w:rFonts w:ascii="Calibri" w:eastAsia="Times New Roman" w:hAnsi="Calibri" w:cs="Calibri"/>
                <w:color w:val="000000"/>
                <w:sz w:val="20"/>
                <w:szCs w:val="20"/>
              </w:rPr>
              <w:t>$319.6M</w:t>
            </w:r>
          </w:p>
        </w:tc>
        <w:tc>
          <w:tcPr>
            <w:tcW w:w="1098" w:type="dxa"/>
            <w:tcBorders>
              <w:top w:val="single" w:sz="8" w:space="0" w:color="D9D9D9" w:themeColor="background1" w:themeShade="D9"/>
            </w:tcBorders>
            <w:shd w:val="clear" w:color="auto" w:fill="auto"/>
            <w:noWrap/>
            <w:vAlign w:val="center"/>
            <w:hideMark/>
          </w:tcPr>
          <w:p w14:paraId="36D526BF" w14:textId="77777777" w:rsidR="009337D1" w:rsidRPr="009337D1" w:rsidRDefault="009337D1" w:rsidP="009337D1">
            <w:pPr>
              <w:spacing w:after="0" w:line="240" w:lineRule="auto"/>
              <w:jc w:val="center"/>
              <w:rPr>
                <w:rFonts w:ascii="Calibri" w:eastAsia="Times New Roman" w:hAnsi="Calibri" w:cs="Calibri"/>
                <w:color w:val="000000"/>
                <w:sz w:val="20"/>
                <w:szCs w:val="20"/>
              </w:rPr>
            </w:pPr>
            <w:r w:rsidRPr="009337D1">
              <w:rPr>
                <w:rFonts w:ascii="Calibri" w:eastAsia="Times New Roman" w:hAnsi="Calibri" w:cs="Calibri"/>
                <w:color w:val="000000"/>
                <w:sz w:val="20"/>
                <w:szCs w:val="20"/>
              </w:rPr>
              <w:t>$458.1M</w:t>
            </w:r>
          </w:p>
        </w:tc>
        <w:tc>
          <w:tcPr>
            <w:tcW w:w="1262" w:type="dxa"/>
            <w:tcBorders>
              <w:top w:val="single" w:sz="8" w:space="0" w:color="D9D9D9" w:themeColor="background1" w:themeShade="D9"/>
            </w:tcBorders>
            <w:shd w:val="clear" w:color="auto" w:fill="auto"/>
            <w:noWrap/>
            <w:vAlign w:val="center"/>
            <w:hideMark/>
          </w:tcPr>
          <w:p w14:paraId="2A3C468E" w14:textId="77777777" w:rsidR="009337D1" w:rsidRPr="009337D1" w:rsidRDefault="009337D1" w:rsidP="009337D1">
            <w:pPr>
              <w:spacing w:after="0" w:line="240" w:lineRule="auto"/>
              <w:jc w:val="center"/>
              <w:rPr>
                <w:rFonts w:ascii="Calibri" w:eastAsia="Times New Roman" w:hAnsi="Calibri" w:cs="Calibri"/>
                <w:color w:val="000000"/>
                <w:sz w:val="20"/>
                <w:szCs w:val="20"/>
              </w:rPr>
            </w:pPr>
            <w:r w:rsidRPr="009337D1">
              <w:rPr>
                <w:rFonts w:ascii="Calibri" w:eastAsia="Times New Roman" w:hAnsi="Calibri" w:cs="Calibri"/>
                <w:color w:val="000000"/>
                <w:sz w:val="20"/>
                <w:szCs w:val="20"/>
              </w:rPr>
              <w:t>$237.9M</w:t>
            </w:r>
          </w:p>
        </w:tc>
        <w:tc>
          <w:tcPr>
            <w:tcW w:w="1096" w:type="dxa"/>
            <w:tcBorders>
              <w:top w:val="single" w:sz="8" w:space="0" w:color="D9D9D9" w:themeColor="background1" w:themeShade="D9"/>
            </w:tcBorders>
            <w:shd w:val="clear" w:color="auto" w:fill="auto"/>
            <w:noWrap/>
            <w:vAlign w:val="center"/>
            <w:hideMark/>
          </w:tcPr>
          <w:p w14:paraId="656B6EE7" w14:textId="77777777" w:rsidR="009337D1" w:rsidRPr="009337D1" w:rsidRDefault="009337D1" w:rsidP="009337D1">
            <w:pPr>
              <w:spacing w:after="0" w:line="240" w:lineRule="auto"/>
              <w:jc w:val="center"/>
              <w:rPr>
                <w:rFonts w:ascii="Calibri" w:eastAsia="Times New Roman" w:hAnsi="Calibri" w:cs="Calibri"/>
                <w:color w:val="000000"/>
                <w:sz w:val="20"/>
                <w:szCs w:val="20"/>
              </w:rPr>
            </w:pPr>
            <w:r w:rsidRPr="009337D1">
              <w:rPr>
                <w:rFonts w:ascii="Calibri" w:eastAsia="Times New Roman" w:hAnsi="Calibri" w:cs="Calibri"/>
                <w:color w:val="000000"/>
                <w:sz w:val="20"/>
                <w:szCs w:val="20"/>
              </w:rPr>
              <w:t>$1,800.0M</w:t>
            </w:r>
          </w:p>
        </w:tc>
        <w:tc>
          <w:tcPr>
            <w:tcW w:w="1068" w:type="dxa"/>
            <w:shd w:val="clear" w:color="auto" w:fill="auto"/>
            <w:noWrap/>
            <w:vAlign w:val="center"/>
            <w:hideMark/>
          </w:tcPr>
          <w:p w14:paraId="658A9265" w14:textId="77777777" w:rsidR="009337D1" w:rsidRPr="009337D1" w:rsidRDefault="009337D1" w:rsidP="009337D1">
            <w:pPr>
              <w:spacing w:after="0" w:line="240" w:lineRule="auto"/>
              <w:jc w:val="center"/>
              <w:rPr>
                <w:rFonts w:ascii="Calibri" w:eastAsia="Times New Roman" w:hAnsi="Calibri" w:cs="Calibri"/>
                <w:b/>
                <w:bCs/>
                <w:color w:val="000000"/>
                <w:sz w:val="20"/>
                <w:szCs w:val="20"/>
              </w:rPr>
            </w:pPr>
            <w:r w:rsidRPr="009337D1">
              <w:rPr>
                <w:rFonts w:ascii="Calibri" w:eastAsia="Times New Roman" w:hAnsi="Calibri" w:cs="Calibri"/>
                <w:b/>
                <w:bCs/>
                <w:color w:val="000000"/>
                <w:sz w:val="20"/>
                <w:szCs w:val="20"/>
              </w:rPr>
              <w:t> </w:t>
            </w:r>
          </w:p>
        </w:tc>
      </w:tr>
      <w:tr w:rsidR="00BD1E1E" w:rsidRPr="009337D1" w14:paraId="22DE796A" w14:textId="77777777" w:rsidTr="00BD1E1E">
        <w:trPr>
          <w:trHeight w:val="1160"/>
        </w:trPr>
        <w:tc>
          <w:tcPr>
            <w:tcW w:w="1519" w:type="dxa"/>
            <w:shd w:val="clear" w:color="auto" w:fill="auto"/>
            <w:vAlign w:val="center"/>
            <w:hideMark/>
          </w:tcPr>
          <w:p w14:paraId="14CB38BB" w14:textId="77777777" w:rsidR="009337D1" w:rsidRPr="009337D1" w:rsidRDefault="009337D1" w:rsidP="009337D1">
            <w:pPr>
              <w:spacing w:after="0" w:line="240" w:lineRule="auto"/>
              <w:rPr>
                <w:rFonts w:ascii="Calibri" w:eastAsia="Times New Roman" w:hAnsi="Calibri" w:cs="Calibri"/>
                <w:color w:val="000000"/>
                <w:sz w:val="20"/>
                <w:szCs w:val="20"/>
              </w:rPr>
            </w:pPr>
            <w:r w:rsidRPr="009337D1">
              <w:rPr>
                <w:rFonts w:ascii="Calibri" w:eastAsia="Times New Roman" w:hAnsi="Calibri" w:cs="Calibri"/>
                <w:color w:val="000000"/>
                <w:sz w:val="20"/>
                <w:szCs w:val="20"/>
              </w:rPr>
              <w:t>BP4 carry forward (includes Flexible Service carry forward)</w:t>
            </w:r>
          </w:p>
        </w:tc>
        <w:tc>
          <w:tcPr>
            <w:tcW w:w="963" w:type="dxa"/>
            <w:shd w:val="clear" w:color="auto" w:fill="auto"/>
            <w:noWrap/>
            <w:vAlign w:val="center"/>
            <w:hideMark/>
          </w:tcPr>
          <w:p w14:paraId="534C238B" w14:textId="77777777" w:rsidR="009337D1" w:rsidRPr="009337D1" w:rsidRDefault="009337D1" w:rsidP="009337D1">
            <w:pPr>
              <w:spacing w:after="0" w:line="240" w:lineRule="auto"/>
              <w:rPr>
                <w:rFonts w:ascii="Calibri" w:eastAsia="Times New Roman" w:hAnsi="Calibri" w:cs="Calibri"/>
                <w:color w:val="000000"/>
                <w:sz w:val="20"/>
                <w:szCs w:val="20"/>
              </w:rPr>
            </w:pPr>
          </w:p>
        </w:tc>
        <w:tc>
          <w:tcPr>
            <w:tcW w:w="1087" w:type="dxa"/>
            <w:shd w:val="clear" w:color="auto" w:fill="auto"/>
            <w:noWrap/>
            <w:vAlign w:val="center"/>
            <w:hideMark/>
          </w:tcPr>
          <w:p w14:paraId="2AFC5B85" w14:textId="77777777" w:rsidR="009337D1" w:rsidRPr="009337D1" w:rsidRDefault="009337D1" w:rsidP="009337D1">
            <w:pPr>
              <w:spacing w:after="0" w:line="240" w:lineRule="auto"/>
              <w:jc w:val="center"/>
              <w:rPr>
                <w:rFonts w:eastAsia="Times New Roman" w:cs="Times New Roman"/>
                <w:sz w:val="20"/>
                <w:szCs w:val="20"/>
              </w:rPr>
            </w:pPr>
          </w:p>
        </w:tc>
        <w:tc>
          <w:tcPr>
            <w:tcW w:w="1247" w:type="dxa"/>
            <w:shd w:val="clear" w:color="auto" w:fill="auto"/>
            <w:noWrap/>
            <w:vAlign w:val="center"/>
            <w:hideMark/>
          </w:tcPr>
          <w:p w14:paraId="2E4FD6DB" w14:textId="77777777" w:rsidR="009337D1" w:rsidRPr="009337D1" w:rsidRDefault="009337D1" w:rsidP="009337D1">
            <w:pPr>
              <w:spacing w:after="0" w:line="240" w:lineRule="auto"/>
              <w:jc w:val="center"/>
              <w:rPr>
                <w:rFonts w:eastAsia="Times New Roman" w:cs="Times New Roman"/>
                <w:sz w:val="20"/>
                <w:szCs w:val="20"/>
              </w:rPr>
            </w:pPr>
          </w:p>
        </w:tc>
        <w:tc>
          <w:tcPr>
            <w:tcW w:w="1098" w:type="dxa"/>
            <w:shd w:val="clear" w:color="auto" w:fill="auto"/>
            <w:noWrap/>
            <w:vAlign w:val="center"/>
            <w:hideMark/>
          </w:tcPr>
          <w:p w14:paraId="47F26BB8" w14:textId="77777777" w:rsidR="009337D1" w:rsidRPr="009337D1" w:rsidRDefault="009337D1" w:rsidP="009337D1">
            <w:pPr>
              <w:spacing w:after="0" w:line="240" w:lineRule="auto"/>
              <w:jc w:val="center"/>
              <w:rPr>
                <w:rFonts w:ascii="Calibri" w:eastAsia="Times New Roman" w:hAnsi="Calibri" w:cs="Calibri"/>
                <w:color w:val="000000"/>
                <w:sz w:val="20"/>
                <w:szCs w:val="20"/>
              </w:rPr>
            </w:pPr>
            <w:r w:rsidRPr="009337D1">
              <w:rPr>
                <w:rFonts w:ascii="Calibri" w:eastAsia="Times New Roman" w:hAnsi="Calibri" w:cs="Calibri"/>
                <w:color w:val="000000"/>
                <w:sz w:val="20"/>
                <w:szCs w:val="20"/>
              </w:rPr>
              <w:t>-$129.1M</w:t>
            </w:r>
          </w:p>
        </w:tc>
        <w:tc>
          <w:tcPr>
            <w:tcW w:w="1262" w:type="dxa"/>
            <w:shd w:val="clear" w:color="auto" w:fill="auto"/>
            <w:noWrap/>
            <w:vAlign w:val="center"/>
            <w:hideMark/>
          </w:tcPr>
          <w:p w14:paraId="3A1B5BB8" w14:textId="77777777" w:rsidR="009337D1" w:rsidRPr="009337D1" w:rsidRDefault="009337D1" w:rsidP="009337D1">
            <w:pPr>
              <w:spacing w:after="0" w:line="240" w:lineRule="auto"/>
              <w:jc w:val="center"/>
              <w:rPr>
                <w:rFonts w:ascii="Calibri" w:eastAsia="Times New Roman" w:hAnsi="Calibri" w:cs="Calibri"/>
                <w:color w:val="000000"/>
                <w:sz w:val="20"/>
                <w:szCs w:val="20"/>
              </w:rPr>
            </w:pPr>
            <w:r w:rsidRPr="009337D1">
              <w:rPr>
                <w:rFonts w:ascii="Calibri" w:eastAsia="Times New Roman" w:hAnsi="Calibri" w:cs="Calibri"/>
                <w:color w:val="000000"/>
                <w:sz w:val="20"/>
                <w:szCs w:val="20"/>
              </w:rPr>
              <w:t>$129.1M</w:t>
            </w:r>
          </w:p>
        </w:tc>
        <w:tc>
          <w:tcPr>
            <w:tcW w:w="1096" w:type="dxa"/>
            <w:shd w:val="clear" w:color="auto" w:fill="auto"/>
            <w:noWrap/>
            <w:vAlign w:val="center"/>
            <w:hideMark/>
          </w:tcPr>
          <w:p w14:paraId="469A6E92" w14:textId="77777777" w:rsidR="009337D1" w:rsidRPr="009337D1" w:rsidRDefault="009337D1" w:rsidP="009337D1">
            <w:pPr>
              <w:spacing w:after="0" w:line="240" w:lineRule="auto"/>
              <w:jc w:val="center"/>
              <w:rPr>
                <w:rFonts w:ascii="Calibri" w:eastAsia="Times New Roman" w:hAnsi="Calibri" w:cs="Calibri"/>
                <w:color w:val="000000"/>
                <w:sz w:val="20"/>
                <w:szCs w:val="20"/>
              </w:rPr>
            </w:pPr>
            <w:r w:rsidRPr="009337D1">
              <w:rPr>
                <w:rFonts w:ascii="Calibri" w:eastAsia="Times New Roman" w:hAnsi="Calibri" w:cs="Calibri"/>
                <w:color w:val="000000"/>
                <w:sz w:val="20"/>
                <w:szCs w:val="20"/>
              </w:rPr>
              <w:t>$0.0M</w:t>
            </w:r>
          </w:p>
        </w:tc>
        <w:tc>
          <w:tcPr>
            <w:tcW w:w="1068" w:type="dxa"/>
            <w:shd w:val="clear" w:color="auto" w:fill="auto"/>
            <w:noWrap/>
            <w:vAlign w:val="center"/>
            <w:hideMark/>
          </w:tcPr>
          <w:p w14:paraId="2D90B0E1" w14:textId="77777777" w:rsidR="009337D1" w:rsidRPr="009337D1" w:rsidRDefault="009337D1" w:rsidP="009337D1">
            <w:pPr>
              <w:spacing w:after="0" w:line="240" w:lineRule="auto"/>
              <w:jc w:val="center"/>
              <w:rPr>
                <w:rFonts w:ascii="Calibri" w:eastAsia="Times New Roman" w:hAnsi="Calibri" w:cs="Calibri"/>
                <w:b/>
                <w:bCs/>
                <w:color w:val="000000"/>
                <w:sz w:val="20"/>
                <w:szCs w:val="20"/>
              </w:rPr>
            </w:pPr>
            <w:r w:rsidRPr="009337D1">
              <w:rPr>
                <w:rFonts w:ascii="Calibri" w:eastAsia="Times New Roman" w:hAnsi="Calibri" w:cs="Calibri"/>
                <w:b/>
                <w:bCs/>
                <w:color w:val="000000"/>
                <w:sz w:val="20"/>
                <w:szCs w:val="20"/>
              </w:rPr>
              <w:t>28.17%</w:t>
            </w:r>
          </w:p>
        </w:tc>
      </w:tr>
      <w:tr w:rsidR="00BD1E1E" w:rsidRPr="009337D1" w14:paraId="41796A1F" w14:textId="77777777" w:rsidTr="00BD1E1E">
        <w:trPr>
          <w:trHeight w:val="1160"/>
        </w:trPr>
        <w:tc>
          <w:tcPr>
            <w:tcW w:w="1519" w:type="dxa"/>
            <w:shd w:val="clear" w:color="auto" w:fill="auto"/>
            <w:vAlign w:val="center"/>
            <w:hideMark/>
          </w:tcPr>
          <w:p w14:paraId="4BE48A89" w14:textId="77777777" w:rsidR="009337D1" w:rsidRPr="009337D1" w:rsidRDefault="009337D1" w:rsidP="009337D1">
            <w:pPr>
              <w:spacing w:after="0" w:line="240" w:lineRule="auto"/>
              <w:rPr>
                <w:rFonts w:ascii="Calibri" w:eastAsia="Times New Roman" w:hAnsi="Calibri" w:cs="Calibri"/>
                <w:color w:val="000000"/>
                <w:sz w:val="20"/>
                <w:szCs w:val="20"/>
              </w:rPr>
            </w:pPr>
            <w:r w:rsidRPr="009337D1">
              <w:rPr>
                <w:rFonts w:ascii="Calibri" w:eastAsia="Times New Roman" w:hAnsi="Calibri" w:cs="Calibri"/>
                <w:color w:val="000000"/>
                <w:sz w:val="20"/>
                <w:szCs w:val="20"/>
              </w:rPr>
              <w:t>BP4 carry forward (excludes Flexible Services carry forward)</w:t>
            </w:r>
          </w:p>
        </w:tc>
        <w:tc>
          <w:tcPr>
            <w:tcW w:w="963" w:type="dxa"/>
            <w:shd w:val="clear" w:color="auto" w:fill="auto"/>
            <w:noWrap/>
            <w:vAlign w:val="center"/>
            <w:hideMark/>
          </w:tcPr>
          <w:p w14:paraId="19A377FF" w14:textId="77777777" w:rsidR="009337D1" w:rsidRPr="009337D1" w:rsidRDefault="009337D1" w:rsidP="009337D1">
            <w:pPr>
              <w:spacing w:after="0" w:line="240" w:lineRule="auto"/>
              <w:jc w:val="center"/>
              <w:rPr>
                <w:rFonts w:ascii="Calibri" w:eastAsia="Times New Roman" w:hAnsi="Calibri" w:cs="Calibri"/>
                <w:color w:val="000000"/>
                <w:sz w:val="20"/>
                <w:szCs w:val="20"/>
              </w:rPr>
            </w:pPr>
            <w:r w:rsidRPr="009337D1">
              <w:rPr>
                <w:rFonts w:ascii="Calibri" w:eastAsia="Times New Roman" w:hAnsi="Calibri" w:cs="Calibri"/>
                <w:color w:val="000000"/>
                <w:sz w:val="20"/>
                <w:szCs w:val="20"/>
              </w:rPr>
              <w:t> </w:t>
            </w:r>
          </w:p>
        </w:tc>
        <w:tc>
          <w:tcPr>
            <w:tcW w:w="1087" w:type="dxa"/>
            <w:shd w:val="clear" w:color="auto" w:fill="auto"/>
            <w:noWrap/>
            <w:vAlign w:val="center"/>
            <w:hideMark/>
          </w:tcPr>
          <w:p w14:paraId="2F3F3D64" w14:textId="77777777" w:rsidR="009337D1" w:rsidRPr="009337D1" w:rsidRDefault="009337D1" w:rsidP="009337D1">
            <w:pPr>
              <w:spacing w:after="0" w:line="240" w:lineRule="auto"/>
              <w:jc w:val="center"/>
              <w:rPr>
                <w:rFonts w:ascii="Calibri" w:eastAsia="Times New Roman" w:hAnsi="Calibri" w:cs="Calibri"/>
                <w:color w:val="000000"/>
                <w:sz w:val="20"/>
                <w:szCs w:val="20"/>
              </w:rPr>
            </w:pPr>
            <w:r w:rsidRPr="009337D1">
              <w:rPr>
                <w:rFonts w:ascii="Calibri" w:eastAsia="Times New Roman" w:hAnsi="Calibri" w:cs="Calibri"/>
                <w:color w:val="000000"/>
                <w:sz w:val="20"/>
                <w:szCs w:val="20"/>
              </w:rPr>
              <w:t> </w:t>
            </w:r>
          </w:p>
        </w:tc>
        <w:tc>
          <w:tcPr>
            <w:tcW w:w="1247" w:type="dxa"/>
            <w:shd w:val="clear" w:color="auto" w:fill="auto"/>
            <w:noWrap/>
            <w:vAlign w:val="center"/>
            <w:hideMark/>
          </w:tcPr>
          <w:p w14:paraId="2822F14F" w14:textId="77777777" w:rsidR="009337D1" w:rsidRPr="009337D1" w:rsidRDefault="009337D1" w:rsidP="009337D1">
            <w:pPr>
              <w:spacing w:after="0" w:line="240" w:lineRule="auto"/>
              <w:jc w:val="center"/>
              <w:rPr>
                <w:rFonts w:ascii="Calibri" w:eastAsia="Times New Roman" w:hAnsi="Calibri" w:cs="Calibri"/>
                <w:color w:val="000000"/>
                <w:sz w:val="20"/>
                <w:szCs w:val="20"/>
              </w:rPr>
            </w:pPr>
            <w:r w:rsidRPr="009337D1">
              <w:rPr>
                <w:rFonts w:ascii="Calibri" w:eastAsia="Times New Roman" w:hAnsi="Calibri" w:cs="Calibri"/>
                <w:color w:val="000000"/>
                <w:sz w:val="20"/>
                <w:szCs w:val="20"/>
              </w:rPr>
              <w:t> </w:t>
            </w:r>
          </w:p>
        </w:tc>
        <w:tc>
          <w:tcPr>
            <w:tcW w:w="1098" w:type="dxa"/>
            <w:shd w:val="clear" w:color="auto" w:fill="auto"/>
            <w:noWrap/>
            <w:vAlign w:val="center"/>
            <w:hideMark/>
          </w:tcPr>
          <w:p w14:paraId="5F901E37" w14:textId="77777777" w:rsidR="009337D1" w:rsidRPr="009337D1" w:rsidRDefault="009337D1" w:rsidP="009337D1">
            <w:pPr>
              <w:spacing w:after="0" w:line="240" w:lineRule="auto"/>
              <w:jc w:val="center"/>
              <w:rPr>
                <w:rFonts w:ascii="Calibri" w:eastAsia="Times New Roman" w:hAnsi="Calibri" w:cs="Calibri"/>
                <w:color w:val="000000"/>
                <w:sz w:val="20"/>
                <w:szCs w:val="20"/>
              </w:rPr>
            </w:pPr>
            <w:r w:rsidRPr="009337D1">
              <w:rPr>
                <w:rFonts w:ascii="Calibri" w:eastAsia="Times New Roman" w:hAnsi="Calibri" w:cs="Calibri"/>
                <w:color w:val="000000"/>
                <w:sz w:val="20"/>
                <w:szCs w:val="20"/>
              </w:rPr>
              <w:t>-$68.7M</w:t>
            </w:r>
          </w:p>
        </w:tc>
        <w:tc>
          <w:tcPr>
            <w:tcW w:w="1262" w:type="dxa"/>
            <w:shd w:val="clear" w:color="auto" w:fill="auto"/>
            <w:noWrap/>
            <w:vAlign w:val="center"/>
            <w:hideMark/>
          </w:tcPr>
          <w:p w14:paraId="36E41EDD" w14:textId="77777777" w:rsidR="009337D1" w:rsidRPr="009337D1" w:rsidRDefault="009337D1" w:rsidP="009337D1">
            <w:pPr>
              <w:spacing w:after="0" w:line="240" w:lineRule="auto"/>
              <w:jc w:val="center"/>
              <w:rPr>
                <w:rFonts w:ascii="Calibri" w:eastAsia="Times New Roman" w:hAnsi="Calibri" w:cs="Calibri"/>
                <w:color w:val="000000"/>
                <w:sz w:val="20"/>
                <w:szCs w:val="20"/>
              </w:rPr>
            </w:pPr>
            <w:r w:rsidRPr="009337D1">
              <w:rPr>
                <w:rFonts w:ascii="Calibri" w:eastAsia="Times New Roman" w:hAnsi="Calibri" w:cs="Calibri"/>
                <w:color w:val="000000"/>
                <w:sz w:val="20"/>
                <w:szCs w:val="20"/>
              </w:rPr>
              <w:t> </w:t>
            </w:r>
          </w:p>
        </w:tc>
        <w:tc>
          <w:tcPr>
            <w:tcW w:w="1096" w:type="dxa"/>
            <w:shd w:val="clear" w:color="auto" w:fill="auto"/>
            <w:noWrap/>
            <w:vAlign w:val="center"/>
            <w:hideMark/>
          </w:tcPr>
          <w:p w14:paraId="6880D9ED" w14:textId="77777777" w:rsidR="009337D1" w:rsidRPr="009337D1" w:rsidRDefault="009337D1" w:rsidP="009337D1">
            <w:pPr>
              <w:spacing w:after="0" w:line="240" w:lineRule="auto"/>
              <w:jc w:val="center"/>
              <w:rPr>
                <w:rFonts w:ascii="Calibri" w:eastAsia="Times New Roman" w:hAnsi="Calibri" w:cs="Calibri"/>
                <w:color w:val="000000"/>
                <w:sz w:val="20"/>
                <w:szCs w:val="20"/>
              </w:rPr>
            </w:pPr>
            <w:r w:rsidRPr="009337D1">
              <w:rPr>
                <w:rFonts w:ascii="Calibri" w:eastAsia="Times New Roman" w:hAnsi="Calibri" w:cs="Calibri"/>
                <w:color w:val="000000"/>
                <w:sz w:val="20"/>
                <w:szCs w:val="20"/>
              </w:rPr>
              <w:t> </w:t>
            </w:r>
          </w:p>
        </w:tc>
        <w:tc>
          <w:tcPr>
            <w:tcW w:w="1068" w:type="dxa"/>
            <w:shd w:val="clear" w:color="auto" w:fill="auto"/>
            <w:noWrap/>
            <w:vAlign w:val="center"/>
            <w:hideMark/>
          </w:tcPr>
          <w:p w14:paraId="32354A8A" w14:textId="77777777" w:rsidR="009337D1" w:rsidRPr="009337D1" w:rsidRDefault="009337D1" w:rsidP="009337D1">
            <w:pPr>
              <w:spacing w:after="0" w:line="240" w:lineRule="auto"/>
              <w:jc w:val="center"/>
              <w:rPr>
                <w:rFonts w:ascii="Calibri" w:eastAsia="Times New Roman" w:hAnsi="Calibri" w:cs="Calibri"/>
                <w:b/>
                <w:bCs/>
                <w:color w:val="000000"/>
                <w:sz w:val="20"/>
                <w:szCs w:val="20"/>
              </w:rPr>
            </w:pPr>
            <w:r w:rsidRPr="009337D1">
              <w:rPr>
                <w:rFonts w:ascii="Calibri" w:eastAsia="Times New Roman" w:hAnsi="Calibri" w:cs="Calibri"/>
                <w:b/>
                <w:bCs/>
                <w:color w:val="000000"/>
                <w:sz w:val="20"/>
                <w:szCs w:val="20"/>
              </w:rPr>
              <w:t>14.99%</w:t>
            </w:r>
          </w:p>
        </w:tc>
      </w:tr>
      <w:tr w:rsidR="00BD1E1E" w:rsidRPr="009337D1" w14:paraId="4F8E863D" w14:textId="77777777" w:rsidTr="00BD1E1E">
        <w:trPr>
          <w:trHeight w:val="290"/>
        </w:trPr>
        <w:tc>
          <w:tcPr>
            <w:tcW w:w="1519" w:type="dxa"/>
            <w:shd w:val="clear" w:color="D9E1F2" w:fill="D9E1F2"/>
            <w:noWrap/>
            <w:vAlign w:val="center"/>
            <w:hideMark/>
          </w:tcPr>
          <w:p w14:paraId="69E906DE" w14:textId="77777777" w:rsidR="009337D1" w:rsidRPr="009337D1" w:rsidRDefault="009337D1" w:rsidP="009337D1">
            <w:pPr>
              <w:spacing w:after="0" w:line="240" w:lineRule="auto"/>
              <w:rPr>
                <w:rFonts w:ascii="Calibri" w:eastAsia="Times New Roman" w:hAnsi="Calibri" w:cs="Calibri"/>
                <w:b/>
                <w:bCs/>
                <w:color w:val="000000"/>
                <w:sz w:val="20"/>
                <w:szCs w:val="20"/>
              </w:rPr>
            </w:pPr>
            <w:r w:rsidRPr="009337D1">
              <w:rPr>
                <w:rFonts w:ascii="Calibri" w:eastAsia="Times New Roman" w:hAnsi="Calibri" w:cs="Calibri"/>
                <w:b/>
                <w:bCs/>
                <w:color w:val="000000"/>
                <w:sz w:val="20"/>
                <w:szCs w:val="20"/>
              </w:rPr>
              <w:t>New total EA</w:t>
            </w:r>
          </w:p>
        </w:tc>
        <w:tc>
          <w:tcPr>
            <w:tcW w:w="963" w:type="dxa"/>
            <w:shd w:val="clear" w:color="000000" w:fill="D9E1F2"/>
            <w:noWrap/>
            <w:vAlign w:val="center"/>
            <w:hideMark/>
          </w:tcPr>
          <w:p w14:paraId="2BB96A29" w14:textId="77777777" w:rsidR="009337D1" w:rsidRPr="009337D1" w:rsidRDefault="009337D1" w:rsidP="009337D1">
            <w:pPr>
              <w:spacing w:after="0" w:line="240" w:lineRule="auto"/>
              <w:jc w:val="center"/>
              <w:rPr>
                <w:rFonts w:ascii="Calibri" w:eastAsia="Times New Roman" w:hAnsi="Calibri" w:cs="Calibri"/>
                <w:b/>
                <w:bCs/>
                <w:color w:val="000000"/>
                <w:sz w:val="20"/>
                <w:szCs w:val="20"/>
              </w:rPr>
            </w:pPr>
            <w:r w:rsidRPr="009337D1">
              <w:rPr>
                <w:rFonts w:ascii="Calibri" w:eastAsia="Times New Roman" w:hAnsi="Calibri" w:cs="Calibri"/>
                <w:b/>
                <w:bCs/>
                <w:color w:val="000000"/>
                <w:sz w:val="20"/>
                <w:szCs w:val="20"/>
              </w:rPr>
              <w:t>$367.0M</w:t>
            </w:r>
          </w:p>
        </w:tc>
        <w:tc>
          <w:tcPr>
            <w:tcW w:w="1087" w:type="dxa"/>
            <w:shd w:val="clear" w:color="000000" w:fill="D9E1F2"/>
            <w:noWrap/>
            <w:vAlign w:val="center"/>
            <w:hideMark/>
          </w:tcPr>
          <w:p w14:paraId="032A75DF" w14:textId="77777777" w:rsidR="009337D1" w:rsidRPr="00BD1E1E" w:rsidRDefault="009337D1" w:rsidP="009337D1">
            <w:pPr>
              <w:spacing w:after="0" w:line="240" w:lineRule="auto"/>
              <w:jc w:val="center"/>
              <w:rPr>
                <w:rFonts w:ascii="Calibri" w:eastAsia="Times New Roman" w:hAnsi="Calibri" w:cs="Calibri"/>
                <w:b/>
                <w:bCs/>
                <w:color w:val="000000"/>
                <w:sz w:val="20"/>
                <w:szCs w:val="20"/>
              </w:rPr>
            </w:pPr>
            <w:r w:rsidRPr="00BD1E1E">
              <w:rPr>
                <w:rFonts w:ascii="Calibri" w:eastAsia="Times New Roman" w:hAnsi="Calibri" w:cs="Calibri"/>
                <w:b/>
                <w:bCs/>
                <w:color w:val="000000"/>
                <w:sz w:val="20"/>
                <w:szCs w:val="20"/>
              </w:rPr>
              <w:t>$404.9M</w:t>
            </w:r>
          </w:p>
        </w:tc>
        <w:tc>
          <w:tcPr>
            <w:tcW w:w="1247" w:type="dxa"/>
            <w:shd w:val="clear" w:color="000000" w:fill="D9E1F2"/>
            <w:noWrap/>
            <w:vAlign w:val="center"/>
            <w:hideMark/>
          </w:tcPr>
          <w:p w14:paraId="0EF8B0B9" w14:textId="5BE0C7F2" w:rsidR="009337D1" w:rsidRPr="00BD1E1E" w:rsidRDefault="009337D1" w:rsidP="009337D1">
            <w:pPr>
              <w:spacing w:after="0" w:line="240" w:lineRule="auto"/>
              <w:jc w:val="center"/>
              <w:rPr>
                <w:rFonts w:ascii="Calibri" w:eastAsia="Times New Roman" w:hAnsi="Calibri" w:cs="Calibri"/>
                <w:b/>
                <w:bCs/>
                <w:color w:val="000000"/>
                <w:sz w:val="20"/>
                <w:szCs w:val="20"/>
              </w:rPr>
            </w:pPr>
            <w:r w:rsidRPr="00BD1E1E">
              <w:rPr>
                <w:rFonts w:ascii="Calibri" w:eastAsia="Times New Roman" w:hAnsi="Calibri" w:cs="Calibri"/>
                <w:b/>
                <w:bCs/>
                <w:color w:val="000000"/>
                <w:sz w:val="20"/>
                <w:szCs w:val="20"/>
              </w:rPr>
              <w:t>$</w:t>
            </w:r>
            <w:r w:rsidR="000A0173" w:rsidRPr="00BD1E1E">
              <w:rPr>
                <w:rFonts w:ascii="Calibri" w:eastAsia="Times New Roman" w:hAnsi="Calibri" w:cs="Calibri"/>
                <w:b/>
                <w:bCs/>
                <w:color w:val="000000"/>
                <w:sz w:val="20"/>
                <w:szCs w:val="20"/>
              </w:rPr>
              <w:t>332.1M</w:t>
            </w:r>
          </w:p>
        </w:tc>
        <w:tc>
          <w:tcPr>
            <w:tcW w:w="1098" w:type="dxa"/>
            <w:shd w:val="clear" w:color="000000" w:fill="D9E1F2"/>
            <w:noWrap/>
            <w:vAlign w:val="center"/>
            <w:hideMark/>
          </w:tcPr>
          <w:p w14:paraId="75A07256" w14:textId="27901FFD" w:rsidR="009337D1" w:rsidRPr="00BD1E1E" w:rsidRDefault="009337D1" w:rsidP="009337D1">
            <w:pPr>
              <w:spacing w:after="0" w:line="240" w:lineRule="auto"/>
              <w:jc w:val="center"/>
              <w:rPr>
                <w:rFonts w:ascii="Calibri" w:eastAsia="Times New Roman" w:hAnsi="Calibri" w:cs="Calibri"/>
                <w:b/>
                <w:bCs/>
                <w:color w:val="000000"/>
                <w:sz w:val="20"/>
                <w:szCs w:val="20"/>
              </w:rPr>
            </w:pPr>
            <w:r w:rsidRPr="00BD1E1E">
              <w:rPr>
                <w:rFonts w:ascii="Calibri" w:eastAsia="Times New Roman" w:hAnsi="Calibri" w:cs="Calibri"/>
                <w:b/>
                <w:bCs/>
                <w:color w:val="000000"/>
                <w:sz w:val="20"/>
                <w:szCs w:val="20"/>
              </w:rPr>
              <w:t>$</w:t>
            </w:r>
            <w:r w:rsidR="000A0173" w:rsidRPr="00BD1E1E">
              <w:rPr>
                <w:rFonts w:ascii="Calibri" w:eastAsia="Times New Roman" w:hAnsi="Calibri" w:cs="Calibri"/>
                <w:b/>
                <w:bCs/>
                <w:color w:val="000000"/>
                <w:sz w:val="20"/>
                <w:szCs w:val="20"/>
              </w:rPr>
              <w:t>329.1</w:t>
            </w:r>
            <w:r w:rsidRPr="00BD1E1E">
              <w:rPr>
                <w:rFonts w:ascii="Calibri" w:eastAsia="Times New Roman" w:hAnsi="Calibri" w:cs="Calibri"/>
                <w:b/>
                <w:bCs/>
                <w:color w:val="000000"/>
                <w:sz w:val="20"/>
                <w:szCs w:val="20"/>
              </w:rPr>
              <w:t>M</w:t>
            </w:r>
          </w:p>
        </w:tc>
        <w:tc>
          <w:tcPr>
            <w:tcW w:w="1262" w:type="dxa"/>
            <w:shd w:val="clear" w:color="000000" w:fill="D9E1F2"/>
            <w:noWrap/>
            <w:vAlign w:val="center"/>
            <w:hideMark/>
          </w:tcPr>
          <w:p w14:paraId="274F48E0" w14:textId="77777777" w:rsidR="009337D1" w:rsidRPr="00BD1E1E" w:rsidRDefault="009337D1" w:rsidP="009337D1">
            <w:pPr>
              <w:spacing w:after="0" w:line="240" w:lineRule="auto"/>
              <w:jc w:val="center"/>
              <w:rPr>
                <w:rFonts w:ascii="Calibri" w:eastAsia="Times New Roman" w:hAnsi="Calibri" w:cs="Calibri"/>
                <w:b/>
                <w:bCs/>
                <w:color w:val="000000"/>
                <w:sz w:val="20"/>
                <w:szCs w:val="20"/>
              </w:rPr>
            </w:pPr>
            <w:r w:rsidRPr="00BD1E1E">
              <w:rPr>
                <w:rFonts w:ascii="Calibri" w:eastAsia="Times New Roman" w:hAnsi="Calibri" w:cs="Calibri"/>
                <w:b/>
                <w:bCs/>
                <w:color w:val="000000"/>
                <w:sz w:val="20"/>
                <w:szCs w:val="20"/>
              </w:rPr>
              <w:t>$367.0M</w:t>
            </w:r>
          </w:p>
        </w:tc>
        <w:tc>
          <w:tcPr>
            <w:tcW w:w="1096" w:type="dxa"/>
            <w:shd w:val="clear" w:color="000000" w:fill="D9E1F2"/>
            <w:noWrap/>
            <w:vAlign w:val="center"/>
            <w:hideMark/>
          </w:tcPr>
          <w:p w14:paraId="27AB8820" w14:textId="63A73196" w:rsidR="009337D1" w:rsidRPr="00BD1E1E" w:rsidRDefault="009337D1" w:rsidP="009337D1">
            <w:pPr>
              <w:spacing w:after="0" w:line="240" w:lineRule="auto"/>
              <w:jc w:val="center"/>
              <w:rPr>
                <w:rFonts w:ascii="Calibri" w:eastAsia="Times New Roman" w:hAnsi="Calibri" w:cs="Calibri"/>
                <w:b/>
                <w:bCs/>
                <w:color w:val="000000"/>
                <w:sz w:val="20"/>
                <w:szCs w:val="20"/>
              </w:rPr>
            </w:pPr>
            <w:r w:rsidRPr="00BD1E1E">
              <w:rPr>
                <w:rFonts w:ascii="Calibri" w:eastAsia="Times New Roman" w:hAnsi="Calibri" w:cs="Calibri"/>
                <w:b/>
                <w:bCs/>
                <w:color w:val="000000"/>
                <w:sz w:val="20"/>
                <w:szCs w:val="20"/>
              </w:rPr>
              <w:t>$1</w:t>
            </w:r>
            <w:r w:rsidR="000A0173" w:rsidRPr="00BD1E1E">
              <w:rPr>
                <w:rFonts w:ascii="Calibri" w:eastAsia="Times New Roman" w:hAnsi="Calibri" w:cs="Calibri"/>
                <w:b/>
                <w:bCs/>
                <w:color w:val="000000"/>
                <w:sz w:val="20"/>
                <w:szCs w:val="20"/>
              </w:rPr>
              <w:t>,800</w:t>
            </w:r>
            <w:r w:rsidRPr="00BD1E1E">
              <w:rPr>
                <w:rFonts w:ascii="Calibri" w:eastAsia="Times New Roman" w:hAnsi="Calibri" w:cs="Calibri"/>
                <w:b/>
                <w:bCs/>
                <w:color w:val="000000"/>
                <w:sz w:val="20"/>
                <w:szCs w:val="20"/>
              </w:rPr>
              <w:t>M</w:t>
            </w:r>
          </w:p>
        </w:tc>
        <w:tc>
          <w:tcPr>
            <w:tcW w:w="1068" w:type="dxa"/>
            <w:shd w:val="clear" w:color="000000" w:fill="D9E1F2"/>
            <w:noWrap/>
            <w:vAlign w:val="center"/>
            <w:hideMark/>
          </w:tcPr>
          <w:p w14:paraId="7A9209CA" w14:textId="77777777" w:rsidR="009337D1" w:rsidRPr="00BD1E1E" w:rsidRDefault="009337D1" w:rsidP="009337D1">
            <w:pPr>
              <w:spacing w:after="0" w:line="240" w:lineRule="auto"/>
              <w:jc w:val="center"/>
              <w:rPr>
                <w:rFonts w:ascii="Calibri" w:eastAsia="Times New Roman" w:hAnsi="Calibri" w:cs="Calibri"/>
                <w:b/>
                <w:bCs/>
                <w:color w:val="000000"/>
                <w:sz w:val="20"/>
                <w:szCs w:val="20"/>
              </w:rPr>
            </w:pPr>
            <w:r w:rsidRPr="00BD1E1E">
              <w:rPr>
                <w:rFonts w:ascii="Calibri" w:eastAsia="Times New Roman" w:hAnsi="Calibri" w:cs="Calibri"/>
                <w:b/>
                <w:bCs/>
                <w:color w:val="000000"/>
                <w:sz w:val="20"/>
                <w:szCs w:val="20"/>
              </w:rPr>
              <w:t> </w:t>
            </w:r>
          </w:p>
        </w:tc>
      </w:tr>
    </w:tbl>
    <w:p w14:paraId="51CEAB2A" w14:textId="77777777" w:rsidR="009337D1" w:rsidRDefault="009337D1" w:rsidP="00863BB7">
      <w:pPr>
        <w:rPr>
          <w:szCs w:val="24"/>
        </w:rPr>
      </w:pPr>
    </w:p>
    <w:p w14:paraId="231CD783" w14:textId="0AE01693" w:rsidR="00863BB7" w:rsidRDefault="00863BB7" w:rsidP="00863BB7">
      <w:pPr>
        <w:rPr>
          <w:szCs w:val="24"/>
        </w:rPr>
      </w:pPr>
      <w:r>
        <w:rPr>
          <w:szCs w:val="24"/>
        </w:rPr>
        <w:t xml:space="preserve">Note: </w:t>
      </w:r>
      <w:r w:rsidRPr="00E33863">
        <w:rPr>
          <w:szCs w:val="24"/>
        </w:rPr>
        <w:t>Assumes 100% of at-risk funds are paid out</w:t>
      </w:r>
    </w:p>
    <w:p w14:paraId="082DC974" w14:textId="77777777" w:rsidR="00863BB7" w:rsidRDefault="00863BB7" w:rsidP="00863BB7">
      <w:pPr>
        <w:tabs>
          <w:tab w:val="left" w:pos="6090"/>
        </w:tabs>
        <w:rPr>
          <w:szCs w:val="24"/>
        </w:rPr>
      </w:pPr>
      <w:r>
        <w:rPr>
          <w:szCs w:val="24"/>
        </w:rPr>
        <w:t>Additionally, as noted in the DSRIP Protocol (Section 4.7), t</w:t>
      </w:r>
      <w:r w:rsidRPr="00110189">
        <w:rPr>
          <w:szCs w:val="24"/>
        </w:rPr>
        <w:t>he State must ensure that carry over does not result in the amount of DSRIP expenditure authority for DSRIP Year 5 being greater than the amount for DSRIP Year 4. Flexible Services funding will not be counted in either the DSRIP Year 4 or DSRIP Year 5 expenditure authority amounts for the purposes of this comparison.</w:t>
      </w:r>
      <w:r>
        <w:rPr>
          <w:szCs w:val="24"/>
        </w:rPr>
        <w:t xml:space="preserve"> With that exclusion, the carry forward request does not result in the amount of DSRIP expenditure authority for DSRIP Year 5 being greater than the amount for DSRIP Year 4.</w:t>
      </w:r>
    </w:p>
    <w:tbl>
      <w:tblPr>
        <w:tblW w:w="6110" w:type="dxa"/>
        <w:tblBorders>
          <w:top w:val="single" w:sz="8" w:space="0" w:color="C6D9F1" w:themeColor="text2" w:themeTint="33"/>
          <w:left w:val="single" w:sz="8" w:space="0" w:color="C6D9F1" w:themeColor="text2" w:themeTint="33"/>
          <w:bottom w:val="single" w:sz="8" w:space="0" w:color="C6D9F1" w:themeColor="text2" w:themeTint="33"/>
          <w:right w:val="single" w:sz="8" w:space="0" w:color="C6D9F1" w:themeColor="text2" w:themeTint="33"/>
          <w:insideH w:val="single" w:sz="8" w:space="0" w:color="D9D9D9" w:themeColor="background1" w:themeShade="D9"/>
          <w:insideV w:val="single" w:sz="8" w:space="0" w:color="D9D9D9" w:themeColor="background1" w:themeShade="D9"/>
        </w:tblBorders>
        <w:tblLook w:val="04A0" w:firstRow="1" w:lastRow="0" w:firstColumn="1" w:lastColumn="0" w:noHBand="0" w:noVBand="1"/>
        <w:tblCaption w:val="Dollars (Based on Carry Forward table above)"/>
        <w:tblDescription w:val="New Total Expenditure Authority carry forward dollar amounts in DSRIP Year 4 and DSRIP Year 5 based on the table above, excluding Flexible Services expenditure authority"/>
      </w:tblPr>
      <w:tblGrid>
        <w:gridCol w:w="3140"/>
        <w:gridCol w:w="1530"/>
        <w:gridCol w:w="1440"/>
      </w:tblGrid>
      <w:tr w:rsidR="00C712FF" w:rsidRPr="00C712FF" w14:paraId="31B2FA4F" w14:textId="77777777" w:rsidTr="00C712FF">
        <w:trPr>
          <w:trHeight w:val="290"/>
        </w:trPr>
        <w:tc>
          <w:tcPr>
            <w:tcW w:w="6110" w:type="dxa"/>
            <w:gridSpan w:val="3"/>
            <w:shd w:val="clear" w:color="D9E1F2" w:fill="D9E1F2"/>
            <w:noWrap/>
            <w:vAlign w:val="bottom"/>
            <w:hideMark/>
          </w:tcPr>
          <w:p w14:paraId="2EA2AC26" w14:textId="27599927" w:rsidR="00C712FF" w:rsidRPr="00C712FF" w:rsidRDefault="00C712FF" w:rsidP="00C712FF">
            <w:pPr>
              <w:spacing w:after="0" w:line="240" w:lineRule="auto"/>
              <w:jc w:val="center"/>
              <w:rPr>
                <w:rFonts w:ascii="Calibri" w:eastAsia="Times New Roman" w:hAnsi="Calibri" w:cs="Calibri"/>
                <w:b/>
                <w:bCs/>
                <w:color w:val="000000"/>
                <w:sz w:val="20"/>
                <w:szCs w:val="20"/>
              </w:rPr>
            </w:pPr>
            <w:r w:rsidRPr="00C712FF">
              <w:rPr>
                <w:rFonts w:ascii="Calibri" w:eastAsia="Times New Roman" w:hAnsi="Calibri" w:cs="Calibri"/>
                <w:b/>
                <w:bCs/>
                <w:color w:val="000000"/>
                <w:sz w:val="20"/>
                <w:szCs w:val="20"/>
              </w:rPr>
              <w:t>$M (Based on Carry Forward table above)</w:t>
            </w:r>
          </w:p>
        </w:tc>
      </w:tr>
      <w:tr w:rsidR="00C712FF" w:rsidRPr="00C712FF" w14:paraId="5EDB2FB9" w14:textId="77777777" w:rsidTr="006E2E99">
        <w:trPr>
          <w:trHeight w:val="290"/>
        </w:trPr>
        <w:tc>
          <w:tcPr>
            <w:tcW w:w="3140" w:type="dxa"/>
            <w:shd w:val="clear" w:color="D9E1F2" w:fill="D9E1F2"/>
            <w:noWrap/>
            <w:vAlign w:val="bottom"/>
            <w:hideMark/>
          </w:tcPr>
          <w:p w14:paraId="3A396DA2" w14:textId="77777777" w:rsidR="00C712FF" w:rsidRPr="00C712FF" w:rsidRDefault="00C712FF" w:rsidP="00C712FF">
            <w:pPr>
              <w:spacing w:after="0" w:line="240" w:lineRule="auto"/>
              <w:rPr>
                <w:rFonts w:ascii="Calibri" w:eastAsia="Times New Roman" w:hAnsi="Calibri" w:cs="Calibri"/>
                <w:b/>
                <w:bCs/>
                <w:color w:val="000000"/>
              </w:rPr>
            </w:pPr>
            <w:r w:rsidRPr="00C712FF">
              <w:rPr>
                <w:rFonts w:ascii="Calibri" w:eastAsia="Times New Roman" w:hAnsi="Calibri" w:cs="Calibri"/>
                <w:b/>
                <w:bCs/>
                <w:color w:val="000000"/>
              </w:rPr>
              <w:t> </w:t>
            </w:r>
          </w:p>
        </w:tc>
        <w:tc>
          <w:tcPr>
            <w:tcW w:w="1530" w:type="dxa"/>
            <w:shd w:val="clear" w:color="D9E1F2" w:fill="D9E1F2"/>
            <w:noWrap/>
            <w:vAlign w:val="bottom"/>
            <w:hideMark/>
          </w:tcPr>
          <w:p w14:paraId="482FBDE3" w14:textId="77777777" w:rsidR="00C712FF" w:rsidRPr="00C712FF" w:rsidRDefault="00C712FF" w:rsidP="00C712FF">
            <w:pPr>
              <w:spacing w:after="0" w:line="240" w:lineRule="auto"/>
              <w:rPr>
                <w:rFonts w:ascii="Calibri" w:eastAsia="Times New Roman" w:hAnsi="Calibri" w:cs="Calibri"/>
                <w:b/>
                <w:bCs/>
                <w:color w:val="000000"/>
              </w:rPr>
            </w:pPr>
            <w:r w:rsidRPr="00C712FF">
              <w:rPr>
                <w:rFonts w:ascii="Calibri" w:eastAsia="Times New Roman" w:hAnsi="Calibri" w:cs="Calibri"/>
                <w:b/>
                <w:bCs/>
                <w:color w:val="000000"/>
                <w:sz w:val="20"/>
                <w:szCs w:val="20"/>
              </w:rPr>
              <w:t>DY4</w:t>
            </w:r>
          </w:p>
        </w:tc>
        <w:tc>
          <w:tcPr>
            <w:tcW w:w="1440" w:type="dxa"/>
            <w:shd w:val="clear" w:color="D9E1F2" w:fill="D9E1F2"/>
            <w:noWrap/>
            <w:vAlign w:val="bottom"/>
            <w:hideMark/>
          </w:tcPr>
          <w:p w14:paraId="6A9485BA" w14:textId="77777777" w:rsidR="00C712FF" w:rsidRPr="00C712FF" w:rsidRDefault="00C712FF" w:rsidP="00C712FF">
            <w:pPr>
              <w:spacing w:after="0" w:line="240" w:lineRule="auto"/>
              <w:rPr>
                <w:rFonts w:ascii="Calibri" w:eastAsia="Times New Roman" w:hAnsi="Calibri" w:cs="Calibri"/>
                <w:b/>
                <w:bCs/>
                <w:color w:val="000000"/>
                <w:sz w:val="20"/>
                <w:szCs w:val="20"/>
              </w:rPr>
            </w:pPr>
            <w:r w:rsidRPr="00C712FF">
              <w:rPr>
                <w:rFonts w:ascii="Calibri" w:eastAsia="Times New Roman" w:hAnsi="Calibri" w:cs="Calibri"/>
                <w:b/>
                <w:bCs/>
                <w:color w:val="000000"/>
                <w:sz w:val="20"/>
                <w:szCs w:val="20"/>
              </w:rPr>
              <w:t>DY5</w:t>
            </w:r>
          </w:p>
        </w:tc>
      </w:tr>
      <w:tr w:rsidR="006E2E99" w:rsidRPr="00C712FF" w14:paraId="70DB032D" w14:textId="77777777" w:rsidTr="006E2E99">
        <w:trPr>
          <w:trHeight w:val="367"/>
        </w:trPr>
        <w:tc>
          <w:tcPr>
            <w:tcW w:w="3140" w:type="dxa"/>
            <w:shd w:val="clear" w:color="auto" w:fill="auto"/>
            <w:vAlign w:val="center"/>
            <w:hideMark/>
          </w:tcPr>
          <w:p w14:paraId="19C2AF6A" w14:textId="77777777" w:rsidR="00C712FF" w:rsidRPr="00C712FF" w:rsidRDefault="00C712FF" w:rsidP="00C712FF">
            <w:pPr>
              <w:spacing w:after="0" w:line="240" w:lineRule="auto"/>
              <w:rPr>
                <w:rFonts w:ascii="Calibri" w:eastAsia="Times New Roman" w:hAnsi="Calibri" w:cs="Calibri"/>
                <w:color w:val="000000"/>
                <w:sz w:val="20"/>
                <w:szCs w:val="20"/>
              </w:rPr>
            </w:pPr>
            <w:r w:rsidRPr="00C712FF">
              <w:rPr>
                <w:rFonts w:ascii="Calibri" w:eastAsia="Times New Roman" w:hAnsi="Calibri" w:cs="Calibri"/>
                <w:color w:val="000000"/>
                <w:sz w:val="20"/>
                <w:szCs w:val="20"/>
              </w:rPr>
              <w:t>New Total Expenditure Authority</w:t>
            </w:r>
          </w:p>
        </w:tc>
        <w:tc>
          <w:tcPr>
            <w:tcW w:w="1530" w:type="dxa"/>
            <w:shd w:val="clear" w:color="auto" w:fill="auto"/>
            <w:noWrap/>
            <w:vAlign w:val="center"/>
            <w:hideMark/>
          </w:tcPr>
          <w:p w14:paraId="5CD03BDD" w14:textId="77777777" w:rsidR="00C712FF" w:rsidRPr="00C712FF" w:rsidRDefault="00C712FF" w:rsidP="00C712FF">
            <w:pPr>
              <w:spacing w:after="0" w:line="240" w:lineRule="auto"/>
              <w:rPr>
                <w:rFonts w:ascii="Calibri" w:eastAsia="Times New Roman" w:hAnsi="Calibri" w:cs="Calibri"/>
                <w:color w:val="000000"/>
                <w:sz w:val="20"/>
                <w:szCs w:val="20"/>
              </w:rPr>
            </w:pPr>
            <w:r w:rsidRPr="00C712FF">
              <w:rPr>
                <w:rFonts w:ascii="Calibri" w:eastAsia="Times New Roman" w:hAnsi="Calibri" w:cs="Calibri"/>
                <w:color w:val="000000"/>
                <w:sz w:val="20"/>
                <w:szCs w:val="20"/>
              </w:rPr>
              <w:t>$329.1M</w:t>
            </w:r>
          </w:p>
        </w:tc>
        <w:tc>
          <w:tcPr>
            <w:tcW w:w="1440" w:type="dxa"/>
            <w:shd w:val="clear" w:color="auto" w:fill="auto"/>
            <w:noWrap/>
            <w:vAlign w:val="center"/>
            <w:hideMark/>
          </w:tcPr>
          <w:p w14:paraId="3B957CA1" w14:textId="77777777" w:rsidR="00C712FF" w:rsidRPr="00C712FF" w:rsidRDefault="00C712FF" w:rsidP="00C712FF">
            <w:pPr>
              <w:spacing w:after="0" w:line="240" w:lineRule="auto"/>
              <w:rPr>
                <w:rFonts w:ascii="Calibri" w:eastAsia="Times New Roman" w:hAnsi="Calibri" w:cs="Calibri"/>
                <w:color w:val="000000"/>
                <w:sz w:val="20"/>
                <w:szCs w:val="20"/>
              </w:rPr>
            </w:pPr>
            <w:r w:rsidRPr="00C712FF">
              <w:rPr>
                <w:rFonts w:ascii="Calibri" w:eastAsia="Times New Roman" w:hAnsi="Calibri" w:cs="Calibri"/>
                <w:color w:val="000000"/>
                <w:sz w:val="20"/>
                <w:szCs w:val="20"/>
              </w:rPr>
              <w:t>$367.0M</w:t>
            </w:r>
          </w:p>
        </w:tc>
      </w:tr>
      <w:tr w:rsidR="006E2E99" w:rsidRPr="00C712FF" w14:paraId="20CCEFC8" w14:textId="77777777" w:rsidTr="006E2E99">
        <w:trPr>
          <w:trHeight w:val="870"/>
        </w:trPr>
        <w:tc>
          <w:tcPr>
            <w:tcW w:w="3140" w:type="dxa"/>
            <w:shd w:val="clear" w:color="auto" w:fill="auto"/>
            <w:vAlign w:val="center"/>
            <w:hideMark/>
          </w:tcPr>
          <w:p w14:paraId="1D15DB9F" w14:textId="77777777" w:rsidR="00C712FF" w:rsidRPr="00C712FF" w:rsidRDefault="00C712FF" w:rsidP="00C712FF">
            <w:pPr>
              <w:spacing w:after="0" w:line="240" w:lineRule="auto"/>
              <w:rPr>
                <w:rFonts w:ascii="Calibri" w:eastAsia="Times New Roman" w:hAnsi="Calibri" w:cs="Calibri"/>
                <w:color w:val="000000"/>
                <w:sz w:val="20"/>
                <w:szCs w:val="20"/>
              </w:rPr>
            </w:pPr>
            <w:r w:rsidRPr="00C712FF">
              <w:rPr>
                <w:rFonts w:ascii="Calibri" w:eastAsia="Times New Roman" w:hAnsi="Calibri" w:cs="Calibri"/>
                <w:color w:val="000000"/>
                <w:sz w:val="20"/>
                <w:szCs w:val="20"/>
              </w:rPr>
              <w:t>Flexible Services Expenditure Authority</w:t>
            </w:r>
          </w:p>
        </w:tc>
        <w:tc>
          <w:tcPr>
            <w:tcW w:w="1530" w:type="dxa"/>
            <w:shd w:val="clear" w:color="auto" w:fill="auto"/>
            <w:noWrap/>
            <w:vAlign w:val="center"/>
            <w:hideMark/>
          </w:tcPr>
          <w:p w14:paraId="6A97296B" w14:textId="77777777" w:rsidR="00C712FF" w:rsidRPr="00C712FF" w:rsidRDefault="00C712FF" w:rsidP="00C712FF">
            <w:pPr>
              <w:spacing w:after="0" w:line="240" w:lineRule="auto"/>
              <w:rPr>
                <w:rFonts w:ascii="Calibri" w:eastAsia="Times New Roman" w:hAnsi="Calibri" w:cs="Calibri"/>
                <w:color w:val="000000"/>
                <w:sz w:val="20"/>
                <w:szCs w:val="20"/>
              </w:rPr>
            </w:pPr>
            <w:r w:rsidRPr="00C712FF">
              <w:rPr>
                <w:rFonts w:ascii="Calibri" w:eastAsia="Times New Roman" w:hAnsi="Calibri" w:cs="Calibri"/>
                <w:color w:val="000000"/>
                <w:sz w:val="20"/>
                <w:szCs w:val="20"/>
              </w:rPr>
              <w:t>$33.2M</w:t>
            </w:r>
          </w:p>
        </w:tc>
        <w:tc>
          <w:tcPr>
            <w:tcW w:w="1440" w:type="dxa"/>
            <w:shd w:val="clear" w:color="auto" w:fill="auto"/>
            <w:noWrap/>
            <w:vAlign w:val="center"/>
            <w:hideMark/>
          </w:tcPr>
          <w:p w14:paraId="441CD2BA" w14:textId="77777777" w:rsidR="00C712FF" w:rsidRPr="00C712FF" w:rsidRDefault="00C712FF" w:rsidP="00C712FF">
            <w:pPr>
              <w:spacing w:after="0" w:line="240" w:lineRule="auto"/>
              <w:rPr>
                <w:rFonts w:ascii="Calibri" w:eastAsia="Times New Roman" w:hAnsi="Calibri" w:cs="Calibri"/>
                <w:color w:val="000000"/>
                <w:sz w:val="20"/>
                <w:szCs w:val="20"/>
              </w:rPr>
            </w:pPr>
            <w:r w:rsidRPr="00C712FF">
              <w:rPr>
                <w:rFonts w:ascii="Calibri" w:eastAsia="Times New Roman" w:hAnsi="Calibri" w:cs="Calibri"/>
                <w:color w:val="000000"/>
                <w:sz w:val="20"/>
                <w:szCs w:val="20"/>
              </w:rPr>
              <w:t>$98.8M</w:t>
            </w:r>
          </w:p>
        </w:tc>
      </w:tr>
      <w:tr w:rsidR="00C712FF" w:rsidRPr="00C712FF" w14:paraId="1519CB9E" w14:textId="77777777" w:rsidTr="00F63FB4">
        <w:trPr>
          <w:trHeight w:val="772"/>
        </w:trPr>
        <w:tc>
          <w:tcPr>
            <w:tcW w:w="3140" w:type="dxa"/>
            <w:shd w:val="clear" w:color="D9E1F2" w:fill="D9E1F2"/>
            <w:vAlign w:val="center"/>
            <w:hideMark/>
          </w:tcPr>
          <w:p w14:paraId="711786B2" w14:textId="77777777" w:rsidR="00C712FF" w:rsidRPr="00C712FF" w:rsidRDefault="00C712FF" w:rsidP="00C712FF">
            <w:pPr>
              <w:spacing w:after="0" w:line="240" w:lineRule="auto"/>
              <w:rPr>
                <w:rFonts w:ascii="Calibri" w:eastAsia="Times New Roman" w:hAnsi="Calibri" w:cs="Calibri"/>
                <w:b/>
                <w:bCs/>
                <w:color w:val="000000"/>
                <w:sz w:val="20"/>
                <w:szCs w:val="20"/>
              </w:rPr>
            </w:pPr>
            <w:r w:rsidRPr="00C712FF">
              <w:rPr>
                <w:rFonts w:ascii="Calibri" w:eastAsia="Times New Roman" w:hAnsi="Calibri" w:cs="Calibri"/>
                <w:b/>
                <w:bCs/>
                <w:color w:val="000000"/>
                <w:sz w:val="20"/>
                <w:szCs w:val="20"/>
              </w:rPr>
              <w:t>New Total Expenditure Authority (excluding Flexible Services)</w:t>
            </w:r>
          </w:p>
        </w:tc>
        <w:tc>
          <w:tcPr>
            <w:tcW w:w="1530" w:type="dxa"/>
            <w:shd w:val="clear" w:color="000000" w:fill="D9E1F2"/>
            <w:noWrap/>
            <w:vAlign w:val="center"/>
            <w:hideMark/>
          </w:tcPr>
          <w:p w14:paraId="2E975FF6" w14:textId="77777777" w:rsidR="00C712FF" w:rsidRPr="00C712FF" w:rsidRDefault="00C712FF" w:rsidP="00C712FF">
            <w:pPr>
              <w:spacing w:after="0" w:line="240" w:lineRule="auto"/>
              <w:jc w:val="center"/>
              <w:rPr>
                <w:rFonts w:ascii="Calibri" w:eastAsia="Times New Roman" w:hAnsi="Calibri" w:cs="Calibri"/>
                <w:b/>
                <w:bCs/>
                <w:color w:val="000000"/>
                <w:sz w:val="20"/>
                <w:szCs w:val="20"/>
              </w:rPr>
            </w:pPr>
            <w:r w:rsidRPr="00C712FF">
              <w:rPr>
                <w:rFonts w:ascii="Calibri" w:eastAsia="Times New Roman" w:hAnsi="Calibri" w:cs="Calibri"/>
                <w:b/>
                <w:bCs/>
                <w:color w:val="000000"/>
                <w:sz w:val="20"/>
                <w:szCs w:val="20"/>
              </w:rPr>
              <w:t>$295.9M</w:t>
            </w:r>
          </w:p>
        </w:tc>
        <w:tc>
          <w:tcPr>
            <w:tcW w:w="1440" w:type="dxa"/>
            <w:shd w:val="clear" w:color="000000" w:fill="D9E1F2"/>
            <w:noWrap/>
            <w:vAlign w:val="center"/>
            <w:hideMark/>
          </w:tcPr>
          <w:p w14:paraId="00493F9B" w14:textId="77777777" w:rsidR="00C712FF" w:rsidRPr="00C712FF" w:rsidRDefault="00C712FF" w:rsidP="00C712FF">
            <w:pPr>
              <w:spacing w:after="0" w:line="240" w:lineRule="auto"/>
              <w:jc w:val="center"/>
              <w:rPr>
                <w:rFonts w:ascii="Calibri" w:eastAsia="Times New Roman" w:hAnsi="Calibri" w:cs="Calibri"/>
                <w:b/>
                <w:bCs/>
                <w:color w:val="000000"/>
                <w:sz w:val="20"/>
                <w:szCs w:val="20"/>
              </w:rPr>
            </w:pPr>
            <w:r w:rsidRPr="00C712FF">
              <w:rPr>
                <w:rFonts w:ascii="Calibri" w:eastAsia="Times New Roman" w:hAnsi="Calibri" w:cs="Calibri"/>
                <w:b/>
                <w:bCs/>
                <w:color w:val="000000"/>
                <w:sz w:val="20"/>
                <w:szCs w:val="20"/>
              </w:rPr>
              <w:t>$268.1M</w:t>
            </w:r>
          </w:p>
        </w:tc>
      </w:tr>
    </w:tbl>
    <w:p w14:paraId="6B6775CB" w14:textId="77777777" w:rsidR="005C76F6" w:rsidRDefault="005C76F6" w:rsidP="00863BB7">
      <w:pPr>
        <w:tabs>
          <w:tab w:val="left" w:pos="6090"/>
        </w:tabs>
        <w:rPr>
          <w:szCs w:val="24"/>
        </w:rPr>
      </w:pPr>
    </w:p>
    <w:p w14:paraId="65231C64" w14:textId="77777777" w:rsidR="00863BB7" w:rsidRPr="00E33863" w:rsidRDefault="00863BB7" w:rsidP="00863BB7">
      <w:pPr>
        <w:widowControl w:val="0"/>
        <w:autoSpaceDE w:val="0"/>
        <w:autoSpaceDN w:val="0"/>
        <w:spacing w:before="100" w:beforeAutospacing="1" w:after="100" w:afterAutospacing="1"/>
        <w:ind w:right="827"/>
        <w:rPr>
          <w:rFonts w:eastAsia="Times New Roman"/>
          <w:i/>
          <w:szCs w:val="24"/>
          <w:u w:val="single"/>
        </w:rPr>
      </w:pPr>
      <w:r w:rsidRPr="00E33863">
        <w:rPr>
          <w:rFonts w:eastAsia="Times New Roman"/>
          <w:i/>
          <w:szCs w:val="24"/>
          <w:u w:val="single"/>
        </w:rPr>
        <w:t>Updates to Statewide Investments Expenditure Authority Allocation (Exhibit 15, DSRIP Protocol)</w:t>
      </w:r>
    </w:p>
    <w:p w14:paraId="0F050CF6" w14:textId="77777777" w:rsidR="00863BB7" w:rsidRPr="00E33863" w:rsidRDefault="00863BB7" w:rsidP="00863BB7">
      <w:pPr>
        <w:rPr>
          <w:color w:val="212121"/>
          <w:szCs w:val="24"/>
        </w:rPr>
      </w:pPr>
      <w:r>
        <w:rPr>
          <w:color w:val="212121"/>
          <w:szCs w:val="24"/>
        </w:rPr>
        <w:t>As part of the DY3 Annual Report, the</w:t>
      </w:r>
      <w:r w:rsidRPr="00E33863">
        <w:rPr>
          <w:color w:val="212121"/>
          <w:szCs w:val="24"/>
        </w:rPr>
        <w:t xml:space="preserve"> State received the approval of an updated version of Exhibit 15 that included funding shifts between Statewide Investments initiatives and anticipated Carryforward amounts based on the best estimates at that time. After reviewing the final expenditures for DY</w:t>
      </w:r>
      <w:r>
        <w:rPr>
          <w:color w:val="212121"/>
          <w:szCs w:val="24"/>
        </w:rPr>
        <w:t>4</w:t>
      </w:r>
      <w:r w:rsidRPr="00E33863">
        <w:rPr>
          <w:color w:val="212121"/>
          <w:szCs w:val="24"/>
        </w:rPr>
        <w:t xml:space="preserve">, the State submits the adjustments detailed below. </w:t>
      </w:r>
    </w:p>
    <w:p w14:paraId="500D8FE4" w14:textId="77777777" w:rsidR="00863BB7" w:rsidRPr="00E33863" w:rsidRDefault="00863BB7" w:rsidP="00863BB7">
      <w:pPr>
        <w:widowControl w:val="0"/>
        <w:autoSpaceDE w:val="0"/>
        <w:autoSpaceDN w:val="0"/>
        <w:spacing w:before="100" w:beforeAutospacing="1" w:after="100" w:afterAutospacing="1"/>
        <w:ind w:right="827"/>
        <w:rPr>
          <w:rFonts w:eastAsia="Times New Roman"/>
          <w:szCs w:val="24"/>
          <w:u w:val="single"/>
        </w:rPr>
      </w:pPr>
      <w:r w:rsidRPr="00E33863">
        <w:rPr>
          <w:rFonts w:eastAsia="Times New Roman"/>
          <w:szCs w:val="24"/>
          <w:u w:val="single"/>
        </w:rPr>
        <w:t xml:space="preserve">The table below contains the Statewide Investments expenditure authority detailed in Exhibit 15 of the DSRIP Protocol (Approved </w:t>
      </w:r>
      <w:r>
        <w:rPr>
          <w:rFonts w:eastAsia="Times New Roman"/>
          <w:szCs w:val="24"/>
          <w:u w:val="single"/>
        </w:rPr>
        <w:t>as part of the DY3 Annual Report</w:t>
      </w:r>
      <w:r w:rsidRPr="00E33863">
        <w:rPr>
          <w:rFonts w:eastAsia="Times New Roman"/>
          <w:szCs w:val="24"/>
          <w:u w:val="single"/>
        </w:rPr>
        <w:t>):</w:t>
      </w:r>
    </w:p>
    <w:tbl>
      <w:tblPr>
        <w:tblW w:w="0" w:type="auto"/>
        <w:tblLook w:val="04A0" w:firstRow="1" w:lastRow="0" w:firstColumn="1" w:lastColumn="0" w:noHBand="0" w:noVBand="1"/>
        <w:tblCaption w:val="Updated Statewide Investment Expenditure Authority Table (submitted with the DY3 Annual Report)"/>
        <w:tblDescription w:val="Updated Statewide Investment Expenditure Authority Table with dollar amounts per Statewide Investment per DSRIP Year, as submitted with the DY3 Annual Report"/>
      </w:tblPr>
      <w:tblGrid>
        <w:gridCol w:w="3518"/>
        <w:gridCol w:w="1093"/>
        <w:gridCol w:w="864"/>
        <w:gridCol w:w="1091"/>
        <w:gridCol w:w="870"/>
        <w:gridCol w:w="917"/>
        <w:gridCol w:w="1007"/>
      </w:tblGrid>
      <w:tr w:rsidR="0014554B" w:rsidRPr="0014554B" w14:paraId="578D7666" w14:textId="77777777" w:rsidTr="009D687B">
        <w:trPr>
          <w:trHeight w:val="290"/>
        </w:trPr>
        <w:tc>
          <w:tcPr>
            <w:tcW w:w="0" w:type="auto"/>
            <w:gridSpan w:val="7"/>
            <w:tcBorders>
              <w:top w:val="nil"/>
              <w:left w:val="nil"/>
              <w:bottom w:val="single" w:sz="4" w:space="0" w:color="BFBFBF"/>
              <w:right w:val="nil"/>
            </w:tcBorders>
            <w:shd w:val="clear" w:color="000000" w:fill="FFFFFF"/>
            <w:noWrap/>
            <w:vAlign w:val="center"/>
            <w:hideMark/>
          </w:tcPr>
          <w:p w14:paraId="2B11739F" w14:textId="77777777" w:rsidR="0014554B" w:rsidRPr="0014554B" w:rsidRDefault="0014554B" w:rsidP="0014554B">
            <w:pPr>
              <w:spacing w:after="0" w:line="240" w:lineRule="auto"/>
              <w:rPr>
                <w:rFonts w:eastAsia="Times New Roman" w:cs="Times New Roman"/>
                <w:b/>
                <w:bCs/>
                <w:color w:val="000000"/>
                <w:sz w:val="18"/>
                <w:szCs w:val="18"/>
              </w:rPr>
            </w:pPr>
            <w:r w:rsidRPr="0014554B">
              <w:rPr>
                <w:rFonts w:eastAsia="Times New Roman" w:cs="Times New Roman"/>
                <w:b/>
                <w:bCs/>
                <w:color w:val="000000"/>
                <w:sz w:val="18"/>
                <w:szCs w:val="18"/>
              </w:rPr>
              <w:t>Updated Statewide Investments Expenditure Authority Table (Submitted with the DY3 Annual Report)</w:t>
            </w:r>
          </w:p>
        </w:tc>
      </w:tr>
      <w:tr w:rsidR="00711160" w:rsidRPr="00711160" w14:paraId="2D324827" w14:textId="77777777" w:rsidTr="00711160">
        <w:trPr>
          <w:trHeight w:val="300"/>
        </w:trPr>
        <w:tc>
          <w:tcPr>
            <w:tcW w:w="3518" w:type="dxa"/>
            <w:tcBorders>
              <w:top w:val="nil"/>
              <w:left w:val="single" w:sz="4" w:space="0" w:color="BFBFBF"/>
              <w:bottom w:val="single" w:sz="12" w:space="0" w:color="BFBFBF"/>
              <w:right w:val="single" w:sz="12" w:space="0" w:color="BFBFBF"/>
            </w:tcBorders>
            <w:shd w:val="clear" w:color="000000" w:fill="1F497D"/>
            <w:noWrap/>
            <w:vAlign w:val="center"/>
            <w:hideMark/>
          </w:tcPr>
          <w:p w14:paraId="69040683" w14:textId="77777777" w:rsidR="0014554B" w:rsidRPr="0014554B" w:rsidRDefault="0014554B" w:rsidP="0014554B">
            <w:pPr>
              <w:spacing w:after="0" w:line="240" w:lineRule="auto"/>
              <w:rPr>
                <w:rFonts w:eastAsia="Times New Roman" w:cs="Times New Roman"/>
                <w:b/>
                <w:bCs/>
                <w:color w:val="FFFFFF"/>
                <w:sz w:val="18"/>
                <w:szCs w:val="18"/>
              </w:rPr>
            </w:pPr>
            <w:r w:rsidRPr="0014554B">
              <w:rPr>
                <w:rFonts w:eastAsia="Times New Roman" w:cs="Times New Roman"/>
                <w:b/>
                <w:bCs/>
                <w:color w:val="FFFFFF"/>
                <w:sz w:val="18"/>
                <w:szCs w:val="18"/>
              </w:rPr>
              <w:t>Statewide Investments</w:t>
            </w:r>
          </w:p>
        </w:tc>
        <w:tc>
          <w:tcPr>
            <w:tcW w:w="1093" w:type="dxa"/>
            <w:tcBorders>
              <w:top w:val="nil"/>
              <w:left w:val="nil"/>
              <w:bottom w:val="single" w:sz="12" w:space="0" w:color="BFBFBF"/>
              <w:right w:val="single" w:sz="4" w:space="0" w:color="BFBFBF"/>
            </w:tcBorders>
            <w:shd w:val="clear" w:color="000000" w:fill="1F497D"/>
            <w:noWrap/>
            <w:vAlign w:val="center"/>
            <w:hideMark/>
          </w:tcPr>
          <w:p w14:paraId="5A7AB92A" w14:textId="77777777" w:rsidR="0014554B" w:rsidRPr="0014554B" w:rsidRDefault="0014554B" w:rsidP="0014554B">
            <w:pPr>
              <w:spacing w:after="0" w:line="240" w:lineRule="auto"/>
              <w:jc w:val="center"/>
              <w:rPr>
                <w:rFonts w:eastAsia="Times New Roman" w:cs="Times New Roman"/>
                <w:b/>
                <w:bCs/>
                <w:color w:val="FFFFFF"/>
                <w:sz w:val="18"/>
                <w:szCs w:val="18"/>
              </w:rPr>
            </w:pPr>
            <w:r w:rsidRPr="0014554B">
              <w:rPr>
                <w:rFonts w:eastAsia="Times New Roman" w:cs="Times New Roman"/>
                <w:b/>
                <w:bCs/>
                <w:color w:val="FFFFFF"/>
                <w:sz w:val="18"/>
                <w:szCs w:val="18"/>
              </w:rPr>
              <w:t>DY1</w:t>
            </w:r>
          </w:p>
        </w:tc>
        <w:tc>
          <w:tcPr>
            <w:tcW w:w="864" w:type="dxa"/>
            <w:tcBorders>
              <w:top w:val="nil"/>
              <w:left w:val="nil"/>
              <w:bottom w:val="single" w:sz="12" w:space="0" w:color="BFBFBF"/>
              <w:right w:val="single" w:sz="4" w:space="0" w:color="BFBFBF"/>
            </w:tcBorders>
            <w:shd w:val="clear" w:color="000000" w:fill="1F497D"/>
            <w:noWrap/>
            <w:vAlign w:val="center"/>
            <w:hideMark/>
          </w:tcPr>
          <w:p w14:paraId="311E577A" w14:textId="77777777" w:rsidR="0014554B" w:rsidRPr="0014554B" w:rsidRDefault="0014554B" w:rsidP="0014554B">
            <w:pPr>
              <w:spacing w:after="0" w:line="240" w:lineRule="auto"/>
              <w:jc w:val="center"/>
              <w:rPr>
                <w:rFonts w:eastAsia="Times New Roman" w:cs="Times New Roman"/>
                <w:b/>
                <w:bCs/>
                <w:color w:val="FFFFFF"/>
                <w:sz w:val="18"/>
                <w:szCs w:val="18"/>
              </w:rPr>
            </w:pPr>
            <w:r w:rsidRPr="0014554B">
              <w:rPr>
                <w:rFonts w:eastAsia="Times New Roman" w:cs="Times New Roman"/>
                <w:b/>
                <w:bCs/>
                <w:color w:val="FFFFFF"/>
                <w:sz w:val="18"/>
                <w:szCs w:val="18"/>
              </w:rPr>
              <w:t>DY2</w:t>
            </w:r>
          </w:p>
        </w:tc>
        <w:tc>
          <w:tcPr>
            <w:tcW w:w="1091" w:type="dxa"/>
            <w:tcBorders>
              <w:top w:val="nil"/>
              <w:left w:val="nil"/>
              <w:bottom w:val="single" w:sz="12" w:space="0" w:color="BFBFBF"/>
              <w:right w:val="single" w:sz="4" w:space="0" w:color="BFBFBF"/>
            </w:tcBorders>
            <w:shd w:val="clear" w:color="000000" w:fill="1F497D"/>
            <w:noWrap/>
            <w:vAlign w:val="center"/>
            <w:hideMark/>
          </w:tcPr>
          <w:p w14:paraId="740EA747" w14:textId="77777777" w:rsidR="0014554B" w:rsidRPr="0014554B" w:rsidRDefault="0014554B" w:rsidP="0014554B">
            <w:pPr>
              <w:spacing w:after="0" w:line="240" w:lineRule="auto"/>
              <w:jc w:val="center"/>
              <w:rPr>
                <w:rFonts w:eastAsia="Times New Roman" w:cs="Times New Roman"/>
                <w:b/>
                <w:bCs/>
                <w:color w:val="FFFFFF"/>
                <w:sz w:val="18"/>
                <w:szCs w:val="18"/>
              </w:rPr>
            </w:pPr>
            <w:r w:rsidRPr="0014554B">
              <w:rPr>
                <w:rFonts w:eastAsia="Times New Roman" w:cs="Times New Roman"/>
                <w:b/>
                <w:bCs/>
                <w:color w:val="FFFFFF"/>
                <w:sz w:val="18"/>
                <w:szCs w:val="18"/>
              </w:rPr>
              <w:t>DY3</w:t>
            </w:r>
          </w:p>
        </w:tc>
        <w:tc>
          <w:tcPr>
            <w:tcW w:w="870" w:type="dxa"/>
            <w:tcBorders>
              <w:top w:val="nil"/>
              <w:left w:val="nil"/>
              <w:bottom w:val="single" w:sz="12" w:space="0" w:color="BFBFBF"/>
              <w:right w:val="single" w:sz="4" w:space="0" w:color="BFBFBF"/>
            </w:tcBorders>
            <w:shd w:val="clear" w:color="000000" w:fill="1F497D"/>
            <w:noWrap/>
            <w:vAlign w:val="center"/>
            <w:hideMark/>
          </w:tcPr>
          <w:p w14:paraId="71344554" w14:textId="77777777" w:rsidR="0014554B" w:rsidRPr="0014554B" w:rsidRDefault="0014554B" w:rsidP="0014554B">
            <w:pPr>
              <w:spacing w:after="0" w:line="240" w:lineRule="auto"/>
              <w:jc w:val="center"/>
              <w:rPr>
                <w:rFonts w:eastAsia="Times New Roman" w:cs="Times New Roman"/>
                <w:b/>
                <w:bCs/>
                <w:color w:val="FFFFFF"/>
                <w:sz w:val="18"/>
                <w:szCs w:val="18"/>
              </w:rPr>
            </w:pPr>
            <w:r w:rsidRPr="0014554B">
              <w:rPr>
                <w:rFonts w:eastAsia="Times New Roman" w:cs="Times New Roman"/>
                <w:b/>
                <w:bCs/>
                <w:color w:val="FFFFFF"/>
                <w:sz w:val="18"/>
                <w:szCs w:val="18"/>
              </w:rPr>
              <w:t>DY4</w:t>
            </w:r>
          </w:p>
        </w:tc>
        <w:tc>
          <w:tcPr>
            <w:tcW w:w="917" w:type="dxa"/>
            <w:tcBorders>
              <w:top w:val="nil"/>
              <w:left w:val="nil"/>
              <w:bottom w:val="single" w:sz="12" w:space="0" w:color="BFBFBF"/>
              <w:right w:val="single" w:sz="12" w:space="0" w:color="BFBFBF"/>
            </w:tcBorders>
            <w:shd w:val="clear" w:color="000000" w:fill="1F497D"/>
            <w:noWrap/>
            <w:vAlign w:val="center"/>
            <w:hideMark/>
          </w:tcPr>
          <w:p w14:paraId="7D548F23" w14:textId="77777777" w:rsidR="0014554B" w:rsidRPr="0014554B" w:rsidRDefault="0014554B" w:rsidP="0014554B">
            <w:pPr>
              <w:spacing w:after="0" w:line="240" w:lineRule="auto"/>
              <w:jc w:val="center"/>
              <w:rPr>
                <w:rFonts w:eastAsia="Times New Roman" w:cs="Times New Roman"/>
                <w:b/>
                <w:bCs/>
                <w:color w:val="FFFFFF"/>
                <w:sz w:val="18"/>
                <w:szCs w:val="18"/>
              </w:rPr>
            </w:pPr>
            <w:r w:rsidRPr="0014554B">
              <w:rPr>
                <w:rFonts w:eastAsia="Times New Roman" w:cs="Times New Roman"/>
                <w:b/>
                <w:bCs/>
                <w:color w:val="FFFFFF"/>
                <w:sz w:val="18"/>
                <w:szCs w:val="18"/>
              </w:rPr>
              <w:t>DY5</w:t>
            </w:r>
          </w:p>
        </w:tc>
        <w:tc>
          <w:tcPr>
            <w:tcW w:w="1007" w:type="dxa"/>
            <w:tcBorders>
              <w:top w:val="nil"/>
              <w:left w:val="nil"/>
              <w:bottom w:val="single" w:sz="12" w:space="0" w:color="BFBFBF"/>
              <w:right w:val="single" w:sz="4" w:space="0" w:color="BFBFBF"/>
            </w:tcBorders>
            <w:shd w:val="clear" w:color="000000" w:fill="1F497D"/>
            <w:noWrap/>
            <w:vAlign w:val="center"/>
            <w:hideMark/>
          </w:tcPr>
          <w:p w14:paraId="30043A03" w14:textId="77777777" w:rsidR="0014554B" w:rsidRPr="0014554B" w:rsidRDefault="0014554B" w:rsidP="0014554B">
            <w:pPr>
              <w:spacing w:after="0" w:line="240" w:lineRule="auto"/>
              <w:jc w:val="center"/>
              <w:rPr>
                <w:rFonts w:eastAsia="Times New Roman" w:cs="Times New Roman"/>
                <w:b/>
                <w:bCs/>
                <w:color w:val="FFFFFF"/>
                <w:sz w:val="18"/>
                <w:szCs w:val="18"/>
              </w:rPr>
            </w:pPr>
            <w:r w:rsidRPr="0014554B">
              <w:rPr>
                <w:rFonts w:eastAsia="Times New Roman" w:cs="Times New Roman"/>
                <w:b/>
                <w:bCs/>
                <w:color w:val="FFFFFF"/>
                <w:sz w:val="18"/>
                <w:szCs w:val="18"/>
              </w:rPr>
              <w:t>Total</w:t>
            </w:r>
          </w:p>
        </w:tc>
      </w:tr>
      <w:tr w:rsidR="00711160" w:rsidRPr="00711160" w14:paraId="07A4A879" w14:textId="77777777" w:rsidTr="00711160">
        <w:trPr>
          <w:trHeight w:val="300"/>
        </w:trPr>
        <w:tc>
          <w:tcPr>
            <w:tcW w:w="3518" w:type="dxa"/>
            <w:tcBorders>
              <w:top w:val="nil"/>
              <w:left w:val="single" w:sz="4" w:space="0" w:color="BFBFBF"/>
              <w:bottom w:val="single" w:sz="4" w:space="0" w:color="BFBFBF"/>
              <w:right w:val="single" w:sz="12" w:space="0" w:color="BFBFBF"/>
            </w:tcBorders>
            <w:shd w:val="clear" w:color="auto" w:fill="auto"/>
            <w:vAlign w:val="center"/>
            <w:hideMark/>
          </w:tcPr>
          <w:p w14:paraId="7D06C972" w14:textId="77777777" w:rsidR="0014554B" w:rsidRPr="0014554B" w:rsidRDefault="0014554B" w:rsidP="0014554B">
            <w:pPr>
              <w:spacing w:after="0" w:line="240" w:lineRule="auto"/>
              <w:rPr>
                <w:rFonts w:eastAsia="Times New Roman" w:cs="Times New Roman"/>
                <w:color w:val="000000"/>
                <w:sz w:val="16"/>
                <w:szCs w:val="16"/>
              </w:rPr>
            </w:pPr>
            <w:r w:rsidRPr="0014554B">
              <w:rPr>
                <w:rFonts w:eastAsia="Times New Roman" w:cs="Times New Roman"/>
                <w:color w:val="000000"/>
                <w:sz w:val="16"/>
                <w:szCs w:val="16"/>
              </w:rPr>
              <w:t>SWI #1: Student Loan Repayment Program</w:t>
            </w:r>
          </w:p>
        </w:tc>
        <w:tc>
          <w:tcPr>
            <w:tcW w:w="1093" w:type="dxa"/>
            <w:tcBorders>
              <w:top w:val="nil"/>
              <w:left w:val="nil"/>
              <w:bottom w:val="single" w:sz="4" w:space="0" w:color="BFBFBF"/>
              <w:right w:val="single" w:sz="4" w:space="0" w:color="BFBFBF"/>
            </w:tcBorders>
            <w:shd w:val="clear" w:color="auto" w:fill="auto"/>
            <w:noWrap/>
            <w:vAlign w:val="center"/>
            <w:hideMark/>
          </w:tcPr>
          <w:p w14:paraId="086B0CFC"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$3.89 M</w:t>
            </w:r>
          </w:p>
        </w:tc>
        <w:tc>
          <w:tcPr>
            <w:tcW w:w="864" w:type="dxa"/>
            <w:tcBorders>
              <w:top w:val="nil"/>
              <w:left w:val="nil"/>
              <w:bottom w:val="single" w:sz="4" w:space="0" w:color="BFBFBF"/>
              <w:right w:val="single" w:sz="4" w:space="0" w:color="BFBFBF"/>
            </w:tcBorders>
            <w:shd w:val="clear" w:color="auto" w:fill="auto"/>
            <w:noWrap/>
            <w:vAlign w:val="center"/>
            <w:hideMark/>
          </w:tcPr>
          <w:p w14:paraId="0DDDC8B0"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$5.48 M</w:t>
            </w:r>
          </w:p>
        </w:tc>
        <w:tc>
          <w:tcPr>
            <w:tcW w:w="1091" w:type="dxa"/>
            <w:tcBorders>
              <w:top w:val="nil"/>
              <w:left w:val="nil"/>
              <w:bottom w:val="single" w:sz="4" w:space="0" w:color="BFBFBF"/>
              <w:right w:val="single" w:sz="4" w:space="0" w:color="BFBFBF"/>
            </w:tcBorders>
            <w:shd w:val="clear" w:color="auto" w:fill="auto"/>
            <w:noWrap/>
            <w:vAlign w:val="center"/>
            <w:hideMark/>
          </w:tcPr>
          <w:p w14:paraId="1068B0B4"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$3.20 M</w:t>
            </w:r>
          </w:p>
        </w:tc>
        <w:tc>
          <w:tcPr>
            <w:tcW w:w="870" w:type="dxa"/>
            <w:tcBorders>
              <w:top w:val="nil"/>
              <w:left w:val="nil"/>
              <w:bottom w:val="single" w:sz="4" w:space="0" w:color="BFBFBF"/>
              <w:right w:val="single" w:sz="4" w:space="0" w:color="BFBFBF"/>
            </w:tcBorders>
            <w:shd w:val="clear" w:color="auto" w:fill="auto"/>
            <w:noWrap/>
            <w:vAlign w:val="center"/>
            <w:hideMark/>
          </w:tcPr>
          <w:p w14:paraId="1B4F95AD"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$3.50 M</w:t>
            </w:r>
          </w:p>
        </w:tc>
        <w:tc>
          <w:tcPr>
            <w:tcW w:w="917" w:type="dxa"/>
            <w:tcBorders>
              <w:top w:val="nil"/>
              <w:left w:val="nil"/>
              <w:bottom w:val="single" w:sz="4" w:space="0" w:color="BFBFBF"/>
              <w:right w:val="single" w:sz="12" w:space="0" w:color="BFBFBF"/>
            </w:tcBorders>
            <w:shd w:val="clear" w:color="auto" w:fill="auto"/>
            <w:noWrap/>
            <w:vAlign w:val="center"/>
            <w:hideMark/>
          </w:tcPr>
          <w:p w14:paraId="572DCEBC"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$2.30 M</w:t>
            </w:r>
          </w:p>
        </w:tc>
        <w:tc>
          <w:tcPr>
            <w:tcW w:w="1007" w:type="dxa"/>
            <w:tcBorders>
              <w:top w:val="nil"/>
              <w:left w:val="nil"/>
              <w:bottom w:val="single" w:sz="4" w:space="0" w:color="BFBFBF"/>
              <w:right w:val="single" w:sz="4" w:space="0" w:color="BFBFBF"/>
            </w:tcBorders>
            <w:shd w:val="clear" w:color="auto" w:fill="auto"/>
            <w:noWrap/>
            <w:vAlign w:val="center"/>
            <w:hideMark/>
          </w:tcPr>
          <w:p w14:paraId="1360E7AE"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$18.37 M</w:t>
            </w:r>
          </w:p>
        </w:tc>
      </w:tr>
      <w:tr w:rsidR="00711160" w:rsidRPr="00711160" w14:paraId="1AB9725A" w14:textId="77777777" w:rsidTr="00711160">
        <w:trPr>
          <w:trHeight w:val="290"/>
        </w:trPr>
        <w:tc>
          <w:tcPr>
            <w:tcW w:w="3518" w:type="dxa"/>
            <w:tcBorders>
              <w:top w:val="nil"/>
              <w:left w:val="single" w:sz="4" w:space="0" w:color="BFBFBF"/>
              <w:bottom w:val="single" w:sz="4" w:space="0" w:color="BFBFBF"/>
              <w:right w:val="single" w:sz="12" w:space="0" w:color="BFBFBF"/>
            </w:tcBorders>
            <w:shd w:val="clear" w:color="auto" w:fill="auto"/>
            <w:vAlign w:val="center"/>
            <w:hideMark/>
          </w:tcPr>
          <w:p w14:paraId="52DFEE84" w14:textId="77777777" w:rsidR="0014554B" w:rsidRPr="0014554B" w:rsidRDefault="0014554B" w:rsidP="0014554B">
            <w:pPr>
              <w:spacing w:after="0" w:line="240" w:lineRule="auto"/>
              <w:rPr>
                <w:rFonts w:eastAsia="Times New Roman" w:cs="Times New Roman"/>
                <w:color w:val="000000"/>
                <w:sz w:val="16"/>
                <w:szCs w:val="16"/>
              </w:rPr>
            </w:pPr>
            <w:r w:rsidRPr="0014554B">
              <w:rPr>
                <w:rFonts w:eastAsia="Times New Roman" w:cs="Times New Roman"/>
                <w:color w:val="000000"/>
                <w:sz w:val="16"/>
                <w:szCs w:val="16"/>
              </w:rPr>
              <w:t>SWI #2: Primary Care Integration Models and Retention</w:t>
            </w:r>
          </w:p>
        </w:tc>
        <w:tc>
          <w:tcPr>
            <w:tcW w:w="1093" w:type="dxa"/>
            <w:tcBorders>
              <w:top w:val="nil"/>
              <w:left w:val="nil"/>
              <w:bottom w:val="single" w:sz="4" w:space="0" w:color="BFBFBF"/>
              <w:right w:val="single" w:sz="4" w:space="0" w:color="BFBFBF"/>
            </w:tcBorders>
            <w:shd w:val="clear" w:color="auto" w:fill="auto"/>
            <w:noWrap/>
            <w:vAlign w:val="center"/>
            <w:hideMark/>
          </w:tcPr>
          <w:p w14:paraId="73CE1F82"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$1.71 M</w:t>
            </w:r>
          </w:p>
        </w:tc>
        <w:tc>
          <w:tcPr>
            <w:tcW w:w="864" w:type="dxa"/>
            <w:tcBorders>
              <w:top w:val="nil"/>
              <w:left w:val="nil"/>
              <w:bottom w:val="single" w:sz="4" w:space="0" w:color="BFBFBF"/>
              <w:right w:val="single" w:sz="4" w:space="0" w:color="BFBFBF"/>
            </w:tcBorders>
            <w:shd w:val="clear" w:color="auto" w:fill="auto"/>
            <w:noWrap/>
            <w:vAlign w:val="center"/>
            <w:hideMark/>
          </w:tcPr>
          <w:p w14:paraId="459BAB19"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$1.95 M</w:t>
            </w:r>
          </w:p>
        </w:tc>
        <w:tc>
          <w:tcPr>
            <w:tcW w:w="1091" w:type="dxa"/>
            <w:tcBorders>
              <w:top w:val="nil"/>
              <w:left w:val="nil"/>
              <w:bottom w:val="single" w:sz="4" w:space="0" w:color="BFBFBF"/>
              <w:right w:val="single" w:sz="4" w:space="0" w:color="BFBFBF"/>
            </w:tcBorders>
            <w:shd w:val="clear" w:color="auto" w:fill="auto"/>
            <w:noWrap/>
            <w:vAlign w:val="center"/>
            <w:hideMark/>
          </w:tcPr>
          <w:p w14:paraId="7FFFB512"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$1.45 M</w:t>
            </w:r>
          </w:p>
        </w:tc>
        <w:tc>
          <w:tcPr>
            <w:tcW w:w="870" w:type="dxa"/>
            <w:tcBorders>
              <w:top w:val="nil"/>
              <w:left w:val="nil"/>
              <w:bottom w:val="single" w:sz="4" w:space="0" w:color="BFBFBF"/>
              <w:right w:val="single" w:sz="4" w:space="0" w:color="BFBFBF"/>
            </w:tcBorders>
            <w:shd w:val="clear" w:color="auto" w:fill="auto"/>
            <w:noWrap/>
            <w:vAlign w:val="center"/>
            <w:hideMark/>
          </w:tcPr>
          <w:p w14:paraId="0FD26F53"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$1.20 M</w:t>
            </w:r>
          </w:p>
        </w:tc>
        <w:tc>
          <w:tcPr>
            <w:tcW w:w="917" w:type="dxa"/>
            <w:tcBorders>
              <w:top w:val="nil"/>
              <w:left w:val="nil"/>
              <w:bottom w:val="single" w:sz="4" w:space="0" w:color="BFBFBF"/>
              <w:right w:val="single" w:sz="12" w:space="0" w:color="BFBFBF"/>
            </w:tcBorders>
            <w:shd w:val="clear" w:color="auto" w:fill="auto"/>
            <w:noWrap/>
            <w:vAlign w:val="center"/>
            <w:hideMark/>
          </w:tcPr>
          <w:p w14:paraId="17057954"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$1.00 M</w:t>
            </w:r>
          </w:p>
        </w:tc>
        <w:tc>
          <w:tcPr>
            <w:tcW w:w="1007" w:type="dxa"/>
            <w:tcBorders>
              <w:top w:val="nil"/>
              <w:left w:val="nil"/>
              <w:bottom w:val="single" w:sz="4" w:space="0" w:color="BFBFBF"/>
              <w:right w:val="single" w:sz="4" w:space="0" w:color="BFBFBF"/>
            </w:tcBorders>
            <w:shd w:val="clear" w:color="auto" w:fill="auto"/>
            <w:noWrap/>
            <w:vAlign w:val="center"/>
            <w:hideMark/>
          </w:tcPr>
          <w:p w14:paraId="480C4B81"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$7.31 M</w:t>
            </w:r>
          </w:p>
        </w:tc>
      </w:tr>
      <w:tr w:rsidR="00711160" w:rsidRPr="00711160" w14:paraId="074C4A19" w14:textId="77777777" w:rsidTr="00711160">
        <w:trPr>
          <w:trHeight w:val="290"/>
        </w:trPr>
        <w:tc>
          <w:tcPr>
            <w:tcW w:w="3518" w:type="dxa"/>
            <w:tcBorders>
              <w:top w:val="nil"/>
              <w:left w:val="single" w:sz="4" w:space="0" w:color="BFBFBF"/>
              <w:bottom w:val="single" w:sz="4" w:space="0" w:color="BFBFBF"/>
              <w:right w:val="single" w:sz="12" w:space="0" w:color="BFBFBF"/>
            </w:tcBorders>
            <w:shd w:val="clear" w:color="auto" w:fill="auto"/>
            <w:vAlign w:val="center"/>
            <w:hideMark/>
          </w:tcPr>
          <w:p w14:paraId="57649C0B" w14:textId="77777777" w:rsidR="0014554B" w:rsidRPr="0014554B" w:rsidRDefault="0014554B" w:rsidP="0014554B">
            <w:pPr>
              <w:spacing w:after="0" w:line="240" w:lineRule="auto"/>
              <w:rPr>
                <w:rFonts w:eastAsia="Times New Roman" w:cs="Times New Roman"/>
                <w:color w:val="000000"/>
                <w:sz w:val="16"/>
                <w:szCs w:val="16"/>
              </w:rPr>
            </w:pPr>
            <w:r w:rsidRPr="0014554B">
              <w:rPr>
                <w:rFonts w:eastAsia="Times New Roman" w:cs="Times New Roman"/>
                <w:color w:val="000000"/>
                <w:sz w:val="16"/>
                <w:szCs w:val="16"/>
              </w:rPr>
              <w:t>SWI #3: Investment in Primary Care Residency Training</w:t>
            </w:r>
          </w:p>
        </w:tc>
        <w:tc>
          <w:tcPr>
            <w:tcW w:w="1093" w:type="dxa"/>
            <w:tcBorders>
              <w:top w:val="nil"/>
              <w:left w:val="single" w:sz="4" w:space="0" w:color="BFBFBF"/>
              <w:bottom w:val="single" w:sz="4" w:space="0" w:color="BFBFBF"/>
              <w:right w:val="single" w:sz="4" w:space="0" w:color="BFBFBF"/>
            </w:tcBorders>
            <w:shd w:val="clear" w:color="auto" w:fill="auto"/>
            <w:noWrap/>
            <w:vAlign w:val="center"/>
            <w:hideMark/>
          </w:tcPr>
          <w:p w14:paraId="49C3386C"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$0.15 M</w:t>
            </w:r>
          </w:p>
        </w:tc>
        <w:tc>
          <w:tcPr>
            <w:tcW w:w="864" w:type="dxa"/>
            <w:tcBorders>
              <w:top w:val="nil"/>
              <w:left w:val="nil"/>
              <w:bottom w:val="single" w:sz="4" w:space="0" w:color="BFBFBF"/>
              <w:right w:val="single" w:sz="4" w:space="0" w:color="BFBFBF"/>
            </w:tcBorders>
            <w:shd w:val="clear" w:color="auto" w:fill="auto"/>
            <w:noWrap/>
            <w:vAlign w:val="center"/>
            <w:hideMark/>
          </w:tcPr>
          <w:p w14:paraId="61586CB0"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$1.06 M</w:t>
            </w:r>
          </w:p>
        </w:tc>
        <w:tc>
          <w:tcPr>
            <w:tcW w:w="1091" w:type="dxa"/>
            <w:tcBorders>
              <w:top w:val="nil"/>
              <w:left w:val="nil"/>
              <w:bottom w:val="single" w:sz="4" w:space="0" w:color="BFBFBF"/>
              <w:right w:val="single" w:sz="4" w:space="0" w:color="BFBFBF"/>
            </w:tcBorders>
            <w:shd w:val="clear" w:color="auto" w:fill="auto"/>
            <w:noWrap/>
            <w:vAlign w:val="center"/>
            <w:hideMark/>
          </w:tcPr>
          <w:p w14:paraId="184E7388"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$2.37 M</w:t>
            </w:r>
          </w:p>
        </w:tc>
        <w:tc>
          <w:tcPr>
            <w:tcW w:w="870" w:type="dxa"/>
            <w:tcBorders>
              <w:top w:val="nil"/>
              <w:left w:val="nil"/>
              <w:bottom w:val="single" w:sz="4" w:space="0" w:color="BFBFBF"/>
              <w:right w:val="single" w:sz="4" w:space="0" w:color="BFBFBF"/>
            </w:tcBorders>
            <w:shd w:val="clear" w:color="auto" w:fill="auto"/>
            <w:noWrap/>
            <w:vAlign w:val="center"/>
            <w:hideMark/>
          </w:tcPr>
          <w:p w14:paraId="14B2E8D9"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$2.10 M</w:t>
            </w:r>
          </w:p>
        </w:tc>
        <w:tc>
          <w:tcPr>
            <w:tcW w:w="917" w:type="dxa"/>
            <w:tcBorders>
              <w:top w:val="nil"/>
              <w:left w:val="nil"/>
              <w:bottom w:val="single" w:sz="4" w:space="0" w:color="BFBFBF"/>
              <w:right w:val="single" w:sz="12" w:space="0" w:color="BFBFBF"/>
            </w:tcBorders>
            <w:shd w:val="clear" w:color="auto" w:fill="auto"/>
            <w:noWrap/>
            <w:vAlign w:val="center"/>
            <w:hideMark/>
          </w:tcPr>
          <w:p w14:paraId="2E9B8867"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$2.40 M</w:t>
            </w:r>
          </w:p>
        </w:tc>
        <w:tc>
          <w:tcPr>
            <w:tcW w:w="1007" w:type="dxa"/>
            <w:tcBorders>
              <w:top w:val="nil"/>
              <w:left w:val="nil"/>
              <w:bottom w:val="single" w:sz="4" w:space="0" w:color="BFBFBF"/>
              <w:right w:val="single" w:sz="4" w:space="0" w:color="BFBFBF"/>
            </w:tcBorders>
            <w:shd w:val="clear" w:color="auto" w:fill="auto"/>
            <w:noWrap/>
            <w:vAlign w:val="center"/>
            <w:hideMark/>
          </w:tcPr>
          <w:p w14:paraId="1FCC9A68"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$8.07 M</w:t>
            </w:r>
          </w:p>
        </w:tc>
      </w:tr>
      <w:tr w:rsidR="00711160" w:rsidRPr="00711160" w14:paraId="46C774E7" w14:textId="77777777" w:rsidTr="00711160">
        <w:trPr>
          <w:trHeight w:val="290"/>
        </w:trPr>
        <w:tc>
          <w:tcPr>
            <w:tcW w:w="3518" w:type="dxa"/>
            <w:tcBorders>
              <w:top w:val="nil"/>
              <w:left w:val="single" w:sz="4" w:space="0" w:color="BFBFBF"/>
              <w:bottom w:val="single" w:sz="4" w:space="0" w:color="BFBFBF"/>
              <w:right w:val="single" w:sz="12" w:space="0" w:color="BFBFBF"/>
            </w:tcBorders>
            <w:shd w:val="clear" w:color="auto" w:fill="auto"/>
            <w:vAlign w:val="center"/>
            <w:hideMark/>
          </w:tcPr>
          <w:p w14:paraId="14C34B0B" w14:textId="77777777" w:rsidR="0014554B" w:rsidRPr="0014554B" w:rsidRDefault="0014554B" w:rsidP="0014554B">
            <w:pPr>
              <w:spacing w:after="0" w:line="240" w:lineRule="auto"/>
              <w:rPr>
                <w:rFonts w:eastAsia="Times New Roman" w:cs="Times New Roman"/>
                <w:color w:val="000000"/>
                <w:sz w:val="16"/>
                <w:szCs w:val="16"/>
              </w:rPr>
            </w:pPr>
            <w:r w:rsidRPr="0014554B">
              <w:rPr>
                <w:rFonts w:eastAsia="Times New Roman" w:cs="Times New Roman"/>
                <w:color w:val="000000"/>
                <w:sz w:val="16"/>
                <w:szCs w:val="16"/>
              </w:rPr>
              <w:t>SWI #4: Workforce Development Grant Program</w:t>
            </w:r>
          </w:p>
        </w:tc>
        <w:tc>
          <w:tcPr>
            <w:tcW w:w="1093" w:type="dxa"/>
            <w:tcBorders>
              <w:top w:val="nil"/>
              <w:left w:val="nil"/>
              <w:bottom w:val="single" w:sz="4" w:space="0" w:color="BFBFBF"/>
              <w:right w:val="single" w:sz="4" w:space="0" w:color="BFBFBF"/>
            </w:tcBorders>
            <w:shd w:val="clear" w:color="auto" w:fill="auto"/>
            <w:noWrap/>
            <w:vAlign w:val="center"/>
            <w:hideMark/>
          </w:tcPr>
          <w:p w14:paraId="2322B40C"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$1.70 M</w:t>
            </w:r>
          </w:p>
        </w:tc>
        <w:tc>
          <w:tcPr>
            <w:tcW w:w="864" w:type="dxa"/>
            <w:tcBorders>
              <w:top w:val="nil"/>
              <w:left w:val="nil"/>
              <w:bottom w:val="single" w:sz="4" w:space="0" w:color="BFBFBF"/>
              <w:right w:val="single" w:sz="4" w:space="0" w:color="BFBFBF"/>
            </w:tcBorders>
            <w:shd w:val="clear" w:color="auto" w:fill="auto"/>
            <w:noWrap/>
            <w:vAlign w:val="center"/>
            <w:hideMark/>
          </w:tcPr>
          <w:p w14:paraId="0561FC0A"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$2.92 M</w:t>
            </w:r>
          </w:p>
        </w:tc>
        <w:tc>
          <w:tcPr>
            <w:tcW w:w="1091" w:type="dxa"/>
            <w:tcBorders>
              <w:top w:val="nil"/>
              <w:left w:val="nil"/>
              <w:bottom w:val="single" w:sz="4" w:space="0" w:color="BFBFBF"/>
              <w:right w:val="single" w:sz="4" w:space="0" w:color="BFBFBF"/>
            </w:tcBorders>
            <w:shd w:val="clear" w:color="auto" w:fill="auto"/>
            <w:noWrap/>
            <w:vAlign w:val="center"/>
            <w:hideMark/>
          </w:tcPr>
          <w:p w14:paraId="1B0ED0A5"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$0.78 M</w:t>
            </w:r>
          </w:p>
        </w:tc>
        <w:tc>
          <w:tcPr>
            <w:tcW w:w="870" w:type="dxa"/>
            <w:tcBorders>
              <w:top w:val="nil"/>
              <w:left w:val="nil"/>
              <w:bottom w:val="single" w:sz="4" w:space="0" w:color="BFBFBF"/>
              <w:right w:val="single" w:sz="4" w:space="0" w:color="BFBFBF"/>
            </w:tcBorders>
            <w:shd w:val="clear" w:color="auto" w:fill="auto"/>
            <w:noWrap/>
            <w:vAlign w:val="center"/>
            <w:hideMark/>
          </w:tcPr>
          <w:p w14:paraId="22670895"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$4.12 M</w:t>
            </w:r>
          </w:p>
        </w:tc>
        <w:tc>
          <w:tcPr>
            <w:tcW w:w="917" w:type="dxa"/>
            <w:tcBorders>
              <w:top w:val="nil"/>
              <w:left w:val="nil"/>
              <w:bottom w:val="single" w:sz="4" w:space="0" w:color="BFBFBF"/>
              <w:right w:val="single" w:sz="12" w:space="0" w:color="BFBFBF"/>
            </w:tcBorders>
            <w:shd w:val="clear" w:color="auto" w:fill="auto"/>
            <w:noWrap/>
            <w:vAlign w:val="center"/>
            <w:hideMark/>
          </w:tcPr>
          <w:p w14:paraId="65C11045"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$2.40 M</w:t>
            </w:r>
          </w:p>
        </w:tc>
        <w:tc>
          <w:tcPr>
            <w:tcW w:w="1007" w:type="dxa"/>
            <w:tcBorders>
              <w:top w:val="nil"/>
              <w:left w:val="nil"/>
              <w:bottom w:val="single" w:sz="4" w:space="0" w:color="BFBFBF"/>
              <w:right w:val="single" w:sz="4" w:space="0" w:color="BFBFBF"/>
            </w:tcBorders>
            <w:shd w:val="clear" w:color="auto" w:fill="auto"/>
            <w:noWrap/>
            <w:vAlign w:val="center"/>
            <w:hideMark/>
          </w:tcPr>
          <w:p w14:paraId="3A9A2698"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$11.92 M</w:t>
            </w:r>
          </w:p>
        </w:tc>
      </w:tr>
      <w:tr w:rsidR="00711160" w:rsidRPr="00711160" w14:paraId="475DF5E3" w14:textId="77777777" w:rsidTr="00711160">
        <w:trPr>
          <w:trHeight w:val="290"/>
        </w:trPr>
        <w:tc>
          <w:tcPr>
            <w:tcW w:w="3518" w:type="dxa"/>
            <w:tcBorders>
              <w:top w:val="nil"/>
              <w:left w:val="single" w:sz="4" w:space="0" w:color="BFBFBF"/>
              <w:bottom w:val="single" w:sz="4" w:space="0" w:color="BFBFBF"/>
              <w:right w:val="single" w:sz="12" w:space="0" w:color="BFBFBF"/>
            </w:tcBorders>
            <w:shd w:val="clear" w:color="auto" w:fill="auto"/>
            <w:vAlign w:val="center"/>
            <w:hideMark/>
          </w:tcPr>
          <w:p w14:paraId="6CDC9A08" w14:textId="77777777" w:rsidR="0014554B" w:rsidRPr="0014554B" w:rsidRDefault="0014554B" w:rsidP="0014554B">
            <w:pPr>
              <w:spacing w:after="0" w:line="240" w:lineRule="auto"/>
              <w:rPr>
                <w:rFonts w:eastAsia="Times New Roman" w:cs="Times New Roman"/>
                <w:color w:val="000000"/>
                <w:sz w:val="16"/>
                <w:szCs w:val="16"/>
              </w:rPr>
            </w:pPr>
            <w:r w:rsidRPr="0014554B">
              <w:rPr>
                <w:rFonts w:eastAsia="Times New Roman" w:cs="Times New Roman"/>
                <w:color w:val="000000"/>
                <w:sz w:val="16"/>
                <w:szCs w:val="16"/>
              </w:rPr>
              <w:t>SWI #5: Technical Assistance for ACOs and CPs</w:t>
            </w:r>
          </w:p>
        </w:tc>
        <w:tc>
          <w:tcPr>
            <w:tcW w:w="1093" w:type="dxa"/>
            <w:tcBorders>
              <w:top w:val="nil"/>
              <w:left w:val="nil"/>
              <w:bottom w:val="single" w:sz="4" w:space="0" w:color="BFBFBF"/>
              <w:right w:val="single" w:sz="4" w:space="0" w:color="BFBFBF"/>
            </w:tcBorders>
            <w:shd w:val="clear" w:color="auto" w:fill="auto"/>
            <w:noWrap/>
            <w:vAlign w:val="center"/>
            <w:hideMark/>
          </w:tcPr>
          <w:p w14:paraId="660E161F"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$10.32 M</w:t>
            </w:r>
          </w:p>
        </w:tc>
        <w:tc>
          <w:tcPr>
            <w:tcW w:w="864" w:type="dxa"/>
            <w:tcBorders>
              <w:top w:val="nil"/>
              <w:left w:val="nil"/>
              <w:bottom w:val="single" w:sz="4" w:space="0" w:color="BFBFBF"/>
              <w:right w:val="single" w:sz="4" w:space="0" w:color="BFBFBF"/>
            </w:tcBorders>
            <w:shd w:val="clear" w:color="auto" w:fill="auto"/>
            <w:noWrap/>
            <w:vAlign w:val="center"/>
            <w:hideMark/>
          </w:tcPr>
          <w:p w14:paraId="45738EC9"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$10.57 M</w:t>
            </w:r>
          </w:p>
        </w:tc>
        <w:tc>
          <w:tcPr>
            <w:tcW w:w="1091" w:type="dxa"/>
            <w:tcBorders>
              <w:top w:val="nil"/>
              <w:left w:val="nil"/>
              <w:bottom w:val="single" w:sz="4" w:space="0" w:color="BFBFBF"/>
              <w:right w:val="single" w:sz="4" w:space="0" w:color="BFBFBF"/>
            </w:tcBorders>
            <w:shd w:val="clear" w:color="auto" w:fill="auto"/>
            <w:noWrap/>
            <w:vAlign w:val="center"/>
            <w:hideMark/>
          </w:tcPr>
          <w:p w14:paraId="7D398198"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$5.88 M</w:t>
            </w:r>
          </w:p>
        </w:tc>
        <w:tc>
          <w:tcPr>
            <w:tcW w:w="870" w:type="dxa"/>
            <w:tcBorders>
              <w:top w:val="nil"/>
              <w:left w:val="nil"/>
              <w:bottom w:val="single" w:sz="4" w:space="0" w:color="BFBFBF"/>
              <w:right w:val="single" w:sz="4" w:space="0" w:color="BFBFBF"/>
            </w:tcBorders>
            <w:shd w:val="clear" w:color="auto" w:fill="auto"/>
            <w:noWrap/>
            <w:vAlign w:val="center"/>
            <w:hideMark/>
          </w:tcPr>
          <w:p w14:paraId="222D967D"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$11.30 M</w:t>
            </w:r>
          </w:p>
        </w:tc>
        <w:tc>
          <w:tcPr>
            <w:tcW w:w="917" w:type="dxa"/>
            <w:tcBorders>
              <w:top w:val="nil"/>
              <w:left w:val="nil"/>
              <w:bottom w:val="single" w:sz="4" w:space="0" w:color="BFBFBF"/>
              <w:right w:val="single" w:sz="12" w:space="0" w:color="BFBFBF"/>
            </w:tcBorders>
            <w:shd w:val="clear" w:color="auto" w:fill="auto"/>
            <w:noWrap/>
            <w:vAlign w:val="center"/>
            <w:hideMark/>
          </w:tcPr>
          <w:p w14:paraId="49F2ED09"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$6.20 M</w:t>
            </w:r>
          </w:p>
        </w:tc>
        <w:tc>
          <w:tcPr>
            <w:tcW w:w="1007" w:type="dxa"/>
            <w:tcBorders>
              <w:top w:val="nil"/>
              <w:left w:val="nil"/>
              <w:bottom w:val="single" w:sz="4" w:space="0" w:color="BFBFBF"/>
              <w:right w:val="single" w:sz="4" w:space="0" w:color="BFBFBF"/>
            </w:tcBorders>
            <w:shd w:val="clear" w:color="auto" w:fill="auto"/>
            <w:noWrap/>
            <w:vAlign w:val="center"/>
            <w:hideMark/>
          </w:tcPr>
          <w:p w14:paraId="077C51E2"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$44.28 M</w:t>
            </w:r>
          </w:p>
        </w:tc>
      </w:tr>
      <w:tr w:rsidR="00711160" w:rsidRPr="00711160" w14:paraId="4AB6E1EF" w14:textId="77777777" w:rsidTr="00711160">
        <w:trPr>
          <w:trHeight w:val="290"/>
        </w:trPr>
        <w:tc>
          <w:tcPr>
            <w:tcW w:w="3518" w:type="dxa"/>
            <w:tcBorders>
              <w:top w:val="nil"/>
              <w:left w:val="single" w:sz="4" w:space="0" w:color="BFBFBF"/>
              <w:bottom w:val="single" w:sz="4" w:space="0" w:color="BFBFBF"/>
              <w:right w:val="single" w:sz="12" w:space="0" w:color="BFBFBF"/>
            </w:tcBorders>
            <w:shd w:val="clear" w:color="auto" w:fill="auto"/>
            <w:vAlign w:val="center"/>
            <w:hideMark/>
          </w:tcPr>
          <w:p w14:paraId="7AAED470" w14:textId="77777777" w:rsidR="0014554B" w:rsidRPr="0014554B" w:rsidRDefault="0014554B" w:rsidP="0014554B">
            <w:pPr>
              <w:spacing w:after="0" w:line="240" w:lineRule="auto"/>
              <w:rPr>
                <w:rFonts w:eastAsia="Times New Roman" w:cs="Times New Roman"/>
                <w:color w:val="000000"/>
                <w:sz w:val="16"/>
                <w:szCs w:val="16"/>
              </w:rPr>
            </w:pPr>
            <w:r w:rsidRPr="0014554B">
              <w:rPr>
                <w:rFonts w:eastAsia="Times New Roman" w:cs="Times New Roman"/>
                <w:color w:val="000000"/>
                <w:sz w:val="16"/>
                <w:szCs w:val="16"/>
              </w:rPr>
              <w:t>SWI #6: Alternative Payment Methodology Preparation Funds</w:t>
            </w:r>
          </w:p>
        </w:tc>
        <w:tc>
          <w:tcPr>
            <w:tcW w:w="1093" w:type="dxa"/>
            <w:tcBorders>
              <w:top w:val="nil"/>
              <w:left w:val="nil"/>
              <w:bottom w:val="single" w:sz="4" w:space="0" w:color="BFBFBF"/>
              <w:right w:val="single" w:sz="4" w:space="0" w:color="BFBFBF"/>
            </w:tcBorders>
            <w:shd w:val="clear" w:color="auto" w:fill="auto"/>
            <w:noWrap/>
            <w:vAlign w:val="center"/>
            <w:hideMark/>
          </w:tcPr>
          <w:p w14:paraId="2018B7C3"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$2.20 M</w:t>
            </w:r>
          </w:p>
        </w:tc>
        <w:tc>
          <w:tcPr>
            <w:tcW w:w="864" w:type="dxa"/>
            <w:tcBorders>
              <w:top w:val="nil"/>
              <w:left w:val="nil"/>
              <w:bottom w:val="single" w:sz="4" w:space="0" w:color="BFBFBF"/>
              <w:right w:val="single" w:sz="4" w:space="0" w:color="BFBFBF"/>
            </w:tcBorders>
            <w:shd w:val="clear" w:color="auto" w:fill="auto"/>
            <w:noWrap/>
            <w:vAlign w:val="center"/>
            <w:hideMark/>
          </w:tcPr>
          <w:p w14:paraId="6F4E7D0B"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w:t>
            </w:r>
          </w:p>
        </w:tc>
        <w:tc>
          <w:tcPr>
            <w:tcW w:w="1091" w:type="dxa"/>
            <w:tcBorders>
              <w:top w:val="nil"/>
              <w:left w:val="nil"/>
              <w:bottom w:val="single" w:sz="4" w:space="0" w:color="BFBFBF"/>
              <w:right w:val="single" w:sz="4" w:space="0" w:color="BFBFBF"/>
            </w:tcBorders>
            <w:shd w:val="clear" w:color="auto" w:fill="auto"/>
            <w:noWrap/>
            <w:vAlign w:val="center"/>
            <w:hideMark/>
          </w:tcPr>
          <w:p w14:paraId="311FFA98"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w:t>
            </w:r>
          </w:p>
        </w:tc>
        <w:tc>
          <w:tcPr>
            <w:tcW w:w="870" w:type="dxa"/>
            <w:tcBorders>
              <w:top w:val="nil"/>
              <w:left w:val="nil"/>
              <w:bottom w:val="single" w:sz="4" w:space="0" w:color="BFBFBF"/>
              <w:right w:val="single" w:sz="4" w:space="0" w:color="BFBFBF"/>
            </w:tcBorders>
            <w:shd w:val="clear" w:color="auto" w:fill="auto"/>
            <w:noWrap/>
            <w:vAlign w:val="center"/>
            <w:hideMark/>
          </w:tcPr>
          <w:p w14:paraId="32DD6CC4"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$8.50 M</w:t>
            </w:r>
          </w:p>
        </w:tc>
        <w:tc>
          <w:tcPr>
            <w:tcW w:w="917" w:type="dxa"/>
            <w:tcBorders>
              <w:top w:val="nil"/>
              <w:left w:val="nil"/>
              <w:bottom w:val="single" w:sz="4" w:space="0" w:color="BFBFBF"/>
              <w:right w:val="single" w:sz="12" w:space="0" w:color="BFBFBF"/>
            </w:tcBorders>
            <w:shd w:val="clear" w:color="auto" w:fill="auto"/>
            <w:noWrap/>
            <w:vAlign w:val="center"/>
            <w:hideMark/>
          </w:tcPr>
          <w:p w14:paraId="73A262FB"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$1.20 M</w:t>
            </w:r>
          </w:p>
        </w:tc>
        <w:tc>
          <w:tcPr>
            <w:tcW w:w="1007" w:type="dxa"/>
            <w:tcBorders>
              <w:top w:val="nil"/>
              <w:left w:val="nil"/>
              <w:bottom w:val="single" w:sz="4" w:space="0" w:color="BFBFBF"/>
              <w:right w:val="single" w:sz="4" w:space="0" w:color="BFBFBF"/>
            </w:tcBorders>
            <w:shd w:val="clear" w:color="auto" w:fill="auto"/>
            <w:noWrap/>
            <w:vAlign w:val="center"/>
            <w:hideMark/>
          </w:tcPr>
          <w:p w14:paraId="37BC37D6"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$11.90 M</w:t>
            </w:r>
          </w:p>
        </w:tc>
      </w:tr>
      <w:tr w:rsidR="00711160" w:rsidRPr="00711160" w14:paraId="0F3928DF" w14:textId="77777777" w:rsidTr="00711160">
        <w:trPr>
          <w:trHeight w:val="290"/>
        </w:trPr>
        <w:tc>
          <w:tcPr>
            <w:tcW w:w="3518" w:type="dxa"/>
            <w:tcBorders>
              <w:top w:val="nil"/>
              <w:left w:val="single" w:sz="4" w:space="0" w:color="BFBFBF"/>
              <w:bottom w:val="single" w:sz="4" w:space="0" w:color="BFBFBF"/>
              <w:right w:val="single" w:sz="12" w:space="0" w:color="BFBFBF"/>
            </w:tcBorders>
            <w:shd w:val="clear" w:color="auto" w:fill="auto"/>
            <w:vAlign w:val="center"/>
            <w:hideMark/>
          </w:tcPr>
          <w:p w14:paraId="65067BD1" w14:textId="77777777" w:rsidR="0014554B" w:rsidRPr="0014554B" w:rsidRDefault="0014554B" w:rsidP="0014554B">
            <w:pPr>
              <w:spacing w:after="0" w:line="240" w:lineRule="auto"/>
              <w:rPr>
                <w:rFonts w:eastAsia="Times New Roman" w:cs="Times New Roman"/>
                <w:color w:val="000000"/>
                <w:sz w:val="16"/>
                <w:szCs w:val="16"/>
              </w:rPr>
            </w:pPr>
            <w:r w:rsidRPr="0014554B">
              <w:rPr>
                <w:rFonts w:eastAsia="Times New Roman" w:cs="Times New Roman"/>
                <w:color w:val="000000"/>
                <w:sz w:val="16"/>
                <w:szCs w:val="16"/>
              </w:rPr>
              <w:t>SWI #7: Enhanced Diversionary Behavioral Health Activities</w:t>
            </w:r>
          </w:p>
        </w:tc>
        <w:tc>
          <w:tcPr>
            <w:tcW w:w="1093" w:type="dxa"/>
            <w:tcBorders>
              <w:top w:val="nil"/>
              <w:left w:val="nil"/>
              <w:bottom w:val="single" w:sz="4" w:space="0" w:color="BFBFBF"/>
              <w:right w:val="single" w:sz="4" w:space="0" w:color="BFBFBF"/>
            </w:tcBorders>
            <w:shd w:val="clear" w:color="auto" w:fill="auto"/>
            <w:noWrap/>
            <w:vAlign w:val="center"/>
            <w:hideMark/>
          </w:tcPr>
          <w:p w14:paraId="44C8F3A4"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$1.30 M</w:t>
            </w:r>
          </w:p>
        </w:tc>
        <w:tc>
          <w:tcPr>
            <w:tcW w:w="864" w:type="dxa"/>
            <w:tcBorders>
              <w:top w:val="nil"/>
              <w:left w:val="nil"/>
              <w:bottom w:val="single" w:sz="4" w:space="0" w:color="BFBFBF"/>
              <w:right w:val="single" w:sz="4" w:space="0" w:color="BFBFBF"/>
            </w:tcBorders>
            <w:shd w:val="clear" w:color="auto" w:fill="auto"/>
            <w:noWrap/>
            <w:vAlign w:val="center"/>
            <w:hideMark/>
          </w:tcPr>
          <w:p w14:paraId="6C37B7F0"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w:t>
            </w:r>
          </w:p>
        </w:tc>
        <w:tc>
          <w:tcPr>
            <w:tcW w:w="1091" w:type="dxa"/>
            <w:tcBorders>
              <w:top w:val="nil"/>
              <w:left w:val="nil"/>
              <w:bottom w:val="single" w:sz="4" w:space="0" w:color="BFBFBF"/>
              <w:right w:val="single" w:sz="4" w:space="0" w:color="BFBFBF"/>
            </w:tcBorders>
            <w:shd w:val="clear" w:color="auto" w:fill="auto"/>
            <w:noWrap/>
            <w:vAlign w:val="center"/>
            <w:hideMark/>
          </w:tcPr>
          <w:p w14:paraId="30985877"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w:t>
            </w:r>
          </w:p>
        </w:tc>
        <w:tc>
          <w:tcPr>
            <w:tcW w:w="870" w:type="dxa"/>
            <w:tcBorders>
              <w:top w:val="nil"/>
              <w:left w:val="nil"/>
              <w:bottom w:val="single" w:sz="4" w:space="0" w:color="BFBFBF"/>
              <w:right w:val="single" w:sz="4" w:space="0" w:color="BFBFBF"/>
            </w:tcBorders>
            <w:shd w:val="clear" w:color="auto" w:fill="auto"/>
            <w:noWrap/>
            <w:vAlign w:val="center"/>
            <w:hideMark/>
          </w:tcPr>
          <w:p w14:paraId="5F86A4D2"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$1.85 M</w:t>
            </w:r>
          </w:p>
        </w:tc>
        <w:tc>
          <w:tcPr>
            <w:tcW w:w="917" w:type="dxa"/>
            <w:tcBorders>
              <w:top w:val="nil"/>
              <w:left w:val="nil"/>
              <w:bottom w:val="single" w:sz="4" w:space="0" w:color="BFBFBF"/>
              <w:right w:val="single" w:sz="12" w:space="0" w:color="BFBFBF"/>
            </w:tcBorders>
            <w:shd w:val="clear" w:color="auto" w:fill="auto"/>
            <w:noWrap/>
            <w:vAlign w:val="center"/>
            <w:hideMark/>
          </w:tcPr>
          <w:p w14:paraId="4B6DF317"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w:t>
            </w:r>
          </w:p>
        </w:tc>
        <w:tc>
          <w:tcPr>
            <w:tcW w:w="1007" w:type="dxa"/>
            <w:tcBorders>
              <w:top w:val="nil"/>
              <w:left w:val="nil"/>
              <w:bottom w:val="single" w:sz="4" w:space="0" w:color="BFBFBF"/>
              <w:right w:val="single" w:sz="4" w:space="0" w:color="BFBFBF"/>
            </w:tcBorders>
            <w:shd w:val="clear" w:color="auto" w:fill="auto"/>
            <w:noWrap/>
            <w:vAlign w:val="center"/>
            <w:hideMark/>
          </w:tcPr>
          <w:p w14:paraId="54139B49"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$3.15 M</w:t>
            </w:r>
          </w:p>
        </w:tc>
      </w:tr>
      <w:tr w:rsidR="00711160" w:rsidRPr="00711160" w14:paraId="5673276F" w14:textId="77777777" w:rsidTr="00711160">
        <w:trPr>
          <w:trHeight w:val="530"/>
        </w:trPr>
        <w:tc>
          <w:tcPr>
            <w:tcW w:w="3518" w:type="dxa"/>
            <w:tcBorders>
              <w:top w:val="nil"/>
              <w:left w:val="single" w:sz="4" w:space="0" w:color="BFBFBF"/>
              <w:bottom w:val="single" w:sz="12" w:space="0" w:color="BFBFBF"/>
              <w:right w:val="single" w:sz="12" w:space="0" w:color="BFBFBF"/>
            </w:tcBorders>
            <w:shd w:val="clear" w:color="auto" w:fill="auto"/>
            <w:vAlign w:val="center"/>
            <w:hideMark/>
          </w:tcPr>
          <w:p w14:paraId="1EE1B553" w14:textId="77777777" w:rsidR="0014554B" w:rsidRPr="0014554B" w:rsidRDefault="0014554B" w:rsidP="0014554B">
            <w:pPr>
              <w:spacing w:after="0" w:line="240" w:lineRule="auto"/>
              <w:rPr>
                <w:rFonts w:eastAsia="Times New Roman" w:cs="Times New Roman"/>
                <w:color w:val="000000"/>
                <w:sz w:val="16"/>
                <w:szCs w:val="16"/>
              </w:rPr>
            </w:pPr>
            <w:r w:rsidRPr="0014554B">
              <w:rPr>
                <w:rFonts w:eastAsia="Times New Roman" w:cs="Times New Roman"/>
                <w:color w:val="000000"/>
                <w:sz w:val="16"/>
                <w:szCs w:val="16"/>
              </w:rPr>
              <w:t>SWI #8: Improved Accessibility for Members with Disabilities or for Whom English Is Not a Primary Language</w:t>
            </w:r>
          </w:p>
        </w:tc>
        <w:tc>
          <w:tcPr>
            <w:tcW w:w="1093" w:type="dxa"/>
            <w:tcBorders>
              <w:top w:val="nil"/>
              <w:left w:val="nil"/>
              <w:bottom w:val="single" w:sz="12" w:space="0" w:color="BFBFBF"/>
              <w:right w:val="single" w:sz="4" w:space="0" w:color="BFBFBF"/>
            </w:tcBorders>
            <w:shd w:val="clear" w:color="auto" w:fill="auto"/>
            <w:noWrap/>
            <w:vAlign w:val="center"/>
            <w:hideMark/>
          </w:tcPr>
          <w:p w14:paraId="53F60179"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$0.28 M</w:t>
            </w:r>
          </w:p>
        </w:tc>
        <w:tc>
          <w:tcPr>
            <w:tcW w:w="864" w:type="dxa"/>
            <w:tcBorders>
              <w:top w:val="nil"/>
              <w:left w:val="nil"/>
              <w:bottom w:val="single" w:sz="12" w:space="0" w:color="BFBFBF"/>
              <w:right w:val="single" w:sz="4" w:space="0" w:color="BFBFBF"/>
            </w:tcBorders>
            <w:shd w:val="clear" w:color="auto" w:fill="auto"/>
            <w:noWrap/>
            <w:vAlign w:val="center"/>
            <w:hideMark/>
          </w:tcPr>
          <w:p w14:paraId="1FA3745F"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$2.41 M</w:t>
            </w:r>
          </w:p>
        </w:tc>
        <w:tc>
          <w:tcPr>
            <w:tcW w:w="1091" w:type="dxa"/>
            <w:tcBorders>
              <w:top w:val="nil"/>
              <w:left w:val="nil"/>
              <w:bottom w:val="single" w:sz="12" w:space="0" w:color="BFBFBF"/>
              <w:right w:val="single" w:sz="4" w:space="0" w:color="BFBFBF"/>
            </w:tcBorders>
            <w:shd w:val="clear" w:color="auto" w:fill="auto"/>
            <w:noWrap/>
            <w:vAlign w:val="center"/>
            <w:hideMark/>
          </w:tcPr>
          <w:p w14:paraId="5CB42C30"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$0.37 M</w:t>
            </w:r>
          </w:p>
        </w:tc>
        <w:tc>
          <w:tcPr>
            <w:tcW w:w="870" w:type="dxa"/>
            <w:tcBorders>
              <w:top w:val="nil"/>
              <w:left w:val="nil"/>
              <w:bottom w:val="single" w:sz="12" w:space="0" w:color="BFBFBF"/>
              <w:right w:val="single" w:sz="4" w:space="0" w:color="BFBFBF"/>
            </w:tcBorders>
            <w:shd w:val="clear" w:color="auto" w:fill="auto"/>
            <w:noWrap/>
            <w:vAlign w:val="center"/>
            <w:hideMark/>
          </w:tcPr>
          <w:p w14:paraId="071018D0"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$4.83 M</w:t>
            </w:r>
          </w:p>
        </w:tc>
        <w:tc>
          <w:tcPr>
            <w:tcW w:w="917" w:type="dxa"/>
            <w:tcBorders>
              <w:top w:val="nil"/>
              <w:left w:val="nil"/>
              <w:bottom w:val="single" w:sz="12" w:space="0" w:color="BFBFBF"/>
              <w:right w:val="single" w:sz="12" w:space="0" w:color="BFBFBF"/>
            </w:tcBorders>
            <w:shd w:val="clear" w:color="auto" w:fill="auto"/>
            <w:noWrap/>
            <w:vAlign w:val="center"/>
            <w:hideMark/>
          </w:tcPr>
          <w:p w14:paraId="0F94A235"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$2.00 M</w:t>
            </w:r>
          </w:p>
        </w:tc>
        <w:tc>
          <w:tcPr>
            <w:tcW w:w="1007" w:type="dxa"/>
            <w:tcBorders>
              <w:top w:val="nil"/>
              <w:left w:val="nil"/>
              <w:bottom w:val="single" w:sz="12" w:space="0" w:color="BFBFBF"/>
              <w:right w:val="single" w:sz="4" w:space="0" w:color="BFBFBF"/>
            </w:tcBorders>
            <w:shd w:val="clear" w:color="auto" w:fill="auto"/>
            <w:noWrap/>
            <w:vAlign w:val="center"/>
            <w:hideMark/>
          </w:tcPr>
          <w:p w14:paraId="541F7909"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$9.89 M</w:t>
            </w:r>
          </w:p>
        </w:tc>
      </w:tr>
      <w:tr w:rsidR="00711160" w:rsidRPr="00711160" w14:paraId="5F0CF3BE" w14:textId="77777777" w:rsidTr="00711160">
        <w:trPr>
          <w:trHeight w:val="300"/>
        </w:trPr>
        <w:tc>
          <w:tcPr>
            <w:tcW w:w="3518" w:type="dxa"/>
            <w:tcBorders>
              <w:top w:val="nil"/>
              <w:left w:val="single" w:sz="4" w:space="0" w:color="BFBFBF"/>
              <w:bottom w:val="single" w:sz="4" w:space="0" w:color="BFBFBF"/>
              <w:right w:val="single" w:sz="12" w:space="0" w:color="BFBFBF"/>
            </w:tcBorders>
            <w:shd w:val="clear" w:color="auto" w:fill="auto"/>
            <w:vAlign w:val="center"/>
            <w:hideMark/>
          </w:tcPr>
          <w:p w14:paraId="1ABCAD03" w14:textId="77777777" w:rsidR="0014554B" w:rsidRPr="0014554B" w:rsidRDefault="0014554B" w:rsidP="0014554B">
            <w:pPr>
              <w:spacing w:after="0" w:line="240" w:lineRule="auto"/>
              <w:rPr>
                <w:rFonts w:eastAsia="Times New Roman" w:cs="Times New Roman"/>
                <w:b/>
                <w:bCs/>
                <w:color w:val="000000"/>
                <w:sz w:val="16"/>
                <w:szCs w:val="16"/>
              </w:rPr>
            </w:pPr>
            <w:r w:rsidRPr="0014554B">
              <w:rPr>
                <w:rFonts w:eastAsia="Times New Roman" w:cs="Times New Roman"/>
                <w:b/>
                <w:bCs/>
                <w:color w:val="000000"/>
                <w:sz w:val="16"/>
                <w:szCs w:val="16"/>
              </w:rPr>
              <w:t>Total</w:t>
            </w:r>
          </w:p>
        </w:tc>
        <w:tc>
          <w:tcPr>
            <w:tcW w:w="1093" w:type="dxa"/>
            <w:tcBorders>
              <w:top w:val="nil"/>
              <w:left w:val="nil"/>
              <w:bottom w:val="single" w:sz="4" w:space="0" w:color="BFBFBF"/>
              <w:right w:val="single" w:sz="4" w:space="0" w:color="BFBFBF"/>
            </w:tcBorders>
            <w:shd w:val="clear" w:color="auto" w:fill="auto"/>
            <w:noWrap/>
            <w:vAlign w:val="center"/>
            <w:hideMark/>
          </w:tcPr>
          <w:p w14:paraId="5345FDD7"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$21.55 M</w:t>
            </w:r>
          </w:p>
        </w:tc>
        <w:tc>
          <w:tcPr>
            <w:tcW w:w="864" w:type="dxa"/>
            <w:tcBorders>
              <w:top w:val="nil"/>
              <w:left w:val="nil"/>
              <w:bottom w:val="single" w:sz="4" w:space="0" w:color="BFBFBF"/>
              <w:right w:val="single" w:sz="4" w:space="0" w:color="BFBFBF"/>
            </w:tcBorders>
            <w:shd w:val="clear" w:color="auto" w:fill="auto"/>
            <w:noWrap/>
            <w:vAlign w:val="center"/>
            <w:hideMark/>
          </w:tcPr>
          <w:p w14:paraId="3F281253"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$24.39 M</w:t>
            </w:r>
          </w:p>
        </w:tc>
        <w:tc>
          <w:tcPr>
            <w:tcW w:w="1091" w:type="dxa"/>
            <w:tcBorders>
              <w:top w:val="nil"/>
              <w:left w:val="nil"/>
              <w:bottom w:val="single" w:sz="4" w:space="0" w:color="BFBFBF"/>
              <w:right w:val="single" w:sz="4" w:space="0" w:color="BFBFBF"/>
            </w:tcBorders>
            <w:shd w:val="clear" w:color="auto" w:fill="auto"/>
            <w:noWrap/>
            <w:vAlign w:val="center"/>
            <w:hideMark/>
          </w:tcPr>
          <w:p w14:paraId="7F53BF3C"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$14.05 M</w:t>
            </w:r>
          </w:p>
        </w:tc>
        <w:tc>
          <w:tcPr>
            <w:tcW w:w="870" w:type="dxa"/>
            <w:tcBorders>
              <w:top w:val="nil"/>
              <w:left w:val="nil"/>
              <w:bottom w:val="single" w:sz="4" w:space="0" w:color="BFBFBF"/>
              <w:right w:val="single" w:sz="4" w:space="0" w:color="BFBFBF"/>
            </w:tcBorders>
            <w:shd w:val="clear" w:color="auto" w:fill="auto"/>
            <w:noWrap/>
            <w:vAlign w:val="center"/>
            <w:hideMark/>
          </w:tcPr>
          <w:p w14:paraId="4ADC4CC5"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$37.41 M</w:t>
            </w:r>
          </w:p>
        </w:tc>
        <w:tc>
          <w:tcPr>
            <w:tcW w:w="917" w:type="dxa"/>
            <w:tcBorders>
              <w:top w:val="nil"/>
              <w:left w:val="nil"/>
              <w:bottom w:val="single" w:sz="4" w:space="0" w:color="BFBFBF"/>
              <w:right w:val="single" w:sz="12" w:space="0" w:color="BFBFBF"/>
            </w:tcBorders>
            <w:shd w:val="clear" w:color="auto" w:fill="auto"/>
            <w:noWrap/>
            <w:vAlign w:val="center"/>
            <w:hideMark/>
          </w:tcPr>
          <w:p w14:paraId="0079F1AB"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$17.40 M</w:t>
            </w:r>
          </w:p>
        </w:tc>
        <w:tc>
          <w:tcPr>
            <w:tcW w:w="1007" w:type="dxa"/>
            <w:tcBorders>
              <w:top w:val="nil"/>
              <w:left w:val="nil"/>
              <w:bottom w:val="single" w:sz="4" w:space="0" w:color="BFBFBF"/>
              <w:right w:val="single" w:sz="4" w:space="0" w:color="BFBFBF"/>
            </w:tcBorders>
            <w:shd w:val="clear" w:color="auto" w:fill="auto"/>
            <w:noWrap/>
            <w:vAlign w:val="center"/>
            <w:hideMark/>
          </w:tcPr>
          <w:p w14:paraId="6138E744" w14:textId="77777777" w:rsidR="0014554B" w:rsidRPr="0014554B" w:rsidRDefault="0014554B" w:rsidP="0014554B">
            <w:pPr>
              <w:spacing w:after="0" w:line="240" w:lineRule="auto"/>
              <w:jc w:val="center"/>
              <w:rPr>
                <w:rFonts w:eastAsia="Times New Roman" w:cs="Times New Roman"/>
                <w:color w:val="000000"/>
                <w:sz w:val="16"/>
                <w:szCs w:val="16"/>
              </w:rPr>
            </w:pPr>
            <w:r w:rsidRPr="0014554B">
              <w:rPr>
                <w:rFonts w:eastAsia="Times New Roman" w:cs="Times New Roman"/>
                <w:color w:val="000000"/>
                <w:sz w:val="16"/>
                <w:szCs w:val="16"/>
              </w:rPr>
              <w:t>$114.80 M</w:t>
            </w:r>
          </w:p>
        </w:tc>
      </w:tr>
      <w:tr w:rsidR="00F63FB4" w:rsidRPr="0014554B" w14:paraId="3CB1CC64" w14:textId="77777777" w:rsidTr="004337E8">
        <w:trPr>
          <w:trHeight w:val="290"/>
        </w:trPr>
        <w:tc>
          <w:tcPr>
            <w:tcW w:w="9360" w:type="dxa"/>
            <w:gridSpan w:val="7"/>
            <w:tcBorders>
              <w:top w:val="nil"/>
              <w:left w:val="nil"/>
              <w:bottom w:val="nil"/>
              <w:right w:val="nil"/>
            </w:tcBorders>
            <w:shd w:val="clear" w:color="000000" w:fill="FFFFFF"/>
            <w:noWrap/>
            <w:vAlign w:val="center"/>
            <w:hideMark/>
          </w:tcPr>
          <w:p w14:paraId="273F5AF2" w14:textId="77777777" w:rsidR="00F63FB4" w:rsidRPr="0014554B" w:rsidRDefault="00F63FB4" w:rsidP="0014554B">
            <w:pPr>
              <w:spacing w:after="0" w:line="240" w:lineRule="auto"/>
              <w:rPr>
                <w:rFonts w:eastAsia="Times New Roman" w:cs="Times New Roman"/>
                <w:color w:val="000000"/>
                <w:sz w:val="18"/>
                <w:szCs w:val="18"/>
              </w:rPr>
            </w:pPr>
            <w:r w:rsidRPr="0014554B">
              <w:rPr>
                <w:rFonts w:eastAsia="Times New Roman" w:cs="Times New Roman"/>
                <w:color w:val="000000"/>
                <w:sz w:val="18"/>
                <w:szCs w:val="18"/>
              </w:rPr>
              <w:t>*Displayed numbers are rounded; therefore, totals and updated expenditure authority numbers may not add up exactly</w:t>
            </w:r>
          </w:p>
          <w:p w14:paraId="2DD414E8" w14:textId="3262592D" w:rsidR="00F63FB4" w:rsidRPr="0014554B" w:rsidRDefault="00F63FB4" w:rsidP="0014554B">
            <w:pPr>
              <w:spacing w:after="0" w:line="240" w:lineRule="auto"/>
              <w:rPr>
                <w:rFonts w:eastAsia="Times New Roman" w:cs="Times New Roman"/>
                <w:color w:val="000000"/>
                <w:sz w:val="18"/>
                <w:szCs w:val="18"/>
              </w:rPr>
            </w:pPr>
            <w:r w:rsidRPr="0014554B">
              <w:rPr>
                <w:rFonts w:eastAsia="Times New Roman" w:cs="Times New Roman"/>
                <w:color w:val="000000"/>
                <w:sz w:val="18"/>
                <w:szCs w:val="18"/>
              </w:rPr>
              <w:t> </w:t>
            </w:r>
          </w:p>
          <w:p w14:paraId="491B7058" w14:textId="5CA4801F" w:rsidR="00F63FB4" w:rsidRPr="0014554B" w:rsidRDefault="00F63FB4" w:rsidP="0014554B">
            <w:pPr>
              <w:spacing w:after="0" w:line="240" w:lineRule="auto"/>
              <w:rPr>
                <w:rFonts w:eastAsia="Times New Roman" w:cs="Times New Roman"/>
                <w:color w:val="000000"/>
                <w:sz w:val="18"/>
                <w:szCs w:val="18"/>
              </w:rPr>
            </w:pPr>
            <w:r w:rsidRPr="0014554B">
              <w:rPr>
                <w:rFonts w:eastAsia="Times New Roman" w:cs="Times New Roman"/>
                <w:color w:val="000000"/>
                <w:sz w:val="18"/>
                <w:szCs w:val="18"/>
              </w:rPr>
              <w:t> </w:t>
            </w:r>
          </w:p>
        </w:tc>
      </w:tr>
    </w:tbl>
    <w:p w14:paraId="04A385F1" w14:textId="49A14F77" w:rsidR="00863BB7" w:rsidRPr="00E33863" w:rsidRDefault="00863BB7" w:rsidP="00863BB7">
      <w:pPr>
        <w:pStyle w:val="ListParagraph"/>
        <w:numPr>
          <w:ilvl w:val="0"/>
          <w:numId w:val="56"/>
        </w:numPr>
        <w:rPr>
          <w:rFonts w:cs="Times New Roman"/>
          <w:color w:val="212121"/>
          <w:szCs w:val="24"/>
        </w:rPr>
      </w:pPr>
      <w:r w:rsidRPr="00E33863">
        <w:rPr>
          <w:rFonts w:cs="Times New Roman"/>
          <w:color w:val="212121"/>
          <w:szCs w:val="24"/>
        </w:rPr>
        <w:t xml:space="preserve">Per Section 4.6 of the DSRIP Protocol, the State may shift funding among the eight Statewide Investments initiatives within a DSRIP year without obtaining CMS approval if the shifted amount is less than $1M or less than 15% of the original funding amount for the investment contributing the shifted amount, whichever is higher. </w:t>
      </w:r>
    </w:p>
    <w:p w14:paraId="10562D58" w14:textId="77777777" w:rsidR="00863BB7" w:rsidRPr="00E33863" w:rsidRDefault="00863BB7" w:rsidP="00863BB7">
      <w:pPr>
        <w:pStyle w:val="ListParagraph"/>
        <w:numPr>
          <w:ilvl w:val="1"/>
          <w:numId w:val="56"/>
        </w:numPr>
        <w:rPr>
          <w:rFonts w:cs="Times New Roman"/>
          <w:color w:val="212121"/>
          <w:szCs w:val="24"/>
        </w:rPr>
      </w:pPr>
      <w:r w:rsidRPr="00E33863">
        <w:rPr>
          <w:rFonts w:cs="Times New Roman"/>
          <w:color w:val="212121"/>
          <w:szCs w:val="24"/>
        </w:rPr>
        <w:t xml:space="preserve">As part of this update, </w:t>
      </w:r>
      <w:r w:rsidRPr="00E33863">
        <w:rPr>
          <w:color w:val="212121"/>
          <w:szCs w:val="24"/>
        </w:rPr>
        <w:t>the State shifted amounts that were less than $1M from SWI #</w:t>
      </w:r>
      <w:r>
        <w:rPr>
          <w:color w:val="212121"/>
          <w:szCs w:val="24"/>
        </w:rPr>
        <w:t>8</w:t>
      </w:r>
      <w:r w:rsidRPr="00E33863">
        <w:rPr>
          <w:color w:val="212121"/>
          <w:szCs w:val="24"/>
        </w:rPr>
        <w:t xml:space="preserve"> ($0.</w:t>
      </w:r>
      <w:r>
        <w:rPr>
          <w:color w:val="212121"/>
          <w:szCs w:val="24"/>
        </w:rPr>
        <w:t>991</w:t>
      </w:r>
      <w:r w:rsidRPr="00E33863">
        <w:rPr>
          <w:color w:val="212121"/>
          <w:szCs w:val="24"/>
        </w:rPr>
        <w:t>M) to SWI #</w:t>
      </w:r>
      <w:r>
        <w:rPr>
          <w:color w:val="212121"/>
          <w:szCs w:val="24"/>
        </w:rPr>
        <w:t>1, SWI #3, and SWI#7</w:t>
      </w:r>
      <w:r w:rsidRPr="00E33863">
        <w:rPr>
          <w:color w:val="212121"/>
          <w:szCs w:val="24"/>
        </w:rPr>
        <w:t>, as detailed in the table below:</w:t>
      </w:r>
    </w:p>
    <w:tbl>
      <w:tblPr>
        <w:tblW w:w="9450" w:type="dxa"/>
        <w:tblLook w:val="04A0" w:firstRow="1" w:lastRow="0" w:firstColumn="1" w:lastColumn="0" w:noHBand="0" w:noVBand="1"/>
        <w:tblCaption w:val="Shifting Expenditure Authority within DY4"/>
        <w:tblDescription w:val="Shifting DSRIP Year 4 Expenditure Authority between Statewide Investments initiatives"/>
      </w:tblPr>
      <w:tblGrid>
        <w:gridCol w:w="3780"/>
        <w:gridCol w:w="1170"/>
        <w:gridCol w:w="1170"/>
        <w:gridCol w:w="1170"/>
        <w:gridCol w:w="990"/>
        <w:gridCol w:w="1170"/>
      </w:tblGrid>
      <w:tr w:rsidR="004B2D96" w:rsidRPr="004420D3" w14:paraId="39DC7C54" w14:textId="77777777" w:rsidTr="004B2D96">
        <w:trPr>
          <w:trHeight w:val="290"/>
        </w:trPr>
        <w:tc>
          <w:tcPr>
            <w:tcW w:w="9450" w:type="dxa"/>
            <w:gridSpan w:val="6"/>
            <w:tcBorders>
              <w:top w:val="nil"/>
              <w:left w:val="nil"/>
              <w:bottom w:val="single" w:sz="4" w:space="0" w:color="BFBFBF"/>
              <w:right w:val="nil"/>
            </w:tcBorders>
            <w:shd w:val="clear" w:color="000000" w:fill="FFFFFF"/>
            <w:noWrap/>
            <w:vAlign w:val="center"/>
            <w:hideMark/>
          </w:tcPr>
          <w:p w14:paraId="378D1146" w14:textId="256227F3" w:rsidR="004B2D96" w:rsidRPr="004420D3" w:rsidRDefault="004B2D96" w:rsidP="004B2D96">
            <w:pPr>
              <w:spacing w:after="0" w:line="240" w:lineRule="auto"/>
              <w:rPr>
                <w:rFonts w:eastAsia="Times New Roman" w:cs="Times New Roman"/>
                <w:b/>
                <w:bCs/>
                <w:color w:val="000000"/>
                <w:sz w:val="18"/>
                <w:szCs w:val="18"/>
              </w:rPr>
            </w:pPr>
            <w:r w:rsidRPr="004420D3">
              <w:rPr>
                <w:rFonts w:eastAsia="Times New Roman" w:cs="Times New Roman"/>
                <w:b/>
                <w:bCs/>
                <w:color w:val="000000"/>
                <w:sz w:val="18"/>
                <w:szCs w:val="18"/>
              </w:rPr>
              <w:t xml:space="preserve">Shifting Expenditure Authority </w:t>
            </w:r>
            <w:r w:rsidR="004420D3">
              <w:rPr>
                <w:rFonts w:eastAsia="Times New Roman" w:cs="Times New Roman"/>
                <w:b/>
                <w:bCs/>
                <w:color w:val="000000"/>
                <w:sz w:val="18"/>
                <w:szCs w:val="18"/>
              </w:rPr>
              <w:t>w</w:t>
            </w:r>
            <w:r w:rsidRPr="004420D3">
              <w:rPr>
                <w:rFonts w:eastAsia="Times New Roman" w:cs="Times New Roman"/>
                <w:b/>
                <w:bCs/>
                <w:color w:val="000000"/>
                <w:sz w:val="18"/>
                <w:szCs w:val="18"/>
              </w:rPr>
              <w:t>ithin DY4</w:t>
            </w:r>
          </w:p>
        </w:tc>
      </w:tr>
      <w:tr w:rsidR="004B2D96" w:rsidRPr="004420D3" w14:paraId="4779185D" w14:textId="77777777" w:rsidTr="00A22666">
        <w:tc>
          <w:tcPr>
            <w:tcW w:w="3780" w:type="dxa"/>
            <w:tcBorders>
              <w:top w:val="nil"/>
              <w:left w:val="single" w:sz="4" w:space="0" w:color="BFBFBF"/>
              <w:bottom w:val="single" w:sz="12" w:space="0" w:color="BFBFBF"/>
              <w:right w:val="single" w:sz="12" w:space="0" w:color="BFBFBF"/>
            </w:tcBorders>
            <w:shd w:val="clear" w:color="000000" w:fill="1F497D"/>
            <w:noWrap/>
            <w:vAlign w:val="center"/>
            <w:hideMark/>
          </w:tcPr>
          <w:p w14:paraId="5A9A6A72" w14:textId="77777777" w:rsidR="004B2D96" w:rsidRPr="004420D3" w:rsidRDefault="004B2D96" w:rsidP="004B2D96">
            <w:pPr>
              <w:spacing w:after="0" w:line="240" w:lineRule="auto"/>
              <w:rPr>
                <w:rFonts w:eastAsia="Times New Roman" w:cs="Times New Roman"/>
                <w:b/>
                <w:bCs/>
                <w:color w:val="FFFFFF"/>
                <w:sz w:val="16"/>
                <w:szCs w:val="16"/>
              </w:rPr>
            </w:pPr>
            <w:r w:rsidRPr="004420D3">
              <w:rPr>
                <w:rFonts w:eastAsia="Times New Roman" w:cs="Times New Roman"/>
                <w:b/>
                <w:bCs/>
                <w:color w:val="FFFFFF"/>
                <w:sz w:val="16"/>
                <w:szCs w:val="16"/>
              </w:rPr>
              <w:t>Statewide Investments</w:t>
            </w:r>
          </w:p>
        </w:tc>
        <w:tc>
          <w:tcPr>
            <w:tcW w:w="1170" w:type="dxa"/>
            <w:tcBorders>
              <w:top w:val="nil"/>
              <w:left w:val="nil"/>
              <w:bottom w:val="single" w:sz="12" w:space="0" w:color="BFBFBF"/>
              <w:right w:val="single" w:sz="4" w:space="0" w:color="BFBFBF"/>
            </w:tcBorders>
            <w:shd w:val="clear" w:color="000000" w:fill="1F497D"/>
            <w:vAlign w:val="center"/>
            <w:hideMark/>
          </w:tcPr>
          <w:p w14:paraId="70F27FA3" w14:textId="77777777" w:rsidR="004B2D96" w:rsidRPr="004420D3" w:rsidRDefault="004B2D96" w:rsidP="004B2D96">
            <w:pPr>
              <w:spacing w:after="0" w:line="240" w:lineRule="auto"/>
              <w:jc w:val="center"/>
              <w:rPr>
                <w:rFonts w:eastAsia="Times New Roman" w:cs="Times New Roman"/>
                <w:b/>
                <w:bCs/>
                <w:color w:val="FFFFFF"/>
                <w:sz w:val="16"/>
                <w:szCs w:val="16"/>
              </w:rPr>
            </w:pPr>
            <w:r w:rsidRPr="004420D3">
              <w:rPr>
                <w:rFonts w:eastAsia="Times New Roman" w:cs="Times New Roman"/>
                <w:b/>
                <w:bCs/>
                <w:color w:val="FFFFFF"/>
                <w:sz w:val="16"/>
                <w:szCs w:val="16"/>
                <w:u w:val="single"/>
              </w:rPr>
              <w:t>DY4</w:t>
            </w:r>
            <w:r w:rsidRPr="004420D3">
              <w:rPr>
                <w:rFonts w:eastAsia="Times New Roman" w:cs="Times New Roman"/>
                <w:b/>
                <w:bCs/>
                <w:color w:val="FFFFFF"/>
                <w:sz w:val="16"/>
                <w:szCs w:val="16"/>
              </w:rPr>
              <w:t xml:space="preserve"> Exp Auth (Step 1)</w:t>
            </w:r>
          </w:p>
        </w:tc>
        <w:tc>
          <w:tcPr>
            <w:tcW w:w="1170" w:type="dxa"/>
            <w:tcBorders>
              <w:top w:val="nil"/>
              <w:left w:val="nil"/>
              <w:bottom w:val="single" w:sz="12" w:space="0" w:color="BFBFBF"/>
              <w:right w:val="single" w:sz="4" w:space="0" w:color="BFBFBF"/>
            </w:tcBorders>
            <w:shd w:val="clear" w:color="000000" w:fill="1F497D"/>
            <w:vAlign w:val="center"/>
            <w:hideMark/>
          </w:tcPr>
          <w:p w14:paraId="22178375" w14:textId="77777777" w:rsidR="004B2D96" w:rsidRPr="004420D3" w:rsidRDefault="004B2D96" w:rsidP="004B2D96">
            <w:pPr>
              <w:spacing w:after="0" w:line="240" w:lineRule="auto"/>
              <w:jc w:val="center"/>
              <w:rPr>
                <w:rFonts w:eastAsia="Times New Roman" w:cs="Times New Roman"/>
                <w:b/>
                <w:bCs/>
                <w:color w:val="FFFFFF"/>
                <w:sz w:val="16"/>
                <w:szCs w:val="16"/>
              </w:rPr>
            </w:pPr>
            <w:r w:rsidRPr="004420D3">
              <w:rPr>
                <w:rFonts w:eastAsia="Times New Roman" w:cs="Times New Roman"/>
                <w:b/>
                <w:bCs/>
                <w:color w:val="FFFFFF"/>
                <w:sz w:val="16"/>
                <w:szCs w:val="16"/>
              </w:rPr>
              <w:t xml:space="preserve">Shifted Exp Auth Within </w:t>
            </w:r>
            <w:r w:rsidRPr="004420D3">
              <w:rPr>
                <w:rFonts w:eastAsia="Times New Roman" w:cs="Times New Roman"/>
                <w:b/>
                <w:bCs/>
                <w:color w:val="FFFFFF"/>
                <w:sz w:val="16"/>
                <w:szCs w:val="16"/>
                <w:u w:val="single"/>
              </w:rPr>
              <w:t>DY4</w:t>
            </w:r>
          </w:p>
        </w:tc>
        <w:tc>
          <w:tcPr>
            <w:tcW w:w="1170" w:type="dxa"/>
            <w:tcBorders>
              <w:top w:val="nil"/>
              <w:left w:val="nil"/>
              <w:bottom w:val="single" w:sz="12" w:space="0" w:color="BFBFBF"/>
              <w:right w:val="single" w:sz="4" w:space="0" w:color="BFBFBF"/>
            </w:tcBorders>
            <w:shd w:val="clear" w:color="000000" w:fill="1F497D"/>
            <w:vAlign w:val="center"/>
            <w:hideMark/>
          </w:tcPr>
          <w:p w14:paraId="7B1AE110" w14:textId="77777777" w:rsidR="004B2D96" w:rsidRPr="004420D3" w:rsidRDefault="004B2D96" w:rsidP="004B2D96">
            <w:pPr>
              <w:spacing w:after="0" w:line="240" w:lineRule="auto"/>
              <w:jc w:val="center"/>
              <w:rPr>
                <w:rFonts w:eastAsia="Times New Roman" w:cs="Times New Roman"/>
                <w:b/>
                <w:bCs/>
                <w:color w:val="FFFFFF"/>
                <w:sz w:val="16"/>
                <w:szCs w:val="16"/>
              </w:rPr>
            </w:pPr>
            <w:r w:rsidRPr="004420D3">
              <w:rPr>
                <w:rFonts w:eastAsia="Times New Roman" w:cs="Times New Roman"/>
                <w:b/>
                <w:bCs/>
                <w:color w:val="FFFFFF"/>
                <w:sz w:val="16"/>
                <w:szCs w:val="16"/>
              </w:rPr>
              <w:t xml:space="preserve">Updated </w:t>
            </w:r>
            <w:r w:rsidRPr="004420D3">
              <w:rPr>
                <w:rFonts w:eastAsia="Times New Roman" w:cs="Times New Roman"/>
                <w:b/>
                <w:bCs/>
                <w:color w:val="FFFFFF"/>
                <w:sz w:val="16"/>
                <w:szCs w:val="16"/>
                <w:u w:val="single"/>
              </w:rPr>
              <w:t>DY4</w:t>
            </w:r>
            <w:r w:rsidRPr="004420D3">
              <w:rPr>
                <w:rFonts w:eastAsia="Times New Roman" w:cs="Times New Roman"/>
                <w:b/>
                <w:bCs/>
                <w:color w:val="FFFFFF"/>
                <w:sz w:val="16"/>
                <w:szCs w:val="16"/>
              </w:rPr>
              <w:t xml:space="preserve"> Exp Auth (Step 2)</w:t>
            </w:r>
          </w:p>
        </w:tc>
        <w:tc>
          <w:tcPr>
            <w:tcW w:w="990" w:type="dxa"/>
            <w:tcBorders>
              <w:top w:val="nil"/>
              <w:left w:val="nil"/>
              <w:bottom w:val="single" w:sz="12" w:space="0" w:color="BFBFBF"/>
              <w:right w:val="single" w:sz="12" w:space="0" w:color="BFBFBF"/>
            </w:tcBorders>
            <w:shd w:val="clear" w:color="000000" w:fill="1F497D"/>
            <w:noWrap/>
            <w:vAlign w:val="center"/>
            <w:hideMark/>
          </w:tcPr>
          <w:p w14:paraId="5139208B" w14:textId="77777777" w:rsidR="004B2D96" w:rsidRPr="004420D3" w:rsidRDefault="004B2D96" w:rsidP="004B2D96">
            <w:pPr>
              <w:spacing w:after="0" w:line="240" w:lineRule="auto"/>
              <w:jc w:val="center"/>
              <w:rPr>
                <w:rFonts w:eastAsia="Times New Roman" w:cs="Times New Roman"/>
                <w:b/>
                <w:bCs/>
                <w:color w:val="FFFFFF"/>
                <w:sz w:val="16"/>
                <w:szCs w:val="16"/>
              </w:rPr>
            </w:pPr>
            <w:r w:rsidRPr="004420D3">
              <w:rPr>
                <w:rFonts w:eastAsia="Times New Roman" w:cs="Times New Roman"/>
                <w:b/>
                <w:bCs/>
                <w:color w:val="FFFFFF"/>
                <w:sz w:val="16"/>
                <w:szCs w:val="16"/>
              </w:rPr>
              <w:t>% Shift</w:t>
            </w:r>
          </w:p>
        </w:tc>
        <w:tc>
          <w:tcPr>
            <w:tcW w:w="1170" w:type="dxa"/>
            <w:tcBorders>
              <w:top w:val="nil"/>
              <w:left w:val="nil"/>
              <w:bottom w:val="single" w:sz="12" w:space="0" w:color="BFBFBF"/>
              <w:right w:val="single" w:sz="4" w:space="0" w:color="BFBFBF"/>
            </w:tcBorders>
            <w:shd w:val="clear" w:color="000000" w:fill="1F497D"/>
            <w:noWrap/>
            <w:vAlign w:val="center"/>
            <w:hideMark/>
          </w:tcPr>
          <w:p w14:paraId="17A2468C" w14:textId="77777777" w:rsidR="004B2D96" w:rsidRPr="004420D3" w:rsidRDefault="004B2D96" w:rsidP="004B2D96">
            <w:pPr>
              <w:spacing w:after="0" w:line="240" w:lineRule="auto"/>
              <w:jc w:val="center"/>
              <w:rPr>
                <w:rFonts w:eastAsia="Times New Roman" w:cs="Times New Roman"/>
                <w:b/>
                <w:bCs/>
                <w:color w:val="FFFFFF"/>
                <w:sz w:val="16"/>
                <w:szCs w:val="16"/>
              </w:rPr>
            </w:pPr>
            <w:r w:rsidRPr="004420D3">
              <w:rPr>
                <w:rFonts w:eastAsia="Times New Roman" w:cs="Times New Roman"/>
                <w:b/>
                <w:bCs/>
                <w:color w:val="FFFFFF"/>
                <w:sz w:val="16"/>
                <w:szCs w:val="16"/>
              </w:rPr>
              <w:t>Notes</w:t>
            </w:r>
          </w:p>
        </w:tc>
      </w:tr>
      <w:tr w:rsidR="00A22666" w:rsidRPr="004420D3" w14:paraId="7D5F3D88" w14:textId="77777777" w:rsidTr="00A22666">
        <w:trPr>
          <w:trHeight w:val="530"/>
        </w:trPr>
        <w:tc>
          <w:tcPr>
            <w:tcW w:w="3780" w:type="dxa"/>
            <w:tcBorders>
              <w:top w:val="nil"/>
              <w:left w:val="single" w:sz="4" w:space="0" w:color="BFBFBF"/>
              <w:bottom w:val="single" w:sz="4" w:space="0" w:color="BFBFBF"/>
              <w:right w:val="single" w:sz="12" w:space="0" w:color="BFBFBF"/>
            </w:tcBorders>
            <w:shd w:val="clear" w:color="auto" w:fill="auto"/>
            <w:vAlign w:val="center"/>
            <w:hideMark/>
          </w:tcPr>
          <w:p w14:paraId="0BA887C6" w14:textId="77777777" w:rsidR="004B2D96" w:rsidRPr="004420D3" w:rsidRDefault="004B2D96" w:rsidP="004B2D96">
            <w:pPr>
              <w:spacing w:after="0" w:line="240" w:lineRule="auto"/>
              <w:rPr>
                <w:rFonts w:eastAsia="Times New Roman" w:cs="Times New Roman"/>
                <w:color w:val="000000"/>
                <w:sz w:val="16"/>
                <w:szCs w:val="16"/>
              </w:rPr>
            </w:pPr>
            <w:r w:rsidRPr="004420D3">
              <w:rPr>
                <w:rFonts w:eastAsia="Times New Roman" w:cs="Times New Roman"/>
                <w:color w:val="000000"/>
                <w:sz w:val="16"/>
                <w:szCs w:val="16"/>
              </w:rPr>
              <w:t>SWI #1: Student Loan Repayment Program</w:t>
            </w:r>
          </w:p>
        </w:tc>
        <w:tc>
          <w:tcPr>
            <w:tcW w:w="1170" w:type="dxa"/>
            <w:tcBorders>
              <w:top w:val="nil"/>
              <w:left w:val="nil"/>
              <w:bottom w:val="single" w:sz="4" w:space="0" w:color="BFBFBF"/>
              <w:right w:val="single" w:sz="4" w:space="0" w:color="BFBFBF"/>
            </w:tcBorders>
            <w:shd w:val="clear" w:color="auto" w:fill="auto"/>
            <w:noWrap/>
            <w:vAlign w:val="center"/>
            <w:hideMark/>
          </w:tcPr>
          <w:p w14:paraId="5B6D5E31"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$3.50 M</w:t>
            </w:r>
          </w:p>
        </w:tc>
        <w:tc>
          <w:tcPr>
            <w:tcW w:w="1170" w:type="dxa"/>
            <w:tcBorders>
              <w:top w:val="single" w:sz="4" w:space="0" w:color="BFBFBF"/>
              <w:left w:val="nil"/>
              <w:bottom w:val="single" w:sz="4" w:space="0" w:color="BFBFBF"/>
              <w:right w:val="single" w:sz="4" w:space="0" w:color="BFBFBF"/>
            </w:tcBorders>
            <w:shd w:val="clear" w:color="auto" w:fill="auto"/>
            <w:noWrap/>
            <w:vAlign w:val="center"/>
            <w:hideMark/>
          </w:tcPr>
          <w:p w14:paraId="0DC35E89"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$0.46 M</w:t>
            </w:r>
          </w:p>
        </w:tc>
        <w:tc>
          <w:tcPr>
            <w:tcW w:w="1170" w:type="dxa"/>
            <w:tcBorders>
              <w:top w:val="nil"/>
              <w:left w:val="nil"/>
              <w:bottom w:val="single" w:sz="4" w:space="0" w:color="BFBFBF"/>
              <w:right w:val="single" w:sz="4" w:space="0" w:color="BFBFBF"/>
            </w:tcBorders>
            <w:shd w:val="clear" w:color="auto" w:fill="auto"/>
            <w:noWrap/>
            <w:vAlign w:val="center"/>
            <w:hideMark/>
          </w:tcPr>
          <w:p w14:paraId="1B0E745B"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$3.96 M</w:t>
            </w:r>
          </w:p>
        </w:tc>
        <w:tc>
          <w:tcPr>
            <w:tcW w:w="990" w:type="dxa"/>
            <w:tcBorders>
              <w:top w:val="nil"/>
              <w:left w:val="nil"/>
              <w:bottom w:val="single" w:sz="4" w:space="0" w:color="BFBFBF"/>
              <w:right w:val="single" w:sz="12" w:space="0" w:color="BFBFBF"/>
            </w:tcBorders>
            <w:shd w:val="clear" w:color="auto" w:fill="auto"/>
            <w:noWrap/>
            <w:vAlign w:val="center"/>
            <w:hideMark/>
          </w:tcPr>
          <w:p w14:paraId="14927E95"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13%</w:t>
            </w:r>
          </w:p>
        </w:tc>
        <w:tc>
          <w:tcPr>
            <w:tcW w:w="1170" w:type="dxa"/>
            <w:tcBorders>
              <w:top w:val="single" w:sz="4" w:space="0" w:color="BFBFBF"/>
              <w:left w:val="nil"/>
              <w:bottom w:val="single" w:sz="4" w:space="0" w:color="BFBFBF"/>
              <w:right w:val="single" w:sz="4" w:space="0" w:color="BFBFBF"/>
            </w:tcBorders>
            <w:shd w:val="clear" w:color="auto" w:fill="auto"/>
            <w:vAlign w:val="center"/>
            <w:hideMark/>
          </w:tcPr>
          <w:p w14:paraId="530EE475"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Shifted exp auth &lt;$1M</w:t>
            </w:r>
          </w:p>
        </w:tc>
      </w:tr>
      <w:tr w:rsidR="00A22666" w:rsidRPr="004420D3" w14:paraId="7F32290D" w14:textId="77777777" w:rsidTr="00A22666">
        <w:trPr>
          <w:trHeight w:val="290"/>
        </w:trPr>
        <w:tc>
          <w:tcPr>
            <w:tcW w:w="3780" w:type="dxa"/>
            <w:tcBorders>
              <w:top w:val="nil"/>
              <w:left w:val="single" w:sz="4" w:space="0" w:color="BFBFBF"/>
              <w:bottom w:val="single" w:sz="4" w:space="0" w:color="BFBFBF"/>
              <w:right w:val="single" w:sz="12" w:space="0" w:color="BFBFBF"/>
            </w:tcBorders>
            <w:shd w:val="clear" w:color="auto" w:fill="auto"/>
            <w:vAlign w:val="center"/>
            <w:hideMark/>
          </w:tcPr>
          <w:p w14:paraId="49C8933A" w14:textId="77777777" w:rsidR="004B2D96" w:rsidRPr="004420D3" w:rsidRDefault="004B2D96" w:rsidP="004B2D96">
            <w:pPr>
              <w:spacing w:after="0" w:line="240" w:lineRule="auto"/>
              <w:rPr>
                <w:rFonts w:eastAsia="Times New Roman" w:cs="Times New Roman"/>
                <w:color w:val="000000"/>
                <w:sz w:val="16"/>
                <w:szCs w:val="16"/>
              </w:rPr>
            </w:pPr>
            <w:r w:rsidRPr="004420D3">
              <w:rPr>
                <w:rFonts w:eastAsia="Times New Roman" w:cs="Times New Roman"/>
                <w:color w:val="000000"/>
                <w:sz w:val="16"/>
                <w:szCs w:val="16"/>
              </w:rPr>
              <w:t>SWI #2: Primary Care Integration Models and Retention</w:t>
            </w:r>
          </w:p>
        </w:tc>
        <w:tc>
          <w:tcPr>
            <w:tcW w:w="1170" w:type="dxa"/>
            <w:tcBorders>
              <w:top w:val="nil"/>
              <w:left w:val="nil"/>
              <w:bottom w:val="single" w:sz="4" w:space="0" w:color="BFBFBF"/>
              <w:right w:val="single" w:sz="4" w:space="0" w:color="BFBFBF"/>
            </w:tcBorders>
            <w:shd w:val="clear" w:color="auto" w:fill="auto"/>
            <w:noWrap/>
            <w:vAlign w:val="center"/>
            <w:hideMark/>
          </w:tcPr>
          <w:p w14:paraId="2EC4E59F"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$1.20 M</w:t>
            </w:r>
          </w:p>
        </w:tc>
        <w:tc>
          <w:tcPr>
            <w:tcW w:w="1170" w:type="dxa"/>
            <w:tcBorders>
              <w:top w:val="nil"/>
              <w:left w:val="nil"/>
              <w:bottom w:val="single" w:sz="4" w:space="0" w:color="BFBFBF"/>
              <w:right w:val="single" w:sz="4" w:space="0" w:color="BFBFBF"/>
            </w:tcBorders>
            <w:shd w:val="clear" w:color="auto" w:fill="auto"/>
            <w:noWrap/>
            <w:vAlign w:val="center"/>
            <w:hideMark/>
          </w:tcPr>
          <w:p w14:paraId="52A9DE86"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 </w:t>
            </w:r>
          </w:p>
        </w:tc>
        <w:tc>
          <w:tcPr>
            <w:tcW w:w="1170" w:type="dxa"/>
            <w:tcBorders>
              <w:top w:val="nil"/>
              <w:left w:val="nil"/>
              <w:bottom w:val="single" w:sz="4" w:space="0" w:color="BFBFBF"/>
              <w:right w:val="single" w:sz="4" w:space="0" w:color="BFBFBF"/>
            </w:tcBorders>
            <w:shd w:val="clear" w:color="auto" w:fill="auto"/>
            <w:noWrap/>
            <w:vAlign w:val="center"/>
            <w:hideMark/>
          </w:tcPr>
          <w:p w14:paraId="59CAABBF"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$1.20 M</w:t>
            </w:r>
          </w:p>
        </w:tc>
        <w:tc>
          <w:tcPr>
            <w:tcW w:w="990" w:type="dxa"/>
            <w:tcBorders>
              <w:top w:val="nil"/>
              <w:left w:val="nil"/>
              <w:bottom w:val="single" w:sz="4" w:space="0" w:color="BFBFBF"/>
              <w:right w:val="single" w:sz="12" w:space="0" w:color="BFBFBF"/>
            </w:tcBorders>
            <w:shd w:val="clear" w:color="auto" w:fill="auto"/>
            <w:noWrap/>
            <w:vAlign w:val="center"/>
            <w:hideMark/>
          </w:tcPr>
          <w:p w14:paraId="4F2B9BE6"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0%</w:t>
            </w:r>
          </w:p>
        </w:tc>
        <w:tc>
          <w:tcPr>
            <w:tcW w:w="1170" w:type="dxa"/>
            <w:tcBorders>
              <w:top w:val="nil"/>
              <w:left w:val="nil"/>
              <w:bottom w:val="single" w:sz="4" w:space="0" w:color="BFBFBF"/>
              <w:right w:val="single" w:sz="4" w:space="0" w:color="BFBFBF"/>
            </w:tcBorders>
            <w:shd w:val="clear" w:color="auto" w:fill="auto"/>
            <w:vAlign w:val="center"/>
            <w:hideMark/>
          </w:tcPr>
          <w:p w14:paraId="57089467"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 </w:t>
            </w:r>
          </w:p>
        </w:tc>
      </w:tr>
      <w:tr w:rsidR="00A22666" w:rsidRPr="004420D3" w14:paraId="7E407F32" w14:textId="77777777" w:rsidTr="00A22666">
        <w:trPr>
          <w:trHeight w:val="520"/>
        </w:trPr>
        <w:tc>
          <w:tcPr>
            <w:tcW w:w="3780" w:type="dxa"/>
            <w:tcBorders>
              <w:top w:val="nil"/>
              <w:left w:val="single" w:sz="4" w:space="0" w:color="BFBFBF"/>
              <w:bottom w:val="single" w:sz="4" w:space="0" w:color="BFBFBF"/>
              <w:right w:val="single" w:sz="12" w:space="0" w:color="BFBFBF"/>
            </w:tcBorders>
            <w:shd w:val="clear" w:color="auto" w:fill="auto"/>
            <w:vAlign w:val="center"/>
            <w:hideMark/>
          </w:tcPr>
          <w:p w14:paraId="425DDEAB" w14:textId="77777777" w:rsidR="004B2D96" w:rsidRPr="004420D3" w:rsidRDefault="004B2D96" w:rsidP="004B2D96">
            <w:pPr>
              <w:spacing w:after="0" w:line="240" w:lineRule="auto"/>
              <w:rPr>
                <w:rFonts w:eastAsia="Times New Roman" w:cs="Times New Roman"/>
                <w:color w:val="000000"/>
                <w:sz w:val="16"/>
                <w:szCs w:val="16"/>
              </w:rPr>
            </w:pPr>
            <w:r w:rsidRPr="004420D3">
              <w:rPr>
                <w:rFonts w:eastAsia="Times New Roman" w:cs="Times New Roman"/>
                <w:color w:val="000000"/>
                <w:sz w:val="16"/>
                <w:szCs w:val="16"/>
              </w:rPr>
              <w:t>SWI #3: Investment in Primary Care Residency Training</w:t>
            </w:r>
          </w:p>
        </w:tc>
        <w:tc>
          <w:tcPr>
            <w:tcW w:w="1170" w:type="dxa"/>
            <w:tcBorders>
              <w:top w:val="nil"/>
              <w:left w:val="nil"/>
              <w:bottom w:val="single" w:sz="4" w:space="0" w:color="BFBFBF"/>
              <w:right w:val="single" w:sz="4" w:space="0" w:color="BFBFBF"/>
            </w:tcBorders>
            <w:shd w:val="clear" w:color="auto" w:fill="auto"/>
            <w:noWrap/>
            <w:vAlign w:val="center"/>
            <w:hideMark/>
          </w:tcPr>
          <w:p w14:paraId="26342535"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$2.10 M</w:t>
            </w:r>
          </w:p>
        </w:tc>
        <w:tc>
          <w:tcPr>
            <w:tcW w:w="1170" w:type="dxa"/>
            <w:tcBorders>
              <w:top w:val="nil"/>
              <w:left w:val="nil"/>
              <w:bottom w:val="single" w:sz="4" w:space="0" w:color="BFBFBF"/>
              <w:right w:val="single" w:sz="4" w:space="0" w:color="BFBFBF"/>
            </w:tcBorders>
            <w:shd w:val="clear" w:color="auto" w:fill="auto"/>
            <w:noWrap/>
            <w:vAlign w:val="center"/>
            <w:hideMark/>
          </w:tcPr>
          <w:p w14:paraId="398428FD" w14:textId="00471643"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$0.4</w:t>
            </w:r>
            <w:r w:rsidR="000A0173" w:rsidRPr="004420D3">
              <w:rPr>
                <w:rFonts w:eastAsia="Times New Roman" w:cs="Times New Roman"/>
                <w:color w:val="000000"/>
                <w:sz w:val="16"/>
                <w:szCs w:val="16"/>
              </w:rPr>
              <w:t>9</w:t>
            </w:r>
            <w:r w:rsidRPr="004420D3">
              <w:rPr>
                <w:rFonts w:eastAsia="Times New Roman" w:cs="Times New Roman"/>
                <w:color w:val="000000"/>
                <w:sz w:val="16"/>
                <w:szCs w:val="16"/>
              </w:rPr>
              <w:t xml:space="preserve"> M</w:t>
            </w:r>
          </w:p>
        </w:tc>
        <w:tc>
          <w:tcPr>
            <w:tcW w:w="1170" w:type="dxa"/>
            <w:tcBorders>
              <w:top w:val="nil"/>
              <w:left w:val="nil"/>
              <w:bottom w:val="single" w:sz="4" w:space="0" w:color="BFBFBF"/>
              <w:right w:val="single" w:sz="4" w:space="0" w:color="BFBFBF"/>
            </w:tcBorders>
            <w:shd w:val="clear" w:color="auto" w:fill="auto"/>
            <w:noWrap/>
            <w:vAlign w:val="center"/>
            <w:hideMark/>
          </w:tcPr>
          <w:p w14:paraId="1E25375F" w14:textId="422DB85E"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$2.5</w:t>
            </w:r>
            <w:r w:rsidR="000A0173" w:rsidRPr="004420D3">
              <w:rPr>
                <w:rFonts w:eastAsia="Times New Roman" w:cs="Times New Roman"/>
                <w:color w:val="000000"/>
                <w:sz w:val="16"/>
                <w:szCs w:val="16"/>
              </w:rPr>
              <w:t>9</w:t>
            </w:r>
            <w:r w:rsidRPr="004420D3">
              <w:rPr>
                <w:rFonts w:eastAsia="Times New Roman" w:cs="Times New Roman"/>
                <w:color w:val="000000"/>
                <w:sz w:val="16"/>
                <w:szCs w:val="16"/>
              </w:rPr>
              <w:t xml:space="preserve"> M</w:t>
            </w:r>
          </w:p>
        </w:tc>
        <w:tc>
          <w:tcPr>
            <w:tcW w:w="990" w:type="dxa"/>
            <w:tcBorders>
              <w:top w:val="nil"/>
              <w:left w:val="nil"/>
              <w:bottom w:val="single" w:sz="4" w:space="0" w:color="BFBFBF"/>
              <w:right w:val="single" w:sz="12" w:space="0" w:color="BFBFBF"/>
            </w:tcBorders>
            <w:shd w:val="clear" w:color="auto" w:fill="auto"/>
            <w:noWrap/>
            <w:vAlign w:val="center"/>
            <w:hideMark/>
          </w:tcPr>
          <w:p w14:paraId="14C9F99A" w14:textId="6F06D88C"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2</w:t>
            </w:r>
            <w:r w:rsidR="000A0173" w:rsidRPr="004420D3">
              <w:rPr>
                <w:rFonts w:eastAsia="Times New Roman" w:cs="Times New Roman"/>
                <w:color w:val="000000"/>
                <w:sz w:val="16"/>
                <w:szCs w:val="16"/>
              </w:rPr>
              <w:t>3</w:t>
            </w:r>
            <w:r w:rsidRPr="004420D3">
              <w:rPr>
                <w:rFonts w:eastAsia="Times New Roman" w:cs="Times New Roman"/>
                <w:color w:val="000000"/>
                <w:sz w:val="16"/>
                <w:szCs w:val="16"/>
              </w:rPr>
              <w:t>%</w:t>
            </w:r>
          </w:p>
        </w:tc>
        <w:tc>
          <w:tcPr>
            <w:tcW w:w="1170" w:type="dxa"/>
            <w:tcBorders>
              <w:top w:val="nil"/>
              <w:left w:val="nil"/>
              <w:bottom w:val="single" w:sz="4" w:space="0" w:color="BFBFBF"/>
              <w:right w:val="single" w:sz="4" w:space="0" w:color="BFBFBF"/>
            </w:tcBorders>
            <w:shd w:val="clear" w:color="auto" w:fill="auto"/>
            <w:vAlign w:val="center"/>
            <w:hideMark/>
          </w:tcPr>
          <w:p w14:paraId="2379445E"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Shifted exp auth &lt;$1M</w:t>
            </w:r>
          </w:p>
        </w:tc>
      </w:tr>
      <w:tr w:rsidR="00A22666" w:rsidRPr="004420D3" w14:paraId="718D581E" w14:textId="77777777" w:rsidTr="00A22666">
        <w:trPr>
          <w:trHeight w:val="290"/>
        </w:trPr>
        <w:tc>
          <w:tcPr>
            <w:tcW w:w="3780" w:type="dxa"/>
            <w:tcBorders>
              <w:top w:val="nil"/>
              <w:left w:val="single" w:sz="4" w:space="0" w:color="BFBFBF"/>
              <w:bottom w:val="single" w:sz="4" w:space="0" w:color="BFBFBF"/>
              <w:right w:val="single" w:sz="12" w:space="0" w:color="BFBFBF"/>
            </w:tcBorders>
            <w:shd w:val="clear" w:color="auto" w:fill="auto"/>
            <w:vAlign w:val="center"/>
            <w:hideMark/>
          </w:tcPr>
          <w:p w14:paraId="0B5C9216" w14:textId="77777777" w:rsidR="004B2D96" w:rsidRPr="004420D3" w:rsidRDefault="004B2D96" w:rsidP="004B2D96">
            <w:pPr>
              <w:spacing w:after="0" w:line="240" w:lineRule="auto"/>
              <w:rPr>
                <w:rFonts w:eastAsia="Times New Roman" w:cs="Times New Roman"/>
                <w:color w:val="000000"/>
                <w:sz w:val="16"/>
                <w:szCs w:val="16"/>
              </w:rPr>
            </w:pPr>
            <w:r w:rsidRPr="004420D3">
              <w:rPr>
                <w:rFonts w:eastAsia="Times New Roman" w:cs="Times New Roman"/>
                <w:color w:val="000000"/>
                <w:sz w:val="16"/>
                <w:szCs w:val="16"/>
              </w:rPr>
              <w:t>SWI #4: Workforce Development Grant Program</w:t>
            </w:r>
          </w:p>
        </w:tc>
        <w:tc>
          <w:tcPr>
            <w:tcW w:w="1170" w:type="dxa"/>
            <w:tcBorders>
              <w:top w:val="nil"/>
              <w:left w:val="single" w:sz="4" w:space="0" w:color="BFBFBF"/>
              <w:bottom w:val="single" w:sz="4" w:space="0" w:color="BFBFBF"/>
              <w:right w:val="single" w:sz="4" w:space="0" w:color="BFBFBF"/>
            </w:tcBorders>
            <w:shd w:val="clear" w:color="auto" w:fill="auto"/>
            <w:noWrap/>
            <w:vAlign w:val="center"/>
            <w:hideMark/>
          </w:tcPr>
          <w:p w14:paraId="795CFF46" w14:textId="74AE5862"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w:t>
            </w:r>
            <w:r w:rsidR="000A0173" w:rsidRPr="004420D3">
              <w:rPr>
                <w:rFonts w:eastAsia="Times New Roman" w:cs="Times New Roman"/>
                <w:color w:val="000000"/>
                <w:sz w:val="16"/>
                <w:szCs w:val="16"/>
              </w:rPr>
              <w:t>4.12</w:t>
            </w:r>
            <w:r w:rsidRPr="004420D3">
              <w:rPr>
                <w:rFonts w:eastAsia="Times New Roman" w:cs="Times New Roman"/>
                <w:color w:val="000000"/>
                <w:sz w:val="16"/>
                <w:szCs w:val="16"/>
              </w:rPr>
              <w:t xml:space="preserve"> M</w:t>
            </w:r>
          </w:p>
        </w:tc>
        <w:tc>
          <w:tcPr>
            <w:tcW w:w="1170" w:type="dxa"/>
            <w:tcBorders>
              <w:top w:val="nil"/>
              <w:left w:val="nil"/>
              <w:bottom w:val="single" w:sz="4" w:space="0" w:color="BFBFBF"/>
              <w:right w:val="single" w:sz="4" w:space="0" w:color="BFBFBF"/>
            </w:tcBorders>
            <w:shd w:val="clear" w:color="auto" w:fill="auto"/>
            <w:noWrap/>
            <w:vAlign w:val="center"/>
            <w:hideMark/>
          </w:tcPr>
          <w:p w14:paraId="7FBA23DA"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 </w:t>
            </w:r>
          </w:p>
        </w:tc>
        <w:tc>
          <w:tcPr>
            <w:tcW w:w="1170" w:type="dxa"/>
            <w:tcBorders>
              <w:top w:val="nil"/>
              <w:left w:val="nil"/>
              <w:bottom w:val="single" w:sz="4" w:space="0" w:color="BFBFBF"/>
              <w:right w:val="single" w:sz="4" w:space="0" w:color="BFBFBF"/>
            </w:tcBorders>
            <w:shd w:val="clear" w:color="auto" w:fill="auto"/>
            <w:noWrap/>
            <w:vAlign w:val="center"/>
            <w:hideMark/>
          </w:tcPr>
          <w:p w14:paraId="22FE531D" w14:textId="5F81AC99"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w:t>
            </w:r>
            <w:r w:rsidR="000A0173" w:rsidRPr="004420D3">
              <w:rPr>
                <w:rFonts w:eastAsia="Times New Roman" w:cs="Times New Roman"/>
                <w:color w:val="000000"/>
                <w:sz w:val="16"/>
                <w:szCs w:val="16"/>
              </w:rPr>
              <w:t>4.12</w:t>
            </w:r>
            <w:r w:rsidRPr="004420D3">
              <w:rPr>
                <w:rFonts w:eastAsia="Times New Roman" w:cs="Times New Roman"/>
                <w:color w:val="000000"/>
                <w:sz w:val="16"/>
                <w:szCs w:val="16"/>
              </w:rPr>
              <w:t xml:space="preserve"> M</w:t>
            </w:r>
          </w:p>
        </w:tc>
        <w:tc>
          <w:tcPr>
            <w:tcW w:w="990" w:type="dxa"/>
            <w:tcBorders>
              <w:top w:val="nil"/>
              <w:left w:val="nil"/>
              <w:bottom w:val="single" w:sz="4" w:space="0" w:color="BFBFBF"/>
              <w:right w:val="single" w:sz="12" w:space="0" w:color="BFBFBF"/>
            </w:tcBorders>
            <w:shd w:val="clear" w:color="auto" w:fill="auto"/>
            <w:noWrap/>
            <w:vAlign w:val="center"/>
            <w:hideMark/>
          </w:tcPr>
          <w:p w14:paraId="11C74F30"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0%</w:t>
            </w:r>
          </w:p>
        </w:tc>
        <w:tc>
          <w:tcPr>
            <w:tcW w:w="1170" w:type="dxa"/>
            <w:tcBorders>
              <w:top w:val="nil"/>
              <w:left w:val="nil"/>
              <w:bottom w:val="single" w:sz="4" w:space="0" w:color="BFBFBF"/>
              <w:right w:val="single" w:sz="4" w:space="0" w:color="BFBFBF"/>
            </w:tcBorders>
            <w:shd w:val="clear" w:color="auto" w:fill="auto"/>
            <w:vAlign w:val="center"/>
            <w:hideMark/>
          </w:tcPr>
          <w:p w14:paraId="26359B23"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 </w:t>
            </w:r>
          </w:p>
        </w:tc>
      </w:tr>
      <w:tr w:rsidR="00A22666" w:rsidRPr="004420D3" w14:paraId="6BE157E5" w14:textId="77777777" w:rsidTr="00A22666">
        <w:trPr>
          <w:trHeight w:val="290"/>
        </w:trPr>
        <w:tc>
          <w:tcPr>
            <w:tcW w:w="3780" w:type="dxa"/>
            <w:tcBorders>
              <w:top w:val="nil"/>
              <w:left w:val="single" w:sz="4" w:space="0" w:color="BFBFBF"/>
              <w:bottom w:val="single" w:sz="4" w:space="0" w:color="BFBFBF"/>
              <w:right w:val="single" w:sz="12" w:space="0" w:color="BFBFBF"/>
            </w:tcBorders>
            <w:shd w:val="clear" w:color="auto" w:fill="auto"/>
            <w:vAlign w:val="center"/>
            <w:hideMark/>
          </w:tcPr>
          <w:p w14:paraId="567A5EE6" w14:textId="77777777" w:rsidR="004B2D96" w:rsidRPr="004420D3" w:rsidRDefault="004B2D96" w:rsidP="004B2D96">
            <w:pPr>
              <w:spacing w:after="0" w:line="240" w:lineRule="auto"/>
              <w:rPr>
                <w:rFonts w:eastAsia="Times New Roman" w:cs="Times New Roman"/>
                <w:color w:val="000000"/>
                <w:sz w:val="16"/>
                <w:szCs w:val="16"/>
              </w:rPr>
            </w:pPr>
            <w:r w:rsidRPr="004420D3">
              <w:rPr>
                <w:rFonts w:eastAsia="Times New Roman" w:cs="Times New Roman"/>
                <w:color w:val="000000"/>
                <w:sz w:val="16"/>
                <w:szCs w:val="16"/>
              </w:rPr>
              <w:t>SWI #5: Technical Assistance for ACOs and CPs</w:t>
            </w:r>
          </w:p>
        </w:tc>
        <w:tc>
          <w:tcPr>
            <w:tcW w:w="1170" w:type="dxa"/>
            <w:tcBorders>
              <w:top w:val="nil"/>
              <w:left w:val="nil"/>
              <w:bottom w:val="single" w:sz="4" w:space="0" w:color="BFBFBF"/>
              <w:right w:val="single" w:sz="4" w:space="0" w:color="BFBFBF"/>
            </w:tcBorders>
            <w:shd w:val="clear" w:color="auto" w:fill="auto"/>
            <w:noWrap/>
            <w:vAlign w:val="center"/>
            <w:hideMark/>
          </w:tcPr>
          <w:p w14:paraId="2F977BE4"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$11.30 M</w:t>
            </w:r>
          </w:p>
        </w:tc>
        <w:tc>
          <w:tcPr>
            <w:tcW w:w="1170" w:type="dxa"/>
            <w:tcBorders>
              <w:top w:val="nil"/>
              <w:left w:val="nil"/>
              <w:bottom w:val="single" w:sz="4" w:space="0" w:color="BFBFBF"/>
              <w:right w:val="single" w:sz="4" w:space="0" w:color="BFBFBF"/>
            </w:tcBorders>
            <w:shd w:val="clear" w:color="auto" w:fill="auto"/>
            <w:noWrap/>
            <w:vAlign w:val="center"/>
            <w:hideMark/>
          </w:tcPr>
          <w:p w14:paraId="6178A79A"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 </w:t>
            </w:r>
          </w:p>
        </w:tc>
        <w:tc>
          <w:tcPr>
            <w:tcW w:w="1170" w:type="dxa"/>
            <w:tcBorders>
              <w:top w:val="nil"/>
              <w:left w:val="nil"/>
              <w:bottom w:val="single" w:sz="4" w:space="0" w:color="BFBFBF"/>
              <w:right w:val="single" w:sz="4" w:space="0" w:color="BFBFBF"/>
            </w:tcBorders>
            <w:shd w:val="clear" w:color="auto" w:fill="auto"/>
            <w:noWrap/>
            <w:vAlign w:val="center"/>
            <w:hideMark/>
          </w:tcPr>
          <w:p w14:paraId="6CC2AD9D"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$11.30 M</w:t>
            </w:r>
          </w:p>
        </w:tc>
        <w:tc>
          <w:tcPr>
            <w:tcW w:w="990" w:type="dxa"/>
            <w:tcBorders>
              <w:top w:val="nil"/>
              <w:left w:val="nil"/>
              <w:bottom w:val="single" w:sz="4" w:space="0" w:color="BFBFBF"/>
              <w:right w:val="single" w:sz="12" w:space="0" w:color="BFBFBF"/>
            </w:tcBorders>
            <w:shd w:val="clear" w:color="auto" w:fill="auto"/>
            <w:noWrap/>
            <w:vAlign w:val="center"/>
            <w:hideMark/>
          </w:tcPr>
          <w:p w14:paraId="038B44BE"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0%</w:t>
            </w:r>
          </w:p>
        </w:tc>
        <w:tc>
          <w:tcPr>
            <w:tcW w:w="1170" w:type="dxa"/>
            <w:tcBorders>
              <w:top w:val="nil"/>
              <w:left w:val="nil"/>
              <w:bottom w:val="single" w:sz="4" w:space="0" w:color="BFBFBF"/>
              <w:right w:val="single" w:sz="4" w:space="0" w:color="BFBFBF"/>
            </w:tcBorders>
            <w:shd w:val="clear" w:color="auto" w:fill="auto"/>
            <w:vAlign w:val="center"/>
            <w:hideMark/>
          </w:tcPr>
          <w:p w14:paraId="10D8E54C"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 </w:t>
            </w:r>
          </w:p>
        </w:tc>
      </w:tr>
      <w:tr w:rsidR="00A22666" w:rsidRPr="004420D3" w14:paraId="6FFBAAF7" w14:textId="77777777" w:rsidTr="00A22666">
        <w:trPr>
          <w:trHeight w:val="290"/>
        </w:trPr>
        <w:tc>
          <w:tcPr>
            <w:tcW w:w="3780" w:type="dxa"/>
            <w:tcBorders>
              <w:top w:val="nil"/>
              <w:left w:val="single" w:sz="4" w:space="0" w:color="BFBFBF"/>
              <w:bottom w:val="single" w:sz="4" w:space="0" w:color="BFBFBF"/>
              <w:right w:val="single" w:sz="12" w:space="0" w:color="BFBFBF"/>
            </w:tcBorders>
            <w:shd w:val="clear" w:color="auto" w:fill="auto"/>
            <w:vAlign w:val="center"/>
            <w:hideMark/>
          </w:tcPr>
          <w:p w14:paraId="3EF5CA60" w14:textId="77777777" w:rsidR="004B2D96" w:rsidRPr="004420D3" w:rsidRDefault="004B2D96" w:rsidP="004B2D96">
            <w:pPr>
              <w:spacing w:after="0" w:line="240" w:lineRule="auto"/>
              <w:rPr>
                <w:rFonts w:eastAsia="Times New Roman" w:cs="Times New Roman"/>
                <w:color w:val="000000"/>
                <w:sz w:val="16"/>
                <w:szCs w:val="16"/>
              </w:rPr>
            </w:pPr>
            <w:r w:rsidRPr="004420D3">
              <w:rPr>
                <w:rFonts w:eastAsia="Times New Roman" w:cs="Times New Roman"/>
                <w:color w:val="000000"/>
                <w:sz w:val="16"/>
                <w:szCs w:val="16"/>
              </w:rPr>
              <w:t>SWI #6: Alternative Payment Methodology Preparation Funds</w:t>
            </w:r>
          </w:p>
        </w:tc>
        <w:tc>
          <w:tcPr>
            <w:tcW w:w="1170" w:type="dxa"/>
            <w:tcBorders>
              <w:top w:val="nil"/>
              <w:left w:val="nil"/>
              <w:bottom w:val="single" w:sz="4" w:space="0" w:color="BFBFBF"/>
              <w:right w:val="single" w:sz="4" w:space="0" w:color="BFBFBF"/>
            </w:tcBorders>
            <w:shd w:val="clear" w:color="auto" w:fill="auto"/>
            <w:noWrap/>
            <w:vAlign w:val="center"/>
            <w:hideMark/>
          </w:tcPr>
          <w:p w14:paraId="7661AB26"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$8.50 M</w:t>
            </w:r>
          </w:p>
        </w:tc>
        <w:tc>
          <w:tcPr>
            <w:tcW w:w="1170" w:type="dxa"/>
            <w:tcBorders>
              <w:top w:val="nil"/>
              <w:left w:val="nil"/>
              <w:bottom w:val="single" w:sz="4" w:space="0" w:color="BFBFBF"/>
              <w:right w:val="single" w:sz="4" w:space="0" w:color="BFBFBF"/>
            </w:tcBorders>
            <w:shd w:val="clear" w:color="auto" w:fill="auto"/>
            <w:noWrap/>
            <w:vAlign w:val="center"/>
            <w:hideMark/>
          </w:tcPr>
          <w:p w14:paraId="1BEFCEB0"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 </w:t>
            </w:r>
          </w:p>
        </w:tc>
        <w:tc>
          <w:tcPr>
            <w:tcW w:w="1170" w:type="dxa"/>
            <w:tcBorders>
              <w:top w:val="nil"/>
              <w:left w:val="nil"/>
              <w:bottom w:val="single" w:sz="4" w:space="0" w:color="BFBFBF"/>
              <w:right w:val="single" w:sz="4" w:space="0" w:color="BFBFBF"/>
            </w:tcBorders>
            <w:shd w:val="clear" w:color="auto" w:fill="auto"/>
            <w:noWrap/>
            <w:vAlign w:val="center"/>
            <w:hideMark/>
          </w:tcPr>
          <w:p w14:paraId="59D8EF68"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$8.50 M</w:t>
            </w:r>
          </w:p>
        </w:tc>
        <w:tc>
          <w:tcPr>
            <w:tcW w:w="990" w:type="dxa"/>
            <w:tcBorders>
              <w:top w:val="nil"/>
              <w:left w:val="nil"/>
              <w:bottom w:val="single" w:sz="4" w:space="0" w:color="BFBFBF"/>
              <w:right w:val="single" w:sz="12" w:space="0" w:color="BFBFBF"/>
            </w:tcBorders>
            <w:shd w:val="clear" w:color="auto" w:fill="auto"/>
            <w:noWrap/>
            <w:vAlign w:val="center"/>
            <w:hideMark/>
          </w:tcPr>
          <w:p w14:paraId="72654ED5"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0%</w:t>
            </w:r>
          </w:p>
        </w:tc>
        <w:tc>
          <w:tcPr>
            <w:tcW w:w="1170" w:type="dxa"/>
            <w:tcBorders>
              <w:top w:val="nil"/>
              <w:left w:val="nil"/>
              <w:bottom w:val="single" w:sz="4" w:space="0" w:color="BFBFBF"/>
              <w:right w:val="single" w:sz="4" w:space="0" w:color="BFBFBF"/>
            </w:tcBorders>
            <w:shd w:val="clear" w:color="auto" w:fill="auto"/>
            <w:vAlign w:val="center"/>
            <w:hideMark/>
          </w:tcPr>
          <w:p w14:paraId="338E2A5B"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 </w:t>
            </w:r>
          </w:p>
        </w:tc>
      </w:tr>
      <w:tr w:rsidR="00A22666" w:rsidRPr="004420D3" w14:paraId="0ACEC323" w14:textId="77777777" w:rsidTr="00A22666">
        <w:trPr>
          <w:trHeight w:val="520"/>
        </w:trPr>
        <w:tc>
          <w:tcPr>
            <w:tcW w:w="3780" w:type="dxa"/>
            <w:tcBorders>
              <w:top w:val="nil"/>
              <w:left w:val="single" w:sz="4" w:space="0" w:color="BFBFBF"/>
              <w:bottom w:val="single" w:sz="4" w:space="0" w:color="BFBFBF"/>
              <w:right w:val="single" w:sz="12" w:space="0" w:color="BFBFBF"/>
            </w:tcBorders>
            <w:shd w:val="clear" w:color="auto" w:fill="auto"/>
            <w:vAlign w:val="center"/>
            <w:hideMark/>
          </w:tcPr>
          <w:p w14:paraId="24DAB1A1" w14:textId="77777777" w:rsidR="004B2D96" w:rsidRPr="004420D3" w:rsidRDefault="004B2D96" w:rsidP="004B2D96">
            <w:pPr>
              <w:spacing w:after="0" w:line="240" w:lineRule="auto"/>
              <w:rPr>
                <w:rFonts w:eastAsia="Times New Roman" w:cs="Times New Roman"/>
                <w:color w:val="000000"/>
                <w:sz w:val="16"/>
                <w:szCs w:val="16"/>
              </w:rPr>
            </w:pPr>
            <w:r w:rsidRPr="004420D3">
              <w:rPr>
                <w:rFonts w:eastAsia="Times New Roman" w:cs="Times New Roman"/>
                <w:color w:val="000000"/>
                <w:sz w:val="16"/>
                <w:szCs w:val="16"/>
              </w:rPr>
              <w:t>SWI #7: Enhanced Diversionary Behavioral Health Activities</w:t>
            </w:r>
          </w:p>
        </w:tc>
        <w:tc>
          <w:tcPr>
            <w:tcW w:w="1170" w:type="dxa"/>
            <w:tcBorders>
              <w:top w:val="nil"/>
              <w:left w:val="nil"/>
              <w:bottom w:val="single" w:sz="4" w:space="0" w:color="BFBFBF"/>
              <w:right w:val="single" w:sz="4" w:space="0" w:color="BFBFBF"/>
            </w:tcBorders>
            <w:shd w:val="clear" w:color="auto" w:fill="auto"/>
            <w:noWrap/>
            <w:vAlign w:val="center"/>
            <w:hideMark/>
          </w:tcPr>
          <w:p w14:paraId="74DD368A"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$1.85 M</w:t>
            </w:r>
          </w:p>
        </w:tc>
        <w:tc>
          <w:tcPr>
            <w:tcW w:w="1170" w:type="dxa"/>
            <w:tcBorders>
              <w:top w:val="nil"/>
              <w:left w:val="nil"/>
              <w:bottom w:val="single" w:sz="4" w:space="0" w:color="BFBFBF"/>
              <w:right w:val="single" w:sz="4" w:space="0" w:color="BFBFBF"/>
            </w:tcBorders>
            <w:shd w:val="clear" w:color="auto" w:fill="auto"/>
            <w:noWrap/>
            <w:vAlign w:val="center"/>
            <w:hideMark/>
          </w:tcPr>
          <w:p w14:paraId="65825028"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$0.05 M</w:t>
            </w:r>
          </w:p>
        </w:tc>
        <w:tc>
          <w:tcPr>
            <w:tcW w:w="1170" w:type="dxa"/>
            <w:tcBorders>
              <w:top w:val="nil"/>
              <w:left w:val="nil"/>
              <w:bottom w:val="single" w:sz="4" w:space="0" w:color="BFBFBF"/>
              <w:right w:val="single" w:sz="4" w:space="0" w:color="BFBFBF"/>
            </w:tcBorders>
            <w:shd w:val="clear" w:color="auto" w:fill="auto"/>
            <w:noWrap/>
            <w:vAlign w:val="center"/>
            <w:hideMark/>
          </w:tcPr>
          <w:p w14:paraId="5349EA78"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$1.90 M</w:t>
            </w:r>
          </w:p>
        </w:tc>
        <w:tc>
          <w:tcPr>
            <w:tcW w:w="990" w:type="dxa"/>
            <w:tcBorders>
              <w:top w:val="nil"/>
              <w:left w:val="nil"/>
              <w:bottom w:val="single" w:sz="4" w:space="0" w:color="BFBFBF"/>
              <w:right w:val="single" w:sz="12" w:space="0" w:color="BFBFBF"/>
            </w:tcBorders>
            <w:shd w:val="clear" w:color="auto" w:fill="auto"/>
            <w:noWrap/>
            <w:vAlign w:val="center"/>
            <w:hideMark/>
          </w:tcPr>
          <w:p w14:paraId="55B4D290"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2%</w:t>
            </w:r>
          </w:p>
        </w:tc>
        <w:tc>
          <w:tcPr>
            <w:tcW w:w="1170" w:type="dxa"/>
            <w:tcBorders>
              <w:top w:val="nil"/>
              <w:left w:val="nil"/>
              <w:bottom w:val="single" w:sz="4" w:space="0" w:color="BFBFBF"/>
              <w:right w:val="single" w:sz="4" w:space="0" w:color="BFBFBF"/>
            </w:tcBorders>
            <w:shd w:val="clear" w:color="auto" w:fill="auto"/>
            <w:vAlign w:val="center"/>
            <w:hideMark/>
          </w:tcPr>
          <w:p w14:paraId="14FEB768"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Shifted exp auth &lt;$1M</w:t>
            </w:r>
          </w:p>
        </w:tc>
      </w:tr>
      <w:tr w:rsidR="00A22666" w:rsidRPr="004420D3" w14:paraId="588B82F9" w14:textId="77777777" w:rsidTr="00A22666">
        <w:trPr>
          <w:trHeight w:val="530"/>
        </w:trPr>
        <w:tc>
          <w:tcPr>
            <w:tcW w:w="3780" w:type="dxa"/>
            <w:tcBorders>
              <w:top w:val="nil"/>
              <w:left w:val="single" w:sz="4" w:space="0" w:color="BFBFBF"/>
              <w:bottom w:val="single" w:sz="12" w:space="0" w:color="BFBFBF"/>
              <w:right w:val="single" w:sz="12" w:space="0" w:color="BFBFBF"/>
            </w:tcBorders>
            <w:shd w:val="clear" w:color="auto" w:fill="auto"/>
            <w:vAlign w:val="center"/>
            <w:hideMark/>
          </w:tcPr>
          <w:p w14:paraId="3920CB97" w14:textId="77777777" w:rsidR="004B2D96" w:rsidRPr="004420D3" w:rsidRDefault="004B2D96" w:rsidP="004B2D96">
            <w:pPr>
              <w:spacing w:after="0" w:line="240" w:lineRule="auto"/>
              <w:rPr>
                <w:rFonts w:eastAsia="Times New Roman" w:cs="Times New Roman"/>
                <w:color w:val="000000"/>
                <w:sz w:val="16"/>
                <w:szCs w:val="16"/>
              </w:rPr>
            </w:pPr>
            <w:r w:rsidRPr="004420D3">
              <w:rPr>
                <w:rFonts w:eastAsia="Times New Roman" w:cs="Times New Roman"/>
                <w:color w:val="000000"/>
                <w:sz w:val="16"/>
                <w:szCs w:val="16"/>
              </w:rPr>
              <w:t>SWI #8: Improved Accessibility for Members with Disabilities or for Whom English Is Not a Primary Language</w:t>
            </w:r>
          </w:p>
        </w:tc>
        <w:tc>
          <w:tcPr>
            <w:tcW w:w="1170" w:type="dxa"/>
            <w:tcBorders>
              <w:top w:val="nil"/>
              <w:left w:val="nil"/>
              <w:bottom w:val="single" w:sz="12" w:space="0" w:color="BFBFBF"/>
              <w:right w:val="single" w:sz="4" w:space="0" w:color="BFBFBF"/>
            </w:tcBorders>
            <w:shd w:val="clear" w:color="auto" w:fill="auto"/>
            <w:noWrap/>
            <w:vAlign w:val="center"/>
            <w:hideMark/>
          </w:tcPr>
          <w:p w14:paraId="3A2F2A56" w14:textId="0CC7534F"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w:t>
            </w:r>
            <w:r w:rsidR="000A0173" w:rsidRPr="004420D3">
              <w:rPr>
                <w:rFonts w:eastAsia="Times New Roman" w:cs="Times New Roman"/>
                <w:color w:val="000000"/>
                <w:sz w:val="16"/>
                <w:szCs w:val="16"/>
              </w:rPr>
              <w:t>4.83</w:t>
            </w:r>
            <w:r w:rsidRPr="004420D3">
              <w:rPr>
                <w:rFonts w:eastAsia="Times New Roman" w:cs="Times New Roman"/>
                <w:color w:val="000000"/>
                <w:sz w:val="16"/>
                <w:szCs w:val="16"/>
              </w:rPr>
              <w:t xml:space="preserve"> M</w:t>
            </w:r>
          </w:p>
        </w:tc>
        <w:tc>
          <w:tcPr>
            <w:tcW w:w="1170" w:type="dxa"/>
            <w:tcBorders>
              <w:top w:val="nil"/>
              <w:left w:val="nil"/>
              <w:bottom w:val="single" w:sz="12" w:space="0" w:color="BFBFBF"/>
              <w:right w:val="single" w:sz="4" w:space="0" w:color="BFBFBF"/>
            </w:tcBorders>
            <w:shd w:val="clear" w:color="auto" w:fill="auto"/>
            <w:noWrap/>
            <w:vAlign w:val="center"/>
            <w:hideMark/>
          </w:tcPr>
          <w:p w14:paraId="3E77EDD9" w14:textId="55D3BC7D"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 xml:space="preserve"> -$0.9</w:t>
            </w:r>
            <w:r w:rsidR="000A0173" w:rsidRPr="004420D3">
              <w:rPr>
                <w:rFonts w:eastAsia="Times New Roman" w:cs="Times New Roman"/>
                <w:color w:val="000000"/>
                <w:sz w:val="16"/>
                <w:szCs w:val="16"/>
              </w:rPr>
              <w:t>9</w:t>
            </w:r>
            <w:r w:rsidRPr="004420D3">
              <w:rPr>
                <w:rFonts w:eastAsia="Times New Roman" w:cs="Times New Roman"/>
                <w:color w:val="000000"/>
                <w:sz w:val="16"/>
                <w:szCs w:val="16"/>
              </w:rPr>
              <w:t xml:space="preserve"> M</w:t>
            </w:r>
          </w:p>
        </w:tc>
        <w:tc>
          <w:tcPr>
            <w:tcW w:w="1170" w:type="dxa"/>
            <w:tcBorders>
              <w:top w:val="nil"/>
              <w:left w:val="nil"/>
              <w:bottom w:val="nil"/>
              <w:right w:val="single" w:sz="4" w:space="0" w:color="BFBFBF"/>
            </w:tcBorders>
            <w:shd w:val="clear" w:color="auto" w:fill="auto"/>
            <w:noWrap/>
            <w:vAlign w:val="center"/>
            <w:hideMark/>
          </w:tcPr>
          <w:p w14:paraId="19EC780C" w14:textId="36F2E97E"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w:t>
            </w:r>
            <w:r w:rsidR="000A0173" w:rsidRPr="004420D3">
              <w:rPr>
                <w:rFonts w:eastAsia="Times New Roman" w:cs="Times New Roman"/>
                <w:color w:val="000000"/>
                <w:sz w:val="16"/>
                <w:szCs w:val="16"/>
              </w:rPr>
              <w:t>3.84</w:t>
            </w:r>
            <w:r w:rsidRPr="004420D3">
              <w:rPr>
                <w:rFonts w:eastAsia="Times New Roman" w:cs="Times New Roman"/>
                <w:color w:val="000000"/>
                <w:sz w:val="16"/>
                <w:szCs w:val="16"/>
              </w:rPr>
              <w:t xml:space="preserve"> M</w:t>
            </w:r>
          </w:p>
        </w:tc>
        <w:tc>
          <w:tcPr>
            <w:tcW w:w="990" w:type="dxa"/>
            <w:tcBorders>
              <w:top w:val="nil"/>
              <w:left w:val="nil"/>
              <w:bottom w:val="single" w:sz="12" w:space="0" w:color="BFBFBF"/>
              <w:right w:val="single" w:sz="12" w:space="0" w:color="BFBFBF"/>
            </w:tcBorders>
            <w:shd w:val="clear" w:color="auto" w:fill="auto"/>
            <w:noWrap/>
            <w:vAlign w:val="center"/>
            <w:hideMark/>
          </w:tcPr>
          <w:p w14:paraId="1FC63283" w14:textId="1FF457B3" w:rsidR="004B2D96" w:rsidRPr="004420D3" w:rsidRDefault="000A0173"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-21</w:t>
            </w:r>
            <w:r w:rsidR="004B2D96" w:rsidRPr="004420D3">
              <w:rPr>
                <w:rFonts w:eastAsia="Times New Roman" w:cs="Times New Roman"/>
                <w:color w:val="000000"/>
                <w:sz w:val="16"/>
                <w:szCs w:val="16"/>
              </w:rPr>
              <w:t>%</w:t>
            </w:r>
          </w:p>
        </w:tc>
        <w:tc>
          <w:tcPr>
            <w:tcW w:w="1170" w:type="dxa"/>
            <w:tcBorders>
              <w:top w:val="nil"/>
              <w:left w:val="nil"/>
              <w:bottom w:val="single" w:sz="12" w:space="0" w:color="BFBFBF"/>
              <w:right w:val="single" w:sz="4" w:space="0" w:color="BFBFBF"/>
            </w:tcBorders>
            <w:shd w:val="clear" w:color="auto" w:fill="auto"/>
            <w:vAlign w:val="center"/>
            <w:hideMark/>
          </w:tcPr>
          <w:p w14:paraId="118C9061"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 </w:t>
            </w:r>
          </w:p>
        </w:tc>
      </w:tr>
      <w:tr w:rsidR="00A22666" w:rsidRPr="004420D3" w14:paraId="328CF2E1" w14:textId="77777777" w:rsidTr="00A22666">
        <w:trPr>
          <w:trHeight w:val="300"/>
        </w:trPr>
        <w:tc>
          <w:tcPr>
            <w:tcW w:w="3780" w:type="dxa"/>
            <w:tcBorders>
              <w:top w:val="nil"/>
              <w:left w:val="single" w:sz="4" w:space="0" w:color="BFBFBF"/>
              <w:bottom w:val="single" w:sz="4" w:space="0" w:color="BFBFBF"/>
              <w:right w:val="single" w:sz="12" w:space="0" w:color="BFBFBF"/>
            </w:tcBorders>
            <w:shd w:val="clear" w:color="auto" w:fill="auto"/>
            <w:vAlign w:val="center"/>
            <w:hideMark/>
          </w:tcPr>
          <w:p w14:paraId="7B2C6AF6" w14:textId="77777777" w:rsidR="004B2D96" w:rsidRPr="004420D3" w:rsidRDefault="004B2D96" w:rsidP="004B2D96">
            <w:pPr>
              <w:spacing w:after="0" w:line="240" w:lineRule="auto"/>
              <w:rPr>
                <w:rFonts w:eastAsia="Times New Roman" w:cs="Times New Roman"/>
                <w:b/>
                <w:bCs/>
                <w:color w:val="000000"/>
                <w:sz w:val="16"/>
                <w:szCs w:val="16"/>
              </w:rPr>
            </w:pPr>
            <w:r w:rsidRPr="004420D3">
              <w:rPr>
                <w:rFonts w:eastAsia="Times New Roman" w:cs="Times New Roman"/>
                <w:b/>
                <w:bCs/>
                <w:color w:val="000000"/>
                <w:sz w:val="16"/>
                <w:szCs w:val="16"/>
              </w:rPr>
              <w:t>Total</w:t>
            </w:r>
          </w:p>
        </w:tc>
        <w:tc>
          <w:tcPr>
            <w:tcW w:w="1170" w:type="dxa"/>
            <w:tcBorders>
              <w:top w:val="nil"/>
              <w:left w:val="nil"/>
              <w:bottom w:val="single" w:sz="4" w:space="0" w:color="BFBFBF"/>
              <w:right w:val="single" w:sz="4" w:space="0" w:color="BFBFBF"/>
            </w:tcBorders>
            <w:shd w:val="clear" w:color="auto" w:fill="auto"/>
            <w:noWrap/>
            <w:vAlign w:val="center"/>
            <w:hideMark/>
          </w:tcPr>
          <w:p w14:paraId="72105DC5" w14:textId="7BD52818"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w:t>
            </w:r>
            <w:r w:rsidR="000A0173" w:rsidRPr="004420D3">
              <w:rPr>
                <w:rFonts w:eastAsia="Times New Roman" w:cs="Times New Roman"/>
                <w:color w:val="000000"/>
                <w:sz w:val="16"/>
                <w:szCs w:val="16"/>
              </w:rPr>
              <w:t>37.41</w:t>
            </w:r>
            <w:r w:rsidRPr="004420D3">
              <w:rPr>
                <w:rFonts w:eastAsia="Times New Roman" w:cs="Times New Roman"/>
                <w:color w:val="000000"/>
                <w:sz w:val="16"/>
                <w:szCs w:val="16"/>
              </w:rPr>
              <w:t xml:space="preserve"> M</w:t>
            </w:r>
          </w:p>
        </w:tc>
        <w:tc>
          <w:tcPr>
            <w:tcW w:w="1170" w:type="dxa"/>
            <w:tcBorders>
              <w:top w:val="nil"/>
              <w:left w:val="nil"/>
              <w:bottom w:val="single" w:sz="4" w:space="0" w:color="BFBFBF"/>
              <w:right w:val="single" w:sz="4" w:space="0" w:color="BFBFBF"/>
            </w:tcBorders>
            <w:shd w:val="clear" w:color="auto" w:fill="auto"/>
            <w:noWrap/>
            <w:vAlign w:val="center"/>
            <w:hideMark/>
          </w:tcPr>
          <w:p w14:paraId="78EA38E3"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 </w:t>
            </w:r>
          </w:p>
        </w:tc>
        <w:tc>
          <w:tcPr>
            <w:tcW w:w="1170" w:type="dxa"/>
            <w:tcBorders>
              <w:top w:val="single" w:sz="12" w:space="0" w:color="BFBFBF"/>
              <w:left w:val="nil"/>
              <w:bottom w:val="single" w:sz="4" w:space="0" w:color="BFBFBF"/>
              <w:right w:val="single" w:sz="4" w:space="0" w:color="BFBFBF"/>
            </w:tcBorders>
            <w:shd w:val="clear" w:color="auto" w:fill="auto"/>
            <w:noWrap/>
            <w:vAlign w:val="center"/>
            <w:hideMark/>
          </w:tcPr>
          <w:p w14:paraId="4C955313" w14:textId="3B701828"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w:t>
            </w:r>
            <w:r w:rsidR="000A0173" w:rsidRPr="004420D3">
              <w:rPr>
                <w:rFonts w:eastAsia="Times New Roman" w:cs="Times New Roman"/>
                <w:color w:val="000000"/>
                <w:sz w:val="16"/>
                <w:szCs w:val="16"/>
              </w:rPr>
              <w:t>37.41</w:t>
            </w:r>
            <w:r w:rsidRPr="004420D3">
              <w:rPr>
                <w:rFonts w:eastAsia="Times New Roman" w:cs="Times New Roman"/>
                <w:color w:val="000000"/>
                <w:sz w:val="16"/>
                <w:szCs w:val="16"/>
              </w:rPr>
              <w:t xml:space="preserve"> M</w:t>
            </w:r>
          </w:p>
        </w:tc>
        <w:tc>
          <w:tcPr>
            <w:tcW w:w="990" w:type="dxa"/>
            <w:tcBorders>
              <w:top w:val="nil"/>
              <w:left w:val="nil"/>
              <w:bottom w:val="single" w:sz="4" w:space="0" w:color="BFBFBF"/>
              <w:right w:val="single" w:sz="12" w:space="0" w:color="BFBFBF"/>
            </w:tcBorders>
            <w:shd w:val="clear" w:color="auto" w:fill="auto"/>
            <w:noWrap/>
            <w:vAlign w:val="center"/>
            <w:hideMark/>
          </w:tcPr>
          <w:p w14:paraId="17A0EE6D"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 </w:t>
            </w:r>
          </w:p>
        </w:tc>
        <w:tc>
          <w:tcPr>
            <w:tcW w:w="1170" w:type="dxa"/>
            <w:tcBorders>
              <w:top w:val="nil"/>
              <w:left w:val="nil"/>
              <w:bottom w:val="single" w:sz="4" w:space="0" w:color="BFBFBF"/>
              <w:right w:val="single" w:sz="4" w:space="0" w:color="BFBFBF"/>
            </w:tcBorders>
            <w:shd w:val="clear" w:color="auto" w:fill="auto"/>
            <w:noWrap/>
            <w:vAlign w:val="center"/>
            <w:hideMark/>
          </w:tcPr>
          <w:p w14:paraId="13E77C01" w14:textId="77777777" w:rsidR="004B2D96" w:rsidRPr="004420D3" w:rsidRDefault="004B2D96" w:rsidP="004B2D9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 </w:t>
            </w:r>
          </w:p>
        </w:tc>
      </w:tr>
      <w:tr w:rsidR="004B2D96" w:rsidRPr="004B2D96" w14:paraId="6587D66E" w14:textId="77777777" w:rsidTr="00A22666">
        <w:trPr>
          <w:trHeight w:val="290"/>
        </w:trPr>
        <w:tc>
          <w:tcPr>
            <w:tcW w:w="7290" w:type="dxa"/>
            <w:gridSpan w:val="4"/>
            <w:tcBorders>
              <w:top w:val="nil"/>
              <w:left w:val="nil"/>
              <w:bottom w:val="nil"/>
              <w:right w:val="nil"/>
            </w:tcBorders>
            <w:shd w:val="clear" w:color="000000" w:fill="FFFFFF"/>
            <w:noWrap/>
            <w:vAlign w:val="center"/>
            <w:hideMark/>
          </w:tcPr>
          <w:p w14:paraId="644E6446" w14:textId="77777777" w:rsidR="004B2D96" w:rsidRPr="004B2D96" w:rsidRDefault="004B2D96" w:rsidP="004B2D96">
            <w:pPr>
              <w:spacing w:after="0" w:line="240" w:lineRule="auto"/>
              <w:rPr>
                <w:rFonts w:eastAsia="Times New Roman" w:cs="Times New Roman"/>
                <w:color w:val="000000"/>
                <w:sz w:val="18"/>
                <w:szCs w:val="18"/>
              </w:rPr>
            </w:pPr>
            <w:r w:rsidRPr="004420D3">
              <w:rPr>
                <w:rFonts w:eastAsia="Times New Roman" w:cs="Times New Roman"/>
                <w:color w:val="000000"/>
                <w:sz w:val="18"/>
                <w:szCs w:val="18"/>
              </w:rPr>
              <w:t>*Displayed numbers are rounded; therefore, totals and updated expenditure authority numbers may not add up exactly</w:t>
            </w:r>
          </w:p>
        </w:tc>
        <w:tc>
          <w:tcPr>
            <w:tcW w:w="990" w:type="dxa"/>
            <w:tcBorders>
              <w:top w:val="nil"/>
              <w:left w:val="nil"/>
              <w:bottom w:val="nil"/>
              <w:right w:val="nil"/>
            </w:tcBorders>
            <w:shd w:val="clear" w:color="000000" w:fill="FFFFFF"/>
            <w:noWrap/>
            <w:vAlign w:val="center"/>
            <w:hideMark/>
          </w:tcPr>
          <w:p w14:paraId="2E69B6A9" w14:textId="77777777" w:rsidR="004B2D96" w:rsidRPr="004B2D96" w:rsidRDefault="004B2D96" w:rsidP="004B2D96">
            <w:pPr>
              <w:spacing w:after="0" w:line="240" w:lineRule="auto"/>
              <w:jc w:val="center"/>
              <w:rPr>
                <w:rFonts w:eastAsia="Times New Roman" w:cs="Times New Roman"/>
                <w:color w:val="000000"/>
                <w:sz w:val="18"/>
                <w:szCs w:val="18"/>
              </w:rPr>
            </w:pPr>
            <w:r w:rsidRPr="004B2D96">
              <w:rPr>
                <w:rFonts w:eastAsia="Times New Roman" w:cs="Times New Roman"/>
                <w:color w:val="000000"/>
                <w:sz w:val="18"/>
                <w:szCs w:val="18"/>
              </w:rPr>
              <w:t> </w:t>
            </w:r>
          </w:p>
        </w:tc>
        <w:tc>
          <w:tcPr>
            <w:tcW w:w="1170" w:type="dxa"/>
            <w:tcBorders>
              <w:top w:val="nil"/>
              <w:left w:val="nil"/>
              <w:bottom w:val="nil"/>
              <w:right w:val="nil"/>
            </w:tcBorders>
            <w:shd w:val="clear" w:color="000000" w:fill="FFFFFF"/>
            <w:noWrap/>
            <w:vAlign w:val="center"/>
            <w:hideMark/>
          </w:tcPr>
          <w:p w14:paraId="28913415" w14:textId="77777777" w:rsidR="004B2D96" w:rsidRPr="004B2D96" w:rsidRDefault="004B2D96" w:rsidP="004B2D96">
            <w:pPr>
              <w:spacing w:after="0" w:line="240" w:lineRule="auto"/>
              <w:jc w:val="center"/>
              <w:rPr>
                <w:rFonts w:eastAsia="Times New Roman" w:cs="Times New Roman"/>
                <w:color w:val="000000"/>
                <w:sz w:val="18"/>
                <w:szCs w:val="18"/>
              </w:rPr>
            </w:pPr>
            <w:r w:rsidRPr="004B2D96">
              <w:rPr>
                <w:rFonts w:eastAsia="Times New Roman" w:cs="Times New Roman"/>
                <w:color w:val="000000"/>
                <w:sz w:val="18"/>
                <w:szCs w:val="18"/>
              </w:rPr>
              <w:t> </w:t>
            </w:r>
          </w:p>
        </w:tc>
      </w:tr>
    </w:tbl>
    <w:p w14:paraId="44336C43" w14:textId="77777777" w:rsidR="004B2D96" w:rsidRPr="00E33863" w:rsidRDefault="004B2D96" w:rsidP="00863BB7">
      <w:pPr>
        <w:rPr>
          <w:noProof/>
        </w:rPr>
      </w:pPr>
    </w:p>
    <w:p w14:paraId="4439AC5B" w14:textId="77777777" w:rsidR="00863BB7" w:rsidRPr="00E33863" w:rsidRDefault="00863BB7" w:rsidP="00863BB7">
      <w:pPr>
        <w:pStyle w:val="ListParagraph"/>
        <w:numPr>
          <w:ilvl w:val="0"/>
          <w:numId w:val="55"/>
        </w:numPr>
        <w:rPr>
          <w:rFonts w:cs="Times New Roman"/>
          <w:color w:val="212121"/>
          <w:szCs w:val="24"/>
        </w:rPr>
      </w:pPr>
      <w:r w:rsidRPr="00E33863">
        <w:rPr>
          <w:rFonts w:cs="Times New Roman"/>
          <w:color w:val="212121"/>
          <w:szCs w:val="24"/>
        </w:rPr>
        <w:t>Per Section 4.7 of the DSRIP Protocol, the State may carry forward the DY</w:t>
      </w:r>
      <w:r>
        <w:rPr>
          <w:rFonts w:cs="Times New Roman"/>
          <w:color w:val="212121"/>
          <w:szCs w:val="24"/>
        </w:rPr>
        <w:t>4</w:t>
      </w:r>
      <w:r w:rsidRPr="00E33863">
        <w:rPr>
          <w:rFonts w:cs="Times New Roman"/>
          <w:color w:val="212121"/>
          <w:szCs w:val="24"/>
        </w:rPr>
        <w:t xml:space="preserve"> funding for the following Statewide Investments: the technical assistance program</w:t>
      </w:r>
      <w:r>
        <w:rPr>
          <w:rFonts w:cs="Times New Roman"/>
          <w:color w:val="212121"/>
          <w:szCs w:val="24"/>
        </w:rPr>
        <w:t xml:space="preserve"> and the </w:t>
      </w:r>
      <w:r w:rsidRPr="00E33863">
        <w:rPr>
          <w:rFonts w:cs="Times New Roman"/>
          <w:color w:val="212121"/>
          <w:szCs w:val="24"/>
        </w:rPr>
        <w:t>workforce development grant program</w:t>
      </w:r>
      <w:r>
        <w:rPr>
          <w:rFonts w:cs="Times New Roman"/>
          <w:color w:val="212121"/>
          <w:szCs w:val="24"/>
        </w:rPr>
        <w:t xml:space="preserve"> </w:t>
      </w:r>
      <w:r w:rsidRPr="00E33863">
        <w:rPr>
          <w:rFonts w:cs="Times New Roman"/>
          <w:color w:val="212121"/>
          <w:szCs w:val="24"/>
        </w:rPr>
        <w:t>into the following DSRIP Year.</w:t>
      </w:r>
    </w:p>
    <w:p w14:paraId="7395F021" w14:textId="77777777" w:rsidR="00863BB7" w:rsidRPr="00E33863" w:rsidRDefault="00863BB7" w:rsidP="00863BB7">
      <w:pPr>
        <w:pStyle w:val="ListParagraph"/>
        <w:numPr>
          <w:ilvl w:val="1"/>
          <w:numId w:val="55"/>
        </w:numPr>
        <w:rPr>
          <w:rFonts w:cs="Times New Roman"/>
          <w:color w:val="212121"/>
          <w:szCs w:val="24"/>
        </w:rPr>
      </w:pPr>
      <w:r w:rsidRPr="00E33863">
        <w:rPr>
          <w:rFonts w:cs="Times New Roman"/>
          <w:color w:val="212121"/>
          <w:szCs w:val="24"/>
        </w:rPr>
        <w:t>The State is carrying forward $</w:t>
      </w:r>
      <w:r>
        <w:rPr>
          <w:rFonts w:cs="Times New Roman"/>
          <w:color w:val="212121"/>
          <w:szCs w:val="24"/>
        </w:rPr>
        <w:t>14.76</w:t>
      </w:r>
      <w:r w:rsidRPr="00E33863">
        <w:rPr>
          <w:rFonts w:cs="Times New Roman"/>
          <w:color w:val="212121"/>
          <w:szCs w:val="24"/>
        </w:rPr>
        <w:t>M of the DY</w:t>
      </w:r>
      <w:r>
        <w:rPr>
          <w:rFonts w:cs="Times New Roman"/>
          <w:color w:val="212121"/>
          <w:szCs w:val="24"/>
        </w:rPr>
        <w:t>4</w:t>
      </w:r>
      <w:r w:rsidRPr="00E33863">
        <w:rPr>
          <w:rFonts w:cs="Times New Roman"/>
          <w:color w:val="212121"/>
          <w:szCs w:val="24"/>
        </w:rPr>
        <w:t xml:space="preserve"> expenditure authority for these programs, as detailed in the table below. </w:t>
      </w:r>
      <w:r w:rsidRPr="00E33863">
        <w:rPr>
          <w:color w:val="212121"/>
          <w:szCs w:val="24"/>
        </w:rPr>
        <w:t>The carry forward amount is included in the $</w:t>
      </w:r>
      <w:r>
        <w:rPr>
          <w:color w:val="212121"/>
          <w:szCs w:val="24"/>
        </w:rPr>
        <w:t>129.1</w:t>
      </w:r>
      <w:r w:rsidRPr="00E33863">
        <w:rPr>
          <w:color w:val="212121"/>
          <w:szCs w:val="24"/>
        </w:rPr>
        <w:t>M of DY</w:t>
      </w:r>
      <w:r>
        <w:rPr>
          <w:color w:val="212121"/>
          <w:szCs w:val="24"/>
        </w:rPr>
        <w:t>4</w:t>
      </w:r>
      <w:r w:rsidRPr="00E33863">
        <w:rPr>
          <w:color w:val="212121"/>
          <w:szCs w:val="24"/>
        </w:rPr>
        <w:t xml:space="preserve"> carryforward expenditure authority that the State is reporting in a later section of this annual report. </w:t>
      </w:r>
    </w:p>
    <w:tbl>
      <w:tblPr>
        <w:tblW w:w="9360" w:type="dxa"/>
        <w:tblLook w:val="04A0" w:firstRow="1" w:lastRow="0" w:firstColumn="1" w:lastColumn="0" w:noHBand="0" w:noVBand="1"/>
        <w:tblCaption w:val="Carrying Forward Expenditure Authority from DY4 to DY5"/>
        <w:tblDescription w:val="Carrying Forward Expenditure Authority for two Statewide Investments initiatives from DSRIP Year 4 to DSRIP Year 5"/>
      </w:tblPr>
      <w:tblGrid>
        <w:gridCol w:w="3780"/>
        <w:gridCol w:w="1170"/>
        <w:gridCol w:w="1080"/>
        <w:gridCol w:w="1080"/>
        <w:gridCol w:w="1080"/>
        <w:gridCol w:w="1170"/>
      </w:tblGrid>
      <w:tr w:rsidR="00890C66" w:rsidRPr="004420D3" w14:paraId="556D8975" w14:textId="77777777" w:rsidTr="00890C66">
        <w:trPr>
          <w:trHeight w:val="290"/>
        </w:trPr>
        <w:tc>
          <w:tcPr>
            <w:tcW w:w="9360" w:type="dxa"/>
            <w:gridSpan w:val="6"/>
            <w:tcBorders>
              <w:top w:val="nil"/>
              <w:left w:val="nil"/>
              <w:bottom w:val="single" w:sz="4" w:space="0" w:color="BFBFBF"/>
              <w:right w:val="nil"/>
            </w:tcBorders>
            <w:shd w:val="clear" w:color="000000" w:fill="FFFFFF"/>
            <w:noWrap/>
            <w:vAlign w:val="center"/>
            <w:hideMark/>
          </w:tcPr>
          <w:p w14:paraId="7BE68447" w14:textId="77777777" w:rsidR="00890C66" w:rsidRPr="004420D3" w:rsidRDefault="00890C66" w:rsidP="00890C66">
            <w:pPr>
              <w:spacing w:after="0" w:line="240" w:lineRule="auto"/>
              <w:rPr>
                <w:rFonts w:eastAsia="Times New Roman" w:cs="Times New Roman"/>
                <w:b/>
                <w:bCs/>
                <w:color w:val="000000"/>
                <w:sz w:val="16"/>
                <w:szCs w:val="16"/>
              </w:rPr>
            </w:pPr>
            <w:r w:rsidRPr="004420D3">
              <w:rPr>
                <w:rFonts w:eastAsia="Times New Roman" w:cs="Times New Roman"/>
                <w:b/>
                <w:bCs/>
                <w:color w:val="000000"/>
                <w:sz w:val="16"/>
                <w:szCs w:val="16"/>
              </w:rPr>
              <w:t>Carrying Forward Expenditure Authority from DY4 to DY5</w:t>
            </w:r>
          </w:p>
        </w:tc>
      </w:tr>
      <w:tr w:rsidR="00890C66" w:rsidRPr="004420D3" w14:paraId="1D890B66" w14:textId="77777777" w:rsidTr="00890C66">
        <w:trPr>
          <w:trHeight w:val="530"/>
        </w:trPr>
        <w:tc>
          <w:tcPr>
            <w:tcW w:w="3780" w:type="dxa"/>
            <w:tcBorders>
              <w:top w:val="nil"/>
              <w:left w:val="single" w:sz="4" w:space="0" w:color="BFBFBF"/>
              <w:bottom w:val="single" w:sz="12" w:space="0" w:color="BFBFBF"/>
              <w:right w:val="single" w:sz="12" w:space="0" w:color="BFBFBF"/>
            </w:tcBorders>
            <w:shd w:val="clear" w:color="000000" w:fill="1F497D"/>
            <w:noWrap/>
            <w:vAlign w:val="center"/>
            <w:hideMark/>
          </w:tcPr>
          <w:p w14:paraId="663F3C78" w14:textId="77777777" w:rsidR="00890C66" w:rsidRPr="004420D3" w:rsidRDefault="00890C66" w:rsidP="00890C66">
            <w:pPr>
              <w:spacing w:after="0" w:line="240" w:lineRule="auto"/>
              <w:rPr>
                <w:rFonts w:eastAsia="Times New Roman" w:cs="Times New Roman"/>
                <w:b/>
                <w:bCs/>
                <w:color w:val="FFFFFF"/>
                <w:sz w:val="16"/>
                <w:szCs w:val="16"/>
              </w:rPr>
            </w:pPr>
            <w:r w:rsidRPr="004420D3">
              <w:rPr>
                <w:rFonts w:eastAsia="Times New Roman" w:cs="Times New Roman"/>
                <w:b/>
                <w:bCs/>
                <w:color w:val="FFFFFF"/>
                <w:sz w:val="16"/>
                <w:szCs w:val="16"/>
              </w:rPr>
              <w:t>Statewide Investments</w:t>
            </w:r>
          </w:p>
        </w:tc>
        <w:tc>
          <w:tcPr>
            <w:tcW w:w="1170" w:type="dxa"/>
            <w:tcBorders>
              <w:top w:val="nil"/>
              <w:left w:val="nil"/>
              <w:bottom w:val="single" w:sz="12" w:space="0" w:color="BFBFBF"/>
              <w:right w:val="single" w:sz="4" w:space="0" w:color="BFBFBF"/>
            </w:tcBorders>
            <w:shd w:val="clear" w:color="000000" w:fill="1F497D"/>
            <w:vAlign w:val="center"/>
            <w:hideMark/>
          </w:tcPr>
          <w:p w14:paraId="22FFC82C" w14:textId="77777777" w:rsidR="00890C66" w:rsidRPr="004420D3" w:rsidRDefault="00890C66" w:rsidP="00890C66">
            <w:pPr>
              <w:spacing w:after="0" w:line="240" w:lineRule="auto"/>
              <w:jc w:val="center"/>
              <w:rPr>
                <w:rFonts w:eastAsia="Times New Roman" w:cs="Times New Roman"/>
                <w:b/>
                <w:bCs/>
                <w:color w:val="FFFFFF"/>
                <w:sz w:val="16"/>
                <w:szCs w:val="16"/>
              </w:rPr>
            </w:pPr>
            <w:r w:rsidRPr="004420D3">
              <w:rPr>
                <w:rFonts w:eastAsia="Times New Roman" w:cs="Times New Roman"/>
                <w:b/>
                <w:bCs/>
                <w:color w:val="FFFFFF"/>
                <w:sz w:val="16"/>
                <w:szCs w:val="16"/>
              </w:rPr>
              <w:t xml:space="preserve">Updated </w:t>
            </w:r>
            <w:r w:rsidRPr="004420D3">
              <w:rPr>
                <w:rFonts w:eastAsia="Times New Roman" w:cs="Times New Roman"/>
                <w:b/>
                <w:bCs/>
                <w:color w:val="FFFFFF"/>
                <w:sz w:val="16"/>
                <w:szCs w:val="16"/>
                <w:u w:val="single"/>
              </w:rPr>
              <w:t>DY4</w:t>
            </w:r>
            <w:r w:rsidRPr="004420D3">
              <w:rPr>
                <w:rFonts w:eastAsia="Times New Roman" w:cs="Times New Roman"/>
                <w:b/>
                <w:bCs/>
                <w:color w:val="FFFFFF"/>
                <w:sz w:val="16"/>
                <w:szCs w:val="16"/>
              </w:rPr>
              <w:t xml:space="preserve"> Exp Auth</w:t>
            </w:r>
          </w:p>
        </w:tc>
        <w:tc>
          <w:tcPr>
            <w:tcW w:w="1080" w:type="dxa"/>
            <w:tcBorders>
              <w:top w:val="nil"/>
              <w:left w:val="nil"/>
              <w:bottom w:val="single" w:sz="12" w:space="0" w:color="BFBFBF"/>
              <w:right w:val="single" w:sz="4" w:space="0" w:color="BFBFBF"/>
            </w:tcBorders>
            <w:shd w:val="clear" w:color="000000" w:fill="1F497D"/>
            <w:vAlign w:val="center"/>
            <w:hideMark/>
          </w:tcPr>
          <w:p w14:paraId="49AF0E22" w14:textId="77777777" w:rsidR="00890C66" w:rsidRPr="004420D3" w:rsidRDefault="00890C66" w:rsidP="00890C66">
            <w:pPr>
              <w:spacing w:after="0" w:line="240" w:lineRule="auto"/>
              <w:jc w:val="center"/>
              <w:rPr>
                <w:rFonts w:eastAsia="Times New Roman" w:cs="Times New Roman"/>
                <w:b/>
                <w:bCs/>
                <w:color w:val="FFFFFF"/>
                <w:sz w:val="16"/>
                <w:szCs w:val="16"/>
              </w:rPr>
            </w:pPr>
            <w:r w:rsidRPr="004420D3">
              <w:rPr>
                <w:rFonts w:eastAsia="Times New Roman" w:cs="Times New Roman"/>
                <w:b/>
                <w:bCs/>
                <w:color w:val="FFFFFF"/>
                <w:sz w:val="16"/>
                <w:szCs w:val="16"/>
              </w:rPr>
              <w:t xml:space="preserve">Final </w:t>
            </w:r>
            <w:r w:rsidRPr="004420D3">
              <w:rPr>
                <w:rFonts w:eastAsia="Times New Roman" w:cs="Times New Roman"/>
                <w:b/>
                <w:bCs/>
                <w:color w:val="FFFFFF"/>
                <w:sz w:val="16"/>
                <w:szCs w:val="16"/>
                <w:u w:val="single"/>
              </w:rPr>
              <w:t>DY4</w:t>
            </w:r>
            <w:r w:rsidRPr="004420D3">
              <w:rPr>
                <w:rFonts w:eastAsia="Times New Roman" w:cs="Times New Roman"/>
                <w:b/>
                <w:bCs/>
                <w:color w:val="FFFFFF"/>
                <w:sz w:val="16"/>
                <w:szCs w:val="16"/>
              </w:rPr>
              <w:t xml:space="preserve"> Exp Auth</w:t>
            </w:r>
          </w:p>
        </w:tc>
        <w:tc>
          <w:tcPr>
            <w:tcW w:w="1080" w:type="dxa"/>
            <w:tcBorders>
              <w:top w:val="nil"/>
              <w:left w:val="nil"/>
              <w:bottom w:val="single" w:sz="12" w:space="0" w:color="BFBFBF"/>
              <w:right w:val="single" w:sz="4" w:space="0" w:color="BFBFBF"/>
            </w:tcBorders>
            <w:shd w:val="clear" w:color="000000" w:fill="1F497D"/>
            <w:vAlign w:val="center"/>
            <w:hideMark/>
          </w:tcPr>
          <w:p w14:paraId="5BBE197F" w14:textId="77777777" w:rsidR="00890C66" w:rsidRPr="004420D3" w:rsidRDefault="00890C66" w:rsidP="00890C66">
            <w:pPr>
              <w:spacing w:after="0" w:line="240" w:lineRule="auto"/>
              <w:jc w:val="center"/>
              <w:rPr>
                <w:rFonts w:eastAsia="Times New Roman" w:cs="Times New Roman"/>
                <w:b/>
                <w:bCs/>
                <w:color w:val="FFFFFF"/>
                <w:sz w:val="16"/>
                <w:szCs w:val="16"/>
              </w:rPr>
            </w:pPr>
            <w:r w:rsidRPr="004420D3">
              <w:rPr>
                <w:rFonts w:eastAsia="Times New Roman" w:cs="Times New Roman"/>
                <w:b/>
                <w:bCs/>
                <w:color w:val="FFFFFF"/>
                <w:sz w:val="16"/>
                <w:szCs w:val="16"/>
                <w:u w:val="single"/>
              </w:rPr>
              <w:t>DY5</w:t>
            </w:r>
            <w:r w:rsidRPr="004420D3">
              <w:rPr>
                <w:rFonts w:eastAsia="Times New Roman" w:cs="Times New Roman"/>
                <w:b/>
                <w:bCs/>
                <w:color w:val="FFFFFF"/>
                <w:sz w:val="16"/>
                <w:szCs w:val="16"/>
              </w:rPr>
              <w:t xml:space="preserve"> Exp Auth in Protocol</w:t>
            </w:r>
          </w:p>
        </w:tc>
        <w:tc>
          <w:tcPr>
            <w:tcW w:w="1080" w:type="dxa"/>
            <w:tcBorders>
              <w:top w:val="nil"/>
              <w:left w:val="nil"/>
              <w:bottom w:val="single" w:sz="12" w:space="0" w:color="BFBFBF"/>
              <w:right w:val="single" w:sz="4" w:space="0" w:color="BFBFBF"/>
            </w:tcBorders>
            <w:shd w:val="clear" w:color="000000" w:fill="1F497D"/>
            <w:vAlign w:val="center"/>
            <w:hideMark/>
          </w:tcPr>
          <w:p w14:paraId="26E5139A" w14:textId="77777777" w:rsidR="00890C66" w:rsidRPr="004420D3" w:rsidRDefault="00890C66" w:rsidP="00890C66">
            <w:pPr>
              <w:spacing w:after="0" w:line="240" w:lineRule="auto"/>
              <w:jc w:val="center"/>
              <w:rPr>
                <w:rFonts w:eastAsia="Times New Roman" w:cs="Times New Roman"/>
                <w:b/>
                <w:bCs/>
                <w:color w:val="FFFFFF"/>
                <w:sz w:val="16"/>
                <w:szCs w:val="16"/>
              </w:rPr>
            </w:pPr>
            <w:r w:rsidRPr="004420D3">
              <w:rPr>
                <w:rFonts w:eastAsia="Times New Roman" w:cs="Times New Roman"/>
                <w:b/>
                <w:bCs/>
                <w:color w:val="FFFFFF"/>
                <w:sz w:val="16"/>
                <w:szCs w:val="16"/>
                <w:u w:val="single"/>
              </w:rPr>
              <w:t>DY4</w:t>
            </w:r>
            <w:r w:rsidRPr="004420D3">
              <w:rPr>
                <w:rFonts w:eastAsia="Times New Roman" w:cs="Times New Roman"/>
                <w:b/>
                <w:bCs/>
                <w:color w:val="FFFFFF"/>
                <w:sz w:val="16"/>
                <w:szCs w:val="16"/>
              </w:rPr>
              <w:t xml:space="preserve"> Carry Forward</w:t>
            </w:r>
          </w:p>
        </w:tc>
        <w:tc>
          <w:tcPr>
            <w:tcW w:w="1170" w:type="dxa"/>
            <w:tcBorders>
              <w:top w:val="nil"/>
              <w:left w:val="nil"/>
              <w:bottom w:val="single" w:sz="12" w:space="0" w:color="BFBFBF"/>
              <w:right w:val="single" w:sz="4" w:space="0" w:color="BFBFBF"/>
            </w:tcBorders>
            <w:shd w:val="clear" w:color="000000" w:fill="1F497D"/>
            <w:vAlign w:val="center"/>
            <w:hideMark/>
          </w:tcPr>
          <w:p w14:paraId="3D2DB517" w14:textId="77777777" w:rsidR="00890C66" w:rsidRPr="004420D3" w:rsidRDefault="00890C66" w:rsidP="00890C66">
            <w:pPr>
              <w:spacing w:after="0" w:line="240" w:lineRule="auto"/>
              <w:jc w:val="center"/>
              <w:rPr>
                <w:rFonts w:eastAsia="Times New Roman" w:cs="Times New Roman"/>
                <w:b/>
                <w:bCs/>
                <w:color w:val="FFFFFF"/>
                <w:sz w:val="16"/>
                <w:szCs w:val="16"/>
              </w:rPr>
            </w:pPr>
            <w:r w:rsidRPr="004420D3">
              <w:rPr>
                <w:rFonts w:eastAsia="Times New Roman" w:cs="Times New Roman"/>
                <w:b/>
                <w:bCs/>
                <w:color w:val="FFFFFF"/>
                <w:sz w:val="16"/>
                <w:szCs w:val="16"/>
              </w:rPr>
              <w:t xml:space="preserve">Updated </w:t>
            </w:r>
            <w:r w:rsidRPr="004420D3">
              <w:rPr>
                <w:rFonts w:eastAsia="Times New Roman" w:cs="Times New Roman"/>
                <w:b/>
                <w:bCs/>
                <w:color w:val="FFFFFF"/>
                <w:sz w:val="16"/>
                <w:szCs w:val="16"/>
                <w:u w:val="single"/>
              </w:rPr>
              <w:t>DY5</w:t>
            </w:r>
            <w:r w:rsidRPr="004420D3">
              <w:rPr>
                <w:rFonts w:eastAsia="Times New Roman" w:cs="Times New Roman"/>
                <w:b/>
                <w:bCs/>
                <w:color w:val="FFFFFF"/>
                <w:sz w:val="16"/>
                <w:szCs w:val="16"/>
              </w:rPr>
              <w:t xml:space="preserve"> Exp Auth</w:t>
            </w:r>
          </w:p>
        </w:tc>
      </w:tr>
      <w:tr w:rsidR="00890C66" w:rsidRPr="004420D3" w14:paraId="22C87A5B" w14:textId="77777777" w:rsidTr="00890C66">
        <w:trPr>
          <w:trHeight w:val="300"/>
        </w:trPr>
        <w:tc>
          <w:tcPr>
            <w:tcW w:w="3780" w:type="dxa"/>
            <w:tcBorders>
              <w:top w:val="nil"/>
              <w:left w:val="single" w:sz="4" w:space="0" w:color="BFBFBF"/>
              <w:bottom w:val="single" w:sz="4" w:space="0" w:color="BFBFBF"/>
              <w:right w:val="single" w:sz="12" w:space="0" w:color="BFBFBF"/>
            </w:tcBorders>
            <w:shd w:val="clear" w:color="auto" w:fill="auto"/>
            <w:vAlign w:val="center"/>
            <w:hideMark/>
          </w:tcPr>
          <w:p w14:paraId="2D870BF1" w14:textId="77777777" w:rsidR="00890C66" w:rsidRPr="004420D3" w:rsidRDefault="00890C66" w:rsidP="00890C66">
            <w:pPr>
              <w:spacing w:after="0" w:line="240" w:lineRule="auto"/>
              <w:rPr>
                <w:rFonts w:eastAsia="Times New Roman" w:cs="Times New Roman"/>
                <w:color w:val="000000"/>
                <w:sz w:val="16"/>
                <w:szCs w:val="16"/>
              </w:rPr>
            </w:pPr>
            <w:r w:rsidRPr="004420D3">
              <w:rPr>
                <w:rFonts w:eastAsia="Times New Roman" w:cs="Times New Roman"/>
                <w:color w:val="000000"/>
                <w:sz w:val="16"/>
                <w:szCs w:val="16"/>
              </w:rPr>
              <w:t>SWI #1: Student Loan Repayment Program</w:t>
            </w:r>
          </w:p>
        </w:tc>
        <w:tc>
          <w:tcPr>
            <w:tcW w:w="1170" w:type="dxa"/>
            <w:tcBorders>
              <w:top w:val="nil"/>
              <w:left w:val="nil"/>
              <w:bottom w:val="single" w:sz="4" w:space="0" w:color="BFBFBF"/>
              <w:right w:val="single" w:sz="4" w:space="0" w:color="BFBFBF"/>
            </w:tcBorders>
            <w:shd w:val="clear" w:color="auto" w:fill="auto"/>
            <w:noWrap/>
            <w:vAlign w:val="center"/>
            <w:hideMark/>
          </w:tcPr>
          <w:p w14:paraId="30E1E5C2"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$3.96 M</w:t>
            </w:r>
          </w:p>
        </w:tc>
        <w:tc>
          <w:tcPr>
            <w:tcW w:w="1080" w:type="dxa"/>
            <w:tcBorders>
              <w:top w:val="nil"/>
              <w:left w:val="nil"/>
              <w:bottom w:val="single" w:sz="4" w:space="0" w:color="BFBFBF"/>
              <w:right w:val="single" w:sz="4" w:space="0" w:color="BFBFBF"/>
            </w:tcBorders>
            <w:shd w:val="clear" w:color="000000" w:fill="E2EFDA"/>
            <w:noWrap/>
            <w:vAlign w:val="center"/>
            <w:hideMark/>
          </w:tcPr>
          <w:p w14:paraId="653808B5"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$3.96 M</w:t>
            </w:r>
          </w:p>
        </w:tc>
        <w:tc>
          <w:tcPr>
            <w:tcW w:w="1080" w:type="dxa"/>
            <w:tcBorders>
              <w:top w:val="nil"/>
              <w:left w:val="nil"/>
              <w:bottom w:val="single" w:sz="4" w:space="0" w:color="BFBFBF"/>
              <w:right w:val="single" w:sz="4" w:space="0" w:color="BFBFBF"/>
            </w:tcBorders>
            <w:shd w:val="clear" w:color="auto" w:fill="auto"/>
            <w:noWrap/>
            <w:vAlign w:val="center"/>
            <w:hideMark/>
          </w:tcPr>
          <w:p w14:paraId="31B301AA"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$2.30 M</w:t>
            </w:r>
          </w:p>
        </w:tc>
        <w:tc>
          <w:tcPr>
            <w:tcW w:w="1080" w:type="dxa"/>
            <w:tcBorders>
              <w:top w:val="nil"/>
              <w:left w:val="nil"/>
              <w:bottom w:val="single" w:sz="4" w:space="0" w:color="BFBFBF"/>
              <w:right w:val="single" w:sz="4" w:space="0" w:color="BFBFBF"/>
            </w:tcBorders>
            <w:shd w:val="clear" w:color="auto" w:fill="auto"/>
            <w:noWrap/>
            <w:vAlign w:val="center"/>
            <w:hideMark/>
          </w:tcPr>
          <w:p w14:paraId="3B539E8A"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w:t>
            </w:r>
          </w:p>
        </w:tc>
        <w:tc>
          <w:tcPr>
            <w:tcW w:w="1170" w:type="dxa"/>
            <w:tcBorders>
              <w:top w:val="nil"/>
              <w:left w:val="nil"/>
              <w:bottom w:val="single" w:sz="4" w:space="0" w:color="BFBFBF"/>
              <w:right w:val="single" w:sz="4" w:space="0" w:color="BFBFBF"/>
            </w:tcBorders>
            <w:shd w:val="clear" w:color="000000" w:fill="E5E5FF"/>
            <w:noWrap/>
            <w:vAlign w:val="center"/>
            <w:hideMark/>
          </w:tcPr>
          <w:p w14:paraId="11F5EE6D"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$2.30 M</w:t>
            </w:r>
          </w:p>
        </w:tc>
      </w:tr>
      <w:tr w:rsidR="00890C66" w:rsidRPr="004420D3" w14:paraId="640BC17E" w14:textId="77777777" w:rsidTr="00890C66">
        <w:trPr>
          <w:trHeight w:val="290"/>
        </w:trPr>
        <w:tc>
          <w:tcPr>
            <w:tcW w:w="3780" w:type="dxa"/>
            <w:tcBorders>
              <w:top w:val="nil"/>
              <w:left w:val="single" w:sz="4" w:space="0" w:color="BFBFBF"/>
              <w:bottom w:val="single" w:sz="4" w:space="0" w:color="BFBFBF"/>
              <w:right w:val="single" w:sz="12" w:space="0" w:color="BFBFBF"/>
            </w:tcBorders>
            <w:shd w:val="clear" w:color="auto" w:fill="auto"/>
            <w:vAlign w:val="center"/>
            <w:hideMark/>
          </w:tcPr>
          <w:p w14:paraId="000AB5BA" w14:textId="77777777" w:rsidR="00890C66" w:rsidRPr="004420D3" w:rsidRDefault="00890C66" w:rsidP="00890C66">
            <w:pPr>
              <w:spacing w:after="0" w:line="240" w:lineRule="auto"/>
              <w:rPr>
                <w:rFonts w:eastAsia="Times New Roman" w:cs="Times New Roman"/>
                <w:color w:val="000000"/>
                <w:sz w:val="16"/>
                <w:szCs w:val="16"/>
              </w:rPr>
            </w:pPr>
            <w:r w:rsidRPr="004420D3">
              <w:rPr>
                <w:rFonts w:eastAsia="Times New Roman" w:cs="Times New Roman"/>
                <w:color w:val="000000"/>
                <w:sz w:val="16"/>
                <w:szCs w:val="16"/>
              </w:rPr>
              <w:t>SWI #2: Primary Care Integration Models and Retention</w:t>
            </w:r>
          </w:p>
        </w:tc>
        <w:tc>
          <w:tcPr>
            <w:tcW w:w="1170" w:type="dxa"/>
            <w:tcBorders>
              <w:top w:val="nil"/>
              <w:left w:val="nil"/>
              <w:bottom w:val="single" w:sz="4" w:space="0" w:color="BFBFBF"/>
              <w:right w:val="single" w:sz="4" w:space="0" w:color="BFBFBF"/>
            </w:tcBorders>
            <w:shd w:val="clear" w:color="auto" w:fill="auto"/>
            <w:noWrap/>
            <w:vAlign w:val="center"/>
            <w:hideMark/>
          </w:tcPr>
          <w:p w14:paraId="35EA4AAE"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$1.20 M</w:t>
            </w:r>
          </w:p>
        </w:tc>
        <w:tc>
          <w:tcPr>
            <w:tcW w:w="1080" w:type="dxa"/>
            <w:tcBorders>
              <w:top w:val="nil"/>
              <w:left w:val="nil"/>
              <w:bottom w:val="single" w:sz="4" w:space="0" w:color="BFBFBF"/>
              <w:right w:val="single" w:sz="4" w:space="0" w:color="BFBFBF"/>
            </w:tcBorders>
            <w:shd w:val="clear" w:color="000000" w:fill="E2EFDA"/>
            <w:noWrap/>
            <w:vAlign w:val="center"/>
            <w:hideMark/>
          </w:tcPr>
          <w:p w14:paraId="783FD232" w14:textId="7F0D8EEE"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$1.20 M</w:t>
            </w:r>
          </w:p>
        </w:tc>
        <w:tc>
          <w:tcPr>
            <w:tcW w:w="1080" w:type="dxa"/>
            <w:tcBorders>
              <w:top w:val="nil"/>
              <w:left w:val="nil"/>
              <w:bottom w:val="single" w:sz="4" w:space="0" w:color="BFBFBF"/>
              <w:right w:val="single" w:sz="4" w:space="0" w:color="BFBFBF"/>
            </w:tcBorders>
            <w:shd w:val="clear" w:color="auto" w:fill="auto"/>
            <w:noWrap/>
            <w:vAlign w:val="center"/>
            <w:hideMark/>
          </w:tcPr>
          <w:p w14:paraId="436FBF9A"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$1.00 M</w:t>
            </w:r>
          </w:p>
        </w:tc>
        <w:tc>
          <w:tcPr>
            <w:tcW w:w="1080" w:type="dxa"/>
            <w:tcBorders>
              <w:top w:val="nil"/>
              <w:left w:val="nil"/>
              <w:bottom w:val="single" w:sz="4" w:space="0" w:color="BFBFBF"/>
              <w:right w:val="single" w:sz="4" w:space="0" w:color="BFBFBF"/>
            </w:tcBorders>
            <w:shd w:val="clear" w:color="auto" w:fill="auto"/>
            <w:noWrap/>
            <w:vAlign w:val="center"/>
            <w:hideMark/>
          </w:tcPr>
          <w:p w14:paraId="31163F1A"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w:t>
            </w:r>
          </w:p>
        </w:tc>
        <w:tc>
          <w:tcPr>
            <w:tcW w:w="1170" w:type="dxa"/>
            <w:tcBorders>
              <w:top w:val="nil"/>
              <w:left w:val="nil"/>
              <w:bottom w:val="single" w:sz="4" w:space="0" w:color="BFBFBF"/>
              <w:right w:val="single" w:sz="4" w:space="0" w:color="BFBFBF"/>
            </w:tcBorders>
            <w:shd w:val="clear" w:color="000000" w:fill="E5E5FF"/>
            <w:noWrap/>
            <w:vAlign w:val="center"/>
            <w:hideMark/>
          </w:tcPr>
          <w:p w14:paraId="3D7F9F36"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$1.00 M</w:t>
            </w:r>
          </w:p>
        </w:tc>
      </w:tr>
      <w:tr w:rsidR="00890C66" w:rsidRPr="004420D3" w14:paraId="27BD9EA0" w14:textId="77777777" w:rsidTr="00890C66">
        <w:trPr>
          <w:trHeight w:val="290"/>
        </w:trPr>
        <w:tc>
          <w:tcPr>
            <w:tcW w:w="3780" w:type="dxa"/>
            <w:tcBorders>
              <w:top w:val="nil"/>
              <w:left w:val="single" w:sz="4" w:space="0" w:color="BFBFBF"/>
              <w:bottom w:val="single" w:sz="4" w:space="0" w:color="BFBFBF"/>
              <w:right w:val="single" w:sz="12" w:space="0" w:color="BFBFBF"/>
            </w:tcBorders>
            <w:shd w:val="clear" w:color="auto" w:fill="auto"/>
            <w:vAlign w:val="center"/>
            <w:hideMark/>
          </w:tcPr>
          <w:p w14:paraId="320AE7AD" w14:textId="77777777" w:rsidR="00890C66" w:rsidRPr="004420D3" w:rsidRDefault="00890C66" w:rsidP="00890C66">
            <w:pPr>
              <w:spacing w:after="0" w:line="240" w:lineRule="auto"/>
              <w:rPr>
                <w:rFonts w:eastAsia="Times New Roman" w:cs="Times New Roman"/>
                <w:color w:val="000000"/>
                <w:sz w:val="16"/>
                <w:szCs w:val="16"/>
              </w:rPr>
            </w:pPr>
            <w:r w:rsidRPr="004420D3">
              <w:rPr>
                <w:rFonts w:eastAsia="Times New Roman" w:cs="Times New Roman"/>
                <w:color w:val="000000"/>
                <w:sz w:val="16"/>
                <w:szCs w:val="16"/>
              </w:rPr>
              <w:t>SWI #3: Investment in Primary Care Residency Training</w:t>
            </w:r>
          </w:p>
        </w:tc>
        <w:tc>
          <w:tcPr>
            <w:tcW w:w="1170" w:type="dxa"/>
            <w:tcBorders>
              <w:top w:val="nil"/>
              <w:left w:val="nil"/>
              <w:bottom w:val="single" w:sz="4" w:space="0" w:color="BFBFBF"/>
              <w:right w:val="single" w:sz="4" w:space="0" w:color="BFBFBF"/>
            </w:tcBorders>
            <w:shd w:val="clear" w:color="auto" w:fill="auto"/>
            <w:noWrap/>
            <w:vAlign w:val="center"/>
            <w:hideMark/>
          </w:tcPr>
          <w:p w14:paraId="676696B6" w14:textId="3C15B170"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$2.5</w:t>
            </w:r>
            <w:r w:rsidR="000A0173" w:rsidRPr="004420D3">
              <w:rPr>
                <w:rFonts w:eastAsia="Times New Roman" w:cs="Times New Roman"/>
                <w:color w:val="000000"/>
                <w:sz w:val="16"/>
                <w:szCs w:val="16"/>
              </w:rPr>
              <w:t>9</w:t>
            </w:r>
            <w:r w:rsidRPr="004420D3">
              <w:rPr>
                <w:rFonts w:eastAsia="Times New Roman" w:cs="Times New Roman"/>
                <w:color w:val="000000"/>
                <w:sz w:val="16"/>
                <w:szCs w:val="16"/>
              </w:rPr>
              <w:t xml:space="preserve"> M</w:t>
            </w:r>
          </w:p>
        </w:tc>
        <w:tc>
          <w:tcPr>
            <w:tcW w:w="1080" w:type="dxa"/>
            <w:tcBorders>
              <w:top w:val="nil"/>
              <w:left w:val="nil"/>
              <w:bottom w:val="single" w:sz="4" w:space="0" w:color="BFBFBF"/>
              <w:right w:val="single" w:sz="4" w:space="0" w:color="BFBFBF"/>
            </w:tcBorders>
            <w:shd w:val="clear" w:color="000000" w:fill="E2EFDA"/>
            <w:noWrap/>
            <w:vAlign w:val="center"/>
            <w:hideMark/>
          </w:tcPr>
          <w:p w14:paraId="65B0AD2A" w14:textId="2744DAFF"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$2.5</w:t>
            </w:r>
            <w:r w:rsidR="000A0173" w:rsidRPr="004420D3">
              <w:rPr>
                <w:rFonts w:eastAsia="Times New Roman" w:cs="Times New Roman"/>
                <w:color w:val="000000"/>
                <w:sz w:val="16"/>
                <w:szCs w:val="16"/>
              </w:rPr>
              <w:t>9</w:t>
            </w:r>
            <w:r w:rsidRPr="004420D3">
              <w:rPr>
                <w:rFonts w:eastAsia="Times New Roman" w:cs="Times New Roman"/>
                <w:color w:val="000000"/>
                <w:sz w:val="16"/>
                <w:szCs w:val="16"/>
              </w:rPr>
              <w:t xml:space="preserve"> M</w:t>
            </w:r>
          </w:p>
        </w:tc>
        <w:tc>
          <w:tcPr>
            <w:tcW w:w="1080" w:type="dxa"/>
            <w:tcBorders>
              <w:top w:val="nil"/>
              <w:left w:val="nil"/>
              <w:bottom w:val="single" w:sz="4" w:space="0" w:color="BFBFBF"/>
              <w:right w:val="single" w:sz="4" w:space="0" w:color="BFBFBF"/>
            </w:tcBorders>
            <w:shd w:val="clear" w:color="auto" w:fill="auto"/>
            <w:noWrap/>
            <w:vAlign w:val="center"/>
            <w:hideMark/>
          </w:tcPr>
          <w:p w14:paraId="45F0176C"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$2.40 M</w:t>
            </w:r>
          </w:p>
        </w:tc>
        <w:tc>
          <w:tcPr>
            <w:tcW w:w="1080" w:type="dxa"/>
            <w:tcBorders>
              <w:top w:val="nil"/>
              <w:left w:val="nil"/>
              <w:bottom w:val="single" w:sz="4" w:space="0" w:color="BFBFBF"/>
              <w:right w:val="single" w:sz="4" w:space="0" w:color="BFBFBF"/>
            </w:tcBorders>
            <w:shd w:val="clear" w:color="auto" w:fill="auto"/>
            <w:noWrap/>
            <w:vAlign w:val="center"/>
            <w:hideMark/>
          </w:tcPr>
          <w:p w14:paraId="26BF6B0B"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w:t>
            </w:r>
          </w:p>
        </w:tc>
        <w:tc>
          <w:tcPr>
            <w:tcW w:w="1170" w:type="dxa"/>
            <w:tcBorders>
              <w:top w:val="nil"/>
              <w:left w:val="nil"/>
              <w:bottom w:val="single" w:sz="4" w:space="0" w:color="BFBFBF"/>
              <w:right w:val="single" w:sz="4" w:space="0" w:color="BFBFBF"/>
            </w:tcBorders>
            <w:shd w:val="clear" w:color="000000" w:fill="E5E5FF"/>
            <w:noWrap/>
            <w:vAlign w:val="center"/>
            <w:hideMark/>
          </w:tcPr>
          <w:p w14:paraId="187A528D"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$2.40 M</w:t>
            </w:r>
          </w:p>
        </w:tc>
      </w:tr>
      <w:tr w:rsidR="00890C66" w:rsidRPr="004420D3" w14:paraId="0EB72D2D" w14:textId="77777777" w:rsidTr="00890C66">
        <w:trPr>
          <w:trHeight w:val="290"/>
        </w:trPr>
        <w:tc>
          <w:tcPr>
            <w:tcW w:w="3780" w:type="dxa"/>
            <w:tcBorders>
              <w:top w:val="nil"/>
              <w:left w:val="single" w:sz="4" w:space="0" w:color="BFBFBF"/>
              <w:bottom w:val="single" w:sz="4" w:space="0" w:color="BFBFBF"/>
              <w:right w:val="single" w:sz="12" w:space="0" w:color="BFBFBF"/>
            </w:tcBorders>
            <w:shd w:val="clear" w:color="auto" w:fill="auto"/>
            <w:vAlign w:val="center"/>
            <w:hideMark/>
          </w:tcPr>
          <w:p w14:paraId="307B2AD4" w14:textId="77777777" w:rsidR="00890C66" w:rsidRPr="004420D3" w:rsidRDefault="00890C66" w:rsidP="00890C66">
            <w:pPr>
              <w:spacing w:after="0" w:line="240" w:lineRule="auto"/>
              <w:rPr>
                <w:rFonts w:eastAsia="Times New Roman" w:cs="Times New Roman"/>
                <w:color w:val="000000"/>
                <w:sz w:val="16"/>
                <w:szCs w:val="16"/>
              </w:rPr>
            </w:pPr>
            <w:r w:rsidRPr="004420D3">
              <w:rPr>
                <w:rFonts w:eastAsia="Times New Roman" w:cs="Times New Roman"/>
                <w:color w:val="000000"/>
                <w:sz w:val="16"/>
                <w:szCs w:val="16"/>
              </w:rPr>
              <w:t>SWI #4: Workforce Development Grant Program</w:t>
            </w:r>
          </w:p>
        </w:tc>
        <w:tc>
          <w:tcPr>
            <w:tcW w:w="1170" w:type="dxa"/>
            <w:tcBorders>
              <w:top w:val="nil"/>
              <w:left w:val="nil"/>
              <w:bottom w:val="single" w:sz="4" w:space="0" w:color="BFBFBF"/>
              <w:right w:val="single" w:sz="4" w:space="0" w:color="BFBFBF"/>
            </w:tcBorders>
            <w:shd w:val="clear" w:color="auto" w:fill="auto"/>
            <w:noWrap/>
            <w:vAlign w:val="center"/>
            <w:hideMark/>
          </w:tcPr>
          <w:p w14:paraId="0026E488" w14:textId="1792432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w:t>
            </w:r>
            <w:r w:rsidR="00507C72" w:rsidRPr="004420D3">
              <w:rPr>
                <w:rFonts w:eastAsia="Times New Roman" w:cs="Times New Roman"/>
                <w:color w:val="000000"/>
                <w:sz w:val="16"/>
                <w:szCs w:val="16"/>
              </w:rPr>
              <w:t>4.12</w:t>
            </w:r>
            <w:r w:rsidRPr="004420D3">
              <w:rPr>
                <w:rFonts w:eastAsia="Times New Roman" w:cs="Times New Roman"/>
                <w:color w:val="000000"/>
                <w:sz w:val="16"/>
                <w:szCs w:val="16"/>
              </w:rPr>
              <w:t xml:space="preserve"> M</w:t>
            </w:r>
          </w:p>
        </w:tc>
        <w:tc>
          <w:tcPr>
            <w:tcW w:w="1080" w:type="dxa"/>
            <w:tcBorders>
              <w:top w:val="nil"/>
              <w:left w:val="nil"/>
              <w:bottom w:val="single" w:sz="4" w:space="0" w:color="BFBFBF"/>
              <w:right w:val="single" w:sz="4" w:space="0" w:color="BFBFBF"/>
            </w:tcBorders>
            <w:shd w:val="clear" w:color="000000" w:fill="E2EFDA"/>
            <w:noWrap/>
            <w:vAlign w:val="center"/>
            <w:hideMark/>
          </w:tcPr>
          <w:p w14:paraId="6F19DCE4"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$0.09 M</w:t>
            </w:r>
          </w:p>
        </w:tc>
        <w:tc>
          <w:tcPr>
            <w:tcW w:w="1080" w:type="dxa"/>
            <w:tcBorders>
              <w:top w:val="nil"/>
              <w:left w:val="nil"/>
              <w:bottom w:val="single" w:sz="4" w:space="0" w:color="BFBFBF"/>
              <w:right w:val="single" w:sz="4" w:space="0" w:color="BFBFBF"/>
            </w:tcBorders>
            <w:shd w:val="clear" w:color="auto" w:fill="auto"/>
            <w:noWrap/>
            <w:vAlign w:val="center"/>
            <w:hideMark/>
          </w:tcPr>
          <w:p w14:paraId="4E3C0C77"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$2.40 M</w:t>
            </w:r>
          </w:p>
        </w:tc>
        <w:tc>
          <w:tcPr>
            <w:tcW w:w="1080" w:type="dxa"/>
            <w:tcBorders>
              <w:top w:val="nil"/>
              <w:left w:val="nil"/>
              <w:bottom w:val="single" w:sz="4" w:space="0" w:color="BFBFBF"/>
              <w:right w:val="single" w:sz="4" w:space="0" w:color="BFBFBF"/>
            </w:tcBorders>
            <w:shd w:val="clear" w:color="auto" w:fill="auto"/>
            <w:noWrap/>
            <w:vAlign w:val="center"/>
            <w:hideMark/>
          </w:tcPr>
          <w:p w14:paraId="70B72032" w14:textId="6126F2D4"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w:t>
            </w:r>
            <w:r w:rsidR="00507C72" w:rsidRPr="004420D3">
              <w:rPr>
                <w:rFonts w:eastAsia="Times New Roman" w:cs="Times New Roman"/>
                <w:color w:val="000000"/>
                <w:sz w:val="16"/>
                <w:szCs w:val="16"/>
              </w:rPr>
              <w:t>4.03</w:t>
            </w:r>
            <w:r w:rsidRPr="004420D3">
              <w:rPr>
                <w:rFonts w:eastAsia="Times New Roman" w:cs="Times New Roman"/>
                <w:color w:val="000000"/>
                <w:sz w:val="16"/>
                <w:szCs w:val="16"/>
              </w:rPr>
              <w:t xml:space="preserve"> M</w:t>
            </w:r>
          </w:p>
        </w:tc>
        <w:tc>
          <w:tcPr>
            <w:tcW w:w="1170" w:type="dxa"/>
            <w:tcBorders>
              <w:top w:val="nil"/>
              <w:left w:val="nil"/>
              <w:bottom w:val="single" w:sz="4" w:space="0" w:color="BFBFBF"/>
              <w:right w:val="single" w:sz="4" w:space="0" w:color="BFBFBF"/>
            </w:tcBorders>
            <w:shd w:val="clear" w:color="000000" w:fill="E5E5FF"/>
            <w:noWrap/>
            <w:vAlign w:val="center"/>
            <w:hideMark/>
          </w:tcPr>
          <w:p w14:paraId="3C5B1EBE" w14:textId="2E3E89AE"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w:t>
            </w:r>
            <w:r w:rsidR="00507C72" w:rsidRPr="004420D3">
              <w:rPr>
                <w:rFonts w:eastAsia="Times New Roman" w:cs="Times New Roman"/>
                <w:color w:val="000000"/>
                <w:sz w:val="16"/>
                <w:szCs w:val="16"/>
              </w:rPr>
              <w:t>6.43</w:t>
            </w:r>
            <w:r w:rsidRPr="004420D3">
              <w:rPr>
                <w:rFonts w:eastAsia="Times New Roman" w:cs="Times New Roman"/>
                <w:color w:val="000000"/>
                <w:sz w:val="16"/>
                <w:szCs w:val="16"/>
              </w:rPr>
              <w:t xml:space="preserve"> M</w:t>
            </w:r>
          </w:p>
        </w:tc>
      </w:tr>
      <w:tr w:rsidR="00890C66" w:rsidRPr="004420D3" w14:paraId="1DBD146C" w14:textId="77777777" w:rsidTr="00890C66">
        <w:trPr>
          <w:trHeight w:val="290"/>
        </w:trPr>
        <w:tc>
          <w:tcPr>
            <w:tcW w:w="3780" w:type="dxa"/>
            <w:tcBorders>
              <w:top w:val="nil"/>
              <w:left w:val="single" w:sz="4" w:space="0" w:color="BFBFBF"/>
              <w:bottom w:val="single" w:sz="4" w:space="0" w:color="BFBFBF"/>
              <w:right w:val="single" w:sz="12" w:space="0" w:color="BFBFBF"/>
            </w:tcBorders>
            <w:shd w:val="clear" w:color="auto" w:fill="auto"/>
            <w:vAlign w:val="center"/>
            <w:hideMark/>
          </w:tcPr>
          <w:p w14:paraId="244CDC22" w14:textId="77777777" w:rsidR="00890C66" w:rsidRPr="004420D3" w:rsidRDefault="00890C66" w:rsidP="00890C66">
            <w:pPr>
              <w:spacing w:after="0" w:line="240" w:lineRule="auto"/>
              <w:rPr>
                <w:rFonts w:eastAsia="Times New Roman" w:cs="Times New Roman"/>
                <w:color w:val="000000"/>
                <w:sz w:val="16"/>
                <w:szCs w:val="16"/>
              </w:rPr>
            </w:pPr>
            <w:r w:rsidRPr="004420D3">
              <w:rPr>
                <w:rFonts w:eastAsia="Times New Roman" w:cs="Times New Roman"/>
                <w:color w:val="000000"/>
                <w:sz w:val="16"/>
                <w:szCs w:val="16"/>
              </w:rPr>
              <w:t>SWI #5: Technical Assistance for ACOs and CPs</w:t>
            </w:r>
          </w:p>
        </w:tc>
        <w:tc>
          <w:tcPr>
            <w:tcW w:w="1170" w:type="dxa"/>
            <w:tcBorders>
              <w:top w:val="nil"/>
              <w:left w:val="nil"/>
              <w:bottom w:val="single" w:sz="4" w:space="0" w:color="BFBFBF"/>
              <w:right w:val="single" w:sz="4" w:space="0" w:color="BFBFBF"/>
            </w:tcBorders>
            <w:shd w:val="clear" w:color="auto" w:fill="auto"/>
            <w:noWrap/>
            <w:vAlign w:val="center"/>
            <w:hideMark/>
          </w:tcPr>
          <w:p w14:paraId="33A5D473"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$11.30 M</w:t>
            </w:r>
          </w:p>
        </w:tc>
        <w:tc>
          <w:tcPr>
            <w:tcW w:w="1080" w:type="dxa"/>
            <w:tcBorders>
              <w:top w:val="nil"/>
              <w:left w:val="nil"/>
              <w:bottom w:val="single" w:sz="4" w:space="0" w:color="BFBFBF"/>
              <w:right w:val="single" w:sz="4" w:space="0" w:color="BFBFBF"/>
            </w:tcBorders>
            <w:shd w:val="clear" w:color="000000" w:fill="E2EFDA"/>
            <w:noWrap/>
            <w:vAlign w:val="center"/>
            <w:hideMark/>
          </w:tcPr>
          <w:p w14:paraId="7BD42048"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$0.57 M</w:t>
            </w:r>
          </w:p>
        </w:tc>
        <w:tc>
          <w:tcPr>
            <w:tcW w:w="1080" w:type="dxa"/>
            <w:tcBorders>
              <w:top w:val="nil"/>
              <w:left w:val="nil"/>
              <w:bottom w:val="single" w:sz="4" w:space="0" w:color="BFBFBF"/>
              <w:right w:val="single" w:sz="4" w:space="0" w:color="BFBFBF"/>
            </w:tcBorders>
            <w:shd w:val="clear" w:color="auto" w:fill="auto"/>
            <w:noWrap/>
            <w:vAlign w:val="center"/>
            <w:hideMark/>
          </w:tcPr>
          <w:p w14:paraId="13E76890"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$6.20 M</w:t>
            </w:r>
          </w:p>
        </w:tc>
        <w:tc>
          <w:tcPr>
            <w:tcW w:w="1080" w:type="dxa"/>
            <w:tcBorders>
              <w:top w:val="nil"/>
              <w:left w:val="nil"/>
              <w:bottom w:val="single" w:sz="4" w:space="0" w:color="BFBFBF"/>
              <w:right w:val="single" w:sz="4" w:space="0" w:color="BFBFBF"/>
            </w:tcBorders>
            <w:shd w:val="clear" w:color="auto" w:fill="auto"/>
            <w:noWrap/>
            <w:vAlign w:val="center"/>
            <w:hideMark/>
          </w:tcPr>
          <w:p w14:paraId="2FA32046"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$10.73 M</w:t>
            </w:r>
          </w:p>
        </w:tc>
        <w:tc>
          <w:tcPr>
            <w:tcW w:w="1170" w:type="dxa"/>
            <w:tcBorders>
              <w:top w:val="nil"/>
              <w:left w:val="nil"/>
              <w:bottom w:val="single" w:sz="4" w:space="0" w:color="BFBFBF"/>
              <w:right w:val="single" w:sz="4" w:space="0" w:color="BFBFBF"/>
            </w:tcBorders>
            <w:shd w:val="clear" w:color="000000" w:fill="E5E5FF"/>
            <w:noWrap/>
            <w:vAlign w:val="center"/>
            <w:hideMark/>
          </w:tcPr>
          <w:p w14:paraId="2019ED9B"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$16.93 M</w:t>
            </w:r>
          </w:p>
        </w:tc>
      </w:tr>
      <w:tr w:rsidR="00890C66" w:rsidRPr="004420D3" w14:paraId="755C5E0C" w14:textId="77777777" w:rsidTr="00890C66">
        <w:trPr>
          <w:trHeight w:val="290"/>
        </w:trPr>
        <w:tc>
          <w:tcPr>
            <w:tcW w:w="3780" w:type="dxa"/>
            <w:tcBorders>
              <w:top w:val="nil"/>
              <w:left w:val="single" w:sz="4" w:space="0" w:color="BFBFBF"/>
              <w:bottom w:val="single" w:sz="4" w:space="0" w:color="BFBFBF"/>
              <w:right w:val="single" w:sz="12" w:space="0" w:color="BFBFBF"/>
            </w:tcBorders>
            <w:shd w:val="clear" w:color="auto" w:fill="auto"/>
            <w:vAlign w:val="center"/>
            <w:hideMark/>
          </w:tcPr>
          <w:p w14:paraId="79C54727" w14:textId="77777777" w:rsidR="00890C66" w:rsidRPr="004420D3" w:rsidRDefault="00890C66" w:rsidP="00890C66">
            <w:pPr>
              <w:spacing w:after="0" w:line="240" w:lineRule="auto"/>
              <w:rPr>
                <w:rFonts w:eastAsia="Times New Roman" w:cs="Times New Roman"/>
                <w:color w:val="000000"/>
                <w:sz w:val="16"/>
                <w:szCs w:val="16"/>
              </w:rPr>
            </w:pPr>
            <w:r w:rsidRPr="004420D3">
              <w:rPr>
                <w:rFonts w:eastAsia="Times New Roman" w:cs="Times New Roman"/>
                <w:color w:val="000000"/>
                <w:sz w:val="16"/>
                <w:szCs w:val="16"/>
              </w:rPr>
              <w:t>SWI #6: Alternative Payment Methodology Preparation Funds</w:t>
            </w:r>
          </w:p>
        </w:tc>
        <w:tc>
          <w:tcPr>
            <w:tcW w:w="1170" w:type="dxa"/>
            <w:tcBorders>
              <w:top w:val="nil"/>
              <w:left w:val="nil"/>
              <w:bottom w:val="single" w:sz="4" w:space="0" w:color="BFBFBF"/>
              <w:right w:val="single" w:sz="4" w:space="0" w:color="BFBFBF"/>
            </w:tcBorders>
            <w:shd w:val="clear" w:color="auto" w:fill="auto"/>
            <w:noWrap/>
            <w:vAlign w:val="center"/>
            <w:hideMark/>
          </w:tcPr>
          <w:p w14:paraId="20478DCB"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$8.50 M</w:t>
            </w:r>
          </w:p>
        </w:tc>
        <w:tc>
          <w:tcPr>
            <w:tcW w:w="1080" w:type="dxa"/>
            <w:tcBorders>
              <w:top w:val="nil"/>
              <w:left w:val="nil"/>
              <w:bottom w:val="single" w:sz="4" w:space="0" w:color="BFBFBF"/>
              <w:right w:val="single" w:sz="4" w:space="0" w:color="BFBFBF"/>
            </w:tcBorders>
            <w:shd w:val="clear" w:color="000000" w:fill="E2EFDA"/>
            <w:noWrap/>
            <w:vAlign w:val="center"/>
            <w:hideMark/>
          </w:tcPr>
          <w:p w14:paraId="74176A80" w14:textId="29995FA0"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$8.50 M</w:t>
            </w:r>
          </w:p>
        </w:tc>
        <w:tc>
          <w:tcPr>
            <w:tcW w:w="1080" w:type="dxa"/>
            <w:tcBorders>
              <w:top w:val="nil"/>
              <w:left w:val="nil"/>
              <w:bottom w:val="single" w:sz="4" w:space="0" w:color="BFBFBF"/>
              <w:right w:val="single" w:sz="4" w:space="0" w:color="BFBFBF"/>
            </w:tcBorders>
            <w:shd w:val="clear" w:color="auto" w:fill="auto"/>
            <w:noWrap/>
            <w:vAlign w:val="center"/>
            <w:hideMark/>
          </w:tcPr>
          <w:p w14:paraId="415DB4D3"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$1.20 M</w:t>
            </w:r>
          </w:p>
        </w:tc>
        <w:tc>
          <w:tcPr>
            <w:tcW w:w="1080" w:type="dxa"/>
            <w:tcBorders>
              <w:top w:val="nil"/>
              <w:left w:val="nil"/>
              <w:bottom w:val="single" w:sz="4" w:space="0" w:color="BFBFBF"/>
              <w:right w:val="single" w:sz="4" w:space="0" w:color="BFBFBF"/>
            </w:tcBorders>
            <w:shd w:val="clear" w:color="auto" w:fill="auto"/>
            <w:noWrap/>
            <w:vAlign w:val="center"/>
            <w:hideMark/>
          </w:tcPr>
          <w:p w14:paraId="42EED419"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w:t>
            </w:r>
          </w:p>
        </w:tc>
        <w:tc>
          <w:tcPr>
            <w:tcW w:w="1170" w:type="dxa"/>
            <w:tcBorders>
              <w:top w:val="nil"/>
              <w:left w:val="nil"/>
              <w:bottom w:val="single" w:sz="4" w:space="0" w:color="BFBFBF"/>
              <w:right w:val="single" w:sz="4" w:space="0" w:color="BFBFBF"/>
            </w:tcBorders>
            <w:shd w:val="clear" w:color="000000" w:fill="E5E5FF"/>
            <w:noWrap/>
            <w:vAlign w:val="center"/>
            <w:hideMark/>
          </w:tcPr>
          <w:p w14:paraId="5F4BADEE"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$1.20 M</w:t>
            </w:r>
          </w:p>
        </w:tc>
      </w:tr>
      <w:tr w:rsidR="00890C66" w:rsidRPr="004420D3" w14:paraId="4899041A" w14:textId="77777777" w:rsidTr="00890C66">
        <w:trPr>
          <w:trHeight w:val="290"/>
        </w:trPr>
        <w:tc>
          <w:tcPr>
            <w:tcW w:w="3780" w:type="dxa"/>
            <w:tcBorders>
              <w:top w:val="nil"/>
              <w:left w:val="single" w:sz="4" w:space="0" w:color="BFBFBF"/>
              <w:bottom w:val="single" w:sz="4" w:space="0" w:color="BFBFBF"/>
              <w:right w:val="single" w:sz="12" w:space="0" w:color="BFBFBF"/>
            </w:tcBorders>
            <w:shd w:val="clear" w:color="auto" w:fill="auto"/>
            <w:vAlign w:val="center"/>
            <w:hideMark/>
          </w:tcPr>
          <w:p w14:paraId="7390E359" w14:textId="77777777" w:rsidR="00890C66" w:rsidRPr="004420D3" w:rsidRDefault="00890C66" w:rsidP="00890C66">
            <w:pPr>
              <w:spacing w:after="0" w:line="240" w:lineRule="auto"/>
              <w:rPr>
                <w:rFonts w:eastAsia="Times New Roman" w:cs="Times New Roman"/>
                <w:color w:val="000000"/>
                <w:sz w:val="16"/>
                <w:szCs w:val="16"/>
              </w:rPr>
            </w:pPr>
            <w:r w:rsidRPr="004420D3">
              <w:rPr>
                <w:rFonts w:eastAsia="Times New Roman" w:cs="Times New Roman"/>
                <w:color w:val="000000"/>
                <w:sz w:val="16"/>
                <w:szCs w:val="16"/>
              </w:rPr>
              <w:t>SWI #7: Enhanced Diversionary Behavioral Health Activities</w:t>
            </w:r>
          </w:p>
        </w:tc>
        <w:tc>
          <w:tcPr>
            <w:tcW w:w="1170" w:type="dxa"/>
            <w:tcBorders>
              <w:top w:val="nil"/>
              <w:left w:val="nil"/>
              <w:bottom w:val="single" w:sz="4" w:space="0" w:color="BFBFBF"/>
              <w:right w:val="single" w:sz="4" w:space="0" w:color="BFBFBF"/>
            </w:tcBorders>
            <w:shd w:val="clear" w:color="auto" w:fill="auto"/>
            <w:noWrap/>
            <w:vAlign w:val="center"/>
            <w:hideMark/>
          </w:tcPr>
          <w:p w14:paraId="186ECA3E"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$1.90 M</w:t>
            </w:r>
          </w:p>
        </w:tc>
        <w:tc>
          <w:tcPr>
            <w:tcW w:w="1080" w:type="dxa"/>
            <w:tcBorders>
              <w:top w:val="nil"/>
              <w:left w:val="nil"/>
              <w:bottom w:val="single" w:sz="4" w:space="0" w:color="BFBFBF"/>
              <w:right w:val="single" w:sz="4" w:space="0" w:color="BFBFBF"/>
            </w:tcBorders>
            <w:shd w:val="clear" w:color="000000" w:fill="E2EFDA"/>
            <w:noWrap/>
            <w:vAlign w:val="center"/>
            <w:hideMark/>
          </w:tcPr>
          <w:p w14:paraId="6D515834"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$01.90 M</w:t>
            </w:r>
          </w:p>
        </w:tc>
        <w:tc>
          <w:tcPr>
            <w:tcW w:w="1080" w:type="dxa"/>
            <w:tcBorders>
              <w:top w:val="nil"/>
              <w:left w:val="nil"/>
              <w:bottom w:val="single" w:sz="4" w:space="0" w:color="BFBFBF"/>
              <w:right w:val="single" w:sz="4" w:space="0" w:color="BFBFBF"/>
            </w:tcBorders>
            <w:shd w:val="clear" w:color="auto" w:fill="auto"/>
            <w:noWrap/>
            <w:vAlign w:val="center"/>
            <w:hideMark/>
          </w:tcPr>
          <w:p w14:paraId="64B1BF1F"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11FDE866"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w:t>
            </w:r>
          </w:p>
        </w:tc>
        <w:tc>
          <w:tcPr>
            <w:tcW w:w="1170" w:type="dxa"/>
            <w:tcBorders>
              <w:top w:val="nil"/>
              <w:left w:val="nil"/>
              <w:bottom w:val="single" w:sz="4" w:space="0" w:color="BFBFBF"/>
              <w:right w:val="single" w:sz="4" w:space="0" w:color="BFBFBF"/>
            </w:tcBorders>
            <w:shd w:val="clear" w:color="000000" w:fill="E5E5FF"/>
            <w:noWrap/>
            <w:vAlign w:val="center"/>
            <w:hideMark/>
          </w:tcPr>
          <w:p w14:paraId="54C94641"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w:t>
            </w:r>
          </w:p>
        </w:tc>
      </w:tr>
      <w:tr w:rsidR="00890C66" w:rsidRPr="004420D3" w14:paraId="0FCA0F86" w14:textId="77777777" w:rsidTr="00890C66">
        <w:trPr>
          <w:trHeight w:val="530"/>
        </w:trPr>
        <w:tc>
          <w:tcPr>
            <w:tcW w:w="3780" w:type="dxa"/>
            <w:tcBorders>
              <w:top w:val="nil"/>
              <w:left w:val="single" w:sz="4" w:space="0" w:color="BFBFBF"/>
              <w:bottom w:val="single" w:sz="12" w:space="0" w:color="BFBFBF"/>
              <w:right w:val="single" w:sz="12" w:space="0" w:color="BFBFBF"/>
            </w:tcBorders>
            <w:shd w:val="clear" w:color="auto" w:fill="auto"/>
            <w:vAlign w:val="center"/>
            <w:hideMark/>
          </w:tcPr>
          <w:p w14:paraId="313F4724" w14:textId="77777777" w:rsidR="00890C66" w:rsidRPr="004420D3" w:rsidRDefault="00890C66" w:rsidP="00890C66">
            <w:pPr>
              <w:spacing w:after="0" w:line="240" w:lineRule="auto"/>
              <w:rPr>
                <w:rFonts w:eastAsia="Times New Roman" w:cs="Times New Roman"/>
                <w:color w:val="000000"/>
                <w:sz w:val="16"/>
                <w:szCs w:val="16"/>
              </w:rPr>
            </w:pPr>
            <w:r w:rsidRPr="004420D3">
              <w:rPr>
                <w:rFonts w:eastAsia="Times New Roman" w:cs="Times New Roman"/>
                <w:color w:val="000000"/>
                <w:sz w:val="16"/>
                <w:szCs w:val="16"/>
              </w:rPr>
              <w:t>SWI #8: Improved Accessibility for Members with Disabilities or for Whom English Is Not a Primary Language</w:t>
            </w:r>
          </w:p>
        </w:tc>
        <w:tc>
          <w:tcPr>
            <w:tcW w:w="1170" w:type="dxa"/>
            <w:tcBorders>
              <w:top w:val="nil"/>
              <w:left w:val="nil"/>
              <w:bottom w:val="single" w:sz="12" w:space="0" w:color="BFBFBF"/>
              <w:right w:val="single" w:sz="4" w:space="0" w:color="BFBFBF"/>
            </w:tcBorders>
            <w:shd w:val="clear" w:color="auto" w:fill="auto"/>
            <w:noWrap/>
            <w:vAlign w:val="center"/>
            <w:hideMark/>
          </w:tcPr>
          <w:p w14:paraId="639906EB" w14:textId="3034A9CF"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w:t>
            </w:r>
            <w:r w:rsidR="00507C72" w:rsidRPr="004420D3">
              <w:rPr>
                <w:rFonts w:eastAsia="Times New Roman" w:cs="Times New Roman"/>
                <w:color w:val="000000"/>
                <w:sz w:val="16"/>
                <w:szCs w:val="16"/>
              </w:rPr>
              <w:t>3.84</w:t>
            </w:r>
            <w:r w:rsidRPr="004420D3">
              <w:rPr>
                <w:rFonts w:eastAsia="Times New Roman" w:cs="Times New Roman"/>
                <w:color w:val="000000"/>
                <w:sz w:val="16"/>
                <w:szCs w:val="16"/>
              </w:rPr>
              <w:t xml:space="preserve"> M</w:t>
            </w:r>
          </w:p>
        </w:tc>
        <w:tc>
          <w:tcPr>
            <w:tcW w:w="1080" w:type="dxa"/>
            <w:tcBorders>
              <w:top w:val="nil"/>
              <w:left w:val="nil"/>
              <w:bottom w:val="single" w:sz="12" w:space="0" w:color="BFBFBF"/>
              <w:right w:val="single" w:sz="4" w:space="0" w:color="BFBFBF"/>
            </w:tcBorders>
            <w:shd w:val="clear" w:color="000000" w:fill="E2EFDA"/>
            <w:noWrap/>
            <w:vAlign w:val="center"/>
            <w:hideMark/>
          </w:tcPr>
          <w:p w14:paraId="00AB5338" w14:textId="6F633C9E"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w:t>
            </w:r>
            <w:r w:rsidR="00507C72" w:rsidRPr="004420D3">
              <w:rPr>
                <w:rFonts w:eastAsia="Times New Roman" w:cs="Times New Roman"/>
                <w:color w:val="000000"/>
                <w:sz w:val="16"/>
                <w:szCs w:val="16"/>
              </w:rPr>
              <w:t>3.84</w:t>
            </w:r>
            <w:r w:rsidRPr="004420D3">
              <w:rPr>
                <w:rFonts w:eastAsia="Times New Roman" w:cs="Times New Roman"/>
                <w:color w:val="000000"/>
                <w:sz w:val="16"/>
                <w:szCs w:val="16"/>
              </w:rPr>
              <w:t xml:space="preserve"> M</w:t>
            </w:r>
          </w:p>
        </w:tc>
        <w:tc>
          <w:tcPr>
            <w:tcW w:w="1080" w:type="dxa"/>
            <w:tcBorders>
              <w:top w:val="nil"/>
              <w:left w:val="nil"/>
              <w:bottom w:val="single" w:sz="12" w:space="0" w:color="BFBFBF"/>
              <w:right w:val="single" w:sz="4" w:space="0" w:color="BFBFBF"/>
            </w:tcBorders>
            <w:shd w:val="clear" w:color="auto" w:fill="auto"/>
            <w:noWrap/>
            <w:vAlign w:val="center"/>
            <w:hideMark/>
          </w:tcPr>
          <w:p w14:paraId="47A449C2"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$2.00 M</w:t>
            </w:r>
          </w:p>
        </w:tc>
        <w:tc>
          <w:tcPr>
            <w:tcW w:w="1080" w:type="dxa"/>
            <w:tcBorders>
              <w:top w:val="nil"/>
              <w:left w:val="nil"/>
              <w:bottom w:val="single" w:sz="4" w:space="0" w:color="BFBFBF"/>
              <w:right w:val="single" w:sz="4" w:space="0" w:color="BFBFBF"/>
            </w:tcBorders>
            <w:shd w:val="clear" w:color="auto" w:fill="auto"/>
            <w:noWrap/>
            <w:vAlign w:val="center"/>
            <w:hideMark/>
          </w:tcPr>
          <w:p w14:paraId="04AE7D16"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w:t>
            </w:r>
          </w:p>
        </w:tc>
        <w:tc>
          <w:tcPr>
            <w:tcW w:w="1170" w:type="dxa"/>
            <w:tcBorders>
              <w:top w:val="nil"/>
              <w:left w:val="nil"/>
              <w:bottom w:val="nil"/>
              <w:right w:val="single" w:sz="4" w:space="0" w:color="BFBFBF"/>
            </w:tcBorders>
            <w:shd w:val="clear" w:color="000000" w:fill="E5E5FF"/>
            <w:noWrap/>
            <w:vAlign w:val="center"/>
            <w:hideMark/>
          </w:tcPr>
          <w:p w14:paraId="35015942"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$2.00 M</w:t>
            </w:r>
          </w:p>
        </w:tc>
      </w:tr>
      <w:tr w:rsidR="00890C66" w:rsidRPr="004420D3" w14:paraId="7C207EEE" w14:textId="77777777" w:rsidTr="00890C66">
        <w:trPr>
          <w:trHeight w:val="300"/>
        </w:trPr>
        <w:tc>
          <w:tcPr>
            <w:tcW w:w="3780" w:type="dxa"/>
            <w:tcBorders>
              <w:top w:val="nil"/>
              <w:left w:val="single" w:sz="4" w:space="0" w:color="BFBFBF"/>
              <w:bottom w:val="single" w:sz="4" w:space="0" w:color="BFBFBF"/>
              <w:right w:val="single" w:sz="12" w:space="0" w:color="BFBFBF"/>
            </w:tcBorders>
            <w:shd w:val="clear" w:color="auto" w:fill="auto"/>
            <w:vAlign w:val="center"/>
            <w:hideMark/>
          </w:tcPr>
          <w:p w14:paraId="55C23349" w14:textId="77777777" w:rsidR="00890C66" w:rsidRPr="004420D3" w:rsidRDefault="00890C66" w:rsidP="00890C66">
            <w:pPr>
              <w:spacing w:after="0" w:line="240" w:lineRule="auto"/>
              <w:rPr>
                <w:rFonts w:eastAsia="Times New Roman" w:cs="Times New Roman"/>
                <w:b/>
                <w:bCs/>
                <w:color w:val="000000"/>
                <w:sz w:val="16"/>
                <w:szCs w:val="16"/>
              </w:rPr>
            </w:pPr>
            <w:r w:rsidRPr="004420D3">
              <w:rPr>
                <w:rFonts w:eastAsia="Times New Roman" w:cs="Times New Roman"/>
                <w:b/>
                <w:bCs/>
                <w:color w:val="000000"/>
                <w:sz w:val="16"/>
                <w:szCs w:val="16"/>
              </w:rPr>
              <w:t>Total</w:t>
            </w:r>
          </w:p>
        </w:tc>
        <w:tc>
          <w:tcPr>
            <w:tcW w:w="1170" w:type="dxa"/>
            <w:tcBorders>
              <w:top w:val="nil"/>
              <w:left w:val="nil"/>
              <w:bottom w:val="single" w:sz="4" w:space="0" w:color="BFBFBF"/>
              <w:right w:val="single" w:sz="4" w:space="0" w:color="BFBFBF"/>
            </w:tcBorders>
            <w:shd w:val="clear" w:color="auto" w:fill="auto"/>
            <w:noWrap/>
            <w:vAlign w:val="center"/>
            <w:hideMark/>
          </w:tcPr>
          <w:p w14:paraId="16366CC9" w14:textId="4D19721C"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w:t>
            </w:r>
            <w:r w:rsidR="00507C72" w:rsidRPr="004420D3">
              <w:rPr>
                <w:rFonts w:eastAsia="Times New Roman" w:cs="Times New Roman"/>
                <w:color w:val="000000"/>
                <w:sz w:val="16"/>
                <w:szCs w:val="16"/>
              </w:rPr>
              <w:t>37.41</w:t>
            </w:r>
            <w:r w:rsidRPr="004420D3">
              <w:rPr>
                <w:rFonts w:eastAsia="Times New Roman" w:cs="Times New Roman"/>
                <w:color w:val="000000"/>
                <w:sz w:val="16"/>
                <w:szCs w:val="16"/>
              </w:rPr>
              <w:t xml:space="preserve"> M</w:t>
            </w:r>
          </w:p>
        </w:tc>
        <w:tc>
          <w:tcPr>
            <w:tcW w:w="1080" w:type="dxa"/>
            <w:tcBorders>
              <w:top w:val="nil"/>
              <w:left w:val="nil"/>
              <w:bottom w:val="single" w:sz="4" w:space="0" w:color="BFBFBF"/>
              <w:right w:val="single" w:sz="4" w:space="0" w:color="BFBFBF"/>
            </w:tcBorders>
            <w:shd w:val="clear" w:color="000000" w:fill="E2EFDA"/>
            <w:noWrap/>
            <w:vAlign w:val="center"/>
            <w:hideMark/>
          </w:tcPr>
          <w:p w14:paraId="40F818C3" w14:textId="643B679F"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$2</w:t>
            </w:r>
            <w:r w:rsidR="00507C72" w:rsidRPr="004420D3">
              <w:rPr>
                <w:rFonts w:eastAsia="Times New Roman" w:cs="Times New Roman"/>
                <w:color w:val="000000"/>
                <w:sz w:val="16"/>
                <w:szCs w:val="16"/>
              </w:rPr>
              <w:t>2.65</w:t>
            </w:r>
            <w:r w:rsidRPr="004420D3">
              <w:rPr>
                <w:rFonts w:eastAsia="Times New Roman" w:cs="Times New Roman"/>
                <w:color w:val="000000"/>
                <w:sz w:val="16"/>
                <w:szCs w:val="16"/>
              </w:rPr>
              <w:t xml:space="preserve"> M</w:t>
            </w:r>
          </w:p>
        </w:tc>
        <w:tc>
          <w:tcPr>
            <w:tcW w:w="1080" w:type="dxa"/>
            <w:tcBorders>
              <w:top w:val="nil"/>
              <w:left w:val="nil"/>
              <w:bottom w:val="single" w:sz="4" w:space="0" w:color="BFBFBF"/>
              <w:right w:val="single" w:sz="4" w:space="0" w:color="BFBFBF"/>
            </w:tcBorders>
            <w:shd w:val="clear" w:color="auto" w:fill="auto"/>
            <w:noWrap/>
            <w:vAlign w:val="center"/>
            <w:hideMark/>
          </w:tcPr>
          <w:p w14:paraId="08DABE18" w14:textId="7777777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$17.50 M</w:t>
            </w:r>
          </w:p>
        </w:tc>
        <w:tc>
          <w:tcPr>
            <w:tcW w:w="1080" w:type="dxa"/>
            <w:tcBorders>
              <w:top w:val="single" w:sz="12" w:space="0" w:color="BFBFBF"/>
              <w:left w:val="nil"/>
              <w:bottom w:val="single" w:sz="4" w:space="0" w:color="BFBFBF"/>
              <w:right w:val="single" w:sz="4" w:space="0" w:color="BFBFBF"/>
            </w:tcBorders>
            <w:shd w:val="clear" w:color="auto" w:fill="auto"/>
            <w:noWrap/>
            <w:vAlign w:val="center"/>
            <w:hideMark/>
          </w:tcPr>
          <w:p w14:paraId="4ABB5C9C" w14:textId="56033B97"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w:t>
            </w:r>
            <w:r w:rsidR="00507C72" w:rsidRPr="004420D3">
              <w:rPr>
                <w:rFonts w:eastAsia="Times New Roman" w:cs="Times New Roman"/>
                <w:color w:val="000000"/>
                <w:sz w:val="16"/>
                <w:szCs w:val="16"/>
              </w:rPr>
              <w:t>4.76</w:t>
            </w:r>
            <w:r w:rsidRPr="004420D3">
              <w:rPr>
                <w:rFonts w:eastAsia="Times New Roman" w:cs="Times New Roman"/>
                <w:color w:val="000000"/>
                <w:sz w:val="16"/>
                <w:szCs w:val="16"/>
              </w:rPr>
              <w:t xml:space="preserve"> M</w:t>
            </w:r>
          </w:p>
        </w:tc>
        <w:tc>
          <w:tcPr>
            <w:tcW w:w="1170" w:type="dxa"/>
            <w:tcBorders>
              <w:top w:val="single" w:sz="12" w:space="0" w:color="BFBFBF"/>
              <w:left w:val="nil"/>
              <w:bottom w:val="single" w:sz="4" w:space="0" w:color="BFBFBF"/>
              <w:right w:val="single" w:sz="4" w:space="0" w:color="BFBFBF"/>
            </w:tcBorders>
            <w:shd w:val="clear" w:color="000000" w:fill="E5E5FF"/>
            <w:noWrap/>
            <w:vAlign w:val="center"/>
            <w:hideMark/>
          </w:tcPr>
          <w:p w14:paraId="10DCA7DD" w14:textId="2EC5BABB" w:rsidR="00890C66" w:rsidRPr="004420D3" w:rsidRDefault="00890C66" w:rsidP="00890C66">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$3</w:t>
            </w:r>
            <w:r w:rsidR="00507C72" w:rsidRPr="004420D3">
              <w:rPr>
                <w:rFonts w:eastAsia="Times New Roman" w:cs="Times New Roman"/>
                <w:color w:val="000000"/>
                <w:sz w:val="16"/>
                <w:szCs w:val="16"/>
              </w:rPr>
              <w:t>2</w:t>
            </w:r>
            <w:r w:rsidRPr="004420D3">
              <w:rPr>
                <w:rFonts w:eastAsia="Times New Roman" w:cs="Times New Roman"/>
                <w:color w:val="000000"/>
                <w:sz w:val="16"/>
                <w:szCs w:val="16"/>
              </w:rPr>
              <w:t>.</w:t>
            </w:r>
            <w:r w:rsidR="00507C72" w:rsidRPr="004420D3">
              <w:rPr>
                <w:rFonts w:eastAsia="Times New Roman" w:cs="Times New Roman"/>
                <w:color w:val="000000"/>
                <w:sz w:val="16"/>
                <w:szCs w:val="16"/>
              </w:rPr>
              <w:t>2</w:t>
            </w:r>
            <w:r w:rsidRPr="004420D3">
              <w:rPr>
                <w:rFonts w:eastAsia="Times New Roman" w:cs="Times New Roman"/>
                <w:color w:val="000000"/>
                <w:sz w:val="16"/>
                <w:szCs w:val="16"/>
              </w:rPr>
              <w:t>6 M</w:t>
            </w:r>
          </w:p>
        </w:tc>
      </w:tr>
      <w:tr w:rsidR="00890C66" w:rsidRPr="00890C66" w14:paraId="796B6E7C" w14:textId="77777777" w:rsidTr="00890C66">
        <w:trPr>
          <w:trHeight w:val="290"/>
        </w:trPr>
        <w:tc>
          <w:tcPr>
            <w:tcW w:w="7110" w:type="dxa"/>
            <w:gridSpan w:val="4"/>
            <w:tcBorders>
              <w:top w:val="nil"/>
              <w:left w:val="nil"/>
              <w:bottom w:val="nil"/>
              <w:right w:val="nil"/>
            </w:tcBorders>
            <w:shd w:val="clear" w:color="000000" w:fill="FFFFFF"/>
            <w:noWrap/>
            <w:vAlign w:val="center"/>
            <w:hideMark/>
          </w:tcPr>
          <w:p w14:paraId="05B272C4" w14:textId="77777777" w:rsidR="00890C66" w:rsidRPr="00890C66" w:rsidRDefault="00890C66" w:rsidP="00890C66">
            <w:pPr>
              <w:spacing w:after="0" w:line="240" w:lineRule="auto"/>
              <w:rPr>
                <w:rFonts w:eastAsia="Times New Roman" w:cs="Times New Roman"/>
                <w:color w:val="000000"/>
                <w:sz w:val="16"/>
                <w:szCs w:val="16"/>
              </w:rPr>
            </w:pPr>
            <w:r w:rsidRPr="004420D3">
              <w:rPr>
                <w:rFonts w:eastAsia="Times New Roman" w:cs="Times New Roman"/>
                <w:color w:val="000000"/>
                <w:sz w:val="16"/>
                <w:szCs w:val="16"/>
              </w:rPr>
              <w:t>*Displayed numbers are rounded; therefore, totals and updated expenditure authority numbers may not add up exactly</w:t>
            </w:r>
          </w:p>
        </w:tc>
        <w:tc>
          <w:tcPr>
            <w:tcW w:w="1080" w:type="dxa"/>
            <w:tcBorders>
              <w:top w:val="nil"/>
              <w:left w:val="nil"/>
              <w:bottom w:val="nil"/>
              <w:right w:val="nil"/>
            </w:tcBorders>
            <w:shd w:val="clear" w:color="000000" w:fill="FFFFFF"/>
            <w:noWrap/>
            <w:vAlign w:val="center"/>
            <w:hideMark/>
          </w:tcPr>
          <w:p w14:paraId="29E977E3" w14:textId="77777777" w:rsidR="00890C66" w:rsidRPr="00890C66" w:rsidRDefault="00890C66" w:rsidP="00890C66">
            <w:pPr>
              <w:spacing w:after="0" w:line="240" w:lineRule="auto"/>
              <w:jc w:val="center"/>
              <w:rPr>
                <w:rFonts w:eastAsia="Times New Roman" w:cs="Times New Roman"/>
                <w:color w:val="000000"/>
                <w:sz w:val="16"/>
                <w:szCs w:val="16"/>
              </w:rPr>
            </w:pPr>
            <w:r w:rsidRPr="00890C66">
              <w:rPr>
                <w:rFonts w:eastAsia="Times New Roman" w:cs="Times New Roman"/>
                <w:color w:val="000000"/>
                <w:sz w:val="16"/>
                <w:szCs w:val="16"/>
              </w:rPr>
              <w:t> </w:t>
            </w:r>
          </w:p>
        </w:tc>
        <w:tc>
          <w:tcPr>
            <w:tcW w:w="1170" w:type="dxa"/>
            <w:tcBorders>
              <w:top w:val="nil"/>
              <w:left w:val="nil"/>
              <w:bottom w:val="nil"/>
              <w:right w:val="nil"/>
            </w:tcBorders>
            <w:shd w:val="clear" w:color="000000" w:fill="FFFFFF"/>
            <w:noWrap/>
            <w:vAlign w:val="center"/>
            <w:hideMark/>
          </w:tcPr>
          <w:p w14:paraId="7CA8F928" w14:textId="77777777" w:rsidR="00890C66" w:rsidRPr="00890C66" w:rsidRDefault="00890C66" w:rsidP="00890C66">
            <w:pPr>
              <w:spacing w:after="0" w:line="240" w:lineRule="auto"/>
              <w:jc w:val="center"/>
              <w:rPr>
                <w:rFonts w:eastAsia="Times New Roman" w:cs="Times New Roman"/>
                <w:color w:val="000000"/>
                <w:sz w:val="16"/>
                <w:szCs w:val="16"/>
              </w:rPr>
            </w:pPr>
            <w:r w:rsidRPr="00890C66">
              <w:rPr>
                <w:rFonts w:eastAsia="Times New Roman" w:cs="Times New Roman"/>
                <w:color w:val="000000"/>
                <w:sz w:val="16"/>
                <w:szCs w:val="16"/>
              </w:rPr>
              <w:t> </w:t>
            </w:r>
          </w:p>
        </w:tc>
      </w:tr>
    </w:tbl>
    <w:p w14:paraId="631310D1" w14:textId="77777777" w:rsidR="009B549A" w:rsidRDefault="009B549A" w:rsidP="009B549A">
      <w:pPr>
        <w:pStyle w:val="ListParagraph"/>
        <w:rPr>
          <w:rFonts w:cs="Times New Roman"/>
          <w:color w:val="212121"/>
          <w:szCs w:val="24"/>
        </w:rPr>
      </w:pPr>
    </w:p>
    <w:p w14:paraId="5A2DA886" w14:textId="77777777" w:rsidR="009B549A" w:rsidRDefault="009B549A" w:rsidP="009B549A">
      <w:pPr>
        <w:pStyle w:val="ListParagraph"/>
        <w:rPr>
          <w:rFonts w:cs="Times New Roman"/>
          <w:color w:val="212121"/>
          <w:szCs w:val="24"/>
        </w:rPr>
      </w:pPr>
    </w:p>
    <w:p w14:paraId="1AC26254" w14:textId="6D791BD5" w:rsidR="00863BB7" w:rsidRPr="00E33863" w:rsidRDefault="00863BB7" w:rsidP="00863BB7">
      <w:pPr>
        <w:pStyle w:val="ListParagraph"/>
        <w:numPr>
          <w:ilvl w:val="0"/>
          <w:numId w:val="55"/>
        </w:numPr>
        <w:rPr>
          <w:rFonts w:cs="Times New Roman"/>
          <w:color w:val="212121"/>
          <w:szCs w:val="24"/>
        </w:rPr>
      </w:pPr>
      <w:r w:rsidRPr="00E33863">
        <w:rPr>
          <w:rFonts w:cs="Times New Roman"/>
          <w:color w:val="212121"/>
          <w:szCs w:val="24"/>
        </w:rPr>
        <w:t>See the table below for the most updated view of the State’s Statewide Investments expenditure authority allocation.</w:t>
      </w:r>
    </w:p>
    <w:tbl>
      <w:tblPr>
        <w:tblW w:w="9540" w:type="dxa"/>
        <w:tblLook w:val="04A0" w:firstRow="1" w:lastRow="0" w:firstColumn="1" w:lastColumn="0" w:noHBand="0" w:noVBand="1"/>
        <w:tblCaption w:val="Updated Statewide Investment Expenditure Authority Table"/>
        <w:tblDescription w:val="Updated Statewide Investment Expenditure Authority Table with dollar amounts per Statewide Investment per DSRIP Year"/>
      </w:tblPr>
      <w:tblGrid>
        <w:gridCol w:w="3510"/>
        <w:gridCol w:w="990"/>
        <w:gridCol w:w="990"/>
        <w:gridCol w:w="900"/>
        <w:gridCol w:w="1080"/>
        <w:gridCol w:w="990"/>
        <w:gridCol w:w="1080"/>
      </w:tblGrid>
      <w:tr w:rsidR="00A3778A" w:rsidRPr="004420D3" w14:paraId="2A68B70F" w14:textId="77777777" w:rsidTr="00720D60">
        <w:trPr>
          <w:trHeight w:val="290"/>
        </w:trPr>
        <w:tc>
          <w:tcPr>
            <w:tcW w:w="9540" w:type="dxa"/>
            <w:gridSpan w:val="7"/>
            <w:tcBorders>
              <w:top w:val="nil"/>
              <w:left w:val="nil"/>
              <w:bottom w:val="nil"/>
              <w:right w:val="nil"/>
            </w:tcBorders>
            <w:shd w:val="clear" w:color="000000" w:fill="FFFFFF"/>
            <w:noWrap/>
            <w:vAlign w:val="center"/>
            <w:hideMark/>
          </w:tcPr>
          <w:p w14:paraId="7B1687E8" w14:textId="7D4A014E" w:rsidR="00A3778A" w:rsidRPr="004420D3" w:rsidRDefault="00A3778A" w:rsidP="00E818C7">
            <w:pPr>
              <w:spacing w:after="0" w:line="240" w:lineRule="auto"/>
              <w:rPr>
                <w:rFonts w:eastAsia="Times New Roman" w:cs="Times New Roman"/>
                <w:b/>
                <w:bCs/>
                <w:color w:val="000000"/>
                <w:sz w:val="16"/>
                <w:szCs w:val="16"/>
              </w:rPr>
            </w:pPr>
            <w:r w:rsidRPr="004420D3">
              <w:rPr>
                <w:rFonts w:eastAsia="Times New Roman" w:cs="Times New Roman"/>
                <w:b/>
                <w:bCs/>
                <w:color w:val="000000"/>
                <w:sz w:val="16"/>
                <w:szCs w:val="16"/>
              </w:rPr>
              <w:t>Updated Statewide Investments Expenditure Authority Table</w:t>
            </w:r>
          </w:p>
        </w:tc>
      </w:tr>
      <w:tr w:rsidR="00E818C7" w:rsidRPr="004420D3" w14:paraId="73E4EC3D" w14:textId="77777777" w:rsidTr="00C25D20">
        <w:trPr>
          <w:trHeight w:val="300"/>
        </w:trPr>
        <w:tc>
          <w:tcPr>
            <w:tcW w:w="3510" w:type="dxa"/>
            <w:tcBorders>
              <w:top w:val="single" w:sz="4" w:space="0" w:color="BFBFBF"/>
              <w:left w:val="single" w:sz="4" w:space="0" w:color="BFBFBF"/>
              <w:bottom w:val="single" w:sz="12" w:space="0" w:color="BFBFBF"/>
              <w:right w:val="single" w:sz="12" w:space="0" w:color="BFBFBF"/>
            </w:tcBorders>
            <w:shd w:val="clear" w:color="000000" w:fill="1F497D"/>
            <w:noWrap/>
            <w:vAlign w:val="center"/>
            <w:hideMark/>
          </w:tcPr>
          <w:p w14:paraId="0E4383F5" w14:textId="77777777" w:rsidR="00E818C7" w:rsidRPr="004420D3" w:rsidRDefault="00E818C7" w:rsidP="00E818C7">
            <w:pPr>
              <w:spacing w:after="0" w:line="240" w:lineRule="auto"/>
              <w:rPr>
                <w:rFonts w:eastAsia="Times New Roman" w:cs="Times New Roman"/>
                <w:b/>
                <w:bCs/>
                <w:color w:val="FFFFFF"/>
                <w:sz w:val="16"/>
                <w:szCs w:val="16"/>
              </w:rPr>
            </w:pPr>
            <w:r w:rsidRPr="004420D3">
              <w:rPr>
                <w:rFonts w:eastAsia="Times New Roman" w:cs="Times New Roman"/>
                <w:b/>
                <w:bCs/>
                <w:color w:val="FFFFFF"/>
                <w:sz w:val="16"/>
                <w:szCs w:val="16"/>
              </w:rPr>
              <w:t>Statewide Investments</w:t>
            </w:r>
          </w:p>
        </w:tc>
        <w:tc>
          <w:tcPr>
            <w:tcW w:w="990" w:type="dxa"/>
            <w:tcBorders>
              <w:top w:val="single" w:sz="4" w:space="0" w:color="BFBFBF"/>
              <w:left w:val="nil"/>
              <w:bottom w:val="single" w:sz="12" w:space="0" w:color="BFBFBF"/>
              <w:right w:val="single" w:sz="4" w:space="0" w:color="BFBFBF"/>
            </w:tcBorders>
            <w:shd w:val="clear" w:color="000000" w:fill="1F497D"/>
            <w:noWrap/>
            <w:vAlign w:val="center"/>
            <w:hideMark/>
          </w:tcPr>
          <w:p w14:paraId="4F2A08BF" w14:textId="77777777" w:rsidR="00E818C7" w:rsidRPr="004420D3" w:rsidRDefault="00E818C7" w:rsidP="00E818C7">
            <w:pPr>
              <w:spacing w:after="0" w:line="240" w:lineRule="auto"/>
              <w:jc w:val="center"/>
              <w:rPr>
                <w:rFonts w:eastAsia="Times New Roman" w:cs="Times New Roman"/>
                <w:b/>
                <w:bCs/>
                <w:color w:val="FFFFFF"/>
                <w:sz w:val="16"/>
                <w:szCs w:val="16"/>
              </w:rPr>
            </w:pPr>
            <w:r w:rsidRPr="004420D3">
              <w:rPr>
                <w:rFonts w:eastAsia="Times New Roman" w:cs="Times New Roman"/>
                <w:b/>
                <w:bCs/>
                <w:color w:val="FFFFFF"/>
                <w:sz w:val="16"/>
                <w:szCs w:val="16"/>
              </w:rPr>
              <w:t>DY1</w:t>
            </w:r>
          </w:p>
        </w:tc>
        <w:tc>
          <w:tcPr>
            <w:tcW w:w="990" w:type="dxa"/>
            <w:tcBorders>
              <w:top w:val="single" w:sz="4" w:space="0" w:color="BFBFBF"/>
              <w:left w:val="nil"/>
              <w:bottom w:val="single" w:sz="12" w:space="0" w:color="BFBFBF"/>
              <w:right w:val="single" w:sz="4" w:space="0" w:color="BFBFBF"/>
            </w:tcBorders>
            <w:shd w:val="clear" w:color="000000" w:fill="1F497D"/>
            <w:noWrap/>
            <w:vAlign w:val="center"/>
            <w:hideMark/>
          </w:tcPr>
          <w:p w14:paraId="1A9E70D0" w14:textId="77777777" w:rsidR="00E818C7" w:rsidRPr="004420D3" w:rsidRDefault="00E818C7" w:rsidP="00E818C7">
            <w:pPr>
              <w:spacing w:after="0" w:line="240" w:lineRule="auto"/>
              <w:jc w:val="center"/>
              <w:rPr>
                <w:rFonts w:eastAsia="Times New Roman" w:cs="Times New Roman"/>
                <w:b/>
                <w:bCs/>
                <w:color w:val="FFFFFF"/>
                <w:sz w:val="16"/>
                <w:szCs w:val="16"/>
              </w:rPr>
            </w:pPr>
            <w:r w:rsidRPr="004420D3">
              <w:rPr>
                <w:rFonts w:eastAsia="Times New Roman" w:cs="Times New Roman"/>
                <w:b/>
                <w:bCs/>
                <w:color w:val="FFFFFF"/>
                <w:sz w:val="16"/>
                <w:szCs w:val="16"/>
              </w:rPr>
              <w:t>DY2</w:t>
            </w:r>
          </w:p>
        </w:tc>
        <w:tc>
          <w:tcPr>
            <w:tcW w:w="900" w:type="dxa"/>
            <w:tcBorders>
              <w:top w:val="single" w:sz="4" w:space="0" w:color="BFBFBF"/>
              <w:left w:val="nil"/>
              <w:bottom w:val="single" w:sz="12" w:space="0" w:color="BFBFBF"/>
              <w:right w:val="single" w:sz="4" w:space="0" w:color="BFBFBF"/>
            </w:tcBorders>
            <w:shd w:val="clear" w:color="000000" w:fill="1F497D"/>
            <w:noWrap/>
            <w:vAlign w:val="center"/>
            <w:hideMark/>
          </w:tcPr>
          <w:p w14:paraId="4B5AA4D8" w14:textId="77777777" w:rsidR="00E818C7" w:rsidRPr="004420D3" w:rsidRDefault="00E818C7" w:rsidP="00E818C7">
            <w:pPr>
              <w:spacing w:after="0" w:line="240" w:lineRule="auto"/>
              <w:jc w:val="center"/>
              <w:rPr>
                <w:rFonts w:eastAsia="Times New Roman" w:cs="Times New Roman"/>
                <w:b/>
                <w:bCs/>
                <w:color w:val="FFFFFF"/>
                <w:sz w:val="16"/>
                <w:szCs w:val="16"/>
              </w:rPr>
            </w:pPr>
            <w:r w:rsidRPr="004420D3">
              <w:rPr>
                <w:rFonts w:eastAsia="Times New Roman" w:cs="Times New Roman"/>
                <w:b/>
                <w:bCs/>
                <w:color w:val="FFFFFF"/>
                <w:sz w:val="16"/>
                <w:szCs w:val="16"/>
              </w:rPr>
              <w:t>DY3</w:t>
            </w:r>
          </w:p>
        </w:tc>
        <w:tc>
          <w:tcPr>
            <w:tcW w:w="1080" w:type="dxa"/>
            <w:tcBorders>
              <w:top w:val="single" w:sz="4" w:space="0" w:color="BFBFBF"/>
              <w:left w:val="nil"/>
              <w:bottom w:val="single" w:sz="12" w:space="0" w:color="BFBFBF"/>
              <w:right w:val="single" w:sz="4" w:space="0" w:color="BFBFBF"/>
            </w:tcBorders>
            <w:shd w:val="clear" w:color="000000" w:fill="1F497D"/>
            <w:noWrap/>
            <w:vAlign w:val="center"/>
            <w:hideMark/>
          </w:tcPr>
          <w:p w14:paraId="6F72BEAB" w14:textId="77777777" w:rsidR="00E818C7" w:rsidRPr="004420D3" w:rsidRDefault="00E818C7" w:rsidP="00E818C7">
            <w:pPr>
              <w:spacing w:after="0" w:line="240" w:lineRule="auto"/>
              <w:jc w:val="center"/>
              <w:rPr>
                <w:rFonts w:eastAsia="Times New Roman" w:cs="Times New Roman"/>
                <w:b/>
                <w:bCs/>
                <w:color w:val="FFFFFF"/>
                <w:sz w:val="16"/>
                <w:szCs w:val="16"/>
              </w:rPr>
            </w:pPr>
            <w:r w:rsidRPr="004420D3">
              <w:rPr>
                <w:rFonts w:eastAsia="Times New Roman" w:cs="Times New Roman"/>
                <w:b/>
                <w:bCs/>
                <w:color w:val="FFFFFF"/>
                <w:sz w:val="16"/>
                <w:szCs w:val="16"/>
              </w:rPr>
              <w:t>DY4</w:t>
            </w:r>
          </w:p>
        </w:tc>
        <w:tc>
          <w:tcPr>
            <w:tcW w:w="990" w:type="dxa"/>
            <w:tcBorders>
              <w:top w:val="single" w:sz="4" w:space="0" w:color="BFBFBF"/>
              <w:left w:val="nil"/>
              <w:bottom w:val="single" w:sz="12" w:space="0" w:color="BFBFBF"/>
              <w:right w:val="single" w:sz="12" w:space="0" w:color="BFBFBF"/>
            </w:tcBorders>
            <w:shd w:val="clear" w:color="000000" w:fill="1F497D"/>
            <w:noWrap/>
            <w:vAlign w:val="center"/>
            <w:hideMark/>
          </w:tcPr>
          <w:p w14:paraId="20099BE9" w14:textId="77777777" w:rsidR="00E818C7" w:rsidRPr="004420D3" w:rsidRDefault="00E818C7" w:rsidP="00E818C7">
            <w:pPr>
              <w:spacing w:after="0" w:line="240" w:lineRule="auto"/>
              <w:jc w:val="center"/>
              <w:rPr>
                <w:rFonts w:eastAsia="Times New Roman" w:cs="Times New Roman"/>
                <w:b/>
                <w:bCs/>
                <w:color w:val="FFFFFF"/>
                <w:sz w:val="16"/>
                <w:szCs w:val="16"/>
              </w:rPr>
            </w:pPr>
            <w:r w:rsidRPr="004420D3">
              <w:rPr>
                <w:rFonts w:eastAsia="Times New Roman" w:cs="Times New Roman"/>
                <w:b/>
                <w:bCs/>
                <w:color w:val="FFFFFF"/>
                <w:sz w:val="16"/>
                <w:szCs w:val="16"/>
              </w:rPr>
              <w:t>DY5</w:t>
            </w:r>
          </w:p>
        </w:tc>
        <w:tc>
          <w:tcPr>
            <w:tcW w:w="1080" w:type="dxa"/>
            <w:tcBorders>
              <w:top w:val="single" w:sz="4" w:space="0" w:color="BFBFBF"/>
              <w:left w:val="nil"/>
              <w:bottom w:val="single" w:sz="12" w:space="0" w:color="BFBFBF"/>
              <w:right w:val="single" w:sz="4" w:space="0" w:color="BFBFBF"/>
            </w:tcBorders>
            <w:shd w:val="clear" w:color="000000" w:fill="1F497D"/>
            <w:noWrap/>
            <w:vAlign w:val="center"/>
            <w:hideMark/>
          </w:tcPr>
          <w:p w14:paraId="2BAF01CD" w14:textId="77777777" w:rsidR="00E818C7" w:rsidRPr="004420D3" w:rsidRDefault="00E818C7" w:rsidP="00E818C7">
            <w:pPr>
              <w:spacing w:after="0" w:line="240" w:lineRule="auto"/>
              <w:jc w:val="center"/>
              <w:rPr>
                <w:rFonts w:eastAsia="Times New Roman" w:cs="Times New Roman"/>
                <w:b/>
                <w:bCs/>
                <w:color w:val="FFFFFF"/>
                <w:sz w:val="16"/>
                <w:szCs w:val="16"/>
              </w:rPr>
            </w:pPr>
            <w:r w:rsidRPr="004420D3">
              <w:rPr>
                <w:rFonts w:eastAsia="Times New Roman" w:cs="Times New Roman"/>
                <w:b/>
                <w:bCs/>
                <w:color w:val="FFFFFF"/>
                <w:sz w:val="16"/>
                <w:szCs w:val="16"/>
              </w:rPr>
              <w:t>Total</w:t>
            </w:r>
          </w:p>
        </w:tc>
      </w:tr>
      <w:tr w:rsidR="00C25D20" w:rsidRPr="004420D3" w14:paraId="75410861" w14:textId="77777777" w:rsidTr="00C25D20">
        <w:trPr>
          <w:trHeight w:val="300"/>
        </w:trPr>
        <w:tc>
          <w:tcPr>
            <w:tcW w:w="3510" w:type="dxa"/>
            <w:tcBorders>
              <w:top w:val="nil"/>
              <w:left w:val="single" w:sz="4" w:space="0" w:color="BFBFBF"/>
              <w:bottom w:val="single" w:sz="4" w:space="0" w:color="BFBFBF"/>
              <w:right w:val="single" w:sz="12" w:space="0" w:color="BFBFBF"/>
            </w:tcBorders>
            <w:shd w:val="clear" w:color="auto" w:fill="auto"/>
            <w:vAlign w:val="center"/>
            <w:hideMark/>
          </w:tcPr>
          <w:p w14:paraId="3047C70A" w14:textId="77777777" w:rsidR="00E818C7" w:rsidRPr="004420D3" w:rsidRDefault="00E818C7" w:rsidP="00E818C7">
            <w:pPr>
              <w:spacing w:after="0" w:line="240" w:lineRule="auto"/>
              <w:rPr>
                <w:rFonts w:eastAsia="Times New Roman" w:cs="Times New Roman"/>
                <w:color w:val="000000"/>
                <w:sz w:val="16"/>
                <w:szCs w:val="16"/>
              </w:rPr>
            </w:pPr>
            <w:r w:rsidRPr="004420D3">
              <w:rPr>
                <w:rFonts w:eastAsia="Times New Roman" w:cs="Times New Roman"/>
                <w:color w:val="000000"/>
                <w:sz w:val="16"/>
                <w:szCs w:val="16"/>
              </w:rPr>
              <w:t>SWI #1: Student Loan Repayment Program</w:t>
            </w:r>
          </w:p>
        </w:tc>
        <w:tc>
          <w:tcPr>
            <w:tcW w:w="990" w:type="dxa"/>
            <w:tcBorders>
              <w:top w:val="nil"/>
              <w:left w:val="nil"/>
              <w:bottom w:val="single" w:sz="4" w:space="0" w:color="BFBFBF"/>
              <w:right w:val="single" w:sz="4" w:space="0" w:color="BFBFBF"/>
            </w:tcBorders>
            <w:shd w:val="clear" w:color="auto" w:fill="auto"/>
            <w:noWrap/>
            <w:vAlign w:val="center"/>
            <w:hideMark/>
          </w:tcPr>
          <w:p w14:paraId="4CAB8D3E"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$3.89 M</w:t>
            </w:r>
          </w:p>
        </w:tc>
        <w:tc>
          <w:tcPr>
            <w:tcW w:w="990" w:type="dxa"/>
            <w:tcBorders>
              <w:top w:val="nil"/>
              <w:left w:val="nil"/>
              <w:bottom w:val="single" w:sz="4" w:space="0" w:color="BFBFBF"/>
              <w:right w:val="single" w:sz="4" w:space="0" w:color="BFBFBF"/>
            </w:tcBorders>
            <w:shd w:val="clear" w:color="auto" w:fill="auto"/>
            <w:noWrap/>
            <w:vAlign w:val="center"/>
            <w:hideMark/>
          </w:tcPr>
          <w:p w14:paraId="6C566FB8"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$5.48 M</w:t>
            </w:r>
          </w:p>
        </w:tc>
        <w:tc>
          <w:tcPr>
            <w:tcW w:w="900" w:type="dxa"/>
            <w:tcBorders>
              <w:top w:val="nil"/>
              <w:left w:val="nil"/>
              <w:bottom w:val="single" w:sz="4" w:space="0" w:color="BFBFBF"/>
              <w:right w:val="single" w:sz="4" w:space="0" w:color="BFBFBF"/>
            </w:tcBorders>
            <w:shd w:val="clear" w:color="auto" w:fill="auto"/>
            <w:noWrap/>
            <w:vAlign w:val="center"/>
            <w:hideMark/>
          </w:tcPr>
          <w:p w14:paraId="4B08CAC6"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$3.20 M</w:t>
            </w:r>
          </w:p>
        </w:tc>
        <w:tc>
          <w:tcPr>
            <w:tcW w:w="1080" w:type="dxa"/>
            <w:tcBorders>
              <w:top w:val="nil"/>
              <w:left w:val="nil"/>
              <w:bottom w:val="single" w:sz="4" w:space="0" w:color="BFBFBF"/>
              <w:right w:val="single" w:sz="4" w:space="0" w:color="BFBFBF"/>
            </w:tcBorders>
            <w:shd w:val="clear" w:color="000000" w:fill="E2EFDA"/>
            <w:noWrap/>
            <w:vAlign w:val="center"/>
            <w:hideMark/>
          </w:tcPr>
          <w:p w14:paraId="2B57DB2F"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$3.96 M</w:t>
            </w:r>
          </w:p>
        </w:tc>
        <w:tc>
          <w:tcPr>
            <w:tcW w:w="990" w:type="dxa"/>
            <w:tcBorders>
              <w:top w:val="nil"/>
              <w:left w:val="nil"/>
              <w:bottom w:val="single" w:sz="4" w:space="0" w:color="BFBFBF"/>
              <w:right w:val="single" w:sz="4" w:space="0" w:color="BFBFBF"/>
            </w:tcBorders>
            <w:shd w:val="clear" w:color="000000" w:fill="E5E5FF"/>
            <w:noWrap/>
            <w:vAlign w:val="center"/>
            <w:hideMark/>
          </w:tcPr>
          <w:p w14:paraId="648057F7"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$2.30 M</w:t>
            </w:r>
          </w:p>
        </w:tc>
        <w:tc>
          <w:tcPr>
            <w:tcW w:w="1080" w:type="dxa"/>
            <w:tcBorders>
              <w:top w:val="nil"/>
              <w:left w:val="nil"/>
              <w:bottom w:val="single" w:sz="4" w:space="0" w:color="BFBFBF"/>
              <w:right w:val="single" w:sz="4" w:space="0" w:color="BFBFBF"/>
            </w:tcBorders>
            <w:shd w:val="clear" w:color="auto" w:fill="auto"/>
            <w:noWrap/>
            <w:vAlign w:val="center"/>
            <w:hideMark/>
          </w:tcPr>
          <w:p w14:paraId="2ABB79EB"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$18.83 M</w:t>
            </w:r>
          </w:p>
        </w:tc>
      </w:tr>
      <w:tr w:rsidR="00C25D20" w:rsidRPr="004420D3" w14:paraId="7CDA54E0" w14:textId="77777777" w:rsidTr="00C25D20">
        <w:trPr>
          <w:trHeight w:val="290"/>
        </w:trPr>
        <w:tc>
          <w:tcPr>
            <w:tcW w:w="3510" w:type="dxa"/>
            <w:tcBorders>
              <w:top w:val="nil"/>
              <w:left w:val="single" w:sz="4" w:space="0" w:color="BFBFBF"/>
              <w:bottom w:val="single" w:sz="4" w:space="0" w:color="BFBFBF"/>
              <w:right w:val="single" w:sz="12" w:space="0" w:color="BFBFBF"/>
            </w:tcBorders>
            <w:shd w:val="clear" w:color="auto" w:fill="auto"/>
            <w:vAlign w:val="center"/>
            <w:hideMark/>
          </w:tcPr>
          <w:p w14:paraId="5AEB738A" w14:textId="77777777" w:rsidR="00E818C7" w:rsidRPr="004420D3" w:rsidRDefault="00E818C7" w:rsidP="00E818C7">
            <w:pPr>
              <w:spacing w:after="0" w:line="240" w:lineRule="auto"/>
              <w:rPr>
                <w:rFonts w:eastAsia="Times New Roman" w:cs="Times New Roman"/>
                <w:color w:val="000000"/>
                <w:sz w:val="16"/>
                <w:szCs w:val="16"/>
              </w:rPr>
            </w:pPr>
            <w:r w:rsidRPr="004420D3">
              <w:rPr>
                <w:rFonts w:eastAsia="Times New Roman" w:cs="Times New Roman"/>
                <w:color w:val="000000"/>
                <w:sz w:val="16"/>
                <w:szCs w:val="16"/>
              </w:rPr>
              <w:t>SWI #2: Primary Care Integration Models and Retention</w:t>
            </w:r>
          </w:p>
        </w:tc>
        <w:tc>
          <w:tcPr>
            <w:tcW w:w="990" w:type="dxa"/>
            <w:tcBorders>
              <w:top w:val="nil"/>
              <w:left w:val="nil"/>
              <w:bottom w:val="single" w:sz="4" w:space="0" w:color="BFBFBF"/>
              <w:right w:val="single" w:sz="4" w:space="0" w:color="BFBFBF"/>
            </w:tcBorders>
            <w:shd w:val="clear" w:color="auto" w:fill="auto"/>
            <w:noWrap/>
            <w:vAlign w:val="center"/>
            <w:hideMark/>
          </w:tcPr>
          <w:p w14:paraId="15BC4A2E"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$1.71 M</w:t>
            </w:r>
          </w:p>
        </w:tc>
        <w:tc>
          <w:tcPr>
            <w:tcW w:w="990" w:type="dxa"/>
            <w:tcBorders>
              <w:top w:val="nil"/>
              <w:left w:val="nil"/>
              <w:bottom w:val="single" w:sz="4" w:space="0" w:color="BFBFBF"/>
              <w:right w:val="single" w:sz="4" w:space="0" w:color="BFBFBF"/>
            </w:tcBorders>
            <w:shd w:val="clear" w:color="auto" w:fill="auto"/>
            <w:noWrap/>
            <w:vAlign w:val="center"/>
            <w:hideMark/>
          </w:tcPr>
          <w:p w14:paraId="73768067"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$1.95 M</w:t>
            </w:r>
          </w:p>
        </w:tc>
        <w:tc>
          <w:tcPr>
            <w:tcW w:w="900" w:type="dxa"/>
            <w:tcBorders>
              <w:top w:val="nil"/>
              <w:left w:val="nil"/>
              <w:bottom w:val="single" w:sz="4" w:space="0" w:color="BFBFBF"/>
              <w:right w:val="single" w:sz="4" w:space="0" w:color="BFBFBF"/>
            </w:tcBorders>
            <w:shd w:val="clear" w:color="auto" w:fill="auto"/>
            <w:noWrap/>
            <w:vAlign w:val="center"/>
            <w:hideMark/>
          </w:tcPr>
          <w:p w14:paraId="2428EA61"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$1.45 M</w:t>
            </w:r>
          </w:p>
        </w:tc>
        <w:tc>
          <w:tcPr>
            <w:tcW w:w="1080" w:type="dxa"/>
            <w:tcBorders>
              <w:top w:val="nil"/>
              <w:left w:val="nil"/>
              <w:bottom w:val="single" w:sz="4" w:space="0" w:color="BFBFBF"/>
              <w:right w:val="single" w:sz="4" w:space="0" w:color="BFBFBF"/>
            </w:tcBorders>
            <w:shd w:val="clear" w:color="000000" w:fill="E2EFDA"/>
            <w:noWrap/>
            <w:vAlign w:val="center"/>
            <w:hideMark/>
          </w:tcPr>
          <w:p w14:paraId="50B44190" w14:textId="6422844B"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$1.20 M</w:t>
            </w:r>
          </w:p>
        </w:tc>
        <w:tc>
          <w:tcPr>
            <w:tcW w:w="990" w:type="dxa"/>
            <w:tcBorders>
              <w:top w:val="nil"/>
              <w:left w:val="nil"/>
              <w:bottom w:val="single" w:sz="4" w:space="0" w:color="BFBFBF"/>
              <w:right w:val="single" w:sz="4" w:space="0" w:color="BFBFBF"/>
            </w:tcBorders>
            <w:shd w:val="clear" w:color="000000" w:fill="E5E5FF"/>
            <w:noWrap/>
            <w:vAlign w:val="center"/>
            <w:hideMark/>
          </w:tcPr>
          <w:p w14:paraId="2E43FF3D"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$1.00 M</w:t>
            </w:r>
          </w:p>
        </w:tc>
        <w:tc>
          <w:tcPr>
            <w:tcW w:w="1080" w:type="dxa"/>
            <w:tcBorders>
              <w:top w:val="nil"/>
              <w:left w:val="nil"/>
              <w:bottom w:val="single" w:sz="4" w:space="0" w:color="BFBFBF"/>
              <w:right w:val="single" w:sz="4" w:space="0" w:color="BFBFBF"/>
            </w:tcBorders>
            <w:shd w:val="clear" w:color="auto" w:fill="auto"/>
            <w:noWrap/>
            <w:vAlign w:val="center"/>
            <w:hideMark/>
          </w:tcPr>
          <w:p w14:paraId="01A39D68"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$7.31 M</w:t>
            </w:r>
          </w:p>
        </w:tc>
      </w:tr>
      <w:tr w:rsidR="00C25D20" w:rsidRPr="004420D3" w14:paraId="19F5F2F3" w14:textId="77777777" w:rsidTr="00C25D20">
        <w:trPr>
          <w:trHeight w:val="290"/>
        </w:trPr>
        <w:tc>
          <w:tcPr>
            <w:tcW w:w="3510" w:type="dxa"/>
            <w:tcBorders>
              <w:top w:val="nil"/>
              <w:left w:val="single" w:sz="4" w:space="0" w:color="BFBFBF"/>
              <w:bottom w:val="single" w:sz="4" w:space="0" w:color="BFBFBF"/>
              <w:right w:val="single" w:sz="12" w:space="0" w:color="BFBFBF"/>
            </w:tcBorders>
            <w:shd w:val="clear" w:color="auto" w:fill="auto"/>
            <w:vAlign w:val="center"/>
            <w:hideMark/>
          </w:tcPr>
          <w:p w14:paraId="5EF71B1F" w14:textId="77777777" w:rsidR="00E818C7" w:rsidRPr="004420D3" w:rsidRDefault="00E818C7" w:rsidP="00E818C7">
            <w:pPr>
              <w:spacing w:after="0" w:line="240" w:lineRule="auto"/>
              <w:rPr>
                <w:rFonts w:eastAsia="Times New Roman" w:cs="Times New Roman"/>
                <w:color w:val="000000"/>
                <w:sz w:val="16"/>
                <w:szCs w:val="16"/>
              </w:rPr>
            </w:pPr>
            <w:r w:rsidRPr="004420D3">
              <w:rPr>
                <w:rFonts w:eastAsia="Times New Roman" w:cs="Times New Roman"/>
                <w:color w:val="000000"/>
                <w:sz w:val="16"/>
                <w:szCs w:val="16"/>
              </w:rPr>
              <w:t>SWI #3: Investment in Primary Care Residency Training</w:t>
            </w:r>
          </w:p>
        </w:tc>
        <w:tc>
          <w:tcPr>
            <w:tcW w:w="990" w:type="dxa"/>
            <w:tcBorders>
              <w:top w:val="nil"/>
              <w:left w:val="nil"/>
              <w:bottom w:val="single" w:sz="4" w:space="0" w:color="BFBFBF"/>
              <w:right w:val="single" w:sz="4" w:space="0" w:color="BFBFBF"/>
            </w:tcBorders>
            <w:shd w:val="clear" w:color="auto" w:fill="auto"/>
            <w:noWrap/>
            <w:vAlign w:val="center"/>
            <w:hideMark/>
          </w:tcPr>
          <w:p w14:paraId="48D8627B"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$0.15 M</w:t>
            </w:r>
          </w:p>
        </w:tc>
        <w:tc>
          <w:tcPr>
            <w:tcW w:w="990" w:type="dxa"/>
            <w:tcBorders>
              <w:top w:val="nil"/>
              <w:left w:val="nil"/>
              <w:bottom w:val="single" w:sz="4" w:space="0" w:color="BFBFBF"/>
              <w:right w:val="single" w:sz="4" w:space="0" w:color="BFBFBF"/>
            </w:tcBorders>
            <w:shd w:val="clear" w:color="auto" w:fill="auto"/>
            <w:noWrap/>
            <w:vAlign w:val="center"/>
            <w:hideMark/>
          </w:tcPr>
          <w:p w14:paraId="3046E9F1"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$1.06 M</w:t>
            </w:r>
          </w:p>
        </w:tc>
        <w:tc>
          <w:tcPr>
            <w:tcW w:w="900" w:type="dxa"/>
            <w:tcBorders>
              <w:top w:val="nil"/>
              <w:left w:val="nil"/>
              <w:bottom w:val="single" w:sz="4" w:space="0" w:color="BFBFBF"/>
              <w:right w:val="single" w:sz="4" w:space="0" w:color="BFBFBF"/>
            </w:tcBorders>
            <w:shd w:val="clear" w:color="auto" w:fill="auto"/>
            <w:noWrap/>
            <w:vAlign w:val="center"/>
            <w:hideMark/>
          </w:tcPr>
          <w:p w14:paraId="2B89938D"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$2.37 M</w:t>
            </w:r>
          </w:p>
        </w:tc>
        <w:tc>
          <w:tcPr>
            <w:tcW w:w="1080" w:type="dxa"/>
            <w:tcBorders>
              <w:top w:val="nil"/>
              <w:left w:val="nil"/>
              <w:bottom w:val="single" w:sz="4" w:space="0" w:color="BFBFBF"/>
              <w:right w:val="single" w:sz="4" w:space="0" w:color="BFBFBF"/>
            </w:tcBorders>
            <w:shd w:val="clear" w:color="000000" w:fill="E2EFDA"/>
            <w:noWrap/>
            <w:vAlign w:val="center"/>
            <w:hideMark/>
          </w:tcPr>
          <w:p w14:paraId="57EE4942" w14:textId="223AABCF"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$2.5</w:t>
            </w:r>
            <w:r w:rsidR="00507C72" w:rsidRPr="004420D3">
              <w:rPr>
                <w:rFonts w:eastAsia="Times New Roman" w:cs="Times New Roman"/>
                <w:color w:val="000000"/>
                <w:sz w:val="16"/>
                <w:szCs w:val="16"/>
              </w:rPr>
              <w:t>9</w:t>
            </w:r>
            <w:r w:rsidRPr="004420D3">
              <w:rPr>
                <w:rFonts w:eastAsia="Times New Roman" w:cs="Times New Roman"/>
                <w:color w:val="000000"/>
                <w:sz w:val="16"/>
                <w:szCs w:val="16"/>
              </w:rPr>
              <w:t xml:space="preserve"> M</w:t>
            </w:r>
          </w:p>
        </w:tc>
        <w:tc>
          <w:tcPr>
            <w:tcW w:w="990" w:type="dxa"/>
            <w:tcBorders>
              <w:top w:val="nil"/>
              <w:left w:val="nil"/>
              <w:bottom w:val="single" w:sz="4" w:space="0" w:color="BFBFBF"/>
              <w:right w:val="single" w:sz="4" w:space="0" w:color="BFBFBF"/>
            </w:tcBorders>
            <w:shd w:val="clear" w:color="000000" w:fill="E5E5FF"/>
            <w:noWrap/>
            <w:vAlign w:val="center"/>
            <w:hideMark/>
          </w:tcPr>
          <w:p w14:paraId="6B7D5C4A"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$2.40 M</w:t>
            </w:r>
          </w:p>
        </w:tc>
        <w:tc>
          <w:tcPr>
            <w:tcW w:w="1080" w:type="dxa"/>
            <w:tcBorders>
              <w:top w:val="nil"/>
              <w:left w:val="nil"/>
              <w:bottom w:val="single" w:sz="4" w:space="0" w:color="BFBFBF"/>
              <w:right w:val="single" w:sz="4" w:space="0" w:color="BFBFBF"/>
            </w:tcBorders>
            <w:shd w:val="clear" w:color="auto" w:fill="auto"/>
            <w:noWrap/>
            <w:vAlign w:val="center"/>
            <w:hideMark/>
          </w:tcPr>
          <w:p w14:paraId="434A71A1" w14:textId="3FDDEB75"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$8.5</w:t>
            </w:r>
            <w:r w:rsidR="00507C72" w:rsidRPr="004420D3">
              <w:rPr>
                <w:rFonts w:eastAsia="Times New Roman" w:cs="Times New Roman"/>
                <w:color w:val="000000"/>
                <w:sz w:val="16"/>
                <w:szCs w:val="16"/>
              </w:rPr>
              <w:t>6</w:t>
            </w:r>
            <w:r w:rsidRPr="004420D3">
              <w:rPr>
                <w:rFonts w:eastAsia="Times New Roman" w:cs="Times New Roman"/>
                <w:color w:val="000000"/>
                <w:sz w:val="16"/>
                <w:szCs w:val="16"/>
              </w:rPr>
              <w:t xml:space="preserve"> M</w:t>
            </w:r>
          </w:p>
        </w:tc>
      </w:tr>
      <w:tr w:rsidR="00C25D20" w:rsidRPr="004420D3" w14:paraId="2D76F71D" w14:textId="77777777" w:rsidTr="00C25D20">
        <w:trPr>
          <w:trHeight w:val="290"/>
        </w:trPr>
        <w:tc>
          <w:tcPr>
            <w:tcW w:w="3510" w:type="dxa"/>
            <w:tcBorders>
              <w:top w:val="nil"/>
              <w:left w:val="single" w:sz="4" w:space="0" w:color="BFBFBF"/>
              <w:bottom w:val="single" w:sz="4" w:space="0" w:color="BFBFBF"/>
              <w:right w:val="single" w:sz="12" w:space="0" w:color="BFBFBF"/>
            </w:tcBorders>
            <w:shd w:val="clear" w:color="auto" w:fill="auto"/>
            <w:vAlign w:val="center"/>
            <w:hideMark/>
          </w:tcPr>
          <w:p w14:paraId="0B76165E" w14:textId="77777777" w:rsidR="00E818C7" w:rsidRPr="004420D3" w:rsidRDefault="00E818C7" w:rsidP="00E818C7">
            <w:pPr>
              <w:spacing w:after="0" w:line="240" w:lineRule="auto"/>
              <w:rPr>
                <w:rFonts w:eastAsia="Times New Roman" w:cs="Times New Roman"/>
                <w:color w:val="000000"/>
                <w:sz w:val="16"/>
                <w:szCs w:val="16"/>
              </w:rPr>
            </w:pPr>
            <w:r w:rsidRPr="004420D3">
              <w:rPr>
                <w:rFonts w:eastAsia="Times New Roman" w:cs="Times New Roman"/>
                <w:color w:val="000000"/>
                <w:sz w:val="16"/>
                <w:szCs w:val="16"/>
              </w:rPr>
              <w:t>SWI #4: Workforce Development Grant Program</w:t>
            </w:r>
          </w:p>
        </w:tc>
        <w:tc>
          <w:tcPr>
            <w:tcW w:w="990" w:type="dxa"/>
            <w:tcBorders>
              <w:top w:val="nil"/>
              <w:left w:val="nil"/>
              <w:bottom w:val="single" w:sz="4" w:space="0" w:color="BFBFBF"/>
              <w:right w:val="single" w:sz="4" w:space="0" w:color="BFBFBF"/>
            </w:tcBorders>
            <w:shd w:val="clear" w:color="auto" w:fill="auto"/>
            <w:noWrap/>
            <w:vAlign w:val="center"/>
            <w:hideMark/>
          </w:tcPr>
          <w:p w14:paraId="4C44CF91"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$1.70 M</w:t>
            </w:r>
          </w:p>
        </w:tc>
        <w:tc>
          <w:tcPr>
            <w:tcW w:w="990" w:type="dxa"/>
            <w:tcBorders>
              <w:top w:val="nil"/>
              <w:left w:val="nil"/>
              <w:bottom w:val="single" w:sz="4" w:space="0" w:color="BFBFBF"/>
              <w:right w:val="single" w:sz="4" w:space="0" w:color="BFBFBF"/>
            </w:tcBorders>
            <w:shd w:val="clear" w:color="auto" w:fill="auto"/>
            <w:noWrap/>
            <w:vAlign w:val="center"/>
            <w:hideMark/>
          </w:tcPr>
          <w:p w14:paraId="06DBC918"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$2.92 M</w:t>
            </w:r>
          </w:p>
        </w:tc>
        <w:tc>
          <w:tcPr>
            <w:tcW w:w="900" w:type="dxa"/>
            <w:tcBorders>
              <w:top w:val="nil"/>
              <w:left w:val="nil"/>
              <w:bottom w:val="single" w:sz="4" w:space="0" w:color="BFBFBF"/>
              <w:right w:val="single" w:sz="4" w:space="0" w:color="BFBFBF"/>
            </w:tcBorders>
            <w:shd w:val="clear" w:color="auto" w:fill="auto"/>
            <w:noWrap/>
            <w:vAlign w:val="center"/>
            <w:hideMark/>
          </w:tcPr>
          <w:p w14:paraId="38BE41E9"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$.78 M</w:t>
            </w:r>
          </w:p>
        </w:tc>
        <w:tc>
          <w:tcPr>
            <w:tcW w:w="1080" w:type="dxa"/>
            <w:tcBorders>
              <w:top w:val="nil"/>
              <w:left w:val="nil"/>
              <w:bottom w:val="single" w:sz="4" w:space="0" w:color="BFBFBF"/>
              <w:right w:val="single" w:sz="4" w:space="0" w:color="BFBFBF"/>
            </w:tcBorders>
            <w:shd w:val="clear" w:color="000000" w:fill="E2EFDA"/>
            <w:noWrap/>
            <w:vAlign w:val="center"/>
            <w:hideMark/>
          </w:tcPr>
          <w:p w14:paraId="75F35737"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$0.09 M</w:t>
            </w:r>
          </w:p>
        </w:tc>
        <w:tc>
          <w:tcPr>
            <w:tcW w:w="990" w:type="dxa"/>
            <w:tcBorders>
              <w:top w:val="nil"/>
              <w:left w:val="nil"/>
              <w:bottom w:val="single" w:sz="4" w:space="0" w:color="BFBFBF"/>
              <w:right w:val="single" w:sz="4" w:space="0" w:color="BFBFBF"/>
            </w:tcBorders>
            <w:shd w:val="clear" w:color="000000" w:fill="E5E5FF"/>
            <w:noWrap/>
            <w:vAlign w:val="center"/>
            <w:hideMark/>
          </w:tcPr>
          <w:p w14:paraId="1365D570" w14:textId="3F9EB761"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w:t>
            </w:r>
            <w:r w:rsidR="00507C72" w:rsidRPr="004420D3">
              <w:rPr>
                <w:rFonts w:eastAsia="Times New Roman" w:cs="Times New Roman"/>
                <w:color w:val="000000"/>
                <w:sz w:val="16"/>
                <w:szCs w:val="16"/>
              </w:rPr>
              <w:t>6.43</w:t>
            </w:r>
            <w:r w:rsidRPr="004420D3">
              <w:rPr>
                <w:rFonts w:eastAsia="Times New Roman" w:cs="Times New Roman"/>
                <w:color w:val="000000"/>
                <w:sz w:val="16"/>
                <w:szCs w:val="16"/>
              </w:rPr>
              <w:t xml:space="preserve"> M</w:t>
            </w:r>
          </w:p>
        </w:tc>
        <w:tc>
          <w:tcPr>
            <w:tcW w:w="1080" w:type="dxa"/>
            <w:tcBorders>
              <w:top w:val="nil"/>
              <w:left w:val="nil"/>
              <w:bottom w:val="single" w:sz="4" w:space="0" w:color="BFBFBF"/>
              <w:right w:val="single" w:sz="4" w:space="0" w:color="BFBFBF"/>
            </w:tcBorders>
            <w:shd w:val="clear" w:color="auto" w:fill="auto"/>
            <w:noWrap/>
            <w:vAlign w:val="center"/>
            <w:hideMark/>
          </w:tcPr>
          <w:p w14:paraId="44B9F84A" w14:textId="46EDCFD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w:t>
            </w:r>
            <w:r w:rsidR="00507C72" w:rsidRPr="004420D3">
              <w:rPr>
                <w:rFonts w:eastAsia="Times New Roman" w:cs="Times New Roman"/>
                <w:color w:val="000000"/>
                <w:sz w:val="16"/>
                <w:szCs w:val="16"/>
              </w:rPr>
              <w:t>1.92</w:t>
            </w:r>
            <w:r w:rsidRPr="004420D3">
              <w:rPr>
                <w:rFonts w:eastAsia="Times New Roman" w:cs="Times New Roman"/>
                <w:color w:val="000000"/>
                <w:sz w:val="16"/>
                <w:szCs w:val="16"/>
              </w:rPr>
              <w:t xml:space="preserve"> M</w:t>
            </w:r>
          </w:p>
        </w:tc>
      </w:tr>
      <w:tr w:rsidR="00C25D20" w:rsidRPr="004420D3" w14:paraId="074D6649" w14:textId="77777777" w:rsidTr="00C25D20">
        <w:trPr>
          <w:trHeight w:val="290"/>
        </w:trPr>
        <w:tc>
          <w:tcPr>
            <w:tcW w:w="3510" w:type="dxa"/>
            <w:tcBorders>
              <w:top w:val="nil"/>
              <w:left w:val="single" w:sz="4" w:space="0" w:color="BFBFBF"/>
              <w:bottom w:val="single" w:sz="4" w:space="0" w:color="BFBFBF"/>
              <w:right w:val="single" w:sz="12" w:space="0" w:color="BFBFBF"/>
            </w:tcBorders>
            <w:shd w:val="clear" w:color="auto" w:fill="auto"/>
            <w:vAlign w:val="center"/>
            <w:hideMark/>
          </w:tcPr>
          <w:p w14:paraId="47F2F145" w14:textId="77777777" w:rsidR="00E818C7" w:rsidRPr="004420D3" w:rsidRDefault="00E818C7" w:rsidP="00E818C7">
            <w:pPr>
              <w:spacing w:after="0" w:line="240" w:lineRule="auto"/>
              <w:rPr>
                <w:rFonts w:eastAsia="Times New Roman" w:cs="Times New Roman"/>
                <w:color w:val="000000"/>
                <w:sz w:val="16"/>
                <w:szCs w:val="16"/>
              </w:rPr>
            </w:pPr>
            <w:r w:rsidRPr="004420D3">
              <w:rPr>
                <w:rFonts w:eastAsia="Times New Roman" w:cs="Times New Roman"/>
                <w:color w:val="000000"/>
                <w:sz w:val="16"/>
                <w:szCs w:val="16"/>
              </w:rPr>
              <w:t>SWI #5: Technical Assistance for ACOs and CPs</w:t>
            </w:r>
          </w:p>
        </w:tc>
        <w:tc>
          <w:tcPr>
            <w:tcW w:w="990" w:type="dxa"/>
            <w:tcBorders>
              <w:top w:val="nil"/>
              <w:left w:val="nil"/>
              <w:bottom w:val="single" w:sz="4" w:space="0" w:color="BFBFBF"/>
              <w:right w:val="single" w:sz="4" w:space="0" w:color="BFBFBF"/>
            </w:tcBorders>
            <w:shd w:val="clear" w:color="auto" w:fill="auto"/>
            <w:noWrap/>
            <w:vAlign w:val="center"/>
            <w:hideMark/>
          </w:tcPr>
          <w:p w14:paraId="4E1EC6D2"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$10.32 M</w:t>
            </w:r>
          </w:p>
        </w:tc>
        <w:tc>
          <w:tcPr>
            <w:tcW w:w="990" w:type="dxa"/>
            <w:tcBorders>
              <w:top w:val="nil"/>
              <w:left w:val="nil"/>
              <w:bottom w:val="single" w:sz="4" w:space="0" w:color="BFBFBF"/>
              <w:right w:val="single" w:sz="4" w:space="0" w:color="BFBFBF"/>
            </w:tcBorders>
            <w:shd w:val="clear" w:color="auto" w:fill="auto"/>
            <w:noWrap/>
            <w:vAlign w:val="center"/>
            <w:hideMark/>
          </w:tcPr>
          <w:p w14:paraId="0DBE4F91"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$10.57 M</w:t>
            </w:r>
          </w:p>
        </w:tc>
        <w:tc>
          <w:tcPr>
            <w:tcW w:w="900" w:type="dxa"/>
            <w:tcBorders>
              <w:top w:val="nil"/>
              <w:left w:val="nil"/>
              <w:bottom w:val="single" w:sz="4" w:space="0" w:color="BFBFBF"/>
              <w:right w:val="single" w:sz="4" w:space="0" w:color="BFBFBF"/>
            </w:tcBorders>
            <w:shd w:val="clear" w:color="auto" w:fill="auto"/>
            <w:noWrap/>
            <w:vAlign w:val="center"/>
            <w:hideMark/>
          </w:tcPr>
          <w:p w14:paraId="58FF2905"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$5.88 M</w:t>
            </w:r>
          </w:p>
        </w:tc>
        <w:tc>
          <w:tcPr>
            <w:tcW w:w="1080" w:type="dxa"/>
            <w:tcBorders>
              <w:top w:val="nil"/>
              <w:left w:val="nil"/>
              <w:bottom w:val="single" w:sz="4" w:space="0" w:color="BFBFBF"/>
              <w:right w:val="single" w:sz="4" w:space="0" w:color="BFBFBF"/>
            </w:tcBorders>
            <w:shd w:val="clear" w:color="000000" w:fill="E2EFDA"/>
            <w:noWrap/>
            <w:vAlign w:val="center"/>
            <w:hideMark/>
          </w:tcPr>
          <w:p w14:paraId="4FD57943"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$0.57 M</w:t>
            </w:r>
          </w:p>
        </w:tc>
        <w:tc>
          <w:tcPr>
            <w:tcW w:w="990" w:type="dxa"/>
            <w:tcBorders>
              <w:top w:val="nil"/>
              <w:left w:val="nil"/>
              <w:bottom w:val="single" w:sz="4" w:space="0" w:color="BFBFBF"/>
              <w:right w:val="single" w:sz="4" w:space="0" w:color="BFBFBF"/>
            </w:tcBorders>
            <w:shd w:val="clear" w:color="000000" w:fill="E5E5FF"/>
            <w:noWrap/>
            <w:vAlign w:val="center"/>
            <w:hideMark/>
          </w:tcPr>
          <w:p w14:paraId="4B99CE04"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$16.93 M</w:t>
            </w:r>
          </w:p>
        </w:tc>
        <w:tc>
          <w:tcPr>
            <w:tcW w:w="1080" w:type="dxa"/>
            <w:tcBorders>
              <w:top w:val="nil"/>
              <w:left w:val="nil"/>
              <w:bottom w:val="single" w:sz="4" w:space="0" w:color="BFBFBF"/>
              <w:right w:val="single" w:sz="4" w:space="0" w:color="BFBFBF"/>
            </w:tcBorders>
            <w:shd w:val="clear" w:color="auto" w:fill="auto"/>
            <w:noWrap/>
            <w:vAlign w:val="center"/>
            <w:hideMark/>
          </w:tcPr>
          <w:p w14:paraId="66813EA6"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$44.28 M</w:t>
            </w:r>
          </w:p>
        </w:tc>
      </w:tr>
      <w:tr w:rsidR="00C25D20" w:rsidRPr="004420D3" w14:paraId="763E625B" w14:textId="77777777" w:rsidTr="00C25D20">
        <w:trPr>
          <w:trHeight w:val="290"/>
        </w:trPr>
        <w:tc>
          <w:tcPr>
            <w:tcW w:w="3510" w:type="dxa"/>
            <w:tcBorders>
              <w:top w:val="nil"/>
              <w:left w:val="single" w:sz="4" w:space="0" w:color="BFBFBF"/>
              <w:bottom w:val="single" w:sz="4" w:space="0" w:color="BFBFBF"/>
              <w:right w:val="single" w:sz="12" w:space="0" w:color="BFBFBF"/>
            </w:tcBorders>
            <w:shd w:val="clear" w:color="auto" w:fill="auto"/>
            <w:vAlign w:val="center"/>
            <w:hideMark/>
          </w:tcPr>
          <w:p w14:paraId="3F59BB49" w14:textId="77777777" w:rsidR="00E818C7" w:rsidRPr="004420D3" w:rsidRDefault="00E818C7" w:rsidP="00E818C7">
            <w:pPr>
              <w:spacing w:after="0" w:line="240" w:lineRule="auto"/>
              <w:rPr>
                <w:rFonts w:eastAsia="Times New Roman" w:cs="Times New Roman"/>
                <w:color w:val="000000"/>
                <w:sz w:val="16"/>
                <w:szCs w:val="16"/>
              </w:rPr>
            </w:pPr>
            <w:r w:rsidRPr="004420D3">
              <w:rPr>
                <w:rFonts w:eastAsia="Times New Roman" w:cs="Times New Roman"/>
                <w:color w:val="000000"/>
                <w:sz w:val="16"/>
                <w:szCs w:val="16"/>
              </w:rPr>
              <w:t>SWI #6: Alternative Payment Methodology Preparation Funds</w:t>
            </w:r>
          </w:p>
        </w:tc>
        <w:tc>
          <w:tcPr>
            <w:tcW w:w="990" w:type="dxa"/>
            <w:tcBorders>
              <w:top w:val="nil"/>
              <w:left w:val="nil"/>
              <w:bottom w:val="single" w:sz="4" w:space="0" w:color="BFBFBF"/>
              <w:right w:val="single" w:sz="4" w:space="0" w:color="BFBFBF"/>
            </w:tcBorders>
            <w:shd w:val="clear" w:color="auto" w:fill="auto"/>
            <w:noWrap/>
            <w:vAlign w:val="center"/>
            <w:hideMark/>
          </w:tcPr>
          <w:p w14:paraId="7072C545"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$2.20 M</w:t>
            </w:r>
          </w:p>
        </w:tc>
        <w:tc>
          <w:tcPr>
            <w:tcW w:w="990" w:type="dxa"/>
            <w:tcBorders>
              <w:top w:val="nil"/>
              <w:left w:val="nil"/>
              <w:bottom w:val="single" w:sz="4" w:space="0" w:color="BFBFBF"/>
              <w:right w:val="single" w:sz="4" w:space="0" w:color="BFBFBF"/>
            </w:tcBorders>
            <w:shd w:val="clear" w:color="auto" w:fill="auto"/>
            <w:noWrap/>
            <w:vAlign w:val="center"/>
            <w:hideMark/>
          </w:tcPr>
          <w:p w14:paraId="7E06DB87"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w:t>
            </w:r>
          </w:p>
        </w:tc>
        <w:tc>
          <w:tcPr>
            <w:tcW w:w="900" w:type="dxa"/>
            <w:tcBorders>
              <w:top w:val="nil"/>
              <w:left w:val="nil"/>
              <w:bottom w:val="single" w:sz="4" w:space="0" w:color="BFBFBF"/>
              <w:right w:val="single" w:sz="4" w:space="0" w:color="BFBFBF"/>
            </w:tcBorders>
            <w:shd w:val="clear" w:color="auto" w:fill="auto"/>
            <w:noWrap/>
            <w:vAlign w:val="center"/>
            <w:hideMark/>
          </w:tcPr>
          <w:p w14:paraId="6820C6CC"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w:t>
            </w:r>
          </w:p>
        </w:tc>
        <w:tc>
          <w:tcPr>
            <w:tcW w:w="1080" w:type="dxa"/>
            <w:tcBorders>
              <w:top w:val="nil"/>
              <w:left w:val="nil"/>
              <w:bottom w:val="single" w:sz="4" w:space="0" w:color="BFBFBF"/>
              <w:right w:val="single" w:sz="4" w:space="0" w:color="BFBFBF"/>
            </w:tcBorders>
            <w:shd w:val="clear" w:color="000000" w:fill="E2EFDA"/>
            <w:noWrap/>
            <w:vAlign w:val="center"/>
            <w:hideMark/>
          </w:tcPr>
          <w:p w14:paraId="4C776A95"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$08.50 M</w:t>
            </w:r>
          </w:p>
        </w:tc>
        <w:tc>
          <w:tcPr>
            <w:tcW w:w="990" w:type="dxa"/>
            <w:tcBorders>
              <w:top w:val="nil"/>
              <w:left w:val="nil"/>
              <w:bottom w:val="single" w:sz="4" w:space="0" w:color="BFBFBF"/>
              <w:right w:val="single" w:sz="4" w:space="0" w:color="BFBFBF"/>
            </w:tcBorders>
            <w:shd w:val="clear" w:color="000000" w:fill="E5E5FF"/>
            <w:noWrap/>
            <w:vAlign w:val="center"/>
            <w:hideMark/>
          </w:tcPr>
          <w:p w14:paraId="1C40B43E"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$1.20 M</w:t>
            </w:r>
          </w:p>
        </w:tc>
        <w:tc>
          <w:tcPr>
            <w:tcW w:w="1080" w:type="dxa"/>
            <w:tcBorders>
              <w:top w:val="nil"/>
              <w:left w:val="nil"/>
              <w:bottom w:val="single" w:sz="4" w:space="0" w:color="BFBFBF"/>
              <w:right w:val="single" w:sz="4" w:space="0" w:color="BFBFBF"/>
            </w:tcBorders>
            <w:shd w:val="clear" w:color="auto" w:fill="auto"/>
            <w:noWrap/>
            <w:vAlign w:val="center"/>
            <w:hideMark/>
          </w:tcPr>
          <w:p w14:paraId="794F6764"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$11.90 M</w:t>
            </w:r>
          </w:p>
        </w:tc>
      </w:tr>
      <w:tr w:rsidR="00C25D20" w:rsidRPr="004420D3" w14:paraId="765879A4" w14:textId="77777777" w:rsidTr="00C25D20">
        <w:trPr>
          <w:trHeight w:val="290"/>
        </w:trPr>
        <w:tc>
          <w:tcPr>
            <w:tcW w:w="3510" w:type="dxa"/>
            <w:tcBorders>
              <w:top w:val="nil"/>
              <w:left w:val="single" w:sz="4" w:space="0" w:color="BFBFBF"/>
              <w:bottom w:val="single" w:sz="4" w:space="0" w:color="BFBFBF"/>
              <w:right w:val="single" w:sz="12" w:space="0" w:color="BFBFBF"/>
            </w:tcBorders>
            <w:shd w:val="clear" w:color="auto" w:fill="auto"/>
            <w:vAlign w:val="center"/>
            <w:hideMark/>
          </w:tcPr>
          <w:p w14:paraId="52504727" w14:textId="77777777" w:rsidR="00E818C7" w:rsidRPr="004420D3" w:rsidRDefault="00E818C7" w:rsidP="00E818C7">
            <w:pPr>
              <w:spacing w:after="0" w:line="240" w:lineRule="auto"/>
              <w:rPr>
                <w:rFonts w:eastAsia="Times New Roman" w:cs="Times New Roman"/>
                <w:color w:val="000000"/>
                <w:sz w:val="16"/>
                <w:szCs w:val="16"/>
              </w:rPr>
            </w:pPr>
            <w:r w:rsidRPr="004420D3">
              <w:rPr>
                <w:rFonts w:eastAsia="Times New Roman" w:cs="Times New Roman"/>
                <w:color w:val="000000"/>
                <w:sz w:val="16"/>
                <w:szCs w:val="16"/>
              </w:rPr>
              <w:t>SWI #7: Enhanced Diversionary Behavioral Health Activities</w:t>
            </w:r>
          </w:p>
        </w:tc>
        <w:tc>
          <w:tcPr>
            <w:tcW w:w="990" w:type="dxa"/>
            <w:tcBorders>
              <w:top w:val="nil"/>
              <w:left w:val="nil"/>
              <w:bottom w:val="single" w:sz="4" w:space="0" w:color="BFBFBF"/>
              <w:right w:val="single" w:sz="4" w:space="0" w:color="BFBFBF"/>
            </w:tcBorders>
            <w:shd w:val="clear" w:color="auto" w:fill="auto"/>
            <w:noWrap/>
            <w:vAlign w:val="center"/>
            <w:hideMark/>
          </w:tcPr>
          <w:p w14:paraId="6CC67403"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$1.30 M</w:t>
            </w:r>
          </w:p>
        </w:tc>
        <w:tc>
          <w:tcPr>
            <w:tcW w:w="990" w:type="dxa"/>
            <w:tcBorders>
              <w:top w:val="nil"/>
              <w:left w:val="nil"/>
              <w:bottom w:val="single" w:sz="4" w:space="0" w:color="BFBFBF"/>
              <w:right w:val="single" w:sz="4" w:space="0" w:color="BFBFBF"/>
            </w:tcBorders>
            <w:shd w:val="clear" w:color="auto" w:fill="auto"/>
            <w:noWrap/>
            <w:vAlign w:val="center"/>
            <w:hideMark/>
          </w:tcPr>
          <w:p w14:paraId="145D96EC"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w:t>
            </w:r>
          </w:p>
        </w:tc>
        <w:tc>
          <w:tcPr>
            <w:tcW w:w="900" w:type="dxa"/>
            <w:tcBorders>
              <w:top w:val="nil"/>
              <w:left w:val="nil"/>
              <w:bottom w:val="single" w:sz="4" w:space="0" w:color="BFBFBF"/>
              <w:right w:val="single" w:sz="4" w:space="0" w:color="BFBFBF"/>
            </w:tcBorders>
            <w:shd w:val="clear" w:color="auto" w:fill="auto"/>
            <w:noWrap/>
            <w:vAlign w:val="center"/>
            <w:hideMark/>
          </w:tcPr>
          <w:p w14:paraId="65738AB6"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w:t>
            </w:r>
          </w:p>
        </w:tc>
        <w:tc>
          <w:tcPr>
            <w:tcW w:w="1080" w:type="dxa"/>
            <w:tcBorders>
              <w:top w:val="nil"/>
              <w:left w:val="nil"/>
              <w:bottom w:val="single" w:sz="4" w:space="0" w:color="BFBFBF"/>
              <w:right w:val="single" w:sz="4" w:space="0" w:color="BFBFBF"/>
            </w:tcBorders>
            <w:shd w:val="clear" w:color="000000" w:fill="E2EFDA"/>
            <w:noWrap/>
            <w:vAlign w:val="center"/>
            <w:hideMark/>
          </w:tcPr>
          <w:p w14:paraId="1C9D640D" w14:textId="7DF137FA"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$1.90 M</w:t>
            </w:r>
          </w:p>
        </w:tc>
        <w:tc>
          <w:tcPr>
            <w:tcW w:w="990" w:type="dxa"/>
            <w:tcBorders>
              <w:top w:val="nil"/>
              <w:left w:val="nil"/>
              <w:bottom w:val="single" w:sz="4" w:space="0" w:color="BFBFBF"/>
              <w:right w:val="single" w:sz="4" w:space="0" w:color="BFBFBF"/>
            </w:tcBorders>
            <w:shd w:val="clear" w:color="000000" w:fill="E5E5FF"/>
            <w:noWrap/>
            <w:vAlign w:val="center"/>
            <w:hideMark/>
          </w:tcPr>
          <w:p w14:paraId="5D140AD5"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64F06B7D"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$3.20 M</w:t>
            </w:r>
          </w:p>
        </w:tc>
      </w:tr>
      <w:tr w:rsidR="00C25D20" w:rsidRPr="004420D3" w14:paraId="7B9852A0" w14:textId="77777777" w:rsidTr="00C25D20">
        <w:trPr>
          <w:trHeight w:val="530"/>
        </w:trPr>
        <w:tc>
          <w:tcPr>
            <w:tcW w:w="3510" w:type="dxa"/>
            <w:tcBorders>
              <w:top w:val="nil"/>
              <w:left w:val="single" w:sz="4" w:space="0" w:color="BFBFBF"/>
              <w:bottom w:val="single" w:sz="12" w:space="0" w:color="BFBFBF"/>
              <w:right w:val="single" w:sz="12" w:space="0" w:color="BFBFBF"/>
            </w:tcBorders>
            <w:shd w:val="clear" w:color="auto" w:fill="auto"/>
            <w:vAlign w:val="center"/>
            <w:hideMark/>
          </w:tcPr>
          <w:p w14:paraId="3B3F839C" w14:textId="77777777" w:rsidR="00E818C7" w:rsidRPr="004420D3" w:rsidRDefault="00E818C7" w:rsidP="00E818C7">
            <w:pPr>
              <w:spacing w:after="0" w:line="240" w:lineRule="auto"/>
              <w:rPr>
                <w:rFonts w:eastAsia="Times New Roman" w:cs="Times New Roman"/>
                <w:color w:val="000000"/>
                <w:sz w:val="16"/>
                <w:szCs w:val="16"/>
              </w:rPr>
            </w:pPr>
            <w:r w:rsidRPr="004420D3">
              <w:rPr>
                <w:rFonts w:eastAsia="Times New Roman" w:cs="Times New Roman"/>
                <w:color w:val="000000"/>
                <w:sz w:val="16"/>
                <w:szCs w:val="16"/>
              </w:rPr>
              <w:t>SWI #8: Improved Accessibility for Members with Disabilities or for Whom English Is Not a Primary Language</w:t>
            </w:r>
          </w:p>
        </w:tc>
        <w:tc>
          <w:tcPr>
            <w:tcW w:w="990" w:type="dxa"/>
            <w:tcBorders>
              <w:top w:val="nil"/>
              <w:left w:val="nil"/>
              <w:bottom w:val="single" w:sz="12" w:space="0" w:color="BFBFBF"/>
              <w:right w:val="single" w:sz="4" w:space="0" w:color="BFBFBF"/>
            </w:tcBorders>
            <w:shd w:val="clear" w:color="auto" w:fill="auto"/>
            <w:noWrap/>
            <w:vAlign w:val="center"/>
            <w:hideMark/>
          </w:tcPr>
          <w:p w14:paraId="0EA8DB68"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$0.28 M</w:t>
            </w:r>
          </w:p>
        </w:tc>
        <w:tc>
          <w:tcPr>
            <w:tcW w:w="990" w:type="dxa"/>
            <w:tcBorders>
              <w:top w:val="nil"/>
              <w:left w:val="nil"/>
              <w:bottom w:val="single" w:sz="12" w:space="0" w:color="BFBFBF"/>
              <w:right w:val="single" w:sz="4" w:space="0" w:color="BFBFBF"/>
            </w:tcBorders>
            <w:shd w:val="clear" w:color="auto" w:fill="auto"/>
            <w:noWrap/>
            <w:vAlign w:val="center"/>
            <w:hideMark/>
          </w:tcPr>
          <w:p w14:paraId="7EF5CF30"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$2.41 M</w:t>
            </w:r>
          </w:p>
        </w:tc>
        <w:tc>
          <w:tcPr>
            <w:tcW w:w="900" w:type="dxa"/>
            <w:tcBorders>
              <w:top w:val="nil"/>
              <w:left w:val="nil"/>
              <w:bottom w:val="single" w:sz="12" w:space="0" w:color="BFBFBF"/>
              <w:right w:val="single" w:sz="4" w:space="0" w:color="BFBFBF"/>
            </w:tcBorders>
            <w:shd w:val="clear" w:color="auto" w:fill="auto"/>
            <w:noWrap/>
            <w:vAlign w:val="center"/>
            <w:hideMark/>
          </w:tcPr>
          <w:p w14:paraId="371A5D4C"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$.37 M</w:t>
            </w:r>
          </w:p>
        </w:tc>
        <w:tc>
          <w:tcPr>
            <w:tcW w:w="1080" w:type="dxa"/>
            <w:tcBorders>
              <w:top w:val="nil"/>
              <w:left w:val="nil"/>
              <w:bottom w:val="single" w:sz="12" w:space="0" w:color="BFBFBF"/>
              <w:right w:val="single" w:sz="4" w:space="0" w:color="BFBFBF"/>
            </w:tcBorders>
            <w:shd w:val="clear" w:color="000000" w:fill="E2EFDA"/>
            <w:noWrap/>
            <w:vAlign w:val="center"/>
            <w:hideMark/>
          </w:tcPr>
          <w:p w14:paraId="097A0601" w14:textId="2C4B4F83"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w:t>
            </w:r>
            <w:r w:rsidR="00507C72" w:rsidRPr="004420D3">
              <w:rPr>
                <w:rFonts w:eastAsia="Times New Roman" w:cs="Times New Roman"/>
                <w:color w:val="000000"/>
                <w:sz w:val="16"/>
                <w:szCs w:val="16"/>
              </w:rPr>
              <w:t>3.84</w:t>
            </w:r>
            <w:r w:rsidRPr="004420D3">
              <w:rPr>
                <w:rFonts w:eastAsia="Times New Roman" w:cs="Times New Roman"/>
                <w:color w:val="000000"/>
                <w:sz w:val="16"/>
                <w:szCs w:val="16"/>
              </w:rPr>
              <w:t xml:space="preserve"> M</w:t>
            </w:r>
          </w:p>
        </w:tc>
        <w:tc>
          <w:tcPr>
            <w:tcW w:w="990" w:type="dxa"/>
            <w:tcBorders>
              <w:top w:val="nil"/>
              <w:left w:val="nil"/>
              <w:bottom w:val="nil"/>
              <w:right w:val="single" w:sz="4" w:space="0" w:color="BFBFBF"/>
            </w:tcBorders>
            <w:shd w:val="clear" w:color="000000" w:fill="E5E5FF"/>
            <w:noWrap/>
            <w:vAlign w:val="center"/>
            <w:hideMark/>
          </w:tcPr>
          <w:p w14:paraId="2944FC3A"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$2.00 M</w:t>
            </w:r>
          </w:p>
        </w:tc>
        <w:tc>
          <w:tcPr>
            <w:tcW w:w="1080" w:type="dxa"/>
            <w:tcBorders>
              <w:top w:val="nil"/>
              <w:left w:val="nil"/>
              <w:bottom w:val="single" w:sz="12" w:space="0" w:color="BFBFBF"/>
              <w:right w:val="single" w:sz="4" w:space="0" w:color="BFBFBF"/>
            </w:tcBorders>
            <w:shd w:val="clear" w:color="auto" w:fill="auto"/>
            <w:noWrap/>
            <w:vAlign w:val="center"/>
            <w:hideMark/>
          </w:tcPr>
          <w:p w14:paraId="568D08D2" w14:textId="60361759"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w:t>
            </w:r>
            <w:r w:rsidR="00507C72" w:rsidRPr="004420D3">
              <w:rPr>
                <w:rFonts w:eastAsia="Times New Roman" w:cs="Times New Roman"/>
                <w:color w:val="000000"/>
                <w:sz w:val="16"/>
                <w:szCs w:val="16"/>
              </w:rPr>
              <w:t>8.90</w:t>
            </w:r>
            <w:r w:rsidRPr="004420D3">
              <w:rPr>
                <w:rFonts w:eastAsia="Times New Roman" w:cs="Times New Roman"/>
                <w:color w:val="000000"/>
                <w:sz w:val="16"/>
                <w:szCs w:val="16"/>
              </w:rPr>
              <w:t xml:space="preserve"> M</w:t>
            </w:r>
          </w:p>
        </w:tc>
      </w:tr>
      <w:tr w:rsidR="00C25D20" w:rsidRPr="004420D3" w14:paraId="680D5317" w14:textId="77777777" w:rsidTr="00C25D20">
        <w:trPr>
          <w:trHeight w:val="300"/>
        </w:trPr>
        <w:tc>
          <w:tcPr>
            <w:tcW w:w="3510" w:type="dxa"/>
            <w:tcBorders>
              <w:top w:val="nil"/>
              <w:left w:val="single" w:sz="4" w:space="0" w:color="BFBFBF"/>
              <w:bottom w:val="single" w:sz="4" w:space="0" w:color="BFBFBF"/>
              <w:right w:val="single" w:sz="12" w:space="0" w:color="BFBFBF"/>
            </w:tcBorders>
            <w:shd w:val="clear" w:color="auto" w:fill="auto"/>
            <w:vAlign w:val="center"/>
            <w:hideMark/>
          </w:tcPr>
          <w:p w14:paraId="1DA6CB5F" w14:textId="77777777" w:rsidR="00E818C7" w:rsidRPr="004420D3" w:rsidRDefault="00E818C7" w:rsidP="00E818C7">
            <w:pPr>
              <w:spacing w:after="0" w:line="240" w:lineRule="auto"/>
              <w:rPr>
                <w:rFonts w:eastAsia="Times New Roman" w:cs="Times New Roman"/>
                <w:b/>
                <w:bCs/>
                <w:color w:val="000000"/>
                <w:sz w:val="16"/>
                <w:szCs w:val="16"/>
              </w:rPr>
            </w:pPr>
            <w:r w:rsidRPr="004420D3">
              <w:rPr>
                <w:rFonts w:eastAsia="Times New Roman" w:cs="Times New Roman"/>
                <w:b/>
                <w:bCs/>
                <w:color w:val="000000"/>
                <w:sz w:val="16"/>
                <w:szCs w:val="16"/>
              </w:rPr>
              <w:t>Total</w:t>
            </w:r>
          </w:p>
        </w:tc>
        <w:tc>
          <w:tcPr>
            <w:tcW w:w="990" w:type="dxa"/>
            <w:tcBorders>
              <w:top w:val="nil"/>
              <w:left w:val="nil"/>
              <w:bottom w:val="single" w:sz="4" w:space="0" w:color="BFBFBF"/>
              <w:right w:val="single" w:sz="4" w:space="0" w:color="BFBFBF"/>
            </w:tcBorders>
            <w:shd w:val="clear" w:color="auto" w:fill="auto"/>
            <w:noWrap/>
            <w:vAlign w:val="center"/>
            <w:hideMark/>
          </w:tcPr>
          <w:p w14:paraId="22D4D01C"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$21.55 M</w:t>
            </w:r>
          </w:p>
        </w:tc>
        <w:tc>
          <w:tcPr>
            <w:tcW w:w="990" w:type="dxa"/>
            <w:tcBorders>
              <w:top w:val="nil"/>
              <w:left w:val="nil"/>
              <w:bottom w:val="single" w:sz="4" w:space="0" w:color="BFBFBF"/>
              <w:right w:val="single" w:sz="4" w:space="0" w:color="BFBFBF"/>
            </w:tcBorders>
            <w:shd w:val="clear" w:color="auto" w:fill="auto"/>
            <w:noWrap/>
            <w:vAlign w:val="center"/>
            <w:hideMark/>
          </w:tcPr>
          <w:p w14:paraId="5940786B"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$24.39 M</w:t>
            </w:r>
          </w:p>
        </w:tc>
        <w:tc>
          <w:tcPr>
            <w:tcW w:w="900" w:type="dxa"/>
            <w:tcBorders>
              <w:top w:val="nil"/>
              <w:left w:val="nil"/>
              <w:bottom w:val="single" w:sz="4" w:space="0" w:color="BFBFBF"/>
              <w:right w:val="single" w:sz="4" w:space="0" w:color="BFBFBF"/>
            </w:tcBorders>
            <w:shd w:val="clear" w:color="auto" w:fill="auto"/>
            <w:noWrap/>
            <w:vAlign w:val="center"/>
            <w:hideMark/>
          </w:tcPr>
          <w:p w14:paraId="19588E32" w14:textId="77777777"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$14.05 M</w:t>
            </w:r>
          </w:p>
        </w:tc>
        <w:tc>
          <w:tcPr>
            <w:tcW w:w="1080" w:type="dxa"/>
            <w:tcBorders>
              <w:top w:val="nil"/>
              <w:left w:val="nil"/>
              <w:bottom w:val="single" w:sz="4" w:space="0" w:color="BFBFBF"/>
              <w:right w:val="single" w:sz="4" w:space="0" w:color="BFBFBF"/>
            </w:tcBorders>
            <w:shd w:val="clear" w:color="000000" w:fill="E2EFDA"/>
            <w:noWrap/>
            <w:vAlign w:val="center"/>
            <w:hideMark/>
          </w:tcPr>
          <w:p w14:paraId="7553C829" w14:textId="162AAB78"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$2</w:t>
            </w:r>
            <w:r w:rsidR="00507C72" w:rsidRPr="004420D3">
              <w:rPr>
                <w:rFonts w:eastAsia="Times New Roman" w:cs="Times New Roman"/>
                <w:color w:val="000000"/>
                <w:sz w:val="16"/>
                <w:szCs w:val="16"/>
              </w:rPr>
              <w:t>2.65</w:t>
            </w:r>
            <w:r w:rsidRPr="004420D3">
              <w:rPr>
                <w:rFonts w:eastAsia="Times New Roman" w:cs="Times New Roman"/>
                <w:color w:val="000000"/>
                <w:sz w:val="16"/>
                <w:szCs w:val="16"/>
              </w:rPr>
              <w:t xml:space="preserve"> M</w:t>
            </w:r>
          </w:p>
        </w:tc>
        <w:tc>
          <w:tcPr>
            <w:tcW w:w="990" w:type="dxa"/>
            <w:tcBorders>
              <w:top w:val="single" w:sz="12" w:space="0" w:color="BFBFBF"/>
              <w:left w:val="nil"/>
              <w:bottom w:val="single" w:sz="4" w:space="0" w:color="BFBFBF"/>
              <w:right w:val="single" w:sz="4" w:space="0" w:color="BFBFBF"/>
            </w:tcBorders>
            <w:shd w:val="clear" w:color="000000" w:fill="E5E5FF"/>
            <w:noWrap/>
            <w:vAlign w:val="center"/>
            <w:hideMark/>
          </w:tcPr>
          <w:p w14:paraId="2A32CF59" w14:textId="005B954D"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$3</w:t>
            </w:r>
            <w:r w:rsidR="00507C72" w:rsidRPr="004420D3">
              <w:rPr>
                <w:rFonts w:eastAsia="Times New Roman" w:cs="Times New Roman"/>
                <w:color w:val="000000"/>
                <w:sz w:val="16"/>
                <w:szCs w:val="16"/>
              </w:rPr>
              <w:t>2</w:t>
            </w:r>
            <w:r w:rsidRPr="004420D3">
              <w:rPr>
                <w:rFonts w:eastAsia="Times New Roman" w:cs="Times New Roman"/>
                <w:color w:val="000000"/>
                <w:sz w:val="16"/>
                <w:szCs w:val="16"/>
              </w:rPr>
              <w:t>.</w:t>
            </w:r>
            <w:r w:rsidR="00507C72" w:rsidRPr="004420D3">
              <w:rPr>
                <w:rFonts w:eastAsia="Times New Roman" w:cs="Times New Roman"/>
                <w:color w:val="000000"/>
                <w:sz w:val="16"/>
                <w:szCs w:val="16"/>
              </w:rPr>
              <w:t>2</w:t>
            </w:r>
            <w:r w:rsidRPr="004420D3">
              <w:rPr>
                <w:rFonts w:eastAsia="Times New Roman" w:cs="Times New Roman"/>
                <w:color w:val="000000"/>
                <w:sz w:val="16"/>
                <w:szCs w:val="16"/>
              </w:rPr>
              <w:t>6 M</w:t>
            </w:r>
          </w:p>
        </w:tc>
        <w:tc>
          <w:tcPr>
            <w:tcW w:w="1080" w:type="dxa"/>
            <w:tcBorders>
              <w:top w:val="nil"/>
              <w:left w:val="nil"/>
              <w:bottom w:val="single" w:sz="4" w:space="0" w:color="BFBFBF"/>
              <w:right w:val="single" w:sz="4" w:space="0" w:color="BFBFBF"/>
            </w:tcBorders>
            <w:shd w:val="clear" w:color="auto" w:fill="auto"/>
            <w:noWrap/>
            <w:vAlign w:val="center"/>
            <w:hideMark/>
          </w:tcPr>
          <w:p w14:paraId="7A4945F2" w14:textId="547B5ADA" w:rsidR="00E818C7" w:rsidRPr="004420D3" w:rsidRDefault="00E818C7" w:rsidP="00E818C7">
            <w:pPr>
              <w:spacing w:after="0" w:line="240" w:lineRule="auto"/>
              <w:jc w:val="center"/>
              <w:rPr>
                <w:rFonts w:eastAsia="Times New Roman" w:cs="Times New Roman"/>
                <w:color w:val="000000"/>
                <w:sz w:val="16"/>
                <w:szCs w:val="16"/>
              </w:rPr>
            </w:pPr>
            <w:r w:rsidRPr="004420D3">
              <w:rPr>
                <w:rFonts w:eastAsia="Times New Roman" w:cs="Times New Roman"/>
                <w:color w:val="000000"/>
                <w:sz w:val="16"/>
                <w:szCs w:val="16"/>
              </w:rPr>
              <w:t>$1</w:t>
            </w:r>
            <w:r w:rsidR="00507C72" w:rsidRPr="004420D3">
              <w:rPr>
                <w:rFonts w:eastAsia="Times New Roman" w:cs="Times New Roman"/>
                <w:color w:val="000000"/>
                <w:sz w:val="16"/>
                <w:szCs w:val="16"/>
              </w:rPr>
              <w:t>14.90</w:t>
            </w:r>
            <w:r w:rsidRPr="004420D3">
              <w:rPr>
                <w:rFonts w:eastAsia="Times New Roman" w:cs="Times New Roman"/>
                <w:color w:val="000000"/>
                <w:sz w:val="16"/>
                <w:szCs w:val="16"/>
              </w:rPr>
              <w:t xml:space="preserve"> M</w:t>
            </w:r>
          </w:p>
        </w:tc>
      </w:tr>
      <w:tr w:rsidR="00E818C7" w:rsidRPr="00E818C7" w14:paraId="51D0BB4E" w14:textId="77777777" w:rsidTr="00C25D20">
        <w:trPr>
          <w:trHeight w:val="290"/>
        </w:trPr>
        <w:tc>
          <w:tcPr>
            <w:tcW w:w="6390" w:type="dxa"/>
            <w:gridSpan w:val="4"/>
            <w:tcBorders>
              <w:top w:val="nil"/>
              <w:left w:val="nil"/>
              <w:bottom w:val="nil"/>
              <w:right w:val="nil"/>
            </w:tcBorders>
            <w:shd w:val="clear" w:color="000000" w:fill="FFFFFF"/>
            <w:noWrap/>
            <w:vAlign w:val="center"/>
            <w:hideMark/>
          </w:tcPr>
          <w:p w14:paraId="6239950F" w14:textId="77777777" w:rsidR="00E818C7" w:rsidRPr="00E818C7" w:rsidRDefault="00E818C7" w:rsidP="00E818C7">
            <w:pPr>
              <w:spacing w:after="0" w:line="240" w:lineRule="auto"/>
              <w:rPr>
                <w:rFonts w:eastAsia="Times New Roman" w:cs="Times New Roman"/>
                <w:color w:val="000000"/>
                <w:sz w:val="16"/>
                <w:szCs w:val="16"/>
              </w:rPr>
            </w:pPr>
            <w:r w:rsidRPr="004420D3">
              <w:rPr>
                <w:rFonts w:eastAsia="Times New Roman" w:cs="Times New Roman"/>
                <w:color w:val="000000"/>
                <w:sz w:val="16"/>
                <w:szCs w:val="16"/>
              </w:rPr>
              <w:t>*Displayed numbers are rounded; therefore, totals and updated expenditure authority numbers may not add up exactly</w:t>
            </w:r>
          </w:p>
        </w:tc>
        <w:tc>
          <w:tcPr>
            <w:tcW w:w="1080" w:type="dxa"/>
            <w:tcBorders>
              <w:top w:val="nil"/>
              <w:left w:val="nil"/>
              <w:bottom w:val="nil"/>
              <w:right w:val="nil"/>
            </w:tcBorders>
            <w:shd w:val="clear" w:color="000000" w:fill="FFFFFF"/>
            <w:noWrap/>
            <w:vAlign w:val="center"/>
            <w:hideMark/>
          </w:tcPr>
          <w:p w14:paraId="56185C61" w14:textId="77777777" w:rsidR="00E818C7" w:rsidRPr="00E818C7" w:rsidRDefault="00E818C7" w:rsidP="00E818C7">
            <w:pPr>
              <w:spacing w:after="0" w:line="240" w:lineRule="auto"/>
              <w:rPr>
                <w:rFonts w:ascii="Calibri" w:eastAsia="Times New Roman" w:hAnsi="Calibri" w:cs="Calibri"/>
                <w:color w:val="000000"/>
                <w:sz w:val="16"/>
                <w:szCs w:val="16"/>
              </w:rPr>
            </w:pPr>
            <w:r w:rsidRPr="00E818C7">
              <w:rPr>
                <w:rFonts w:ascii="Calibri" w:eastAsia="Times New Roman" w:hAnsi="Calibri" w:cs="Calibri"/>
                <w:color w:val="000000"/>
                <w:sz w:val="16"/>
                <w:szCs w:val="16"/>
              </w:rPr>
              <w:t> </w:t>
            </w:r>
          </w:p>
        </w:tc>
        <w:tc>
          <w:tcPr>
            <w:tcW w:w="990" w:type="dxa"/>
            <w:tcBorders>
              <w:top w:val="nil"/>
              <w:left w:val="nil"/>
              <w:bottom w:val="nil"/>
              <w:right w:val="nil"/>
            </w:tcBorders>
            <w:shd w:val="clear" w:color="000000" w:fill="FFFFFF"/>
            <w:noWrap/>
            <w:vAlign w:val="center"/>
            <w:hideMark/>
          </w:tcPr>
          <w:p w14:paraId="7F9CDFB5" w14:textId="77777777" w:rsidR="00E818C7" w:rsidRPr="00E818C7" w:rsidRDefault="00E818C7" w:rsidP="00E818C7">
            <w:pPr>
              <w:spacing w:after="0" w:line="240" w:lineRule="auto"/>
              <w:rPr>
                <w:rFonts w:ascii="Calibri" w:eastAsia="Times New Roman" w:hAnsi="Calibri" w:cs="Calibri"/>
                <w:color w:val="000000"/>
                <w:sz w:val="16"/>
                <w:szCs w:val="16"/>
              </w:rPr>
            </w:pPr>
            <w:r w:rsidRPr="00E818C7">
              <w:rPr>
                <w:rFonts w:ascii="Calibri" w:eastAsia="Times New Roman" w:hAnsi="Calibri" w:cs="Calibri"/>
                <w:color w:val="000000"/>
                <w:sz w:val="16"/>
                <w:szCs w:val="16"/>
              </w:rPr>
              <w:t> </w:t>
            </w:r>
          </w:p>
        </w:tc>
        <w:tc>
          <w:tcPr>
            <w:tcW w:w="1080" w:type="dxa"/>
            <w:tcBorders>
              <w:top w:val="nil"/>
              <w:left w:val="nil"/>
              <w:bottom w:val="nil"/>
              <w:right w:val="nil"/>
            </w:tcBorders>
            <w:shd w:val="clear" w:color="000000" w:fill="FFFFFF"/>
            <w:noWrap/>
            <w:vAlign w:val="bottom"/>
            <w:hideMark/>
          </w:tcPr>
          <w:p w14:paraId="403F273A" w14:textId="77777777" w:rsidR="00E818C7" w:rsidRPr="00E818C7" w:rsidRDefault="00E818C7" w:rsidP="00E818C7">
            <w:pPr>
              <w:spacing w:after="0" w:line="240" w:lineRule="auto"/>
              <w:rPr>
                <w:rFonts w:ascii="Calibri" w:eastAsia="Times New Roman" w:hAnsi="Calibri" w:cs="Calibri"/>
                <w:color w:val="000000"/>
                <w:sz w:val="16"/>
                <w:szCs w:val="16"/>
              </w:rPr>
            </w:pPr>
            <w:r w:rsidRPr="00E818C7">
              <w:rPr>
                <w:rFonts w:ascii="Calibri" w:eastAsia="Times New Roman" w:hAnsi="Calibri" w:cs="Calibri"/>
                <w:color w:val="000000"/>
                <w:sz w:val="16"/>
                <w:szCs w:val="16"/>
              </w:rPr>
              <w:t> </w:t>
            </w:r>
          </w:p>
        </w:tc>
      </w:tr>
    </w:tbl>
    <w:p w14:paraId="5B6D0830" w14:textId="77777777" w:rsidR="00863BB7" w:rsidRPr="004C36C8" w:rsidRDefault="00863BB7" w:rsidP="00863BB7">
      <w:pPr>
        <w:tabs>
          <w:tab w:val="left" w:pos="6090"/>
        </w:tabs>
      </w:pPr>
      <w:r>
        <w:tab/>
      </w:r>
    </w:p>
    <w:p w14:paraId="4666DF30" w14:textId="547D695B" w:rsidR="000A19C6" w:rsidRPr="004B161F" w:rsidRDefault="000A19C6" w:rsidP="00A26B29">
      <w:pPr>
        <w:pStyle w:val="Heading3"/>
      </w:pPr>
      <w:r w:rsidRPr="00596921">
        <w:t>DSRIP Operations and Implementation</w:t>
      </w:r>
    </w:p>
    <w:p w14:paraId="738D1983" w14:textId="77777777" w:rsidR="000A19C6" w:rsidRPr="004B161F" w:rsidRDefault="000A19C6" w:rsidP="000A19C6">
      <w:pPr>
        <w:widowControl w:val="0"/>
        <w:autoSpaceDE w:val="0"/>
        <w:autoSpaceDN w:val="0"/>
        <w:spacing w:before="100" w:beforeAutospacing="1" w:after="100" w:afterAutospacing="1"/>
        <w:rPr>
          <w:rFonts w:eastAsia="Times New Roman" w:cs="Times New Roman"/>
          <w:szCs w:val="24"/>
          <w:u w:val="single"/>
        </w:rPr>
      </w:pPr>
      <w:r w:rsidRPr="004B161F">
        <w:rPr>
          <w:rFonts w:eastAsia="Times New Roman" w:cs="Times New Roman"/>
          <w:szCs w:val="24"/>
          <w:u w:val="single"/>
        </w:rPr>
        <w:t>Overview</w:t>
      </w:r>
    </w:p>
    <w:p w14:paraId="0718B812" w14:textId="77777777" w:rsidR="000A19C6" w:rsidRPr="004B161F" w:rsidRDefault="000A19C6" w:rsidP="000A19C6">
      <w:pPr>
        <w:rPr>
          <w:rFonts w:cs="Times New Roman"/>
          <w:szCs w:val="24"/>
        </w:rPr>
      </w:pPr>
      <w:r w:rsidRPr="004B161F">
        <w:rPr>
          <w:rFonts w:cs="Times New Roman"/>
          <w:szCs w:val="24"/>
        </w:rPr>
        <w:t>The Operations and Implementation stream provides funding for staff and vendor contracts to assist in implementing and providing robust oversight of the DSRIP program.</w:t>
      </w:r>
    </w:p>
    <w:p w14:paraId="5A5A3938" w14:textId="77777777" w:rsidR="000A19C6" w:rsidRPr="004B161F" w:rsidRDefault="000A19C6" w:rsidP="000A19C6">
      <w:pPr>
        <w:rPr>
          <w:rFonts w:cs="Times New Roman"/>
          <w:szCs w:val="24"/>
          <w:u w:val="single"/>
        </w:rPr>
      </w:pPr>
      <w:r w:rsidRPr="004B161F">
        <w:rPr>
          <w:rFonts w:cs="Times New Roman"/>
          <w:szCs w:val="24"/>
          <w:u w:val="single"/>
        </w:rPr>
        <w:t>Q4 Update</w:t>
      </w:r>
    </w:p>
    <w:p w14:paraId="5251F967" w14:textId="1FBB1D22" w:rsidR="000A19C6" w:rsidRDefault="000A19C6" w:rsidP="000A19C6">
      <w:pPr>
        <w:rPr>
          <w:rFonts w:cs="Times New Roman"/>
          <w:szCs w:val="24"/>
        </w:rPr>
      </w:pPr>
      <w:r w:rsidRPr="00D931BF">
        <w:rPr>
          <w:rFonts w:cs="Times New Roman"/>
          <w:szCs w:val="24"/>
        </w:rPr>
        <w:t xml:space="preserve">During Q4, MassHealth and the Independent Assessor approved or requested additional information on </w:t>
      </w:r>
      <w:r w:rsidR="00950063">
        <w:rPr>
          <w:rFonts w:cs="Times New Roman"/>
          <w:szCs w:val="24"/>
        </w:rPr>
        <w:t>Performance Year (</w:t>
      </w:r>
      <w:r w:rsidRPr="00D931BF">
        <w:rPr>
          <w:rFonts w:cs="Times New Roman"/>
          <w:szCs w:val="24"/>
        </w:rPr>
        <w:t>PY</w:t>
      </w:r>
      <w:r w:rsidR="00950063">
        <w:rPr>
          <w:rFonts w:cs="Times New Roman"/>
          <w:szCs w:val="24"/>
        </w:rPr>
        <w:t>)</w:t>
      </w:r>
      <w:r w:rsidRPr="00D931BF">
        <w:rPr>
          <w:rFonts w:cs="Times New Roman"/>
          <w:szCs w:val="24"/>
        </w:rPr>
        <w:t>3/</w:t>
      </w:r>
      <w:r w:rsidR="00950063">
        <w:rPr>
          <w:rFonts w:cs="Times New Roman"/>
          <w:szCs w:val="24"/>
        </w:rPr>
        <w:t>Budget Period (</w:t>
      </w:r>
      <w:r w:rsidRPr="00D931BF">
        <w:rPr>
          <w:rFonts w:cs="Times New Roman"/>
          <w:szCs w:val="24"/>
        </w:rPr>
        <w:t>BP</w:t>
      </w:r>
      <w:r w:rsidR="00950063">
        <w:rPr>
          <w:rFonts w:cs="Times New Roman"/>
          <w:szCs w:val="24"/>
        </w:rPr>
        <w:t>)</w:t>
      </w:r>
      <w:r w:rsidRPr="00D931BF">
        <w:rPr>
          <w:rFonts w:cs="Times New Roman"/>
          <w:szCs w:val="24"/>
        </w:rPr>
        <w:t xml:space="preserve">3 Annual Progress Reports submitted by ACOs, CPs, and </w:t>
      </w:r>
      <w:r w:rsidR="00614C5F">
        <w:rPr>
          <w:rFonts w:cs="Times New Roman"/>
          <w:szCs w:val="24"/>
        </w:rPr>
        <w:t>Community Services Agencies (</w:t>
      </w:r>
      <w:r w:rsidRPr="00D931BF">
        <w:rPr>
          <w:rFonts w:cs="Times New Roman"/>
          <w:szCs w:val="24"/>
        </w:rPr>
        <w:t>CSAs</w:t>
      </w:r>
      <w:r w:rsidR="00614C5F">
        <w:rPr>
          <w:rFonts w:cs="Times New Roman"/>
          <w:szCs w:val="24"/>
        </w:rPr>
        <w:t>)</w:t>
      </w:r>
      <w:r w:rsidRPr="00D931BF">
        <w:rPr>
          <w:rFonts w:cs="Times New Roman"/>
          <w:szCs w:val="24"/>
        </w:rPr>
        <w:t>. MassHealth disbursed ACO Startup/Ongoing payments for PY4 to ACOs that had approved budgets and submitted their PY3 Annual Reports. MassHealth also disbursed any remaining initial CP/CSA Infrastructure and Capacity Building payments for BP4 to CPs/CSAs that had not yet received their first payments.</w:t>
      </w:r>
    </w:p>
    <w:p w14:paraId="2DD9B903" w14:textId="77777777" w:rsidR="000A19C6" w:rsidRPr="004778F4" w:rsidRDefault="000A19C6" w:rsidP="000A19C6">
      <w:pPr>
        <w:rPr>
          <w:rFonts w:cs="Times New Roman"/>
          <w:szCs w:val="24"/>
        </w:rPr>
      </w:pPr>
      <w:r w:rsidRPr="004778F4">
        <w:rPr>
          <w:rFonts w:cs="Times New Roman"/>
          <w:szCs w:val="24"/>
        </w:rPr>
        <w:t>During this quarter, MassHealth’s ombudsman program (called My Ombudsman (MYO)) continued to operate without disruption throughout the COVID-19 pandemic. MYO determined that the top complaint from managed care members (excluding individuals enrolled in integrated care programs serving dual members) involved provider-related issues</w:t>
      </w:r>
      <w:r>
        <w:rPr>
          <w:rFonts w:cs="Times New Roman"/>
          <w:szCs w:val="24"/>
        </w:rPr>
        <w:t>, such as disagreement</w:t>
      </w:r>
      <w:r w:rsidRPr="004778F4">
        <w:rPr>
          <w:rFonts w:cs="Times New Roman"/>
          <w:szCs w:val="24"/>
        </w:rPr>
        <w:t xml:space="preserve"> with their provider’s decisions about their care </w:t>
      </w:r>
      <w:r>
        <w:rPr>
          <w:rFonts w:cs="Times New Roman"/>
          <w:szCs w:val="24"/>
        </w:rPr>
        <w:t>or</w:t>
      </w:r>
      <w:r w:rsidRPr="004778F4">
        <w:rPr>
          <w:rFonts w:cs="Times New Roman"/>
          <w:szCs w:val="24"/>
        </w:rPr>
        <w:t xml:space="preserve"> negative experiences with their providers (lack of communication, mistreatment, discrimination, for example). In all such instances, members received assistance filing grievances with their health plans.</w:t>
      </w:r>
    </w:p>
    <w:p w14:paraId="149B84B4" w14:textId="77777777" w:rsidR="000A19C6" w:rsidRPr="004778F4" w:rsidRDefault="000A19C6" w:rsidP="000A19C6">
      <w:pPr>
        <w:rPr>
          <w:rFonts w:cs="Times New Roman"/>
          <w:szCs w:val="24"/>
        </w:rPr>
      </w:pPr>
      <w:r w:rsidRPr="004778F4">
        <w:rPr>
          <w:rFonts w:cs="Times New Roman"/>
          <w:szCs w:val="24"/>
        </w:rPr>
        <w:t>Outreach activities continued virtually, with MYO participating in 19 virtual outreach events, reaching more than 500 participants in locations all over the state. MYO has also been working on strengthening their overall virtual presence. The Director of Deaf Services co-hosted a live virtual event for the Deaf and Hard of Hearing community with Health Care for All (HCFA</w:t>
      </w:r>
      <w:r>
        <w:rPr>
          <w:rFonts w:cs="Times New Roman"/>
          <w:szCs w:val="24"/>
        </w:rPr>
        <w:t>)</w:t>
      </w:r>
      <w:r w:rsidRPr="004778F4">
        <w:rPr>
          <w:rFonts w:cs="Times New Roman"/>
          <w:szCs w:val="24"/>
        </w:rPr>
        <w:t xml:space="preserve">. MYO also placed print and digital advertisements for the month of June in three newspapers and their online counterparts with large readership among Massachusetts’ immigrant and bilingual communities. </w:t>
      </w:r>
    </w:p>
    <w:p w14:paraId="2D3EB459" w14:textId="6083D597" w:rsidR="000A19C6" w:rsidRDefault="000A19C6" w:rsidP="000A19C6">
      <w:pPr>
        <w:rPr>
          <w:rFonts w:cs="Times New Roman"/>
          <w:szCs w:val="24"/>
        </w:rPr>
      </w:pPr>
      <w:r w:rsidRPr="004778F4">
        <w:rPr>
          <w:rFonts w:cs="Times New Roman"/>
          <w:szCs w:val="24"/>
        </w:rPr>
        <w:t>In the previous quarter, MYO began offering information about the COVID-19 vaccine (and assistance with booking appointments). After members complete their initial complaint intake with MYO, they are asked to participate in a 9-question vaccine survey. As part of the survey, members are asked whether they</w:t>
      </w:r>
      <w:r>
        <w:rPr>
          <w:rFonts w:cs="Times New Roman"/>
          <w:szCs w:val="24"/>
        </w:rPr>
        <w:t xml:space="preserve"> ha</w:t>
      </w:r>
      <w:r w:rsidRPr="004778F4">
        <w:rPr>
          <w:rFonts w:cs="Times New Roman"/>
          <w:szCs w:val="24"/>
        </w:rPr>
        <w:t>ve taken the vaccine, and if not, are offered further information, help answering questions, and assistance with booking appointments as applicable.  For the first few months of this work (through about June 2021) the survey showed that most callers were, or planned on getting, vaccinated when they became eligible. My Ombudsman will continue to collect survey results until further notice.</w:t>
      </w:r>
    </w:p>
    <w:p w14:paraId="599994B2" w14:textId="77777777" w:rsidR="000A19C6" w:rsidRDefault="000A19C6" w:rsidP="000A19C6">
      <w:pPr>
        <w:rPr>
          <w:rFonts w:cs="Times New Roman"/>
          <w:szCs w:val="24"/>
        </w:rPr>
      </w:pPr>
      <w:r w:rsidRPr="00930A1A">
        <w:rPr>
          <w:rFonts w:cs="Times New Roman"/>
          <w:szCs w:val="24"/>
        </w:rPr>
        <w:t xml:space="preserve">During this quarter, the Member Experience Survey Vendor, Massachusetts Health Quality Partners (MHQP), </w:t>
      </w:r>
      <w:r w:rsidRPr="00197254">
        <w:rPr>
          <w:rFonts w:cs="Times New Roman"/>
          <w:szCs w:val="24"/>
        </w:rPr>
        <w:t>fielded the 2021 MassHealth adult and child Primary Care (PC), Behavioral Health (BH) and Long Term Services and Supports (LTSS) Member Experience Surveys. There were multiple tiers and waves of surveys sent to members</w:t>
      </w:r>
      <w:r>
        <w:rPr>
          <w:rFonts w:cs="Times New Roman"/>
          <w:szCs w:val="24"/>
        </w:rPr>
        <w:t>,</w:t>
      </w:r>
      <w:r w:rsidRPr="00197254">
        <w:rPr>
          <w:rFonts w:cs="Times New Roman"/>
          <w:szCs w:val="24"/>
        </w:rPr>
        <w:t xml:space="preserve"> including email invitations to take surveys on-line, paper surveys, and telephone surveys (LTSS members only).  During this phase of the survey cycle, MHQP monitored survey response rates, issued biweekly survey response rate reports, and held an After Action Review meeting in early June to review the survey preparation and implementation process.</w:t>
      </w:r>
    </w:p>
    <w:p w14:paraId="73EA4CC0" w14:textId="77777777" w:rsidR="000A19C6" w:rsidRPr="004B161F" w:rsidRDefault="000A19C6" w:rsidP="000A19C6">
      <w:pPr>
        <w:rPr>
          <w:rFonts w:cs="Times New Roman"/>
          <w:szCs w:val="24"/>
        </w:rPr>
      </w:pPr>
      <w:r w:rsidRPr="00876546">
        <w:rPr>
          <w:rFonts w:cs="Times New Roman"/>
          <w:szCs w:val="24"/>
        </w:rPr>
        <w:t xml:space="preserve">The Delivery System Reform Implementation Advisory Council (DSRIC) held a meeting in </w:t>
      </w:r>
      <w:r>
        <w:rPr>
          <w:rFonts w:cs="Times New Roman"/>
          <w:szCs w:val="24"/>
        </w:rPr>
        <w:t>April</w:t>
      </w:r>
      <w:r w:rsidRPr="00876546">
        <w:rPr>
          <w:rFonts w:cs="Times New Roman"/>
          <w:szCs w:val="24"/>
        </w:rPr>
        <w:t xml:space="preserve"> </w:t>
      </w:r>
      <w:r>
        <w:rPr>
          <w:rFonts w:cs="Times New Roman"/>
          <w:szCs w:val="24"/>
        </w:rPr>
        <w:t>to discuss the current performance of ACO DSRIP investments</w:t>
      </w:r>
      <w:r w:rsidRPr="00876546">
        <w:rPr>
          <w:rFonts w:cs="Times New Roman"/>
          <w:szCs w:val="24"/>
        </w:rPr>
        <w:t xml:space="preserve">. In June, another meeting was held to provide </w:t>
      </w:r>
      <w:r>
        <w:rPr>
          <w:rFonts w:cs="Times New Roman"/>
          <w:szCs w:val="24"/>
        </w:rPr>
        <w:t>an update on ongoing health equity work at the agency</w:t>
      </w:r>
      <w:r w:rsidRPr="00876546">
        <w:rPr>
          <w:rFonts w:cs="Times New Roman"/>
          <w:szCs w:val="24"/>
        </w:rPr>
        <w:t xml:space="preserve">. </w:t>
      </w:r>
      <w:r w:rsidRPr="00012A22">
        <w:rPr>
          <w:rFonts w:cs="Times New Roman"/>
          <w:color w:val="212121"/>
          <w:szCs w:val="24"/>
        </w:rPr>
        <w:t>MassHealth</w:t>
      </w:r>
      <w:r w:rsidRPr="00876546">
        <w:rPr>
          <w:rFonts w:cs="Times New Roman"/>
          <w:szCs w:val="24"/>
        </w:rPr>
        <w:t xml:space="preserve"> continued to provide updated key statistics such as ACO and CP member enrollment.</w:t>
      </w:r>
    </w:p>
    <w:p w14:paraId="7E8F44A7" w14:textId="77777777" w:rsidR="000A19C6" w:rsidRPr="004B161F" w:rsidRDefault="000A19C6" w:rsidP="000A19C6">
      <w:pPr>
        <w:rPr>
          <w:rFonts w:cs="Times New Roman"/>
          <w:szCs w:val="24"/>
          <w:u w:val="single"/>
        </w:rPr>
      </w:pPr>
      <w:r w:rsidRPr="004B161F">
        <w:rPr>
          <w:rFonts w:cs="Times New Roman"/>
          <w:szCs w:val="24"/>
          <w:u w:val="single"/>
        </w:rPr>
        <w:t>Annual Summary</w:t>
      </w:r>
    </w:p>
    <w:p w14:paraId="5949B1E1" w14:textId="77777777" w:rsidR="000A19C6" w:rsidRPr="004B161F" w:rsidRDefault="000A19C6" w:rsidP="009B549A">
      <w:pPr>
        <w:spacing w:after="0"/>
        <w:rPr>
          <w:rFonts w:cs="Times New Roman"/>
          <w:szCs w:val="24"/>
        </w:rPr>
      </w:pPr>
      <w:r w:rsidRPr="004B161F">
        <w:rPr>
          <w:rFonts w:cs="Times New Roman"/>
          <w:szCs w:val="24"/>
        </w:rPr>
        <w:t>Q1:</w:t>
      </w:r>
    </w:p>
    <w:p w14:paraId="7B39DE46" w14:textId="77777777" w:rsidR="000A19C6" w:rsidRPr="00946B48" w:rsidRDefault="000A19C6" w:rsidP="009B549A">
      <w:pPr>
        <w:pStyle w:val="ListParagraph"/>
        <w:numPr>
          <w:ilvl w:val="0"/>
          <w:numId w:val="37"/>
        </w:numPr>
        <w:spacing w:after="0"/>
        <w:rPr>
          <w:rFonts w:cs="Times New Roman"/>
          <w:szCs w:val="24"/>
        </w:rPr>
      </w:pPr>
      <w:r w:rsidRPr="00946B48">
        <w:rPr>
          <w:rFonts w:cs="Times New Roman"/>
          <w:szCs w:val="24"/>
        </w:rPr>
        <w:t>ACO:</w:t>
      </w:r>
    </w:p>
    <w:p w14:paraId="761125F4" w14:textId="03299777" w:rsidR="000A19C6" w:rsidRPr="00D931BF" w:rsidRDefault="000A19C6" w:rsidP="000A19C6">
      <w:pPr>
        <w:pStyle w:val="ListParagraph"/>
        <w:numPr>
          <w:ilvl w:val="1"/>
          <w:numId w:val="37"/>
        </w:numPr>
        <w:rPr>
          <w:rFonts w:cs="Times New Roman"/>
          <w:szCs w:val="24"/>
        </w:rPr>
      </w:pPr>
      <w:r w:rsidRPr="00D931BF">
        <w:rPr>
          <w:rFonts w:cs="Times New Roman"/>
          <w:szCs w:val="24"/>
        </w:rPr>
        <w:t>ACOs submitted their PY3 Semiannual Progress Reports</w:t>
      </w:r>
    </w:p>
    <w:p w14:paraId="0AE9EBAB" w14:textId="77777777" w:rsidR="000A19C6" w:rsidRPr="00D931BF" w:rsidRDefault="000A19C6" w:rsidP="000A19C6">
      <w:pPr>
        <w:pStyle w:val="ListParagraph"/>
        <w:numPr>
          <w:ilvl w:val="1"/>
          <w:numId w:val="37"/>
        </w:numPr>
        <w:rPr>
          <w:rFonts w:cs="Times New Roman"/>
          <w:szCs w:val="24"/>
        </w:rPr>
      </w:pPr>
      <w:r w:rsidRPr="00D931BF">
        <w:rPr>
          <w:rFonts w:cs="Times New Roman"/>
          <w:szCs w:val="24"/>
        </w:rPr>
        <w:t>MassHealth began review of the Semiannual Progress Reports</w:t>
      </w:r>
    </w:p>
    <w:p w14:paraId="4B02B37F" w14:textId="77777777" w:rsidR="000A19C6" w:rsidRPr="00D931BF" w:rsidRDefault="000A19C6" w:rsidP="000A19C6">
      <w:pPr>
        <w:pStyle w:val="ListParagraph"/>
        <w:numPr>
          <w:ilvl w:val="1"/>
          <w:numId w:val="37"/>
        </w:numPr>
        <w:rPr>
          <w:rFonts w:cs="Times New Roman"/>
          <w:szCs w:val="24"/>
        </w:rPr>
      </w:pPr>
      <w:r w:rsidRPr="00D931BF">
        <w:rPr>
          <w:rFonts w:cs="Times New Roman"/>
          <w:szCs w:val="24"/>
        </w:rPr>
        <w:t>MassHealth disbursed additional Startup/Ongoing payments to ACOs</w:t>
      </w:r>
    </w:p>
    <w:p w14:paraId="41ACE7B4" w14:textId="77777777" w:rsidR="000A19C6" w:rsidRPr="00946B48" w:rsidRDefault="000A19C6" w:rsidP="000A19C6">
      <w:pPr>
        <w:pStyle w:val="ListParagraph"/>
        <w:numPr>
          <w:ilvl w:val="0"/>
          <w:numId w:val="37"/>
        </w:numPr>
        <w:rPr>
          <w:rFonts w:cs="Times New Roman"/>
          <w:szCs w:val="24"/>
        </w:rPr>
      </w:pPr>
      <w:r w:rsidRPr="00946B48">
        <w:rPr>
          <w:rFonts w:cs="Times New Roman"/>
          <w:szCs w:val="24"/>
        </w:rPr>
        <w:t>CP/CSA:</w:t>
      </w:r>
    </w:p>
    <w:p w14:paraId="2141B2B1" w14:textId="4E2EEB6C" w:rsidR="000A19C6" w:rsidRPr="00D931BF" w:rsidRDefault="000A19C6" w:rsidP="000A19C6">
      <w:pPr>
        <w:pStyle w:val="ListParagraph"/>
        <w:numPr>
          <w:ilvl w:val="1"/>
          <w:numId w:val="37"/>
        </w:numPr>
        <w:rPr>
          <w:rFonts w:cs="Times New Roman"/>
          <w:szCs w:val="24"/>
        </w:rPr>
      </w:pPr>
      <w:r w:rsidRPr="00D931BF">
        <w:rPr>
          <w:rFonts w:cs="Times New Roman"/>
          <w:szCs w:val="24"/>
        </w:rPr>
        <w:t>CPs/CSAs submitted their BP3 Semiannual Progress Reports</w:t>
      </w:r>
    </w:p>
    <w:p w14:paraId="70710305" w14:textId="77777777" w:rsidR="000A19C6" w:rsidRPr="00D931BF" w:rsidRDefault="000A19C6" w:rsidP="000A19C6">
      <w:pPr>
        <w:pStyle w:val="ListParagraph"/>
        <w:numPr>
          <w:ilvl w:val="1"/>
          <w:numId w:val="37"/>
        </w:numPr>
        <w:rPr>
          <w:rFonts w:cs="Times New Roman"/>
          <w:szCs w:val="24"/>
        </w:rPr>
      </w:pPr>
      <w:r w:rsidRPr="00D931BF">
        <w:rPr>
          <w:rFonts w:cs="Times New Roman"/>
          <w:szCs w:val="24"/>
        </w:rPr>
        <w:t>MassHealth began review of the Semiannual Progress Reports</w:t>
      </w:r>
    </w:p>
    <w:p w14:paraId="3A8DC509" w14:textId="77777777" w:rsidR="000A19C6" w:rsidRPr="00645CF6" w:rsidRDefault="000A19C6" w:rsidP="000A19C6">
      <w:pPr>
        <w:pStyle w:val="ListParagraph"/>
        <w:numPr>
          <w:ilvl w:val="1"/>
          <w:numId w:val="37"/>
        </w:numPr>
        <w:rPr>
          <w:rFonts w:cs="Times New Roman"/>
          <w:szCs w:val="24"/>
        </w:rPr>
      </w:pPr>
      <w:r w:rsidRPr="00D931BF">
        <w:rPr>
          <w:rFonts w:cs="Times New Roman"/>
          <w:szCs w:val="24"/>
        </w:rPr>
        <w:t>MassHealth disbursed additional Infrastructure and Capacity Building payments to CPs/CSAs</w:t>
      </w:r>
    </w:p>
    <w:p w14:paraId="6BCCCB99" w14:textId="77777777" w:rsidR="000A19C6" w:rsidRPr="00946B48" w:rsidRDefault="000A19C6" w:rsidP="000A19C6">
      <w:pPr>
        <w:pStyle w:val="ListParagraph"/>
        <w:numPr>
          <w:ilvl w:val="0"/>
          <w:numId w:val="37"/>
        </w:numPr>
        <w:rPr>
          <w:rFonts w:cs="Times New Roman"/>
          <w:szCs w:val="24"/>
        </w:rPr>
      </w:pPr>
      <w:r w:rsidRPr="00946B48">
        <w:rPr>
          <w:rFonts w:cs="Times New Roman"/>
          <w:szCs w:val="24"/>
        </w:rPr>
        <w:t>The Independent Assessor (IA), Public Consulting Group (PCG):</w:t>
      </w:r>
    </w:p>
    <w:p w14:paraId="2AABAAEA" w14:textId="77777777" w:rsidR="000A19C6" w:rsidRPr="002B4959" w:rsidRDefault="000A19C6" w:rsidP="000A19C6">
      <w:pPr>
        <w:pStyle w:val="ListParagraph"/>
        <w:numPr>
          <w:ilvl w:val="1"/>
          <w:numId w:val="37"/>
        </w:numPr>
        <w:rPr>
          <w:rFonts w:cs="Times New Roman"/>
          <w:szCs w:val="24"/>
        </w:rPr>
      </w:pPr>
      <w:r w:rsidRPr="002B4959">
        <w:rPr>
          <w:rFonts w:cs="Times New Roman"/>
          <w:szCs w:val="24"/>
        </w:rPr>
        <w:t>IA began review of the Semiannual Progress Reports</w:t>
      </w:r>
    </w:p>
    <w:p w14:paraId="16C89014" w14:textId="77777777" w:rsidR="000A19C6" w:rsidRPr="00645CF6" w:rsidRDefault="000A19C6" w:rsidP="000A19C6">
      <w:pPr>
        <w:pStyle w:val="ListParagraph"/>
        <w:numPr>
          <w:ilvl w:val="1"/>
          <w:numId w:val="37"/>
        </w:numPr>
        <w:rPr>
          <w:rFonts w:cs="Times New Roman"/>
          <w:szCs w:val="24"/>
        </w:rPr>
      </w:pPr>
      <w:r w:rsidRPr="002B4959">
        <w:rPr>
          <w:rFonts w:cs="Times New Roman"/>
          <w:szCs w:val="24"/>
        </w:rPr>
        <w:t>IA continued to work on the Midpoint Assessment</w:t>
      </w:r>
    </w:p>
    <w:p w14:paraId="274C042B" w14:textId="77777777" w:rsidR="000A19C6" w:rsidRPr="004B161F" w:rsidRDefault="000A19C6" w:rsidP="000A19C6">
      <w:pPr>
        <w:pStyle w:val="ListParagraph"/>
        <w:numPr>
          <w:ilvl w:val="0"/>
          <w:numId w:val="37"/>
        </w:numPr>
        <w:rPr>
          <w:rFonts w:cs="Times New Roman"/>
          <w:szCs w:val="24"/>
        </w:rPr>
      </w:pPr>
      <w:r w:rsidRPr="004B161F">
        <w:rPr>
          <w:rFonts w:cs="Times New Roman"/>
          <w:szCs w:val="24"/>
        </w:rPr>
        <w:t>Ombudsman</w:t>
      </w:r>
    </w:p>
    <w:p w14:paraId="2A48A23D" w14:textId="77777777" w:rsidR="000A19C6" w:rsidRPr="00342096" w:rsidRDefault="000A19C6" w:rsidP="000A19C6">
      <w:pPr>
        <w:pStyle w:val="ListParagraph"/>
        <w:numPr>
          <w:ilvl w:val="1"/>
          <w:numId w:val="37"/>
        </w:numPr>
        <w:rPr>
          <w:rFonts w:cs="Times New Roman"/>
          <w:szCs w:val="24"/>
        </w:rPr>
      </w:pPr>
      <w:r w:rsidRPr="00342096">
        <w:rPr>
          <w:rFonts w:cs="Times New Roman"/>
          <w:szCs w:val="24"/>
        </w:rPr>
        <w:t xml:space="preserve">My Ombudsman (MYO) continued to operate without disruption throughout the COVID-19 pandemic (except that walk-in services were temporarily discontinued). </w:t>
      </w:r>
    </w:p>
    <w:p w14:paraId="3F84D5FA" w14:textId="77777777" w:rsidR="000A19C6" w:rsidRPr="00342096" w:rsidRDefault="000A19C6" w:rsidP="000A19C6">
      <w:pPr>
        <w:pStyle w:val="ListParagraph"/>
        <w:numPr>
          <w:ilvl w:val="1"/>
          <w:numId w:val="37"/>
        </w:numPr>
        <w:rPr>
          <w:rFonts w:cs="Times New Roman"/>
          <w:szCs w:val="24"/>
        </w:rPr>
      </w:pPr>
      <w:r w:rsidRPr="00342096">
        <w:rPr>
          <w:rFonts w:cs="Times New Roman"/>
          <w:szCs w:val="24"/>
        </w:rPr>
        <w:t>My Ombudsman participated in 27 virtual outreach events, reaching a total of 2,542 participants in locations all over the state.</w:t>
      </w:r>
    </w:p>
    <w:p w14:paraId="6611AD29" w14:textId="77777777" w:rsidR="000A19C6" w:rsidRPr="00342096" w:rsidRDefault="000A19C6" w:rsidP="000A19C6">
      <w:pPr>
        <w:pStyle w:val="ListParagraph"/>
        <w:numPr>
          <w:ilvl w:val="1"/>
          <w:numId w:val="37"/>
        </w:numPr>
        <w:rPr>
          <w:rFonts w:cs="Times New Roman"/>
          <w:szCs w:val="24"/>
        </w:rPr>
      </w:pPr>
      <w:r w:rsidRPr="00342096">
        <w:rPr>
          <w:rFonts w:cs="Times New Roman"/>
          <w:szCs w:val="24"/>
        </w:rPr>
        <w:t>My Ombudsman and MassHealth worked together to distribute an outreach email to all managed care members for whom MassHealth had valid email addresses. Messaging in the email focused on two points: informing members about the availability of MYO services and reminding members about the new MassHealth webpage with information on COVID-19 policy-related updates and information. The first batch of emails was sent on Sept. 30th, 2020.</w:t>
      </w:r>
    </w:p>
    <w:p w14:paraId="4F2CF9D3" w14:textId="77777777" w:rsidR="000A19C6" w:rsidRDefault="000A19C6" w:rsidP="000A19C6">
      <w:pPr>
        <w:pStyle w:val="ListParagraph"/>
        <w:numPr>
          <w:ilvl w:val="1"/>
          <w:numId w:val="37"/>
        </w:numPr>
        <w:rPr>
          <w:rFonts w:cs="Times New Roman"/>
          <w:szCs w:val="24"/>
        </w:rPr>
      </w:pPr>
      <w:r w:rsidRPr="00342096">
        <w:rPr>
          <w:rFonts w:cs="Times New Roman"/>
          <w:szCs w:val="24"/>
        </w:rPr>
        <w:t>Over this quarter, the top complaint topics for managed care (excluding individuals enrolled in integrated care programs serving dual members) included complaints about providers (i.e.  dissatisfaction with their treatment or their office’s services), durable medical equipment, and benefits and access (mostly difficulty finding in-network providers.)</w:t>
      </w:r>
    </w:p>
    <w:p w14:paraId="0B78FE21" w14:textId="77777777" w:rsidR="000A19C6" w:rsidRPr="00930A1A" w:rsidRDefault="000A19C6" w:rsidP="000A19C6">
      <w:pPr>
        <w:pStyle w:val="ListParagraph"/>
        <w:numPr>
          <w:ilvl w:val="0"/>
          <w:numId w:val="37"/>
        </w:numPr>
        <w:rPr>
          <w:rFonts w:cs="Times New Roman"/>
          <w:szCs w:val="24"/>
        </w:rPr>
      </w:pPr>
      <w:r w:rsidRPr="00930A1A">
        <w:rPr>
          <w:rFonts w:cs="Times New Roman"/>
          <w:szCs w:val="24"/>
        </w:rPr>
        <w:t>Member Experience Survey Vendor, Massachusetts Health Quality Partners (MHQP):</w:t>
      </w:r>
    </w:p>
    <w:p w14:paraId="3BB9EFBC" w14:textId="1EEFAA74" w:rsidR="000A19C6" w:rsidRPr="00197254" w:rsidRDefault="000A19C6" w:rsidP="000A19C6">
      <w:pPr>
        <w:pStyle w:val="ListParagraph"/>
        <w:numPr>
          <w:ilvl w:val="1"/>
          <w:numId w:val="37"/>
        </w:numPr>
        <w:rPr>
          <w:rFonts w:cs="Times New Roman"/>
          <w:szCs w:val="24"/>
        </w:rPr>
      </w:pPr>
      <w:r w:rsidRPr="00197254">
        <w:rPr>
          <w:rFonts w:cs="Times New Roman"/>
          <w:szCs w:val="24"/>
        </w:rPr>
        <w:t>Complet</w:t>
      </w:r>
      <w:r>
        <w:rPr>
          <w:rFonts w:cs="Times New Roman"/>
          <w:szCs w:val="24"/>
        </w:rPr>
        <w:t>ed</w:t>
      </w:r>
      <w:r w:rsidRPr="00197254">
        <w:rPr>
          <w:rFonts w:cs="Times New Roman"/>
          <w:szCs w:val="24"/>
        </w:rPr>
        <w:t xml:space="preserve"> the fielding of the 2020 MassHealth Primary Care (PC), BH, and the LTSS surveys for adult and child members based on services received in 2019 </w:t>
      </w:r>
    </w:p>
    <w:p w14:paraId="672EDE87" w14:textId="77777777" w:rsidR="000A19C6" w:rsidRPr="00197254" w:rsidRDefault="000A19C6" w:rsidP="000A19C6">
      <w:pPr>
        <w:pStyle w:val="ListParagraph"/>
        <w:numPr>
          <w:ilvl w:val="1"/>
          <w:numId w:val="37"/>
        </w:numPr>
        <w:rPr>
          <w:rFonts w:cs="Times New Roman"/>
          <w:szCs w:val="24"/>
        </w:rPr>
      </w:pPr>
      <w:r w:rsidRPr="00197254">
        <w:rPr>
          <w:rFonts w:cs="Times New Roman"/>
          <w:szCs w:val="24"/>
        </w:rPr>
        <w:t>Aggregat</w:t>
      </w:r>
      <w:r>
        <w:rPr>
          <w:rFonts w:cs="Times New Roman"/>
          <w:szCs w:val="24"/>
        </w:rPr>
        <w:t>ed</w:t>
      </w:r>
      <w:r w:rsidRPr="00197254">
        <w:rPr>
          <w:rFonts w:cs="Times New Roman"/>
          <w:szCs w:val="24"/>
        </w:rPr>
        <w:t xml:space="preserve"> the survey data and submitt</w:t>
      </w:r>
      <w:r>
        <w:rPr>
          <w:rFonts w:cs="Times New Roman"/>
          <w:szCs w:val="24"/>
        </w:rPr>
        <w:t>ed</w:t>
      </w:r>
      <w:r w:rsidRPr="00197254">
        <w:rPr>
          <w:rFonts w:cs="Times New Roman"/>
          <w:szCs w:val="24"/>
        </w:rPr>
        <w:t xml:space="preserve"> the 2020 Analysis Report and survey datasets to </w:t>
      </w:r>
      <w:r>
        <w:rPr>
          <w:rFonts w:cs="Times New Roman"/>
          <w:szCs w:val="24"/>
        </w:rPr>
        <w:t>MassHealth</w:t>
      </w:r>
    </w:p>
    <w:p w14:paraId="0C1BDC14" w14:textId="77777777" w:rsidR="000A19C6" w:rsidRPr="00197254" w:rsidRDefault="000A19C6" w:rsidP="000A19C6">
      <w:pPr>
        <w:pStyle w:val="ListParagraph"/>
        <w:numPr>
          <w:ilvl w:val="1"/>
          <w:numId w:val="37"/>
        </w:numPr>
        <w:rPr>
          <w:rFonts w:cs="Times New Roman"/>
          <w:szCs w:val="24"/>
        </w:rPr>
      </w:pPr>
      <w:r w:rsidRPr="00197254">
        <w:rPr>
          <w:rFonts w:cs="Times New Roman"/>
          <w:szCs w:val="24"/>
        </w:rPr>
        <w:t>H</w:t>
      </w:r>
      <w:r>
        <w:rPr>
          <w:rFonts w:cs="Times New Roman"/>
          <w:szCs w:val="24"/>
        </w:rPr>
        <w:t>eld</w:t>
      </w:r>
      <w:r w:rsidRPr="00197254">
        <w:rPr>
          <w:rFonts w:cs="Times New Roman"/>
          <w:szCs w:val="24"/>
        </w:rPr>
        <w:t xml:space="preserve"> an After Action Implementation Review meeting with </w:t>
      </w:r>
      <w:r>
        <w:rPr>
          <w:rFonts w:cs="Times New Roman"/>
          <w:szCs w:val="24"/>
        </w:rPr>
        <w:t>MassHealth</w:t>
      </w:r>
      <w:r w:rsidRPr="00197254">
        <w:rPr>
          <w:rFonts w:cs="Times New Roman"/>
          <w:szCs w:val="24"/>
        </w:rPr>
        <w:t xml:space="preserve"> and complet</w:t>
      </w:r>
      <w:r>
        <w:rPr>
          <w:rFonts w:cs="Times New Roman"/>
          <w:szCs w:val="24"/>
        </w:rPr>
        <w:t>ed</w:t>
      </w:r>
      <w:r w:rsidRPr="00197254">
        <w:rPr>
          <w:rFonts w:cs="Times New Roman"/>
          <w:szCs w:val="24"/>
        </w:rPr>
        <w:t xml:space="preserve"> the 2020 Recommendation Report for surveying in 2021 </w:t>
      </w:r>
    </w:p>
    <w:p w14:paraId="23D6A87C" w14:textId="77777777" w:rsidR="000A19C6" w:rsidRPr="00197254" w:rsidRDefault="000A19C6" w:rsidP="000A19C6">
      <w:pPr>
        <w:pStyle w:val="ListParagraph"/>
        <w:numPr>
          <w:ilvl w:val="1"/>
          <w:numId w:val="37"/>
        </w:numPr>
        <w:rPr>
          <w:rFonts w:cs="Times New Roman"/>
          <w:szCs w:val="24"/>
        </w:rPr>
      </w:pPr>
      <w:r w:rsidRPr="00197254">
        <w:rPr>
          <w:rFonts w:cs="Times New Roman"/>
          <w:szCs w:val="24"/>
        </w:rPr>
        <w:t>Beg</w:t>
      </w:r>
      <w:r>
        <w:rPr>
          <w:rFonts w:cs="Times New Roman"/>
          <w:szCs w:val="24"/>
        </w:rPr>
        <w:t>an</w:t>
      </w:r>
      <w:r w:rsidRPr="00197254">
        <w:rPr>
          <w:rFonts w:cs="Times New Roman"/>
          <w:szCs w:val="24"/>
        </w:rPr>
        <w:t xml:space="preserve"> the process to update and revise survey outreach materials for surveying in 2021 </w:t>
      </w:r>
    </w:p>
    <w:p w14:paraId="7D0A5FE1" w14:textId="77777777" w:rsidR="000A19C6" w:rsidRDefault="000A19C6" w:rsidP="000A19C6">
      <w:pPr>
        <w:pStyle w:val="ListParagraph"/>
        <w:numPr>
          <w:ilvl w:val="1"/>
          <w:numId w:val="37"/>
        </w:numPr>
        <w:rPr>
          <w:rFonts w:cs="Times New Roman"/>
          <w:szCs w:val="24"/>
        </w:rPr>
      </w:pPr>
      <w:r w:rsidRPr="00197254">
        <w:rPr>
          <w:rFonts w:cs="Times New Roman"/>
          <w:szCs w:val="24"/>
        </w:rPr>
        <w:t>Work</w:t>
      </w:r>
      <w:r>
        <w:rPr>
          <w:rFonts w:cs="Times New Roman"/>
          <w:szCs w:val="24"/>
        </w:rPr>
        <w:t>ed</w:t>
      </w:r>
      <w:r w:rsidRPr="00197254">
        <w:rPr>
          <w:rFonts w:cs="Times New Roman"/>
          <w:szCs w:val="24"/>
        </w:rPr>
        <w:t xml:space="preserve"> with </w:t>
      </w:r>
      <w:r>
        <w:rPr>
          <w:rFonts w:cs="Times New Roman"/>
          <w:szCs w:val="24"/>
        </w:rPr>
        <w:t>MassHealth</w:t>
      </w:r>
      <w:r w:rsidRPr="00197254">
        <w:rPr>
          <w:rFonts w:cs="Times New Roman"/>
          <w:szCs w:val="24"/>
        </w:rPr>
        <w:t xml:space="preserve"> to convene a workgroup to consider questions to include in the 2021 surveys to learn more about members experience or perceptions around telehealth.</w:t>
      </w:r>
    </w:p>
    <w:p w14:paraId="120D3BD8" w14:textId="77777777" w:rsidR="000A19C6" w:rsidRDefault="000A19C6" w:rsidP="000A19C6">
      <w:pPr>
        <w:pStyle w:val="ListParagraph"/>
        <w:numPr>
          <w:ilvl w:val="0"/>
          <w:numId w:val="37"/>
        </w:numPr>
        <w:rPr>
          <w:rFonts w:cs="Times New Roman"/>
          <w:szCs w:val="24"/>
        </w:rPr>
      </w:pPr>
      <w:r w:rsidRPr="00A1217E">
        <w:rPr>
          <w:rFonts w:cs="Times New Roman"/>
          <w:szCs w:val="24"/>
        </w:rPr>
        <w:t>Delivery System Reform Implementation Advisory Council (DSRIC):</w:t>
      </w:r>
    </w:p>
    <w:p w14:paraId="20BD7FBF" w14:textId="77777777" w:rsidR="000A19C6" w:rsidRPr="00A1217E" w:rsidRDefault="000A19C6" w:rsidP="000A19C6">
      <w:pPr>
        <w:pStyle w:val="ListParagraph"/>
        <w:numPr>
          <w:ilvl w:val="1"/>
          <w:numId w:val="37"/>
        </w:numPr>
        <w:rPr>
          <w:rFonts w:cs="Times New Roman"/>
          <w:szCs w:val="24"/>
        </w:rPr>
      </w:pPr>
      <w:r>
        <w:rPr>
          <w:rFonts w:cs="Times New Roman"/>
          <w:szCs w:val="24"/>
        </w:rPr>
        <w:t xml:space="preserve">Held a meeting in July 2020 to discuss ongoing health equity-related efforts. </w:t>
      </w:r>
      <w:r w:rsidRPr="00CD4CA1">
        <w:rPr>
          <w:rFonts w:cs="Times New Roman"/>
          <w:szCs w:val="24"/>
        </w:rPr>
        <w:t>Also in this meeting, the DSRIC Health Equity Subcommittee provided updates on its work to date, including recommendations on incorporating health equity in the ACO/MCO/CP programs.</w:t>
      </w:r>
      <w:r>
        <w:rPr>
          <w:rFonts w:cs="Times New Roman"/>
          <w:szCs w:val="24"/>
        </w:rPr>
        <w:t xml:space="preserve"> Held another meeting in September 2020 to provide a Year 2 review of the Community Partners program.</w:t>
      </w:r>
    </w:p>
    <w:p w14:paraId="7CF8D6A1" w14:textId="77777777" w:rsidR="000A19C6" w:rsidRPr="004B161F" w:rsidRDefault="000A19C6" w:rsidP="009B549A">
      <w:pPr>
        <w:spacing w:after="0"/>
        <w:rPr>
          <w:rFonts w:cs="Times New Roman"/>
          <w:szCs w:val="24"/>
        </w:rPr>
      </w:pPr>
      <w:r w:rsidRPr="004B161F">
        <w:rPr>
          <w:rFonts w:cs="Times New Roman"/>
          <w:szCs w:val="24"/>
        </w:rPr>
        <w:t>Q2:</w:t>
      </w:r>
    </w:p>
    <w:p w14:paraId="714ECD14" w14:textId="77777777" w:rsidR="000A19C6" w:rsidRPr="00946B48" w:rsidRDefault="000A19C6" w:rsidP="009B549A">
      <w:pPr>
        <w:pStyle w:val="ListParagraph"/>
        <w:numPr>
          <w:ilvl w:val="0"/>
          <w:numId w:val="37"/>
        </w:numPr>
        <w:spacing w:after="0"/>
        <w:rPr>
          <w:rFonts w:cs="Times New Roman"/>
          <w:szCs w:val="24"/>
        </w:rPr>
      </w:pPr>
      <w:r w:rsidRPr="00946B48">
        <w:rPr>
          <w:rFonts w:cs="Times New Roman"/>
          <w:szCs w:val="24"/>
        </w:rPr>
        <w:t>ACO:</w:t>
      </w:r>
    </w:p>
    <w:p w14:paraId="771E7C5C" w14:textId="77777777" w:rsidR="000A19C6" w:rsidRPr="00870FD1" w:rsidRDefault="000A19C6" w:rsidP="000A19C6">
      <w:pPr>
        <w:pStyle w:val="ListParagraph"/>
        <w:numPr>
          <w:ilvl w:val="1"/>
          <w:numId w:val="37"/>
        </w:numPr>
        <w:rPr>
          <w:rFonts w:cs="Times New Roman"/>
          <w:szCs w:val="24"/>
        </w:rPr>
      </w:pPr>
      <w:r w:rsidRPr="00870FD1">
        <w:rPr>
          <w:rFonts w:cs="Times New Roman"/>
          <w:szCs w:val="24"/>
        </w:rPr>
        <w:t>MassHealth sent Guidance and Templates to ACOs for the PY4 Budget, Budget Narrative, and Full Participation Plan updates</w:t>
      </w:r>
    </w:p>
    <w:p w14:paraId="6795DE9D" w14:textId="77777777" w:rsidR="000A19C6" w:rsidRPr="00870FD1" w:rsidRDefault="000A19C6" w:rsidP="000A19C6">
      <w:pPr>
        <w:pStyle w:val="ListParagraph"/>
        <w:numPr>
          <w:ilvl w:val="1"/>
          <w:numId w:val="37"/>
        </w:numPr>
        <w:rPr>
          <w:rFonts w:cs="Times New Roman"/>
          <w:szCs w:val="24"/>
        </w:rPr>
      </w:pPr>
      <w:r w:rsidRPr="00870FD1">
        <w:rPr>
          <w:rFonts w:cs="Times New Roman"/>
          <w:szCs w:val="24"/>
        </w:rPr>
        <w:t>Semiannual Progress Reports were approved</w:t>
      </w:r>
    </w:p>
    <w:p w14:paraId="7B8A1D59" w14:textId="77777777" w:rsidR="000A19C6" w:rsidRPr="00946B48" w:rsidRDefault="000A19C6" w:rsidP="000A19C6">
      <w:pPr>
        <w:pStyle w:val="ListParagraph"/>
        <w:numPr>
          <w:ilvl w:val="1"/>
          <w:numId w:val="37"/>
        </w:numPr>
        <w:rPr>
          <w:rFonts w:cs="Times New Roman"/>
          <w:szCs w:val="24"/>
        </w:rPr>
      </w:pPr>
      <w:r w:rsidRPr="00870FD1">
        <w:rPr>
          <w:rFonts w:cs="Times New Roman"/>
          <w:szCs w:val="24"/>
        </w:rPr>
        <w:t>All remaining PY3 ACO Startup/Ongoing Payments were released to ACOs</w:t>
      </w:r>
    </w:p>
    <w:p w14:paraId="7C94EA3F" w14:textId="77777777" w:rsidR="000A19C6" w:rsidRPr="00946B48" w:rsidRDefault="000A19C6" w:rsidP="000A19C6">
      <w:pPr>
        <w:pStyle w:val="ListParagraph"/>
        <w:numPr>
          <w:ilvl w:val="0"/>
          <w:numId w:val="37"/>
        </w:numPr>
        <w:rPr>
          <w:rFonts w:cs="Times New Roman"/>
          <w:szCs w:val="24"/>
        </w:rPr>
      </w:pPr>
      <w:r w:rsidRPr="00946B48">
        <w:rPr>
          <w:rFonts w:cs="Times New Roman"/>
          <w:szCs w:val="24"/>
        </w:rPr>
        <w:t>CP/CSA:</w:t>
      </w:r>
    </w:p>
    <w:p w14:paraId="77EB6A18" w14:textId="77777777" w:rsidR="000A19C6" w:rsidRPr="00870FD1" w:rsidRDefault="000A19C6" w:rsidP="000A19C6">
      <w:pPr>
        <w:pStyle w:val="ListParagraph"/>
        <w:numPr>
          <w:ilvl w:val="1"/>
          <w:numId w:val="37"/>
        </w:numPr>
        <w:rPr>
          <w:rFonts w:cs="Times New Roman"/>
          <w:szCs w:val="24"/>
        </w:rPr>
      </w:pPr>
      <w:r w:rsidRPr="00870FD1">
        <w:rPr>
          <w:rFonts w:cs="Times New Roman"/>
          <w:szCs w:val="24"/>
        </w:rPr>
        <w:t>MassHealth sent Guidance and Templates to CPs and CSAs for the BP4 Budget, Budget Narrative, and Full Participation Plan updates</w:t>
      </w:r>
    </w:p>
    <w:p w14:paraId="1D521AA0" w14:textId="77777777" w:rsidR="000A19C6" w:rsidRPr="00870FD1" w:rsidRDefault="000A19C6" w:rsidP="000A19C6">
      <w:pPr>
        <w:pStyle w:val="ListParagraph"/>
        <w:numPr>
          <w:ilvl w:val="1"/>
          <w:numId w:val="37"/>
        </w:numPr>
        <w:rPr>
          <w:rFonts w:cs="Times New Roman"/>
          <w:szCs w:val="24"/>
        </w:rPr>
      </w:pPr>
      <w:r w:rsidRPr="00870FD1">
        <w:rPr>
          <w:rFonts w:cs="Times New Roman"/>
          <w:szCs w:val="24"/>
        </w:rPr>
        <w:t>Semiannual Progress Reports were approved</w:t>
      </w:r>
    </w:p>
    <w:p w14:paraId="71D421FF" w14:textId="77777777" w:rsidR="000A19C6" w:rsidRPr="00946B48" w:rsidRDefault="000A19C6" w:rsidP="000A19C6">
      <w:pPr>
        <w:pStyle w:val="ListParagraph"/>
        <w:numPr>
          <w:ilvl w:val="1"/>
          <w:numId w:val="37"/>
        </w:numPr>
        <w:rPr>
          <w:rFonts w:cs="Times New Roman"/>
          <w:szCs w:val="24"/>
        </w:rPr>
      </w:pPr>
      <w:r w:rsidRPr="00870FD1">
        <w:rPr>
          <w:rFonts w:cs="Times New Roman"/>
          <w:szCs w:val="24"/>
        </w:rPr>
        <w:t>All remaining BP3 CP/CSA Infrastructure and Capacity Building payments were released to CPs/CSAs</w:t>
      </w:r>
    </w:p>
    <w:p w14:paraId="7229247A" w14:textId="77777777" w:rsidR="000A19C6" w:rsidRPr="00946B48" w:rsidRDefault="000A19C6" w:rsidP="000A19C6">
      <w:pPr>
        <w:pStyle w:val="ListParagraph"/>
        <w:numPr>
          <w:ilvl w:val="0"/>
          <w:numId w:val="37"/>
        </w:numPr>
        <w:rPr>
          <w:rFonts w:cs="Times New Roman"/>
          <w:szCs w:val="24"/>
        </w:rPr>
      </w:pPr>
      <w:r w:rsidRPr="00946B48">
        <w:rPr>
          <w:rFonts w:cs="Times New Roman"/>
          <w:szCs w:val="24"/>
        </w:rPr>
        <w:t>The Independent Assessor (IA), Public Consulting Group (PCG):</w:t>
      </w:r>
    </w:p>
    <w:p w14:paraId="2F694B71" w14:textId="77777777" w:rsidR="000A19C6" w:rsidRPr="00EA69BF" w:rsidRDefault="000A19C6" w:rsidP="000A19C6">
      <w:pPr>
        <w:pStyle w:val="ListParagraph"/>
        <w:numPr>
          <w:ilvl w:val="1"/>
          <w:numId w:val="37"/>
        </w:numPr>
      </w:pPr>
      <w:r w:rsidRPr="00870FD1">
        <w:rPr>
          <w:rFonts w:cs="Times New Roman"/>
          <w:szCs w:val="24"/>
        </w:rPr>
        <w:t>IA completed review and approval of Semiannual Progress Reports</w:t>
      </w:r>
    </w:p>
    <w:p w14:paraId="757FEFE9" w14:textId="77777777" w:rsidR="000A19C6" w:rsidRPr="004B161F" w:rsidRDefault="000A19C6" w:rsidP="000A19C6">
      <w:pPr>
        <w:pStyle w:val="ListParagraph"/>
        <w:numPr>
          <w:ilvl w:val="0"/>
          <w:numId w:val="37"/>
        </w:numPr>
        <w:rPr>
          <w:rFonts w:cs="Times New Roman"/>
          <w:szCs w:val="24"/>
        </w:rPr>
      </w:pPr>
      <w:r w:rsidRPr="004B161F">
        <w:rPr>
          <w:rFonts w:cs="Times New Roman"/>
          <w:szCs w:val="24"/>
        </w:rPr>
        <w:t>Ombudsman</w:t>
      </w:r>
    </w:p>
    <w:p w14:paraId="4823B0E2" w14:textId="77777777" w:rsidR="000A19C6" w:rsidRPr="000F6C34" w:rsidRDefault="000A19C6" w:rsidP="000A19C6">
      <w:pPr>
        <w:pStyle w:val="ListParagraph"/>
        <w:numPr>
          <w:ilvl w:val="1"/>
          <w:numId w:val="37"/>
        </w:numPr>
        <w:rPr>
          <w:rFonts w:cs="Times New Roman"/>
          <w:szCs w:val="24"/>
        </w:rPr>
      </w:pPr>
      <w:r w:rsidRPr="000F6C34">
        <w:rPr>
          <w:rFonts w:cs="Times New Roman"/>
          <w:szCs w:val="24"/>
        </w:rPr>
        <w:t xml:space="preserve">My Ombudsman continued to operate without disruption throughout the COVID-19 pandemic (except that walk-in services were temporarily discontinued). </w:t>
      </w:r>
    </w:p>
    <w:p w14:paraId="1C45B608" w14:textId="77777777" w:rsidR="000A19C6" w:rsidRPr="000F6C34" w:rsidRDefault="000A19C6" w:rsidP="000A19C6">
      <w:pPr>
        <w:pStyle w:val="ListParagraph"/>
        <w:numPr>
          <w:ilvl w:val="1"/>
          <w:numId w:val="37"/>
        </w:numPr>
        <w:rPr>
          <w:rFonts w:cs="Times New Roman"/>
          <w:szCs w:val="24"/>
        </w:rPr>
      </w:pPr>
      <w:r w:rsidRPr="000F6C34">
        <w:rPr>
          <w:rFonts w:cs="Times New Roman"/>
          <w:szCs w:val="24"/>
        </w:rPr>
        <w:t>My Ombudsman participated in 15 virtual outreach events, reaching a total of 491 participants from locations across the state.</w:t>
      </w:r>
    </w:p>
    <w:p w14:paraId="396501E9" w14:textId="77777777" w:rsidR="000A19C6" w:rsidRPr="000F6C34" w:rsidRDefault="000A19C6" w:rsidP="000A19C6">
      <w:pPr>
        <w:pStyle w:val="ListParagraph"/>
        <w:numPr>
          <w:ilvl w:val="1"/>
          <w:numId w:val="37"/>
        </w:numPr>
        <w:rPr>
          <w:rFonts w:cs="Times New Roman"/>
          <w:szCs w:val="24"/>
        </w:rPr>
      </w:pPr>
      <w:r>
        <w:rPr>
          <w:rFonts w:cs="Times New Roman"/>
          <w:szCs w:val="24"/>
        </w:rPr>
        <w:t xml:space="preserve">In October, additional batches of the outreach email were sent </w:t>
      </w:r>
      <w:r w:rsidRPr="000F6C34">
        <w:rPr>
          <w:rFonts w:cs="Times New Roman"/>
          <w:szCs w:val="24"/>
        </w:rPr>
        <w:t xml:space="preserve">to managed care members for whom MassHealth had valid email addresses. </w:t>
      </w:r>
    </w:p>
    <w:p w14:paraId="43ADC0F6" w14:textId="77777777" w:rsidR="00A1378C" w:rsidRDefault="000A19C6" w:rsidP="002742C8">
      <w:pPr>
        <w:pStyle w:val="ListParagraph"/>
        <w:numPr>
          <w:ilvl w:val="1"/>
          <w:numId w:val="37"/>
        </w:numPr>
        <w:rPr>
          <w:rFonts w:cs="Times New Roman"/>
          <w:szCs w:val="24"/>
        </w:rPr>
      </w:pPr>
      <w:r w:rsidRPr="00A1378C">
        <w:rPr>
          <w:rFonts w:cs="Times New Roman"/>
          <w:szCs w:val="24"/>
        </w:rPr>
        <w:t xml:space="preserve">In the weeks following the email, My Ombudsman saw a significant spike in volume in the period following the email, both among live callers and those who emailed for assistance. </w:t>
      </w:r>
    </w:p>
    <w:p w14:paraId="726BB16D" w14:textId="13266999" w:rsidR="000A19C6" w:rsidRPr="00A1378C" w:rsidRDefault="000A19C6" w:rsidP="002742C8">
      <w:pPr>
        <w:pStyle w:val="ListParagraph"/>
        <w:numPr>
          <w:ilvl w:val="1"/>
          <w:numId w:val="37"/>
        </w:numPr>
        <w:rPr>
          <w:rFonts w:cs="Times New Roman"/>
          <w:szCs w:val="24"/>
        </w:rPr>
      </w:pPr>
      <w:r w:rsidRPr="00A1378C">
        <w:rPr>
          <w:rFonts w:cs="Times New Roman"/>
          <w:szCs w:val="24"/>
        </w:rPr>
        <w:t>Over this quarter, the top complaint topics for managed care (excluding individuals enrolled in integrated care programs serving dual members) included complaints from members about their providers (for inadequate care or lack of follow-through), requests for assistance finding a PCP or specialist, reports about difficulty accessing medications (due to denials or problems with the Prior Authorization process), and requests for assistance disputing bills from providers.</w:t>
      </w:r>
    </w:p>
    <w:p w14:paraId="28828AD3" w14:textId="77777777" w:rsidR="000A19C6" w:rsidRPr="00857AA8" w:rsidRDefault="000A19C6" w:rsidP="000A19C6">
      <w:pPr>
        <w:pStyle w:val="ListParagraph"/>
        <w:numPr>
          <w:ilvl w:val="0"/>
          <w:numId w:val="38"/>
        </w:numPr>
        <w:rPr>
          <w:rFonts w:cs="Times New Roman"/>
          <w:szCs w:val="24"/>
        </w:rPr>
      </w:pPr>
      <w:r w:rsidRPr="00857AA8">
        <w:rPr>
          <w:rFonts w:cs="Times New Roman"/>
          <w:szCs w:val="24"/>
        </w:rPr>
        <w:t>Member Experience Survey Vendor, Massachusetts Health Quality Partners (MHQP):</w:t>
      </w:r>
    </w:p>
    <w:p w14:paraId="33148D9B" w14:textId="1E87DF03" w:rsidR="000A19C6" w:rsidRPr="00B1066E" w:rsidRDefault="000A19C6" w:rsidP="000A19C6">
      <w:pPr>
        <w:pStyle w:val="ListParagraph"/>
        <w:numPr>
          <w:ilvl w:val="1"/>
          <w:numId w:val="37"/>
        </w:numPr>
        <w:rPr>
          <w:rFonts w:cs="Times New Roman"/>
          <w:szCs w:val="24"/>
        </w:rPr>
      </w:pPr>
      <w:r w:rsidRPr="00B1066E">
        <w:rPr>
          <w:rFonts w:cs="Times New Roman"/>
          <w:szCs w:val="24"/>
        </w:rPr>
        <w:t>Continu</w:t>
      </w:r>
      <w:r>
        <w:rPr>
          <w:rFonts w:cs="Times New Roman"/>
          <w:szCs w:val="24"/>
        </w:rPr>
        <w:t>ed</w:t>
      </w:r>
      <w:r w:rsidRPr="00B1066E">
        <w:rPr>
          <w:rFonts w:cs="Times New Roman"/>
          <w:szCs w:val="24"/>
        </w:rPr>
        <w:t xml:space="preserve"> preparations for the fielding of the 2021 MassHealth adult and child Primary Care (PC), BH and LTSS Member Experience Surveys based on services received in 2020</w:t>
      </w:r>
    </w:p>
    <w:p w14:paraId="36893BB1" w14:textId="77777777" w:rsidR="000A19C6" w:rsidRPr="00B1066E" w:rsidRDefault="000A19C6" w:rsidP="000A19C6">
      <w:pPr>
        <w:pStyle w:val="ListParagraph"/>
        <w:numPr>
          <w:ilvl w:val="1"/>
          <w:numId w:val="37"/>
        </w:numPr>
        <w:rPr>
          <w:rFonts w:cs="Times New Roman"/>
          <w:szCs w:val="24"/>
        </w:rPr>
      </w:pPr>
      <w:r w:rsidRPr="00B1066E">
        <w:rPr>
          <w:rFonts w:cs="Times New Roman"/>
          <w:szCs w:val="24"/>
        </w:rPr>
        <w:t>Updat</w:t>
      </w:r>
      <w:r>
        <w:rPr>
          <w:rFonts w:cs="Times New Roman"/>
          <w:szCs w:val="24"/>
        </w:rPr>
        <w:t>ed</w:t>
      </w:r>
      <w:r w:rsidRPr="00B1066E">
        <w:rPr>
          <w:rFonts w:cs="Times New Roman"/>
          <w:szCs w:val="24"/>
        </w:rPr>
        <w:t xml:space="preserve"> the content of the 2021 survey materials (cover letters, email invitations, survey web pages) and finaliz</w:t>
      </w:r>
      <w:r>
        <w:rPr>
          <w:rFonts w:cs="Times New Roman"/>
          <w:szCs w:val="24"/>
        </w:rPr>
        <w:t>ed</w:t>
      </w:r>
      <w:r w:rsidRPr="00B1066E">
        <w:rPr>
          <w:rFonts w:cs="Times New Roman"/>
          <w:szCs w:val="24"/>
        </w:rPr>
        <w:t xml:space="preserve"> the Survey Fact Sheets and the Pre-notification Toolkit for ACOs</w:t>
      </w:r>
    </w:p>
    <w:p w14:paraId="49C3BA9C" w14:textId="77777777" w:rsidR="000A19C6" w:rsidRPr="00B1066E" w:rsidRDefault="000A19C6" w:rsidP="000A19C6">
      <w:pPr>
        <w:pStyle w:val="ListParagraph"/>
        <w:numPr>
          <w:ilvl w:val="1"/>
          <w:numId w:val="37"/>
        </w:numPr>
        <w:rPr>
          <w:rFonts w:cs="Times New Roman"/>
          <w:szCs w:val="24"/>
        </w:rPr>
      </w:pPr>
      <w:r w:rsidRPr="00B1066E">
        <w:rPr>
          <w:rFonts w:cs="Times New Roman"/>
          <w:szCs w:val="24"/>
        </w:rPr>
        <w:t>Co</w:t>
      </w:r>
      <w:r>
        <w:rPr>
          <w:rFonts w:cs="Times New Roman"/>
          <w:szCs w:val="24"/>
        </w:rPr>
        <w:t>nducted co</w:t>
      </w:r>
      <w:r w:rsidRPr="00B1066E">
        <w:rPr>
          <w:rFonts w:cs="Times New Roman"/>
          <w:szCs w:val="24"/>
        </w:rPr>
        <w:t>gnitive testing of the new survey items (e.g., telehealth questions) with MassHealth members and finaliz</w:t>
      </w:r>
      <w:r>
        <w:rPr>
          <w:rFonts w:cs="Times New Roman"/>
          <w:szCs w:val="24"/>
        </w:rPr>
        <w:t>ed</w:t>
      </w:r>
      <w:r w:rsidRPr="00B1066E">
        <w:rPr>
          <w:rFonts w:cs="Times New Roman"/>
          <w:szCs w:val="24"/>
        </w:rPr>
        <w:t xml:space="preserve"> the 2021 PC, BH and LTSS survey content </w:t>
      </w:r>
    </w:p>
    <w:p w14:paraId="74DACD2F" w14:textId="77777777" w:rsidR="000A19C6" w:rsidRPr="00EA69BF" w:rsidRDefault="000A19C6" w:rsidP="000A19C6">
      <w:pPr>
        <w:pStyle w:val="ListParagraph"/>
        <w:numPr>
          <w:ilvl w:val="1"/>
          <w:numId w:val="37"/>
        </w:numPr>
        <w:rPr>
          <w:rFonts w:cs="Times New Roman"/>
          <w:szCs w:val="24"/>
        </w:rPr>
      </w:pPr>
      <w:r w:rsidRPr="00B1066E">
        <w:rPr>
          <w:rFonts w:cs="Times New Roman"/>
          <w:szCs w:val="24"/>
        </w:rPr>
        <w:t>Work</w:t>
      </w:r>
      <w:r>
        <w:rPr>
          <w:rFonts w:cs="Times New Roman"/>
          <w:szCs w:val="24"/>
        </w:rPr>
        <w:t>ed</w:t>
      </w:r>
      <w:r w:rsidRPr="00B1066E">
        <w:rPr>
          <w:rFonts w:cs="Times New Roman"/>
          <w:szCs w:val="24"/>
        </w:rPr>
        <w:t xml:space="preserve"> with ACOs to update the practices in their medical groupings for the PC survey based on November 2020 test sample frame counts</w:t>
      </w:r>
    </w:p>
    <w:p w14:paraId="08FE6E1A" w14:textId="77777777" w:rsidR="000A19C6" w:rsidRPr="00A1217E" w:rsidRDefault="000A19C6" w:rsidP="000A19C6">
      <w:pPr>
        <w:pStyle w:val="ListParagraph"/>
        <w:numPr>
          <w:ilvl w:val="0"/>
          <w:numId w:val="37"/>
        </w:numPr>
        <w:rPr>
          <w:rFonts w:cs="Times New Roman"/>
          <w:szCs w:val="24"/>
        </w:rPr>
      </w:pPr>
      <w:r w:rsidRPr="00A1217E">
        <w:rPr>
          <w:rFonts w:cs="Times New Roman"/>
          <w:szCs w:val="24"/>
        </w:rPr>
        <w:t>Delivery System Reform Implementation Advisory Council (DSRIC):</w:t>
      </w:r>
    </w:p>
    <w:p w14:paraId="23D28FD2" w14:textId="77777777" w:rsidR="000A19C6" w:rsidRPr="002A3BBE" w:rsidRDefault="000A19C6" w:rsidP="000A19C6">
      <w:pPr>
        <w:pStyle w:val="ListParagraph"/>
        <w:numPr>
          <w:ilvl w:val="1"/>
          <w:numId w:val="37"/>
        </w:numPr>
        <w:rPr>
          <w:rFonts w:cs="Times New Roman"/>
          <w:szCs w:val="24"/>
        </w:rPr>
      </w:pPr>
      <w:r w:rsidRPr="002A3BBE">
        <w:rPr>
          <w:rFonts w:cs="Times New Roman"/>
          <w:szCs w:val="24"/>
        </w:rPr>
        <w:t xml:space="preserve">Held a meeting in </w:t>
      </w:r>
      <w:r>
        <w:rPr>
          <w:rFonts w:cs="Times New Roman"/>
          <w:szCs w:val="24"/>
        </w:rPr>
        <w:t>November 2020</w:t>
      </w:r>
      <w:r w:rsidRPr="002A3BBE">
        <w:rPr>
          <w:rFonts w:cs="Times New Roman"/>
          <w:szCs w:val="24"/>
        </w:rPr>
        <w:t xml:space="preserve"> </w:t>
      </w:r>
      <w:r>
        <w:rPr>
          <w:rFonts w:cs="Times New Roman"/>
          <w:szCs w:val="24"/>
        </w:rPr>
        <w:t xml:space="preserve">to </w:t>
      </w:r>
      <w:r w:rsidRPr="001104A1">
        <w:rPr>
          <w:rFonts w:cs="Times New Roman"/>
          <w:szCs w:val="24"/>
        </w:rPr>
        <w:t>discuss Peer Supports, Recovery Principles, and Independent Living Philosophy</w:t>
      </w:r>
      <w:r>
        <w:rPr>
          <w:rFonts w:cs="Times New Roman"/>
          <w:szCs w:val="24"/>
        </w:rPr>
        <w:t xml:space="preserve">. Another meeting was held in December 2020 to provide a one year update on the Flexible Services program and discuss the DSRIC plan for the next calendar year. </w:t>
      </w:r>
    </w:p>
    <w:p w14:paraId="5FE443DA" w14:textId="77777777" w:rsidR="000A19C6" w:rsidRPr="004B161F" w:rsidRDefault="000A19C6" w:rsidP="009B549A">
      <w:pPr>
        <w:spacing w:after="0"/>
        <w:rPr>
          <w:rFonts w:cs="Times New Roman"/>
          <w:szCs w:val="24"/>
        </w:rPr>
      </w:pPr>
      <w:r w:rsidRPr="004B161F">
        <w:rPr>
          <w:rFonts w:cs="Times New Roman"/>
          <w:szCs w:val="24"/>
        </w:rPr>
        <w:t>Q3:</w:t>
      </w:r>
    </w:p>
    <w:p w14:paraId="530BF6DC" w14:textId="77777777" w:rsidR="000A19C6" w:rsidRPr="005C03BE" w:rsidRDefault="000A19C6" w:rsidP="009B549A">
      <w:pPr>
        <w:pStyle w:val="ListParagraph"/>
        <w:numPr>
          <w:ilvl w:val="0"/>
          <w:numId w:val="37"/>
        </w:numPr>
        <w:spacing w:after="0"/>
        <w:rPr>
          <w:rFonts w:cs="Times New Roman"/>
          <w:szCs w:val="24"/>
        </w:rPr>
      </w:pPr>
      <w:r w:rsidRPr="005C03BE">
        <w:rPr>
          <w:rFonts w:cs="Times New Roman"/>
          <w:szCs w:val="24"/>
        </w:rPr>
        <w:t>ACO:</w:t>
      </w:r>
    </w:p>
    <w:p w14:paraId="0D0A28A5" w14:textId="77777777" w:rsidR="000A19C6" w:rsidRPr="00870FD1" w:rsidRDefault="000A19C6" w:rsidP="000A19C6">
      <w:pPr>
        <w:pStyle w:val="ListParagraph"/>
        <w:numPr>
          <w:ilvl w:val="1"/>
          <w:numId w:val="37"/>
        </w:numPr>
        <w:rPr>
          <w:rFonts w:cs="Times New Roman"/>
          <w:szCs w:val="24"/>
        </w:rPr>
      </w:pPr>
      <w:r w:rsidRPr="00870FD1">
        <w:rPr>
          <w:rFonts w:cs="Times New Roman"/>
          <w:szCs w:val="24"/>
        </w:rPr>
        <w:t>ACOs received approval of or requests for additional information on PY4 Full Participation Plans, Budgets, and Budget Narratives</w:t>
      </w:r>
    </w:p>
    <w:p w14:paraId="59C609CC" w14:textId="77777777" w:rsidR="000A19C6" w:rsidRPr="005C03BE" w:rsidRDefault="000A19C6" w:rsidP="000A19C6">
      <w:pPr>
        <w:pStyle w:val="ListParagraph"/>
        <w:numPr>
          <w:ilvl w:val="1"/>
          <w:numId w:val="37"/>
        </w:numPr>
        <w:rPr>
          <w:rFonts w:cs="Times New Roman"/>
          <w:szCs w:val="24"/>
        </w:rPr>
      </w:pPr>
      <w:r w:rsidRPr="00870FD1">
        <w:rPr>
          <w:rFonts w:cs="Times New Roman"/>
          <w:szCs w:val="24"/>
        </w:rPr>
        <w:t>MassHealth sent Guidance and Templates for PY3 Annual Progress Reports</w:t>
      </w:r>
    </w:p>
    <w:p w14:paraId="1D72B85E" w14:textId="77777777" w:rsidR="000A19C6" w:rsidRPr="005C03BE" w:rsidRDefault="000A19C6" w:rsidP="000A19C6">
      <w:pPr>
        <w:pStyle w:val="ListParagraph"/>
        <w:numPr>
          <w:ilvl w:val="0"/>
          <w:numId w:val="37"/>
        </w:numPr>
        <w:rPr>
          <w:rFonts w:cs="Times New Roman"/>
          <w:szCs w:val="24"/>
        </w:rPr>
      </w:pPr>
      <w:r w:rsidRPr="005C03BE">
        <w:rPr>
          <w:rFonts w:cs="Times New Roman"/>
          <w:szCs w:val="24"/>
        </w:rPr>
        <w:t>CP:</w:t>
      </w:r>
    </w:p>
    <w:p w14:paraId="5517BF25" w14:textId="7AC0EEC8" w:rsidR="000A19C6" w:rsidRPr="00870FD1" w:rsidRDefault="000A19C6" w:rsidP="000A19C6">
      <w:pPr>
        <w:pStyle w:val="ListParagraph"/>
        <w:numPr>
          <w:ilvl w:val="1"/>
          <w:numId w:val="37"/>
        </w:numPr>
        <w:rPr>
          <w:rFonts w:cs="Times New Roman"/>
          <w:szCs w:val="24"/>
        </w:rPr>
      </w:pPr>
      <w:r w:rsidRPr="00870FD1">
        <w:rPr>
          <w:rFonts w:cs="Times New Roman"/>
          <w:szCs w:val="24"/>
        </w:rPr>
        <w:t>CPs/CSAs received approval of</w:t>
      </w:r>
      <w:r w:rsidR="00AF05F2">
        <w:rPr>
          <w:rFonts w:cs="Times New Roman"/>
          <w:szCs w:val="24"/>
        </w:rPr>
        <w:t xml:space="preserve"> or </w:t>
      </w:r>
      <w:r w:rsidRPr="00870FD1">
        <w:rPr>
          <w:rFonts w:cs="Times New Roman"/>
          <w:szCs w:val="24"/>
        </w:rPr>
        <w:t>requests for additional information on BP4 Full Participation Plans, Budgets, and Budget Narratives</w:t>
      </w:r>
    </w:p>
    <w:p w14:paraId="0B0CD5D9" w14:textId="77777777" w:rsidR="000A19C6" w:rsidRPr="005C03BE" w:rsidRDefault="000A19C6" w:rsidP="000A19C6">
      <w:pPr>
        <w:pStyle w:val="ListParagraph"/>
        <w:numPr>
          <w:ilvl w:val="1"/>
          <w:numId w:val="37"/>
        </w:numPr>
        <w:rPr>
          <w:rFonts w:cs="Times New Roman"/>
          <w:szCs w:val="24"/>
        </w:rPr>
      </w:pPr>
      <w:r w:rsidRPr="00870FD1">
        <w:rPr>
          <w:rFonts w:cs="Times New Roman"/>
          <w:szCs w:val="24"/>
        </w:rPr>
        <w:t>MassHealth sent Guidance and Templates for BP3 Annual Progress Reports</w:t>
      </w:r>
    </w:p>
    <w:p w14:paraId="06748C6D" w14:textId="77777777" w:rsidR="000A19C6" w:rsidRPr="005C03BE" w:rsidRDefault="000A19C6" w:rsidP="000A19C6">
      <w:pPr>
        <w:pStyle w:val="ListParagraph"/>
        <w:numPr>
          <w:ilvl w:val="0"/>
          <w:numId w:val="37"/>
        </w:numPr>
        <w:rPr>
          <w:rFonts w:cs="Times New Roman"/>
          <w:szCs w:val="24"/>
        </w:rPr>
      </w:pPr>
      <w:r w:rsidRPr="005C03BE">
        <w:rPr>
          <w:rFonts w:cs="Times New Roman"/>
          <w:szCs w:val="24"/>
        </w:rPr>
        <w:t>The Independent Assessor (IA), Public Consulting Group (PCG):</w:t>
      </w:r>
    </w:p>
    <w:p w14:paraId="403BD39E" w14:textId="77777777" w:rsidR="000A19C6" w:rsidRPr="00474EB1" w:rsidRDefault="000A19C6" w:rsidP="000A19C6">
      <w:pPr>
        <w:pStyle w:val="ListParagraph"/>
        <w:numPr>
          <w:ilvl w:val="1"/>
          <w:numId w:val="37"/>
        </w:numPr>
        <w:rPr>
          <w:rFonts w:cs="Times New Roman"/>
          <w:szCs w:val="24"/>
        </w:rPr>
      </w:pPr>
      <w:r w:rsidRPr="00870FD1">
        <w:rPr>
          <w:rFonts w:cs="Times New Roman"/>
          <w:szCs w:val="24"/>
        </w:rPr>
        <w:t>IA approved or requested additional information on PY4/BP4 Full Participation Plans, Budgets, and Budget Narratives</w:t>
      </w:r>
    </w:p>
    <w:p w14:paraId="523219B5" w14:textId="77777777" w:rsidR="000A19C6" w:rsidRDefault="000A19C6" w:rsidP="000A19C6">
      <w:pPr>
        <w:pStyle w:val="ListParagraph"/>
        <w:numPr>
          <w:ilvl w:val="0"/>
          <w:numId w:val="37"/>
        </w:numPr>
        <w:rPr>
          <w:rFonts w:cs="Times New Roman"/>
          <w:szCs w:val="24"/>
        </w:rPr>
      </w:pPr>
      <w:r>
        <w:rPr>
          <w:rFonts w:cs="Times New Roman"/>
          <w:szCs w:val="24"/>
        </w:rPr>
        <w:t>Ombudsman</w:t>
      </w:r>
    </w:p>
    <w:p w14:paraId="67110F44" w14:textId="77777777" w:rsidR="000A19C6" w:rsidRPr="00474EB1" w:rsidRDefault="000A19C6" w:rsidP="000A19C6">
      <w:pPr>
        <w:pStyle w:val="ListParagraph"/>
        <w:numPr>
          <w:ilvl w:val="1"/>
          <w:numId w:val="37"/>
        </w:numPr>
        <w:rPr>
          <w:rFonts w:cs="Times New Roman"/>
          <w:szCs w:val="24"/>
        </w:rPr>
      </w:pPr>
      <w:r w:rsidRPr="00474EB1">
        <w:rPr>
          <w:rFonts w:cs="Times New Roman"/>
          <w:szCs w:val="24"/>
        </w:rPr>
        <w:t>My Ombudsman participated in 17 virtual outreach events, reaching more than 686 participants in locations all over the state.</w:t>
      </w:r>
    </w:p>
    <w:p w14:paraId="14838DBB" w14:textId="77777777" w:rsidR="000A19C6" w:rsidRPr="000F6C34" w:rsidRDefault="000A19C6" w:rsidP="000A19C6">
      <w:pPr>
        <w:pStyle w:val="ListParagraph"/>
        <w:numPr>
          <w:ilvl w:val="1"/>
          <w:numId w:val="37"/>
        </w:numPr>
        <w:rPr>
          <w:rFonts w:cs="Times New Roman"/>
          <w:szCs w:val="24"/>
        </w:rPr>
      </w:pPr>
      <w:r w:rsidRPr="000F6C34">
        <w:rPr>
          <w:rFonts w:cs="Times New Roman"/>
          <w:szCs w:val="24"/>
        </w:rPr>
        <w:t xml:space="preserve">Since the COVID-19 vaccine became available to Phase </w:t>
      </w:r>
      <w:r>
        <w:rPr>
          <w:rFonts w:cs="Times New Roman"/>
          <w:szCs w:val="24"/>
        </w:rPr>
        <w:t>2</w:t>
      </w:r>
      <w:r>
        <w:rPr>
          <w:rStyle w:val="FootnoteReference"/>
          <w:rFonts w:cs="Times New Roman"/>
          <w:szCs w:val="24"/>
        </w:rPr>
        <w:footnoteReference w:id="1"/>
      </w:r>
      <w:r w:rsidRPr="000F6C34">
        <w:rPr>
          <w:rFonts w:cs="Times New Roman"/>
          <w:szCs w:val="24"/>
        </w:rPr>
        <w:t xml:space="preserve"> individuals, My Ombudsman partnered with MassHealth to ensure all members who contact My Ombudsman are offered information about the COVID-19 vaccine and assistance with booking appointments. In particular, after members complete their initial complaint intake with My Ombudsman’s Community Liaisons, they are asked to participate in a 9-question survey about the COVID-19 vaccine.</w:t>
      </w:r>
    </w:p>
    <w:p w14:paraId="15E0F33D" w14:textId="77777777" w:rsidR="000A19C6" w:rsidRPr="000F6C34" w:rsidRDefault="000A19C6" w:rsidP="000A19C6">
      <w:pPr>
        <w:pStyle w:val="ListParagraph"/>
        <w:numPr>
          <w:ilvl w:val="1"/>
          <w:numId w:val="37"/>
        </w:numPr>
        <w:rPr>
          <w:rFonts w:cs="Times New Roman"/>
          <w:szCs w:val="24"/>
        </w:rPr>
      </w:pPr>
      <w:r w:rsidRPr="000F6C34">
        <w:rPr>
          <w:rFonts w:cs="Times New Roman"/>
          <w:szCs w:val="24"/>
        </w:rPr>
        <w:t>As part of the survey, members are asked whether they</w:t>
      </w:r>
      <w:r>
        <w:rPr>
          <w:rFonts w:cs="Times New Roman"/>
          <w:szCs w:val="24"/>
        </w:rPr>
        <w:t xml:space="preserve"> ha</w:t>
      </w:r>
      <w:r w:rsidRPr="000F6C34">
        <w:rPr>
          <w:rFonts w:cs="Times New Roman"/>
          <w:szCs w:val="24"/>
        </w:rPr>
        <w:t xml:space="preserve">ve taken the vaccine, and if not, are offered further information, help answering questions, and assistance with booking appointments as applicable. </w:t>
      </w:r>
    </w:p>
    <w:p w14:paraId="71E01664" w14:textId="77777777" w:rsidR="000A19C6" w:rsidRPr="000F6C34" w:rsidRDefault="000A19C6" w:rsidP="000A19C6">
      <w:pPr>
        <w:pStyle w:val="ListParagraph"/>
        <w:numPr>
          <w:ilvl w:val="1"/>
          <w:numId w:val="37"/>
        </w:numPr>
        <w:rPr>
          <w:rFonts w:cs="Times New Roman"/>
          <w:szCs w:val="24"/>
        </w:rPr>
      </w:pPr>
      <w:r w:rsidRPr="000F6C34">
        <w:rPr>
          <w:rFonts w:cs="Times New Roman"/>
          <w:szCs w:val="24"/>
        </w:rPr>
        <w:t xml:space="preserve">For the first few months of this work (through about June 2021) the survey showed that most callers were, or planned on getting, vaccinated when they became eligible. </w:t>
      </w:r>
    </w:p>
    <w:p w14:paraId="3CC7F31D" w14:textId="77777777" w:rsidR="000A19C6" w:rsidRPr="000F6C34" w:rsidRDefault="000A19C6" w:rsidP="000A19C6">
      <w:pPr>
        <w:pStyle w:val="ListParagraph"/>
        <w:numPr>
          <w:ilvl w:val="1"/>
          <w:numId w:val="37"/>
        </w:numPr>
        <w:rPr>
          <w:rFonts w:cs="Times New Roman"/>
          <w:szCs w:val="24"/>
        </w:rPr>
      </w:pPr>
      <w:r w:rsidRPr="000F6C34">
        <w:rPr>
          <w:rFonts w:cs="Times New Roman"/>
          <w:szCs w:val="24"/>
        </w:rPr>
        <w:t>My Ombudsman work</w:t>
      </w:r>
      <w:r>
        <w:rPr>
          <w:rFonts w:cs="Times New Roman"/>
          <w:szCs w:val="24"/>
        </w:rPr>
        <w:t>ed</w:t>
      </w:r>
      <w:r w:rsidRPr="000F6C34">
        <w:rPr>
          <w:rFonts w:cs="Times New Roman"/>
          <w:szCs w:val="24"/>
        </w:rPr>
        <w:t xml:space="preserve"> with a web design/branding consultant and a culturally-responsive partner organization to improve the cultural competency and accessibility of My Ombudsman’s website and informational materials</w:t>
      </w:r>
      <w:r>
        <w:rPr>
          <w:rFonts w:cs="Times New Roman"/>
          <w:szCs w:val="24"/>
        </w:rPr>
        <w:t>.</w:t>
      </w:r>
      <w:r w:rsidRPr="000F6C34">
        <w:rPr>
          <w:rFonts w:cs="Times New Roman"/>
          <w:szCs w:val="24"/>
        </w:rPr>
        <w:t xml:space="preserve"> </w:t>
      </w:r>
    </w:p>
    <w:p w14:paraId="5DC671E1" w14:textId="77777777" w:rsidR="000A19C6" w:rsidRPr="000F6C34" w:rsidRDefault="000A19C6" w:rsidP="000A19C6">
      <w:pPr>
        <w:pStyle w:val="ListParagraph"/>
        <w:numPr>
          <w:ilvl w:val="1"/>
          <w:numId w:val="37"/>
        </w:numPr>
        <w:rPr>
          <w:rFonts w:cs="Times New Roman"/>
          <w:szCs w:val="24"/>
        </w:rPr>
      </w:pPr>
      <w:r w:rsidRPr="000F6C34">
        <w:rPr>
          <w:rFonts w:cs="Times New Roman"/>
          <w:szCs w:val="24"/>
        </w:rPr>
        <w:t xml:space="preserve">My Ombudsman </w:t>
      </w:r>
      <w:r>
        <w:rPr>
          <w:rFonts w:cs="Times New Roman"/>
          <w:szCs w:val="24"/>
        </w:rPr>
        <w:t>launched</w:t>
      </w:r>
      <w:r w:rsidRPr="000F6C34">
        <w:rPr>
          <w:rFonts w:cs="Times New Roman"/>
          <w:szCs w:val="24"/>
        </w:rPr>
        <w:t xml:space="preserve"> the process of creating a series of Vlogs (Video Blogs) to inform members about My Ombudsman in American Sign Language (ASL), captions, and English voiceover</w:t>
      </w:r>
      <w:r>
        <w:rPr>
          <w:rFonts w:cs="Times New Roman"/>
          <w:szCs w:val="24"/>
        </w:rPr>
        <w:t>, including</w:t>
      </w:r>
      <w:r w:rsidRPr="000F6C34">
        <w:rPr>
          <w:rFonts w:cs="Times New Roman"/>
          <w:szCs w:val="24"/>
        </w:rPr>
        <w:t xml:space="preserve"> videos on topics that include general information about Durable Medical Equipment, Communication Access, and Medication Coverage for all MassHealth health plan members, including those enrolled in One Care. </w:t>
      </w:r>
    </w:p>
    <w:p w14:paraId="210BB67B" w14:textId="77777777" w:rsidR="000A19C6" w:rsidRPr="0024241C" w:rsidRDefault="000A19C6" w:rsidP="000A19C6">
      <w:pPr>
        <w:pStyle w:val="ListParagraph"/>
        <w:numPr>
          <w:ilvl w:val="1"/>
          <w:numId w:val="37"/>
        </w:numPr>
        <w:rPr>
          <w:rFonts w:cs="Times New Roman"/>
          <w:szCs w:val="24"/>
        </w:rPr>
      </w:pPr>
      <w:r w:rsidRPr="000F6C34">
        <w:rPr>
          <w:rFonts w:cs="Times New Roman"/>
          <w:szCs w:val="24"/>
        </w:rPr>
        <w:t>The top three complaint topics from managed care plan members (excluding individuals enrolled in integrated care programs serving dual members) this quarter involved requests for help accessing certain procedures (elective surgeries) and dental care providers. Other members had issues with obtaining the proper level of LTSS at home or complaints about their current home health services. Others reported difficulty accessing their medications due to denials or problems with the Prior Authorization process.</w:t>
      </w:r>
    </w:p>
    <w:p w14:paraId="59645C2E" w14:textId="77777777" w:rsidR="000A19C6" w:rsidRPr="004B161F" w:rsidRDefault="000A19C6" w:rsidP="000A19C6">
      <w:pPr>
        <w:pStyle w:val="ListParagraph"/>
        <w:numPr>
          <w:ilvl w:val="0"/>
          <w:numId w:val="37"/>
        </w:numPr>
        <w:rPr>
          <w:rFonts w:cs="Times New Roman"/>
          <w:szCs w:val="24"/>
        </w:rPr>
      </w:pPr>
      <w:r w:rsidRPr="004B161F">
        <w:rPr>
          <w:rFonts w:cs="Times New Roman"/>
          <w:szCs w:val="24"/>
        </w:rPr>
        <w:t>Member Experience Survey Vendor, Massachusetts Health Quality Partners (MHQP):</w:t>
      </w:r>
    </w:p>
    <w:p w14:paraId="7A314632" w14:textId="651EEADE" w:rsidR="000A19C6" w:rsidRPr="00B1066E" w:rsidRDefault="000A19C6" w:rsidP="000A19C6">
      <w:pPr>
        <w:pStyle w:val="ListParagraph"/>
        <w:numPr>
          <w:ilvl w:val="1"/>
          <w:numId w:val="37"/>
        </w:numPr>
        <w:rPr>
          <w:rFonts w:cs="Times New Roman"/>
          <w:szCs w:val="24"/>
        </w:rPr>
      </w:pPr>
      <w:r w:rsidRPr="00B1066E">
        <w:rPr>
          <w:rFonts w:cs="Times New Roman"/>
          <w:szCs w:val="24"/>
        </w:rPr>
        <w:t>Continu</w:t>
      </w:r>
      <w:r>
        <w:rPr>
          <w:rFonts w:cs="Times New Roman"/>
          <w:szCs w:val="24"/>
        </w:rPr>
        <w:t>ed</w:t>
      </w:r>
      <w:r w:rsidRPr="00B1066E">
        <w:rPr>
          <w:rFonts w:cs="Times New Roman"/>
          <w:szCs w:val="24"/>
        </w:rPr>
        <w:t xml:space="preserve"> preparations for the fielding of the 2021 MassHealth adult and child Primary Care (PC), BH and LTSS Member Experience Surveys based on services received in 2020.</w:t>
      </w:r>
    </w:p>
    <w:p w14:paraId="4F5EE52C" w14:textId="77777777" w:rsidR="000A19C6" w:rsidRPr="00B1066E" w:rsidRDefault="000A19C6" w:rsidP="000A19C6">
      <w:pPr>
        <w:pStyle w:val="ListParagraph"/>
        <w:numPr>
          <w:ilvl w:val="1"/>
          <w:numId w:val="37"/>
        </w:numPr>
        <w:rPr>
          <w:rFonts w:cs="Times New Roman"/>
          <w:szCs w:val="24"/>
        </w:rPr>
      </w:pPr>
      <w:r w:rsidRPr="00B1066E">
        <w:rPr>
          <w:rFonts w:cs="Times New Roman"/>
          <w:szCs w:val="24"/>
        </w:rPr>
        <w:t>Finaliz</w:t>
      </w:r>
      <w:r>
        <w:rPr>
          <w:rFonts w:cs="Times New Roman"/>
          <w:szCs w:val="24"/>
        </w:rPr>
        <w:t>ed</w:t>
      </w:r>
      <w:r w:rsidRPr="00B1066E">
        <w:rPr>
          <w:rFonts w:cs="Times New Roman"/>
          <w:szCs w:val="24"/>
        </w:rPr>
        <w:t xml:space="preserve"> the paper PC, BH and LTSS surveys and survey materials which included translating the surveys and materials into 8 languages (in addition to English)</w:t>
      </w:r>
    </w:p>
    <w:p w14:paraId="068AB050" w14:textId="77777777" w:rsidR="000A19C6" w:rsidRPr="00B1066E" w:rsidRDefault="000A19C6" w:rsidP="000A19C6">
      <w:pPr>
        <w:pStyle w:val="ListParagraph"/>
        <w:numPr>
          <w:ilvl w:val="1"/>
          <w:numId w:val="37"/>
        </w:numPr>
        <w:rPr>
          <w:rFonts w:cs="Times New Roman"/>
          <w:szCs w:val="24"/>
        </w:rPr>
      </w:pPr>
      <w:r w:rsidRPr="00B1066E">
        <w:rPr>
          <w:rFonts w:cs="Times New Roman"/>
          <w:szCs w:val="24"/>
        </w:rPr>
        <w:t>Programm</w:t>
      </w:r>
      <w:r>
        <w:rPr>
          <w:rFonts w:cs="Times New Roman"/>
          <w:szCs w:val="24"/>
        </w:rPr>
        <w:t>ed</w:t>
      </w:r>
      <w:r w:rsidRPr="00B1066E">
        <w:rPr>
          <w:rFonts w:cs="Times New Roman"/>
          <w:szCs w:val="24"/>
        </w:rPr>
        <w:t xml:space="preserve"> the web surveys and web survey materials and draft</w:t>
      </w:r>
      <w:r>
        <w:rPr>
          <w:rFonts w:cs="Times New Roman"/>
          <w:szCs w:val="24"/>
        </w:rPr>
        <w:t>ed</w:t>
      </w:r>
      <w:r w:rsidRPr="00B1066E">
        <w:rPr>
          <w:rFonts w:cs="Times New Roman"/>
          <w:szCs w:val="24"/>
        </w:rPr>
        <w:t xml:space="preserve"> the LTSS telephone survey scripts </w:t>
      </w:r>
    </w:p>
    <w:p w14:paraId="119AB30C" w14:textId="77777777" w:rsidR="000A19C6" w:rsidRPr="00B1066E" w:rsidRDefault="000A19C6" w:rsidP="000A19C6">
      <w:pPr>
        <w:pStyle w:val="ListParagraph"/>
        <w:numPr>
          <w:ilvl w:val="1"/>
          <w:numId w:val="37"/>
        </w:numPr>
        <w:rPr>
          <w:rFonts w:cs="Times New Roman"/>
          <w:szCs w:val="24"/>
        </w:rPr>
      </w:pPr>
      <w:r w:rsidRPr="00B1066E">
        <w:rPr>
          <w:rFonts w:cs="Times New Roman"/>
          <w:szCs w:val="24"/>
        </w:rPr>
        <w:t>Review</w:t>
      </w:r>
      <w:r>
        <w:rPr>
          <w:rFonts w:cs="Times New Roman"/>
          <w:szCs w:val="24"/>
        </w:rPr>
        <w:t>ed</w:t>
      </w:r>
      <w:r w:rsidRPr="00B1066E">
        <w:rPr>
          <w:rFonts w:cs="Times New Roman"/>
          <w:szCs w:val="24"/>
        </w:rPr>
        <w:t xml:space="preserve"> the January 2021 test sample frame and the February 2021 final sample frame counts</w:t>
      </w:r>
    </w:p>
    <w:p w14:paraId="76D39FDC" w14:textId="77777777" w:rsidR="000A19C6" w:rsidRPr="00A41AFA" w:rsidRDefault="000A19C6" w:rsidP="000A19C6">
      <w:pPr>
        <w:pStyle w:val="ListParagraph"/>
        <w:numPr>
          <w:ilvl w:val="1"/>
          <w:numId w:val="37"/>
        </w:numPr>
        <w:rPr>
          <w:rFonts w:cs="Times New Roman"/>
          <w:szCs w:val="24"/>
        </w:rPr>
      </w:pPr>
      <w:r w:rsidRPr="00B1066E">
        <w:rPr>
          <w:rFonts w:cs="Times New Roman"/>
          <w:szCs w:val="24"/>
        </w:rPr>
        <w:t>Compiling the PC, BH and LTSS final sample pull counts and refreshing MassHealth member addresses for the first wave of 2021 survey invitations (to begin in the next quarter)</w:t>
      </w:r>
    </w:p>
    <w:p w14:paraId="2FA8A638" w14:textId="77777777" w:rsidR="000A19C6" w:rsidRPr="00A1217E" w:rsidRDefault="000A19C6" w:rsidP="000A19C6">
      <w:pPr>
        <w:pStyle w:val="ListParagraph"/>
        <w:numPr>
          <w:ilvl w:val="0"/>
          <w:numId w:val="37"/>
        </w:numPr>
        <w:rPr>
          <w:rFonts w:cs="Times New Roman"/>
          <w:szCs w:val="24"/>
        </w:rPr>
      </w:pPr>
      <w:r w:rsidRPr="00A1217E">
        <w:rPr>
          <w:rFonts w:cs="Times New Roman"/>
          <w:szCs w:val="24"/>
        </w:rPr>
        <w:t>Delivery System Reform Implementation Advisory Council (DSRIC):</w:t>
      </w:r>
    </w:p>
    <w:p w14:paraId="73FD9060" w14:textId="68C6052A" w:rsidR="000A19C6" w:rsidRDefault="000A19C6" w:rsidP="000A19C6">
      <w:pPr>
        <w:pStyle w:val="ListParagraph"/>
        <w:numPr>
          <w:ilvl w:val="1"/>
          <w:numId w:val="37"/>
        </w:numPr>
        <w:rPr>
          <w:rFonts w:cs="Times New Roman"/>
          <w:szCs w:val="24"/>
        </w:rPr>
      </w:pPr>
      <w:r w:rsidRPr="004B161F">
        <w:rPr>
          <w:rFonts w:cs="Times New Roman"/>
          <w:szCs w:val="24"/>
        </w:rPr>
        <w:t xml:space="preserve">Held a meeting in February </w:t>
      </w:r>
      <w:r>
        <w:rPr>
          <w:rFonts w:cs="Times New Roman"/>
          <w:szCs w:val="24"/>
        </w:rPr>
        <w:t xml:space="preserve">2021 </w:t>
      </w:r>
      <w:r w:rsidRPr="004B161F">
        <w:rPr>
          <w:rFonts w:cs="Times New Roman"/>
          <w:szCs w:val="24"/>
        </w:rPr>
        <w:t xml:space="preserve">to </w:t>
      </w:r>
      <w:r w:rsidRPr="00B8092D">
        <w:rPr>
          <w:rFonts w:cs="Times New Roman"/>
          <w:szCs w:val="24"/>
        </w:rPr>
        <w:t xml:space="preserve">discuss the Section 1115 </w:t>
      </w:r>
      <w:r w:rsidR="00AF05F2">
        <w:rPr>
          <w:rFonts w:cs="Times New Roman"/>
          <w:szCs w:val="24"/>
        </w:rPr>
        <w:t xml:space="preserve">Demonstration extension </w:t>
      </w:r>
      <w:r w:rsidRPr="00B8092D">
        <w:rPr>
          <w:rFonts w:cs="Times New Roman"/>
          <w:szCs w:val="24"/>
        </w:rPr>
        <w:t xml:space="preserve"> proposal</w:t>
      </w:r>
      <w:r>
        <w:rPr>
          <w:rFonts w:cs="Times New Roman"/>
          <w:szCs w:val="24"/>
        </w:rPr>
        <w:t xml:space="preserve"> </w:t>
      </w:r>
    </w:p>
    <w:p w14:paraId="6198B181" w14:textId="77777777" w:rsidR="000A19C6" w:rsidRPr="004B161F" w:rsidRDefault="000A19C6" w:rsidP="000A19C6">
      <w:pPr>
        <w:pStyle w:val="ListParagraph"/>
        <w:numPr>
          <w:ilvl w:val="1"/>
          <w:numId w:val="37"/>
        </w:numPr>
        <w:rPr>
          <w:rFonts w:cs="Times New Roman"/>
          <w:szCs w:val="24"/>
        </w:rPr>
      </w:pPr>
      <w:r>
        <w:rPr>
          <w:rFonts w:cs="Times New Roman"/>
          <w:szCs w:val="24"/>
        </w:rPr>
        <w:t xml:space="preserve">Held an optional meeting in March 2021 in which MassHealth’s Independent Assessor provided an overview of the DSRIP Midpoint Assessment results. </w:t>
      </w:r>
    </w:p>
    <w:p w14:paraId="2AD69A84" w14:textId="0FC11293" w:rsidR="000A19C6" w:rsidRDefault="000A19C6" w:rsidP="000A19C6">
      <w:pPr>
        <w:widowControl w:val="0"/>
        <w:autoSpaceDE w:val="0"/>
        <w:autoSpaceDN w:val="0"/>
        <w:spacing w:before="100" w:beforeAutospacing="1" w:after="100" w:afterAutospacing="1"/>
        <w:ind w:right="827"/>
        <w:rPr>
          <w:rFonts w:eastAsia="Times New Roman" w:cs="Times New Roman"/>
          <w:szCs w:val="24"/>
        </w:rPr>
      </w:pPr>
    </w:p>
    <w:p w14:paraId="4D179F37" w14:textId="77777777" w:rsidR="00E4667C" w:rsidRDefault="00E4667C" w:rsidP="000A19C6">
      <w:pPr>
        <w:widowControl w:val="0"/>
        <w:autoSpaceDE w:val="0"/>
        <w:autoSpaceDN w:val="0"/>
        <w:spacing w:before="100" w:beforeAutospacing="1" w:after="100" w:afterAutospacing="1"/>
        <w:ind w:right="827"/>
        <w:rPr>
          <w:rFonts w:eastAsia="Times New Roman" w:cs="Times New Roman"/>
          <w:szCs w:val="24"/>
        </w:rPr>
      </w:pPr>
    </w:p>
    <w:p w14:paraId="21C39E79" w14:textId="77777777" w:rsidR="00DC3DA6" w:rsidRPr="004B161F" w:rsidRDefault="00DC3DA6" w:rsidP="00A26B29">
      <w:pPr>
        <w:pStyle w:val="Heading3"/>
      </w:pPr>
      <w:r w:rsidRPr="009A5CEE">
        <w:t>MassHealth ACO/APM Adoption Rate</w:t>
      </w:r>
    </w:p>
    <w:p w14:paraId="68A35641" w14:textId="77777777" w:rsidR="00DC3DA6" w:rsidRPr="004B161F" w:rsidRDefault="00DC3DA6" w:rsidP="00DC3DA6">
      <w:pPr>
        <w:widowControl w:val="0"/>
        <w:autoSpaceDE w:val="0"/>
        <w:autoSpaceDN w:val="0"/>
        <w:spacing w:before="100" w:beforeAutospacing="1" w:after="100" w:afterAutospacing="1"/>
        <w:rPr>
          <w:rFonts w:eastAsia="Times New Roman" w:cs="Times New Roman"/>
          <w:szCs w:val="24"/>
          <w:u w:val="single"/>
        </w:rPr>
      </w:pPr>
      <w:r w:rsidRPr="004B161F">
        <w:rPr>
          <w:rFonts w:eastAsia="Times New Roman" w:cs="Times New Roman"/>
          <w:szCs w:val="24"/>
          <w:u w:val="single"/>
        </w:rPr>
        <w:t>Overview</w:t>
      </w:r>
    </w:p>
    <w:p w14:paraId="5D30F4B2" w14:textId="77777777" w:rsidR="00DC3DA6" w:rsidRDefault="00DC3DA6" w:rsidP="00DC3DA6">
      <w:pPr>
        <w:pStyle w:val="ListParagraph"/>
        <w:numPr>
          <w:ilvl w:val="0"/>
          <w:numId w:val="4"/>
        </w:numPr>
        <w:rPr>
          <w:rFonts w:eastAsia="Times New Roman" w:cs="Times New Roman"/>
          <w:szCs w:val="24"/>
        </w:rPr>
      </w:pPr>
      <w:r w:rsidRPr="00C7170F">
        <w:rPr>
          <w:rFonts w:eastAsia="Times New Roman" w:cs="Times New Roman"/>
          <w:b/>
          <w:szCs w:val="24"/>
        </w:rPr>
        <w:t>ACO members</w:t>
      </w:r>
      <w:r>
        <w:rPr>
          <w:rStyle w:val="FootnoteReference"/>
          <w:rFonts w:eastAsia="Times New Roman" w:cs="Times New Roman"/>
          <w:b/>
          <w:szCs w:val="24"/>
        </w:rPr>
        <w:footnoteReference w:id="2"/>
      </w:r>
      <w:r w:rsidRPr="00C7170F">
        <w:rPr>
          <w:rFonts w:eastAsia="Times New Roman" w:cs="Times New Roman"/>
          <w:b/>
          <w:szCs w:val="24"/>
        </w:rPr>
        <w:t xml:space="preserve"> as of 6/30/</w:t>
      </w:r>
      <w:r w:rsidRPr="00012A22">
        <w:rPr>
          <w:rFonts w:eastAsia="Times New Roman" w:cs="Times New Roman"/>
          <w:b/>
          <w:szCs w:val="24"/>
        </w:rPr>
        <w:t>2</w:t>
      </w:r>
      <w:r>
        <w:rPr>
          <w:rFonts w:eastAsia="Times New Roman" w:cs="Times New Roman"/>
          <w:b/>
          <w:szCs w:val="24"/>
        </w:rPr>
        <w:t>1</w:t>
      </w:r>
      <w:r w:rsidRPr="00C7170F">
        <w:rPr>
          <w:rFonts w:eastAsia="Times New Roman" w:cs="Times New Roman"/>
          <w:szCs w:val="24"/>
        </w:rPr>
        <w:t xml:space="preserve">: </w:t>
      </w:r>
      <w:r>
        <w:rPr>
          <w:rFonts w:eastAsia="Times New Roman" w:cs="Times New Roman"/>
          <w:szCs w:val="24"/>
        </w:rPr>
        <w:t>1,114,122</w:t>
      </w:r>
    </w:p>
    <w:p w14:paraId="3A283EE2" w14:textId="77777777" w:rsidR="00DC3DA6" w:rsidRPr="007517F1" w:rsidRDefault="00DC3DA6" w:rsidP="00DC3DA6">
      <w:pPr>
        <w:pStyle w:val="ListParagraph"/>
        <w:numPr>
          <w:ilvl w:val="0"/>
          <w:numId w:val="4"/>
        </w:numPr>
        <w:rPr>
          <w:rFonts w:eastAsia="Times New Roman" w:cs="Times New Roman"/>
          <w:szCs w:val="24"/>
        </w:rPr>
      </w:pPr>
      <w:r w:rsidRPr="007F2388">
        <w:rPr>
          <w:rFonts w:eastAsia="Times New Roman" w:cs="Times New Roman"/>
          <w:b/>
          <w:szCs w:val="24"/>
        </w:rPr>
        <w:t xml:space="preserve">MCO enrollees covered by APMs that are not ACOs: </w:t>
      </w:r>
      <w:r w:rsidRPr="007F2388">
        <w:rPr>
          <w:rFonts w:eastAsia="Times New Roman" w:cs="Times New Roman"/>
          <w:szCs w:val="24"/>
        </w:rPr>
        <w:t>4,449</w:t>
      </w:r>
      <w:r w:rsidRPr="007517F1">
        <w:rPr>
          <w:rFonts w:eastAsia="Times New Roman" w:cs="Times New Roman"/>
          <w:szCs w:val="24"/>
        </w:rPr>
        <w:t xml:space="preserve"> </w:t>
      </w:r>
    </w:p>
    <w:p w14:paraId="3501455C" w14:textId="77777777" w:rsidR="00DC3DA6" w:rsidRPr="00D1541C" w:rsidRDefault="00DC3DA6" w:rsidP="00DC3DA6">
      <w:pPr>
        <w:pStyle w:val="ListParagraph"/>
        <w:numPr>
          <w:ilvl w:val="0"/>
          <w:numId w:val="4"/>
        </w:numPr>
        <w:rPr>
          <w:rFonts w:eastAsia="Times New Roman" w:cs="Times New Roman"/>
          <w:szCs w:val="24"/>
        </w:rPr>
      </w:pPr>
      <w:r w:rsidRPr="00C7170F">
        <w:rPr>
          <w:rFonts w:eastAsia="Times New Roman" w:cs="Times New Roman"/>
          <w:b/>
          <w:szCs w:val="24"/>
        </w:rPr>
        <w:t>ACO-eligible members</w:t>
      </w:r>
      <w:r>
        <w:rPr>
          <w:rStyle w:val="FootnoteReference"/>
          <w:rFonts w:eastAsia="Times New Roman" w:cs="Times New Roman"/>
          <w:b/>
          <w:szCs w:val="24"/>
        </w:rPr>
        <w:footnoteReference w:id="3"/>
      </w:r>
      <w:r w:rsidRPr="00C7170F">
        <w:rPr>
          <w:rFonts w:eastAsia="Times New Roman" w:cs="Times New Roman"/>
          <w:b/>
          <w:szCs w:val="24"/>
        </w:rPr>
        <w:t xml:space="preserve"> as of 6/30/</w:t>
      </w:r>
      <w:r>
        <w:rPr>
          <w:rFonts w:eastAsia="Times New Roman" w:cs="Times New Roman"/>
          <w:b/>
          <w:szCs w:val="24"/>
        </w:rPr>
        <w:t>21</w:t>
      </w:r>
      <w:r w:rsidRPr="00C7170F">
        <w:rPr>
          <w:rFonts w:eastAsia="Times New Roman" w:cs="Times New Roman"/>
          <w:szCs w:val="24"/>
        </w:rPr>
        <w:t xml:space="preserve">: </w:t>
      </w:r>
      <w:r>
        <w:rPr>
          <w:rFonts w:eastAsia="Times New Roman" w:cs="Times New Roman"/>
          <w:szCs w:val="24"/>
        </w:rPr>
        <w:t>1,363,431</w:t>
      </w:r>
    </w:p>
    <w:p w14:paraId="0CCEAB6C" w14:textId="77777777" w:rsidR="00DC3DA6" w:rsidRPr="007B4B55" w:rsidRDefault="00DC3DA6" w:rsidP="00DC3DA6">
      <w:pPr>
        <w:pStyle w:val="ListParagraph"/>
        <w:widowControl w:val="0"/>
        <w:numPr>
          <w:ilvl w:val="0"/>
          <w:numId w:val="4"/>
        </w:numPr>
        <w:autoSpaceDE w:val="0"/>
        <w:autoSpaceDN w:val="0"/>
        <w:spacing w:before="100" w:beforeAutospacing="1" w:after="100" w:afterAutospacing="1"/>
        <w:rPr>
          <w:rFonts w:eastAsia="Times New Roman" w:cs="Times New Roman"/>
          <w:szCs w:val="24"/>
        </w:rPr>
      </w:pPr>
      <w:r w:rsidRPr="00D1541C">
        <w:rPr>
          <w:rFonts w:eastAsia="Times New Roman" w:cs="Times New Roman"/>
          <w:b/>
          <w:szCs w:val="24"/>
        </w:rPr>
        <w:t>Percent of ACO-eligible members enrolled in ACOs</w:t>
      </w:r>
      <w:r w:rsidRPr="00D1541C">
        <w:rPr>
          <w:rFonts w:eastAsia="Times New Roman" w:cs="Times New Roman"/>
          <w:szCs w:val="24"/>
        </w:rPr>
        <w:t xml:space="preserve">: </w:t>
      </w:r>
      <w:r>
        <w:rPr>
          <w:rFonts w:eastAsia="Times New Roman" w:cs="Times New Roman"/>
          <w:szCs w:val="24"/>
        </w:rPr>
        <w:t>82.0</w:t>
      </w:r>
      <w:r w:rsidRPr="007B4B55">
        <w:rPr>
          <w:rFonts w:eastAsia="Times New Roman" w:cs="Times New Roman"/>
          <w:szCs w:val="24"/>
        </w:rPr>
        <w:t>%</w:t>
      </w:r>
    </w:p>
    <w:tbl>
      <w:tblPr>
        <w:tblW w:w="9483"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Description w:val="Number of members, membership percentage, and HCP-LAN category per Managed Care Plan"/>
      </w:tblPr>
      <w:tblGrid>
        <w:gridCol w:w="3511"/>
        <w:gridCol w:w="1544"/>
        <w:gridCol w:w="1568"/>
        <w:gridCol w:w="2860"/>
      </w:tblGrid>
      <w:tr w:rsidR="00DC3DA6" w14:paraId="1F4A3AA9" w14:textId="77777777" w:rsidTr="00E63AE8">
        <w:trPr>
          <w:trHeight w:val="593"/>
        </w:trPr>
        <w:tc>
          <w:tcPr>
            <w:tcW w:w="3511" w:type="dxa"/>
            <w:tcBorders>
              <w:top w:val="dotted" w:sz="4" w:space="0" w:color="auto"/>
              <w:left w:val="dotted" w:sz="4" w:space="0" w:color="auto"/>
              <w:bottom w:val="dotted" w:sz="4" w:space="0" w:color="auto"/>
              <w:right w:val="dotted" w:sz="4" w:space="0" w:color="auto"/>
            </w:tcBorders>
            <w:shd w:val="clear" w:color="auto" w:fill="B8CCE4"/>
            <w:hideMark/>
          </w:tcPr>
          <w:p w14:paraId="77BDBD61" w14:textId="77777777" w:rsidR="00DC3DA6" w:rsidRPr="003F5058" w:rsidRDefault="00DC3DA6" w:rsidP="00E63AE8">
            <w:pPr>
              <w:spacing w:after="0" w:line="240" w:lineRule="auto"/>
              <w:rPr>
                <w:rFonts w:ascii="Calibri" w:eastAsia="Times New Roman" w:hAnsi="Calibri" w:cs="Times New Roman"/>
                <w:b/>
                <w:bCs/>
              </w:rPr>
            </w:pPr>
            <w:r w:rsidRPr="003F5058">
              <w:rPr>
                <w:rFonts w:ascii="Calibri" w:eastAsia="Times New Roman" w:hAnsi="Calibri" w:cs="Times New Roman"/>
                <w:b/>
                <w:bCs/>
              </w:rPr>
              <w:t>Managed Care Plan</w:t>
            </w:r>
          </w:p>
        </w:tc>
        <w:tc>
          <w:tcPr>
            <w:tcW w:w="1544" w:type="dxa"/>
            <w:tcBorders>
              <w:top w:val="dotted" w:sz="4" w:space="0" w:color="auto"/>
              <w:left w:val="dotted" w:sz="4" w:space="0" w:color="auto"/>
              <w:bottom w:val="dotted" w:sz="4" w:space="0" w:color="auto"/>
              <w:right w:val="dotted" w:sz="4" w:space="0" w:color="auto"/>
            </w:tcBorders>
            <w:shd w:val="clear" w:color="auto" w:fill="B8CCE4"/>
            <w:hideMark/>
          </w:tcPr>
          <w:p w14:paraId="4517210F" w14:textId="77777777" w:rsidR="00DC3DA6" w:rsidRPr="003F5058" w:rsidRDefault="00DC3DA6" w:rsidP="00E63AE8">
            <w:pPr>
              <w:spacing w:after="0" w:line="240" w:lineRule="auto"/>
              <w:rPr>
                <w:rFonts w:ascii="Calibri" w:eastAsia="Times New Roman" w:hAnsi="Calibri" w:cs="Times New Roman"/>
                <w:b/>
                <w:bCs/>
              </w:rPr>
            </w:pPr>
            <w:r w:rsidRPr="003F5058">
              <w:rPr>
                <w:rFonts w:ascii="Calibri" w:eastAsia="Times New Roman" w:hAnsi="Calibri" w:cs="Times New Roman"/>
                <w:b/>
                <w:bCs/>
              </w:rPr>
              <w:t>Members</w:t>
            </w:r>
          </w:p>
        </w:tc>
        <w:tc>
          <w:tcPr>
            <w:tcW w:w="1568" w:type="dxa"/>
            <w:tcBorders>
              <w:top w:val="dotted" w:sz="4" w:space="0" w:color="auto"/>
              <w:left w:val="dotted" w:sz="4" w:space="0" w:color="auto"/>
              <w:bottom w:val="dotted" w:sz="4" w:space="0" w:color="auto"/>
              <w:right w:val="dotted" w:sz="4" w:space="0" w:color="auto"/>
            </w:tcBorders>
            <w:shd w:val="clear" w:color="auto" w:fill="B8CCE4"/>
            <w:hideMark/>
          </w:tcPr>
          <w:p w14:paraId="235C08CE" w14:textId="77777777" w:rsidR="00DC3DA6" w:rsidRPr="003F5058" w:rsidRDefault="00DC3DA6" w:rsidP="00E63AE8">
            <w:pPr>
              <w:spacing w:after="0" w:line="240" w:lineRule="auto"/>
              <w:rPr>
                <w:rFonts w:ascii="Calibri" w:eastAsia="Times New Roman" w:hAnsi="Calibri" w:cs="Times New Roman"/>
                <w:b/>
                <w:bCs/>
              </w:rPr>
            </w:pPr>
            <w:r w:rsidRPr="003F5058">
              <w:rPr>
                <w:rFonts w:ascii="Calibri" w:eastAsia="Times New Roman" w:hAnsi="Calibri" w:cs="Times New Roman"/>
                <w:b/>
                <w:bCs/>
              </w:rPr>
              <w:t>Membership percentage</w:t>
            </w:r>
          </w:p>
        </w:tc>
        <w:tc>
          <w:tcPr>
            <w:tcW w:w="2860" w:type="dxa"/>
            <w:tcBorders>
              <w:top w:val="dotted" w:sz="4" w:space="0" w:color="auto"/>
              <w:left w:val="dotted" w:sz="4" w:space="0" w:color="auto"/>
              <w:bottom w:val="dotted" w:sz="4" w:space="0" w:color="auto"/>
              <w:right w:val="dotted" w:sz="4" w:space="0" w:color="auto"/>
            </w:tcBorders>
            <w:shd w:val="clear" w:color="auto" w:fill="B8CCE4"/>
            <w:hideMark/>
          </w:tcPr>
          <w:p w14:paraId="1CCA7DD6" w14:textId="77777777" w:rsidR="00DC3DA6" w:rsidRPr="003F5058" w:rsidRDefault="00DC3DA6" w:rsidP="00E63AE8">
            <w:pPr>
              <w:spacing w:after="0" w:line="240" w:lineRule="auto"/>
              <w:rPr>
                <w:rFonts w:ascii="Calibri" w:eastAsia="Times New Roman" w:hAnsi="Calibri" w:cs="Times New Roman"/>
                <w:b/>
                <w:bCs/>
              </w:rPr>
            </w:pPr>
            <w:r w:rsidRPr="003F5058">
              <w:rPr>
                <w:rFonts w:ascii="Calibri" w:eastAsia="Times New Roman" w:hAnsi="Calibri" w:cs="Times New Roman"/>
                <w:b/>
                <w:bCs/>
              </w:rPr>
              <w:t>HCP-LAN Category</w:t>
            </w:r>
          </w:p>
        </w:tc>
      </w:tr>
      <w:tr w:rsidR="00DC3DA6" w14:paraId="519FAB35" w14:textId="77777777" w:rsidTr="00E63AE8">
        <w:trPr>
          <w:trHeight w:val="300"/>
        </w:trPr>
        <w:tc>
          <w:tcPr>
            <w:tcW w:w="3511" w:type="dxa"/>
            <w:tcBorders>
              <w:top w:val="dotted" w:sz="4" w:space="0" w:color="auto"/>
              <w:left w:val="dotted" w:sz="4" w:space="0" w:color="auto"/>
              <w:bottom w:val="dotted" w:sz="4" w:space="0" w:color="auto"/>
              <w:right w:val="dotted" w:sz="4" w:space="0" w:color="auto"/>
            </w:tcBorders>
            <w:noWrap/>
            <w:vAlign w:val="bottom"/>
            <w:hideMark/>
          </w:tcPr>
          <w:p w14:paraId="7DB9168B" w14:textId="77777777" w:rsidR="00DC3DA6" w:rsidRPr="003F5058" w:rsidRDefault="00DC3DA6" w:rsidP="00E63AE8">
            <w:pPr>
              <w:spacing w:after="0" w:line="240" w:lineRule="auto"/>
              <w:rPr>
                <w:rFonts w:ascii="Calibri" w:eastAsia="Times New Roman" w:hAnsi="Calibri" w:cs="Times New Roman"/>
              </w:rPr>
            </w:pPr>
            <w:r w:rsidRPr="003F5058">
              <w:rPr>
                <w:rFonts w:ascii="Calibri" w:eastAsia="Times New Roman" w:hAnsi="Calibri" w:cs="Times New Roman"/>
              </w:rPr>
              <w:t>Model A</w:t>
            </w:r>
          </w:p>
        </w:tc>
        <w:tc>
          <w:tcPr>
            <w:tcW w:w="1544" w:type="dxa"/>
            <w:tcBorders>
              <w:top w:val="dotted" w:sz="4" w:space="0" w:color="auto"/>
              <w:left w:val="dotted" w:sz="4" w:space="0" w:color="auto"/>
              <w:bottom w:val="dotted" w:sz="4" w:space="0" w:color="auto"/>
              <w:right w:val="dotted" w:sz="4" w:space="0" w:color="auto"/>
            </w:tcBorders>
            <w:noWrap/>
            <w:vAlign w:val="bottom"/>
            <w:hideMark/>
          </w:tcPr>
          <w:p w14:paraId="40A2D8B1" w14:textId="77777777" w:rsidR="00DC3DA6" w:rsidRPr="003F5058" w:rsidRDefault="00DC3DA6" w:rsidP="00E63AE8">
            <w:pPr>
              <w:spacing w:after="0" w:line="240" w:lineRule="auto"/>
              <w:jc w:val="right"/>
              <w:rPr>
                <w:rFonts w:ascii="Calibri" w:eastAsia="Times New Roman" w:hAnsi="Calibri" w:cs="Times New Roman"/>
              </w:rPr>
            </w:pPr>
            <w:r w:rsidRPr="008512E3">
              <w:rPr>
                <w:rFonts w:ascii="Calibri" w:eastAsia="Times New Roman" w:hAnsi="Calibri" w:cs="Times New Roman"/>
              </w:rPr>
              <w:t>656</w:t>
            </w:r>
            <w:r>
              <w:rPr>
                <w:rFonts w:ascii="Calibri" w:eastAsia="Times New Roman" w:hAnsi="Calibri" w:cs="Times New Roman"/>
              </w:rPr>
              <w:t>,</w:t>
            </w:r>
            <w:r w:rsidRPr="008512E3">
              <w:rPr>
                <w:rFonts w:ascii="Calibri" w:eastAsia="Times New Roman" w:hAnsi="Calibri" w:cs="Times New Roman"/>
              </w:rPr>
              <w:t>362</w:t>
            </w:r>
          </w:p>
        </w:tc>
        <w:tc>
          <w:tcPr>
            <w:tcW w:w="1568" w:type="dxa"/>
            <w:tcBorders>
              <w:top w:val="dotted" w:sz="4" w:space="0" w:color="auto"/>
              <w:left w:val="dotted" w:sz="4" w:space="0" w:color="auto"/>
              <w:bottom w:val="dotted" w:sz="4" w:space="0" w:color="auto"/>
              <w:right w:val="dotted" w:sz="4" w:space="0" w:color="auto"/>
            </w:tcBorders>
            <w:noWrap/>
            <w:vAlign w:val="bottom"/>
            <w:hideMark/>
          </w:tcPr>
          <w:p w14:paraId="425FE46E" w14:textId="77777777" w:rsidR="00DC3DA6" w:rsidRPr="005D5FB7" w:rsidRDefault="00DC3DA6" w:rsidP="00E63AE8">
            <w:pPr>
              <w:spacing w:after="0" w:line="240" w:lineRule="auto"/>
              <w:jc w:val="right"/>
              <w:rPr>
                <w:rFonts w:ascii="Calibri" w:eastAsia="Times New Roman" w:hAnsi="Calibri" w:cs="Times New Roman"/>
              </w:rPr>
            </w:pPr>
            <w:r>
              <w:rPr>
                <w:rFonts w:ascii="Calibri" w:eastAsia="Times New Roman" w:hAnsi="Calibri" w:cs="Times New Roman"/>
              </w:rPr>
              <w:t>48.14</w:t>
            </w:r>
          </w:p>
        </w:tc>
        <w:tc>
          <w:tcPr>
            <w:tcW w:w="2860" w:type="dxa"/>
            <w:tcBorders>
              <w:top w:val="dotted" w:sz="4" w:space="0" w:color="auto"/>
              <w:left w:val="dotted" w:sz="4" w:space="0" w:color="auto"/>
              <w:bottom w:val="dotted" w:sz="4" w:space="0" w:color="auto"/>
              <w:right w:val="dotted" w:sz="4" w:space="0" w:color="auto"/>
            </w:tcBorders>
            <w:noWrap/>
            <w:vAlign w:val="bottom"/>
            <w:hideMark/>
          </w:tcPr>
          <w:p w14:paraId="73CB198A" w14:textId="77777777" w:rsidR="00DC3DA6" w:rsidRPr="003F5058" w:rsidRDefault="00DC3DA6" w:rsidP="00E63AE8">
            <w:pPr>
              <w:spacing w:after="0" w:line="240" w:lineRule="auto"/>
              <w:rPr>
                <w:rFonts w:ascii="Calibri" w:eastAsia="Times New Roman" w:hAnsi="Calibri" w:cs="Times New Roman"/>
              </w:rPr>
            </w:pPr>
            <w:r w:rsidRPr="003F5058">
              <w:rPr>
                <w:rFonts w:ascii="Calibri" w:eastAsia="Times New Roman" w:hAnsi="Calibri" w:cs="Times New Roman"/>
              </w:rPr>
              <w:t xml:space="preserve">Category 4C </w:t>
            </w:r>
          </w:p>
        </w:tc>
      </w:tr>
      <w:tr w:rsidR="00DC3DA6" w14:paraId="522BA31E" w14:textId="77777777" w:rsidTr="00E63AE8">
        <w:trPr>
          <w:trHeight w:val="300"/>
        </w:trPr>
        <w:tc>
          <w:tcPr>
            <w:tcW w:w="3511" w:type="dxa"/>
            <w:tcBorders>
              <w:top w:val="dotted" w:sz="4" w:space="0" w:color="auto"/>
              <w:left w:val="dotted" w:sz="4" w:space="0" w:color="auto"/>
              <w:bottom w:val="dotted" w:sz="4" w:space="0" w:color="auto"/>
              <w:right w:val="dotted" w:sz="4" w:space="0" w:color="auto"/>
            </w:tcBorders>
            <w:noWrap/>
            <w:vAlign w:val="bottom"/>
            <w:hideMark/>
          </w:tcPr>
          <w:p w14:paraId="7577F5A1" w14:textId="77777777" w:rsidR="00DC3DA6" w:rsidRPr="005D5FB7" w:rsidRDefault="00DC3DA6" w:rsidP="00E63AE8">
            <w:pPr>
              <w:spacing w:after="0" w:line="240" w:lineRule="auto"/>
              <w:rPr>
                <w:rFonts w:ascii="Calibri" w:eastAsia="Times New Roman" w:hAnsi="Calibri" w:cs="Times New Roman"/>
              </w:rPr>
            </w:pPr>
            <w:r w:rsidRPr="005D5FB7">
              <w:rPr>
                <w:rFonts w:ascii="Calibri" w:eastAsia="Times New Roman" w:hAnsi="Calibri" w:cs="Times New Roman"/>
              </w:rPr>
              <w:t>Model B</w:t>
            </w:r>
          </w:p>
        </w:tc>
        <w:tc>
          <w:tcPr>
            <w:tcW w:w="1544" w:type="dxa"/>
            <w:tcBorders>
              <w:top w:val="dotted" w:sz="4" w:space="0" w:color="auto"/>
              <w:left w:val="dotted" w:sz="4" w:space="0" w:color="auto"/>
              <w:bottom w:val="dotted" w:sz="4" w:space="0" w:color="auto"/>
              <w:right w:val="dotted" w:sz="4" w:space="0" w:color="auto"/>
            </w:tcBorders>
            <w:noWrap/>
            <w:vAlign w:val="bottom"/>
            <w:hideMark/>
          </w:tcPr>
          <w:p w14:paraId="1617187A" w14:textId="77777777" w:rsidR="00DC3DA6" w:rsidRPr="005D5FB7" w:rsidRDefault="00DC3DA6" w:rsidP="00E63AE8">
            <w:pPr>
              <w:spacing w:after="0" w:line="240" w:lineRule="auto"/>
              <w:jc w:val="right"/>
              <w:rPr>
                <w:rFonts w:ascii="Calibri" w:eastAsia="Times New Roman" w:hAnsi="Calibri" w:cs="Times New Roman"/>
              </w:rPr>
            </w:pPr>
            <w:r w:rsidRPr="00226B78">
              <w:rPr>
                <w:rFonts w:ascii="Calibri" w:eastAsia="Times New Roman" w:hAnsi="Calibri" w:cs="Times New Roman"/>
              </w:rPr>
              <w:t>446</w:t>
            </w:r>
            <w:r>
              <w:rPr>
                <w:rFonts w:ascii="Calibri" w:eastAsia="Times New Roman" w:hAnsi="Calibri" w:cs="Times New Roman"/>
              </w:rPr>
              <w:t>,</w:t>
            </w:r>
            <w:r w:rsidRPr="00226B78">
              <w:rPr>
                <w:rFonts w:ascii="Calibri" w:eastAsia="Times New Roman" w:hAnsi="Calibri" w:cs="Times New Roman"/>
              </w:rPr>
              <w:t>537</w:t>
            </w:r>
          </w:p>
        </w:tc>
        <w:tc>
          <w:tcPr>
            <w:tcW w:w="1568" w:type="dxa"/>
            <w:tcBorders>
              <w:top w:val="dotted" w:sz="4" w:space="0" w:color="auto"/>
              <w:left w:val="dotted" w:sz="4" w:space="0" w:color="auto"/>
              <w:bottom w:val="dotted" w:sz="4" w:space="0" w:color="auto"/>
              <w:right w:val="dotted" w:sz="4" w:space="0" w:color="auto"/>
            </w:tcBorders>
            <w:noWrap/>
            <w:vAlign w:val="bottom"/>
            <w:hideMark/>
          </w:tcPr>
          <w:p w14:paraId="0F12C4E2" w14:textId="77777777" w:rsidR="00DC3DA6" w:rsidRPr="005D5FB7" w:rsidRDefault="00DC3DA6" w:rsidP="00E63AE8">
            <w:pPr>
              <w:spacing w:after="0" w:line="240" w:lineRule="auto"/>
              <w:jc w:val="right"/>
              <w:rPr>
                <w:rFonts w:ascii="Calibri" w:eastAsia="Times New Roman" w:hAnsi="Calibri" w:cs="Times New Roman"/>
              </w:rPr>
            </w:pPr>
            <w:r>
              <w:rPr>
                <w:rFonts w:ascii="Calibri" w:eastAsia="Times New Roman" w:hAnsi="Calibri" w:cs="Times New Roman"/>
              </w:rPr>
              <w:t>32.75</w:t>
            </w:r>
          </w:p>
        </w:tc>
        <w:tc>
          <w:tcPr>
            <w:tcW w:w="2860" w:type="dxa"/>
            <w:tcBorders>
              <w:top w:val="dotted" w:sz="4" w:space="0" w:color="auto"/>
              <w:left w:val="dotted" w:sz="4" w:space="0" w:color="auto"/>
              <w:bottom w:val="dotted" w:sz="4" w:space="0" w:color="auto"/>
              <w:right w:val="dotted" w:sz="4" w:space="0" w:color="auto"/>
            </w:tcBorders>
            <w:noWrap/>
            <w:vAlign w:val="bottom"/>
            <w:hideMark/>
          </w:tcPr>
          <w:p w14:paraId="5E17CD4B" w14:textId="77777777" w:rsidR="00DC3DA6" w:rsidRPr="005D5FB7" w:rsidRDefault="00DC3DA6" w:rsidP="00E63AE8">
            <w:pPr>
              <w:spacing w:after="0" w:line="240" w:lineRule="auto"/>
              <w:rPr>
                <w:rFonts w:ascii="Calibri" w:eastAsia="Times New Roman" w:hAnsi="Calibri" w:cs="Times New Roman"/>
              </w:rPr>
            </w:pPr>
            <w:r w:rsidRPr="005D5FB7">
              <w:rPr>
                <w:rFonts w:ascii="Calibri" w:eastAsia="Times New Roman" w:hAnsi="Calibri" w:cs="Times New Roman"/>
              </w:rPr>
              <w:t xml:space="preserve">Category 3B </w:t>
            </w:r>
          </w:p>
        </w:tc>
      </w:tr>
      <w:tr w:rsidR="00DC3DA6" w14:paraId="36314D80" w14:textId="77777777" w:rsidTr="00E63AE8">
        <w:trPr>
          <w:trHeight w:val="300"/>
        </w:trPr>
        <w:tc>
          <w:tcPr>
            <w:tcW w:w="3511" w:type="dxa"/>
            <w:tcBorders>
              <w:top w:val="dotted" w:sz="4" w:space="0" w:color="auto"/>
              <w:left w:val="dotted" w:sz="4" w:space="0" w:color="auto"/>
              <w:bottom w:val="dotted" w:sz="4" w:space="0" w:color="auto"/>
              <w:right w:val="dotted" w:sz="4" w:space="0" w:color="auto"/>
            </w:tcBorders>
            <w:noWrap/>
            <w:vAlign w:val="bottom"/>
            <w:hideMark/>
          </w:tcPr>
          <w:p w14:paraId="6F1D8CD0" w14:textId="77777777" w:rsidR="00DC3DA6" w:rsidRPr="005D5FB7" w:rsidRDefault="00DC3DA6" w:rsidP="00E63AE8">
            <w:pPr>
              <w:spacing w:after="0" w:line="240" w:lineRule="auto"/>
              <w:rPr>
                <w:rFonts w:ascii="Calibri" w:eastAsia="Times New Roman" w:hAnsi="Calibri" w:cs="Times New Roman"/>
              </w:rPr>
            </w:pPr>
            <w:r w:rsidRPr="005D5FB7">
              <w:rPr>
                <w:rFonts w:ascii="Calibri" w:eastAsia="Times New Roman" w:hAnsi="Calibri" w:cs="Times New Roman"/>
              </w:rPr>
              <w:t>Fee For Service (not managed care)</w:t>
            </w:r>
          </w:p>
        </w:tc>
        <w:tc>
          <w:tcPr>
            <w:tcW w:w="1544" w:type="dxa"/>
            <w:tcBorders>
              <w:top w:val="dotted" w:sz="4" w:space="0" w:color="auto"/>
              <w:left w:val="dotted" w:sz="4" w:space="0" w:color="auto"/>
              <w:bottom w:val="dotted" w:sz="4" w:space="0" w:color="auto"/>
              <w:right w:val="dotted" w:sz="4" w:space="0" w:color="auto"/>
            </w:tcBorders>
            <w:noWrap/>
            <w:vAlign w:val="bottom"/>
            <w:hideMark/>
          </w:tcPr>
          <w:p w14:paraId="5BAFFC60" w14:textId="77777777" w:rsidR="00DC3DA6" w:rsidRPr="005D5FB7" w:rsidRDefault="00DC3DA6" w:rsidP="00E63AE8">
            <w:pPr>
              <w:spacing w:after="0" w:line="240" w:lineRule="auto"/>
              <w:jc w:val="right"/>
              <w:rPr>
                <w:rFonts w:ascii="Calibri" w:eastAsia="Times New Roman" w:hAnsi="Calibri" w:cs="Times New Roman"/>
              </w:rPr>
            </w:pPr>
            <w:r>
              <w:rPr>
                <w:rFonts w:ascii="Calibri" w:eastAsia="Times New Roman" w:hAnsi="Calibri" w:cs="Times New Roman"/>
              </w:rPr>
              <w:t>38,100</w:t>
            </w:r>
          </w:p>
        </w:tc>
        <w:tc>
          <w:tcPr>
            <w:tcW w:w="1568" w:type="dxa"/>
            <w:tcBorders>
              <w:top w:val="dotted" w:sz="4" w:space="0" w:color="auto"/>
              <w:left w:val="dotted" w:sz="4" w:space="0" w:color="auto"/>
              <w:bottom w:val="dotted" w:sz="4" w:space="0" w:color="auto"/>
              <w:right w:val="dotted" w:sz="4" w:space="0" w:color="auto"/>
            </w:tcBorders>
            <w:noWrap/>
            <w:vAlign w:val="bottom"/>
            <w:hideMark/>
          </w:tcPr>
          <w:p w14:paraId="0971CF9C" w14:textId="77777777" w:rsidR="00DC3DA6" w:rsidRPr="005D5FB7" w:rsidRDefault="00DC3DA6" w:rsidP="00E63AE8">
            <w:pPr>
              <w:spacing w:after="0" w:line="240" w:lineRule="auto"/>
              <w:jc w:val="right"/>
              <w:rPr>
                <w:rFonts w:ascii="Calibri" w:eastAsia="Times New Roman" w:hAnsi="Calibri" w:cs="Times New Roman"/>
              </w:rPr>
            </w:pPr>
            <w:r>
              <w:rPr>
                <w:rFonts w:ascii="Calibri" w:eastAsia="Times New Roman" w:hAnsi="Calibri" w:cs="Times New Roman"/>
              </w:rPr>
              <w:t>2.79</w:t>
            </w:r>
          </w:p>
        </w:tc>
        <w:tc>
          <w:tcPr>
            <w:tcW w:w="2860" w:type="dxa"/>
            <w:tcBorders>
              <w:top w:val="dotted" w:sz="4" w:space="0" w:color="auto"/>
              <w:left w:val="dotted" w:sz="4" w:space="0" w:color="auto"/>
              <w:bottom w:val="dotted" w:sz="4" w:space="0" w:color="auto"/>
              <w:right w:val="dotted" w:sz="4" w:space="0" w:color="auto"/>
            </w:tcBorders>
            <w:noWrap/>
            <w:vAlign w:val="bottom"/>
            <w:hideMark/>
          </w:tcPr>
          <w:p w14:paraId="6E365A40" w14:textId="77777777" w:rsidR="00DC3DA6" w:rsidRPr="005D5FB7" w:rsidRDefault="00DC3DA6" w:rsidP="00E63AE8">
            <w:pPr>
              <w:spacing w:after="0" w:line="240" w:lineRule="auto"/>
              <w:rPr>
                <w:rFonts w:ascii="Calibri" w:eastAsia="Times New Roman" w:hAnsi="Calibri" w:cs="Times New Roman"/>
              </w:rPr>
            </w:pPr>
            <w:r w:rsidRPr="005D5FB7">
              <w:rPr>
                <w:rFonts w:ascii="Calibri" w:eastAsia="Times New Roman" w:hAnsi="Calibri" w:cs="Times New Roman"/>
              </w:rPr>
              <w:t>Category 1</w:t>
            </w:r>
          </w:p>
        </w:tc>
      </w:tr>
      <w:tr w:rsidR="00DC3DA6" w14:paraId="5A5C4B49" w14:textId="77777777" w:rsidTr="00E63AE8">
        <w:trPr>
          <w:trHeight w:val="300"/>
        </w:trPr>
        <w:tc>
          <w:tcPr>
            <w:tcW w:w="3511" w:type="dxa"/>
            <w:tcBorders>
              <w:top w:val="dotted" w:sz="4" w:space="0" w:color="auto"/>
              <w:left w:val="dotted" w:sz="4" w:space="0" w:color="auto"/>
              <w:bottom w:val="dotted" w:sz="4" w:space="0" w:color="auto"/>
              <w:right w:val="dotted" w:sz="4" w:space="0" w:color="auto"/>
            </w:tcBorders>
            <w:noWrap/>
            <w:vAlign w:val="bottom"/>
            <w:hideMark/>
          </w:tcPr>
          <w:p w14:paraId="1C76F1E8" w14:textId="77777777" w:rsidR="00DC3DA6" w:rsidRPr="005D5FB7" w:rsidRDefault="00DC3DA6" w:rsidP="00E63AE8">
            <w:pPr>
              <w:spacing w:after="0" w:line="240" w:lineRule="auto"/>
              <w:rPr>
                <w:rFonts w:ascii="Calibri" w:eastAsia="Times New Roman" w:hAnsi="Calibri" w:cs="Times New Roman"/>
              </w:rPr>
            </w:pPr>
            <w:r w:rsidRPr="005D5FB7">
              <w:rPr>
                <w:rFonts w:ascii="Calibri" w:eastAsia="Times New Roman" w:hAnsi="Calibri" w:cs="Times New Roman"/>
              </w:rPr>
              <w:t>Traditional MCOs (including 1</w:t>
            </w:r>
            <w:r>
              <w:rPr>
                <w:rFonts w:ascii="Calibri" w:eastAsia="Times New Roman" w:hAnsi="Calibri" w:cs="Times New Roman"/>
              </w:rPr>
              <w:t>1</w:t>
            </w:r>
            <w:r w:rsidRPr="005D5FB7">
              <w:rPr>
                <w:rFonts w:ascii="Calibri" w:eastAsia="Times New Roman" w:hAnsi="Calibri" w:cs="Times New Roman"/>
              </w:rPr>
              <w:t>K Model C members)</w:t>
            </w:r>
          </w:p>
        </w:tc>
        <w:tc>
          <w:tcPr>
            <w:tcW w:w="1544" w:type="dxa"/>
            <w:tcBorders>
              <w:top w:val="dotted" w:sz="4" w:space="0" w:color="auto"/>
              <w:left w:val="dotted" w:sz="4" w:space="0" w:color="auto"/>
              <w:bottom w:val="dotted" w:sz="4" w:space="0" w:color="auto"/>
              <w:right w:val="dotted" w:sz="4" w:space="0" w:color="auto"/>
            </w:tcBorders>
            <w:noWrap/>
            <w:vAlign w:val="bottom"/>
            <w:hideMark/>
          </w:tcPr>
          <w:p w14:paraId="1A2B12EC" w14:textId="77777777" w:rsidR="00DC3DA6" w:rsidRPr="005D5FB7" w:rsidRDefault="00DC3DA6" w:rsidP="00E63AE8">
            <w:pPr>
              <w:spacing w:after="0" w:line="240" w:lineRule="auto"/>
              <w:jc w:val="right"/>
              <w:rPr>
                <w:rFonts w:ascii="Calibri" w:eastAsia="Times New Roman" w:hAnsi="Calibri" w:cs="Times New Roman"/>
                <w:color w:val="FF0000"/>
              </w:rPr>
            </w:pPr>
            <w:r>
              <w:rPr>
                <w:rFonts w:ascii="Calibri" w:eastAsia="Times New Roman" w:hAnsi="Calibri" w:cs="Times New Roman"/>
              </w:rPr>
              <w:t>105,751</w:t>
            </w:r>
          </w:p>
        </w:tc>
        <w:tc>
          <w:tcPr>
            <w:tcW w:w="1568" w:type="dxa"/>
            <w:tcBorders>
              <w:top w:val="dotted" w:sz="4" w:space="0" w:color="auto"/>
              <w:left w:val="dotted" w:sz="4" w:space="0" w:color="auto"/>
              <w:bottom w:val="dotted" w:sz="4" w:space="0" w:color="auto"/>
              <w:right w:val="dotted" w:sz="4" w:space="0" w:color="auto"/>
            </w:tcBorders>
            <w:noWrap/>
            <w:vAlign w:val="bottom"/>
            <w:hideMark/>
          </w:tcPr>
          <w:p w14:paraId="01819FB6" w14:textId="77777777" w:rsidR="00DC3DA6" w:rsidRPr="005D5FB7" w:rsidRDefault="00DC3DA6" w:rsidP="00E63AE8">
            <w:pPr>
              <w:spacing w:after="0" w:line="240" w:lineRule="auto"/>
              <w:jc w:val="right"/>
              <w:rPr>
                <w:rFonts w:ascii="Calibri" w:eastAsia="Times New Roman" w:hAnsi="Calibri" w:cs="Times New Roman"/>
              </w:rPr>
            </w:pPr>
            <w:r>
              <w:rPr>
                <w:rFonts w:ascii="Calibri" w:eastAsia="Times New Roman" w:hAnsi="Calibri" w:cs="Times New Roman"/>
              </w:rPr>
              <w:t>7.76</w:t>
            </w:r>
          </w:p>
        </w:tc>
        <w:tc>
          <w:tcPr>
            <w:tcW w:w="2860" w:type="dxa"/>
            <w:tcBorders>
              <w:top w:val="dotted" w:sz="4" w:space="0" w:color="auto"/>
              <w:left w:val="dotted" w:sz="4" w:space="0" w:color="auto"/>
              <w:bottom w:val="dotted" w:sz="4" w:space="0" w:color="auto"/>
              <w:right w:val="dotted" w:sz="4" w:space="0" w:color="auto"/>
            </w:tcBorders>
            <w:noWrap/>
            <w:vAlign w:val="bottom"/>
            <w:hideMark/>
          </w:tcPr>
          <w:p w14:paraId="64D8B087" w14:textId="77777777" w:rsidR="00DC3DA6" w:rsidRPr="005D5FB7" w:rsidRDefault="00DC3DA6" w:rsidP="00E63AE8">
            <w:pPr>
              <w:spacing w:after="0" w:line="240" w:lineRule="auto"/>
              <w:rPr>
                <w:rFonts w:ascii="Calibri" w:eastAsia="Times New Roman" w:hAnsi="Calibri" w:cs="Times New Roman"/>
              </w:rPr>
            </w:pPr>
            <w:r w:rsidRPr="005D5FB7">
              <w:rPr>
                <w:rFonts w:ascii="Calibri" w:eastAsia="Times New Roman" w:hAnsi="Calibri" w:cs="Times New Roman"/>
              </w:rPr>
              <w:t>Traditional MCO: Category 4N</w:t>
            </w:r>
            <w:r w:rsidRPr="005D5FB7">
              <w:rPr>
                <w:rStyle w:val="FootnoteReference"/>
                <w:rFonts w:ascii="Calibri" w:eastAsia="Times New Roman" w:hAnsi="Calibri" w:cs="Times New Roman"/>
              </w:rPr>
              <w:footnoteReference w:id="4"/>
            </w:r>
            <w:r w:rsidRPr="005D5FB7">
              <w:rPr>
                <w:rFonts w:ascii="Calibri" w:eastAsia="Times New Roman" w:hAnsi="Calibri" w:cs="Times New Roman"/>
              </w:rPr>
              <w:t xml:space="preserve"> (between State and MCO)</w:t>
            </w:r>
          </w:p>
          <w:p w14:paraId="67F919B6" w14:textId="77777777" w:rsidR="00DC3DA6" w:rsidRPr="005D5FB7" w:rsidRDefault="00DC3DA6" w:rsidP="00E63AE8">
            <w:pPr>
              <w:spacing w:after="0" w:line="240" w:lineRule="auto"/>
              <w:rPr>
                <w:rFonts w:ascii="Calibri" w:eastAsia="Times New Roman" w:hAnsi="Calibri" w:cs="Times New Roman"/>
              </w:rPr>
            </w:pPr>
            <w:r w:rsidRPr="005D5FB7">
              <w:rPr>
                <w:rFonts w:ascii="Calibri" w:eastAsia="Times New Roman" w:hAnsi="Calibri" w:cs="Times New Roman"/>
              </w:rPr>
              <w:t>Model C: Category 3B (between MCO and Model C)</w:t>
            </w:r>
          </w:p>
        </w:tc>
      </w:tr>
      <w:tr w:rsidR="00DC3DA6" w14:paraId="362CC9F1" w14:textId="77777777" w:rsidTr="00E63AE8">
        <w:trPr>
          <w:trHeight w:val="300"/>
        </w:trPr>
        <w:tc>
          <w:tcPr>
            <w:tcW w:w="3511" w:type="dxa"/>
            <w:tcBorders>
              <w:top w:val="dotted" w:sz="4" w:space="0" w:color="auto"/>
              <w:left w:val="dotted" w:sz="4" w:space="0" w:color="auto"/>
              <w:bottom w:val="dotted" w:sz="4" w:space="0" w:color="auto"/>
              <w:right w:val="dotted" w:sz="4" w:space="0" w:color="auto"/>
            </w:tcBorders>
            <w:noWrap/>
            <w:vAlign w:val="bottom"/>
            <w:hideMark/>
          </w:tcPr>
          <w:p w14:paraId="21C10624" w14:textId="77777777" w:rsidR="00DC3DA6" w:rsidRPr="005D5FB7" w:rsidRDefault="00DC3DA6" w:rsidP="00E63AE8">
            <w:pPr>
              <w:spacing w:after="0" w:line="240" w:lineRule="auto"/>
              <w:rPr>
                <w:rFonts w:ascii="Calibri" w:eastAsia="Times New Roman" w:hAnsi="Calibri" w:cs="Times New Roman"/>
              </w:rPr>
            </w:pPr>
            <w:r w:rsidRPr="005D5FB7">
              <w:rPr>
                <w:rFonts w:ascii="Calibri" w:eastAsia="Times New Roman" w:hAnsi="Calibri" w:cs="Times New Roman"/>
              </w:rPr>
              <w:t>Primary Care Clinician (PCC) Plan</w:t>
            </w:r>
          </w:p>
        </w:tc>
        <w:tc>
          <w:tcPr>
            <w:tcW w:w="1544" w:type="dxa"/>
            <w:tcBorders>
              <w:top w:val="dotted" w:sz="4" w:space="0" w:color="auto"/>
              <w:left w:val="dotted" w:sz="4" w:space="0" w:color="auto"/>
              <w:bottom w:val="dotted" w:sz="4" w:space="0" w:color="auto"/>
              <w:right w:val="dotted" w:sz="4" w:space="0" w:color="auto"/>
            </w:tcBorders>
            <w:noWrap/>
            <w:vAlign w:val="bottom"/>
            <w:hideMark/>
          </w:tcPr>
          <w:p w14:paraId="051545A9" w14:textId="77777777" w:rsidR="00DC3DA6" w:rsidRPr="005D5FB7" w:rsidRDefault="00DC3DA6" w:rsidP="00E63AE8">
            <w:pPr>
              <w:spacing w:after="0" w:line="240" w:lineRule="auto"/>
              <w:jc w:val="right"/>
              <w:rPr>
                <w:rFonts w:ascii="Calibri" w:eastAsia="Times New Roman" w:hAnsi="Calibri" w:cs="Times New Roman"/>
                <w:color w:val="FF0000"/>
              </w:rPr>
            </w:pPr>
            <w:r>
              <w:rPr>
                <w:rFonts w:ascii="Calibri" w:eastAsia="Times New Roman" w:hAnsi="Calibri" w:cs="Times New Roman"/>
              </w:rPr>
              <w:t>112,059</w:t>
            </w:r>
          </w:p>
        </w:tc>
        <w:tc>
          <w:tcPr>
            <w:tcW w:w="1568" w:type="dxa"/>
            <w:tcBorders>
              <w:top w:val="dotted" w:sz="4" w:space="0" w:color="auto"/>
              <w:left w:val="dotted" w:sz="4" w:space="0" w:color="auto"/>
              <w:bottom w:val="dotted" w:sz="4" w:space="0" w:color="auto"/>
              <w:right w:val="dotted" w:sz="4" w:space="0" w:color="auto"/>
            </w:tcBorders>
            <w:noWrap/>
            <w:vAlign w:val="bottom"/>
            <w:hideMark/>
          </w:tcPr>
          <w:p w14:paraId="1C1E08D0" w14:textId="77777777" w:rsidR="00DC3DA6" w:rsidRPr="005D5FB7" w:rsidRDefault="00DC3DA6" w:rsidP="00E63AE8">
            <w:pPr>
              <w:spacing w:after="0" w:line="240" w:lineRule="auto"/>
              <w:jc w:val="right"/>
              <w:rPr>
                <w:rFonts w:ascii="Calibri" w:eastAsia="Times New Roman" w:hAnsi="Calibri" w:cs="Times New Roman"/>
              </w:rPr>
            </w:pPr>
            <w:r>
              <w:rPr>
                <w:rFonts w:ascii="Calibri" w:eastAsia="Times New Roman" w:hAnsi="Calibri" w:cs="Times New Roman"/>
              </w:rPr>
              <w:t>8.22</w:t>
            </w:r>
          </w:p>
        </w:tc>
        <w:tc>
          <w:tcPr>
            <w:tcW w:w="2860" w:type="dxa"/>
            <w:tcBorders>
              <w:top w:val="dotted" w:sz="4" w:space="0" w:color="auto"/>
              <w:left w:val="dotted" w:sz="4" w:space="0" w:color="auto"/>
              <w:bottom w:val="dotted" w:sz="4" w:space="0" w:color="auto"/>
              <w:right w:val="dotted" w:sz="4" w:space="0" w:color="auto"/>
            </w:tcBorders>
            <w:noWrap/>
            <w:vAlign w:val="bottom"/>
            <w:hideMark/>
          </w:tcPr>
          <w:p w14:paraId="4744D1AE" w14:textId="77777777" w:rsidR="00DC3DA6" w:rsidRPr="005D5FB7" w:rsidRDefault="00DC3DA6" w:rsidP="00E63AE8">
            <w:pPr>
              <w:spacing w:after="0" w:line="240" w:lineRule="auto"/>
              <w:rPr>
                <w:rFonts w:ascii="Calibri" w:eastAsia="Times New Roman" w:hAnsi="Calibri" w:cs="Times New Roman"/>
              </w:rPr>
            </w:pPr>
            <w:r w:rsidRPr="005D5FB7">
              <w:rPr>
                <w:rFonts w:ascii="Calibri" w:eastAsia="Times New Roman" w:hAnsi="Calibri" w:cs="Times New Roman"/>
              </w:rPr>
              <w:t>Category 1</w:t>
            </w:r>
          </w:p>
        </w:tc>
      </w:tr>
      <w:tr w:rsidR="00DC3DA6" w:rsidRPr="004C4A89" w14:paraId="05840217" w14:textId="77777777" w:rsidTr="00E63AE8">
        <w:trPr>
          <w:trHeight w:val="300"/>
        </w:trPr>
        <w:tc>
          <w:tcPr>
            <w:tcW w:w="351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F4BF232" w14:textId="77777777" w:rsidR="00DC3DA6" w:rsidRPr="007517F1" w:rsidRDefault="00DC3DA6" w:rsidP="00E63AE8">
            <w:pPr>
              <w:spacing w:after="0" w:line="240" w:lineRule="auto"/>
              <w:rPr>
                <w:rFonts w:ascii="Calibri" w:eastAsia="Times New Roman" w:hAnsi="Calibri" w:cs="Times New Roman"/>
                <w:lang w:val="es-ES"/>
              </w:rPr>
            </w:pPr>
            <w:r w:rsidRPr="007517F1">
              <w:rPr>
                <w:rFonts w:ascii="Calibri" w:eastAsia="Times New Roman" w:hAnsi="Calibri" w:cs="Times New Roman"/>
                <w:lang w:val="es-ES"/>
              </w:rPr>
              <w:t>MCO non-ACO APM contracts</w:t>
            </w:r>
          </w:p>
        </w:tc>
        <w:tc>
          <w:tcPr>
            <w:tcW w:w="1544"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F976B96" w14:textId="77777777" w:rsidR="00DC3DA6" w:rsidRPr="004C4A89" w:rsidDel="004C4A89" w:rsidRDefault="00DC3DA6" w:rsidP="00E63AE8">
            <w:pPr>
              <w:spacing w:after="0" w:line="240" w:lineRule="auto"/>
              <w:jc w:val="right"/>
              <w:rPr>
                <w:rFonts w:ascii="Calibri" w:eastAsia="Times New Roman" w:hAnsi="Calibri" w:cs="Times New Roman"/>
              </w:rPr>
            </w:pPr>
            <w:r>
              <w:rPr>
                <w:rFonts w:ascii="Calibri" w:eastAsia="Times New Roman" w:hAnsi="Calibri" w:cs="Times New Roman"/>
              </w:rPr>
              <w:t>4,449</w:t>
            </w:r>
          </w:p>
        </w:tc>
        <w:tc>
          <w:tcPr>
            <w:tcW w:w="1568" w:type="dxa"/>
            <w:tcBorders>
              <w:top w:val="dotted" w:sz="4" w:space="0" w:color="auto"/>
              <w:left w:val="dotted" w:sz="4" w:space="0" w:color="auto"/>
              <w:bottom w:val="dotted" w:sz="4" w:space="0" w:color="auto"/>
              <w:right w:val="dotted" w:sz="4" w:space="0" w:color="auto"/>
            </w:tcBorders>
            <w:shd w:val="clear" w:color="auto" w:fill="auto"/>
            <w:noWrap/>
            <w:vAlign w:val="bottom"/>
          </w:tcPr>
          <w:p w14:paraId="7F074A68" w14:textId="77777777" w:rsidR="00DC3DA6" w:rsidRPr="004C4A89" w:rsidRDefault="00DC3DA6" w:rsidP="00E63AE8">
            <w:pPr>
              <w:spacing w:after="0" w:line="240" w:lineRule="auto"/>
              <w:jc w:val="right"/>
              <w:rPr>
                <w:rFonts w:ascii="Calibri" w:eastAsia="Times New Roman" w:hAnsi="Calibri" w:cs="Times New Roman"/>
              </w:rPr>
            </w:pPr>
            <w:r>
              <w:rPr>
                <w:rFonts w:ascii="Calibri" w:eastAsia="Times New Roman" w:hAnsi="Calibri" w:cs="Times New Roman"/>
              </w:rPr>
              <w:t>0.33</w:t>
            </w:r>
          </w:p>
        </w:tc>
        <w:tc>
          <w:tcPr>
            <w:tcW w:w="286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5BE6DB8" w14:textId="77777777" w:rsidR="00DC3DA6" w:rsidRPr="004C4A89" w:rsidRDefault="00DC3DA6" w:rsidP="00E63AE8">
            <w:pPr>
              <w:spacing w:after="0" w:line="240" w:lineRule="auto"/>
              <w:rPr>
                <w:rFonts w:ascii="Calibri" w:eastAsia="Times New Roman" w:hAnsi="Calibri" w:cs="Times New Roman"/>
              </w:rPr>
            </w:pPr>
            <w:r>
              <w:rPr>
                <w:rFonts w:ascii="Calibri" w:eastAsia="Times New Roman" w:hAnsi="Calibri" w:cs="Times New Roman"/>
              </w:rPr>
              <w:t>Category 3A</w:t>
            </w:r>
          </w:p>
        </w:tc>
      </w:tr>
    </w:tbl>
    <w:p w14:paraId="3450E274" w14:textId="77777777" w:rsidR="00DC3DA6" w:rsidRPr="004C4A89" w:rsidRDefault="00DC3DA6" w:rsidP="00DC3DA6">
      <w:pPr>
        <w:rPr>
          <w:rFonts w:cs="Times New Roman"/>
          <w:b/>
        </w:rPr>
      </w:pPr>
    </w:p>
    <w:p w14:paraId="08E014EB" w14:textId="62B035F2" w:rsidR="00DC3DA6" w:rsidRPr="004B161F" w:rsidRDefault="00DC3DA6" w:rsidP="00A26B29">
      <w:pPr>
        <w:pStyle w:val="Heading3"/>
      </w:pPr>
      <w:r w:rsidRPr="009A5CEE">
        <w:t>Flexible Services</w:t>
      </w:r>
      <w:r w:rsidR="001E0450">
        <w:t xml:space="preserve"> (FS)</w:t>
      </w:r>
    </w:p>
    <w:p w14:paraId="178F2AE1" w14:textId="77777777" w:rsidR="00DC3DA6" w:rsidRPr="004B161F" w:rsidRDefault="00DC3DA6" w:rsidP="00DC3DA6">
      <w:pPr>
        <w:widowControl w:val="0"/>
        <w:autoSpaceDE w:val="0"/>
        <w:autoSpaceDN w:val="0"/>
        <w:spacing w:before="100" w:beforeAutospacing="1" w:after="100" w:afterAutospacing="1"/>
        <w:ind w:right="827"/>
        <w:rPr>
          <w:rFonts w:eastAsia="Calibri" w:cs="Times New Roman"/>
          <w:szCs w:val="24"/>
          <w:u w:val="single"/>
        </w:rPr>
      </w:pPr>
      <w:r w:rsidRPr="004B161F">
        <w:rPr>
          <w:rFonts w:eastAsia="Calibri" w:cs="Times New Roman"/>
          <w:szCs w:val="24"/>
          <w:u w:val="single"/>
        </w:rPr>
        <w:t xml:space="preserve">Overview: </w:t>
      </w:r>
    </w:p>
    <w:p w14:paraId="6A6CB35B" w14:textId="0A7301DE" w:rsidR="00DC3DA6" w:rsidRPr="004B161F" w:rsidRDefault="00DC3DA6" w:rsidP="00DC3DA6">
      <w:pPr>
        <w:widowControl w:val="0"/>
        <w:autoSpaceDE w:val="0"/>
        <w:autoSpaceDN w:val="0"/>
        <w:spacing w:before="100" w:beforeAutospacing="1" w:after="100" w:afterAutospacing="1"/>
        <w:ind w:right="827"/>
        <w:rPr>
          <w:rFonts w:eastAsia="Times New Roman" w:cs="Times New Roman"/>
          <w:szCs w:val="24"/>
        </w:rPr>
      </w:pPr>
      <w:r w:rsidRPr="004B161F">
        <w:rPr>
          <w:rFonts w:eastAsia="Times New Roman" w:cs="Times New Roman"/>
          <w:szCs w:val="24"/>
        </w:rPr>
        <w:t xml:space="preserve">MassHealth’s Flexible Services Program </w:t>
      </w:r>
      <w:r w:rsidR="00A7229A">
        <w:rPr>
          <w:rFonts w:eastAsia="Times New Roman" w:cs="Times New Roman"/>
          <w:szCs w:val="24"/>
        </w:rPr>
        <w:t xml:space="preserve">(FSP) </w:t>
      </w:r>
      <w:r w:rsidRPr="004B161F">
        <w:rPr>
          <w:rFonts w:eastAsia="Times New Roman" w:cs="Times New Roman"/>
          <w:szCs w:val="24"/>
        </w:rPr>
        <w:t xml:space="preserve">is testing whether MassHealth ACOs can reduce the cost of care and improve their members’ health outcomes by paying for certain nutrition and housing supports through implementing targeted evidence-based programs for certain members. </w:t>
      </w:r>
    </w:p>
    <w:p w14:paraId="67299E0C" w14:textId="77777777" w:rsidR="00DC3DA6" w:rsidRPr="004B161F" w:rsidRDefault="00DC3DA6" w:rsidP="00DC3DA6">
      <w:pPr>
        <w:widowControl w:val="0"/>
        <w:autoSpaceDE w:val="0"/>
        <w:autoSpaceDN w:val="0"/>
        <w:spacing w:before="100" w:beforeAutospacing="1" w:after="100" w:afterAutospacing="1"/>
        <w:ind w:right="827"/>
        <w:rPr>
          <w:rFonts w:eastAsia="Times New Roman" w:cs="Times New Roman"/>
          <w:szCs w:val="24"/>
          <w:u w:val="single"/>
        </w:rPr>
      </w:pPr>
      <w:r w:rsidRPr="004B161F">
        <w:rPr>
          <w:rFonts w:eastAsia="Times New Roman" w:cs="Times New Roman"/>
          <w:szCs w:val="24"/>
          <w:u w:val="single"/>
        </w:rPr>
        <w:t>Q4 Update</w:t>
      </w:r>
    </w:p>
    <w:p w14:paraId="42A11318" w14:textId="77777777" w:rsidR="00DC3DA6" w:rsidRPr="009F03D7" w:rsidRDefault="00DC3DA6" w:rsidP="00DC3DA6">
      <w:pPr>
        <w:rPr>
          <w:rFonts w:eastAsia="Times New Roman" w:cs="Times New Roman"/>
          <w:szCs w:val="24"/>
        </w:rPr>
      </w:pPr>
      <w:r w:rsidRPr="009F03D7">
        <w:rPr>
          <w:rFonts w:eastAsia="Times New Roman" w:cs="Times New Roman"/>
          <w:szCs w:val="24"/>
        </w:rPr>
        <w:t>In April, MassHealth collected and began to analyze member-level data via the Quarterly Tracking Reports (QTR) and aggregate level data via the Annual Progress Report (APR) that ACOs submitted at the end of Q1 CY2021. Additionally, MassHealth held quarterly meetings with each of the ACOs to discuss their progress in Flexible Services as well as best practices and areas for improvement.</w:t>
      </w:r>
    </w:p>
    <w:p w14:paraId="3866464D" w14:textId="77777777" w:rsidR="00DC3DA6" w:rsidRPr="009F03D7" w:rsidRDefault="00DC3DA6" w:rsidP="00DC3DA6">
      <w:pPr>
        <w:rPr>
          <w:rFonts w:eastAsia="Times New Roman" w:cs="Times New Roman"/>
          <w:szCs w:val="24"/>
        </w:rPr>
      </w:pPr>
      <w:r w:rsidRPr="009F03D7">
        <w:rPr>
          <w:rFonts w:eastAsia="Times New Roman" w:cs="Times New Roman"/>
          <w:szCs w:val="24"/>
        </w:rPr>
        <w:t xml:space="preserve">In May, MassHealth sent feedback to ACOs on their member level data via the QTR ACOs submitted at the end of Q1 CY2021. MassHealth also continued to analyze aggregate level data </w:t>
      </w:r>
      <w:r>
        <w:rPr>
          <w:rFonts w:eastAsia="Times New Roman" w:cs="Times New Roman"/>
          <w:szCs w:val="24"/>
        </w:rPr>
        <w:t xml:space="preserve">collected </w:t>
      </w:r>
      <w:r w:rsidRPr="009F03D7">
        <w:rPr>
          <w:rFonts w:eastAsia="Times New Roman" w:cs="Times New Roman"/>
          <w:szCs w:val="24"/>
        </w:rPr>
        <w:t>via the APR. MassHealth began developing policy and writing guidance for ACOs to take effect in CY2022.</w:t>
      </w:r>
    </w:p>
    <w:p w14:paraId="46A3D5DC" w14:textId="77777777" w:rsidR="00DC3DA6" w:rsidRDefault="00DC3DA6" w:rsidP="00DC3DA6">
      <w:pPr>
        <w:rPr>
          <w:rFonts w:eastAsia="Times New Roman" w:cs="Times New Roman"/>
          <w:szCs w:val="24"/>
        </w:rPr>
      </w:pPr>
      <w:r w:rsidRPr="009F03D7">
        <w:rPr>
          <w:rFonts w:eastAsia="Times New Roman" w:cs="Times New Roman"/>
          <w:szCs w:val="24"/>
        </w:rPr>
        <w:t>In June, MassHealth continued to iterate with ACOs that submitted new programs or program modifications in March and provided additional feedback. MassHealth continued to develop policies and guidance for CY22. Additionally, MassHealth attended the Social Services Organization Preparation Fund Learning Community focused on bridging referral systems and member engagement.</w:t>
      </w:r>
    </w:p>
    <w:p w14:paraId="16502341" w14:textId="77BBE3D2" w:rsidR="00DC3DA6" w:rsidRDefault="005D4F96" w:rsidP="00DC3DA6">
      <w:pPr>
        <w:pStyle w:val="xmsonormal"/>
        <w:autoSpaceDE w:val="0"/>
        <w:autoSpaceDN w:val="0"/>
        <w:ind w:left="720" w:right="827"/>
      </w:pPr>
      <w:r>
        <w:rPr>
          <w:rFonts w:ascii="Times New Roman" w:hAnsi="Times New Roman" w:cs="Times New Roman"/>
          <w:b/>
          <w:bCs/>
          <w:szCs w:val="24"/>
        </w:rPr>
        <w:br/>
      </w:r>
      <w:r w:rsidR="00DC3DA6">
        <w:rPr>
          <w:rFonts w:ascii="Times New Roman" w:hAnsi="Times New Roman" w:cs="Times New Roman"/>
          <w:b/>
          <w:bCs/>
          <w:szCs w:val="24"/>
        </w:rPr>
        <w:t>FS Program Quarterly Progress Report Summary of Services Provided*</w:t>
      </w:r>
    </w:p>
    <w:p w14:paraId="3EB76CAE" w14:textId="7E1FF6E8" w:rsidR="00DC3DA6" w:rsidRDefault="00DC3DA6" w:rsidP="005D4F96">
      <w:pPr>
        <w:pStyle w:val="xmsonormal"/>
        <w:autoSpaceDE w:val="0"/>
        <w:autoSpaceDN w:val="0"/>
        <w:ind w:left="720" w:right="827"/>
        <w:rPr>
          <w:rFonts w:ascii="Times New Roman" w:eastAsia="Times New Roman" w:hAnsi="Times New Roman" w:cs="Times New Roman"/>
          <w:szCs w:val="24"/>
        </w:rPr>
      </w:pPr>
      <w:r>
        <w:rPr>
          <w:rFonts w:ascii="Times New Roman" w:hAnsi="Times New Roman" w:cs="Times New Roman"/>
          <w:szCs w:val="24"/>
        </w:rPr>
        <w:t> </w:t>
      </w:r>
    </w:p>
    <w:tbl>
      <w:tblPr>
        <w:tblStyle w:val="TableGrid"/>
        <w:tblW w:w="10705" w:type="dxa"/>
        <w:tblInd w:w="-497" w:type="dxa"/>
        <w:tblLayout w:type="fixed"/>
        <w:tblLook w:val="04A0" w:firstRow="1" w:lastRow="0" w:firstColumn="1" w:lastColumn="0" w:noHBand="0" w:noVBand="1"/>
        <w:tblDescription w:val="Flexible Services Program Summary of Services Provided per Quarter"/>
      </w:tblPr>
      <w:tblGrid>
        <w:gridCol w:w="2155"/>
        <w:gridCol w:w="1080"/>
        <w:gridCol w:w="810"/>
        <w:gridCol w:w="990"/>
        <w:gridCol w:w="990"/>
        <w:gridCol w:w="1530"/>
        <w:gridCol w:w="900"/>
        <w:gridCol w:w="900"/>
        <w:gridCol w:w="1350"/>
      </w:tblGrid>
      <w:tr w:rsidR="005D4F96" w14:paraId="59D34501" w14:textId="77777777" w:rsidTr="007C2140">
        <w:tc>
          <w:tcPr>
            <w:tcW w:w="2155" w:type="dxa"/>
            <w:vMerge w:val="restart"/>
            <w:shd w:val="clear" w:color="auto" w:fill="365F91" w:themeFill="accent1" w:themeFillShade="BF"/>
          </w:tcPr>
          <w:p w14:paraId="1D43F7F9" w14:textId="77777777" w:rsidR="005D4F96" w:rsidRPr="009448A5" w:rsidRDefault="005D4F96" w:rsidP="007C2140">
            <w:pPr>
              <w:rPr>
                <w:b/>
                <w:bCs/>
                <w:color w:val="FFFFFF" w:themeColor="background1"/>
              </w:rPr>
            </w:pPr>
            <w:bookmarkStart w:id="4" w:name="_Hlk83894333"/>
            <w:r w:rsidRPr="009448A5">
              <w:rPr>
                <w:b/>
                <w:bCs/>
                <w:color w:val="FFFFFF" w:themeColor="background1"/>
              </w:rPr>
              <w:t>Flexible Services Categories</w:t>
            </w:r>
          </w:p>
        </w:tc>
        <w:tc>
          <w:tcPr>
            <w:tcW w:w="8550" w:type="dxa"/>
            <w:gridSpan w:val="8"/>
            <w:shd w:val="clear" w:color="auto" w:fill="365F91" w:themeFill="accent1" w:themeFillShade="BF"/>
          </w:tcPr>
          <w:p w14:paraId="538CC0F4" w14:textId="77777777" w:rsidR="005D4F96" w:rsidRPr="009448A5" w:rsidRDefault="005D4F96" w:rsidP="007C2140">
            <w:pPr>
              <w:jc w:val="center"/>
              <w:rPr>
                <w:b/>
                <w:bCs/>
                <w:color w:val="FFFFFF" w:themeColor="background1"/>
              </w:rPr>
            </w:pPr>
            <w:r w:rsidRPr="009448A5">
              <w:rPr>
                <w:b/>
                <w:bCs/>
                <w:color w:val="FFFFFF" w:themeColor="background1"/>
              </w:rPr>
              <w:t># of Services Provided in Each Category</w:t>
            </w:r>
          </w:p>
        </w:tc>
      </w:tr>
      <w:tr w:rsidR="005D4F96" w14:paraId="009B8C77" w14:textId="77777777" w:rsidTr="007C2140">
        <w:tc>
          <w:tcPr>
            <w:tcW w:w="2155" w:type="dxa"/>
            <w:vMerge/>
            <w:shd w:val="clear" w:color="auto" w:fill="808080" w:themeFill="background1" w:themeFillShade="80"/>
          </w:tcPr>
          <w:p w14:paraId="190B1494" w14:textId="77777777" w:rsidR="005D4F96" w:rsidRDefault="005D4F96" w:rsidP="007C2140"/>
        </w:tc>
        <w:tc>
          <w:tcPr>
            <w:tcW w:w="1080" w:type="dxa"/>
            <w:shd w:val="clear" w:color="auto" w:fill="95B3D7" w:themeFill="accent1" w:themeFillTint="99"/>
          </w:tcPr>
          <w:p w14:paraId="592123BE" w14:textId="77777777" w:rsidR="005D4F96" w:rsidRPr="009448A5" w:rsidRDefault="005D4F96" w:rsidP="007C2140">
            <w:pPr>
              <w:rPr>
                <w:b/>
                <w:bCs/>
              </w:rPr>
            </w:pPr>
            <w:r w:rsidRPr="009448A5">
              <w:rPr>
                <w:b/>
                <w:bCs/>
              </w:rPr>
              <w:t>Q1 CY20</w:t>
            </w:r>
          </w:p>
        </w:tc>
        <w:tc>
          <w:tcPr>
            <w:tcW w:w="810" w:type="dxa"/>
            <w:shd w:val="clear" w:color="auto" w:fill="95B3D7" w:themeFill="accent1" w:themeFillTint="99"/>
          </w:tcPr>
          <w:p w14:paraId="67650FC8" w14:textId="77777777" w:rsidR="005D4F96" w:rsidRPr="009448A5" w:rsidRDefault="005D4F96" w:rsidP="007C2140">
            <w:pPr>
              <w:rPr>
                <w:b/>
                <w:bCs/>
              </w:rPr>
            </w:pPr>
            <w:r w:rsidRPr="009448A5">
              <w:rPr>
                <w:b/>
                <w:bCs/>
              </w:rPr>
              <w:t>Q2 CY20</w:t>
            </w:r>
          </w:p>
        </w:tc>
        <w:tc>
          <w:tcPr>
            <w:tcW w:w="990" w:type="dxa"/>
            <w:shd w:val="clear" w:color="auto" w:fill="95B3D7" w:themeFill="accent1" w:themeFillTint="99"/>
          </w:tcPr>
          <w:p w14:paraId="2B1B4ABE" w14:textId="77777777" w:rsidR="005D4F96" w:rsidRPr="009448A5" w:rsidRDefault="005D4F96" w:rsidP="007C2140">
            <w:pPr>
              <w:rPr>
                <w:b/>
                <w:bCs/>
              </w:rPr>
            </w:pPr>
            <w:r w:rsidRPr="009448A5">
              <w:rPr>
                <w:b/>
                <w:bCs/>
              </w:rPr>
              <w:t>Q3 CY20</w:t>
            </w:r>
          </w:p>
        </w:tc>
        <w:tc>
          <w:tcPr>
            <w:tcW w:w="990" w:type="dxa"/>
            <w:shd w:val="clear" w:color="auto" w:fill="95B3D7" w:themeFill="accent1" w:themeFillTint="99"/>
          </w:tcPr>
          <w:p w14:paraId="510F21C1" w14:textId="77777777" w:rsidR="005D4F96" w:rsidRPr="009448A5" w:rsidRDefault="005D4F96" w:rsidP="007C2140">
            <w:pPr>
              <w:rPr>
                <w:b/>
                <w:bCs/>
              </w:rPr>
            </w:pPr>
            <w:r w:rsidRPr="009448A5">
              <w:rPr>
                <w:b/>
                <w:bCs/>
              </w:rPr>
              <w:t>Q4 CY20</w:t>
            </w:r>
          </w:p>
        </w:tc>
        <w:tc>
          <w:tcPr>
            <w:tcW w:w="1530" w:type="dxa"/>
            <w:shd w:val="clear" w:color="auto" w:fill="B8CCE4" w:themeFill="accent1" w:themeFillTint="66"/>
          </w:tcPr>
          <w:p w14:paraId="4C8ED4EF" w14:textId="77777777" w:rsidR="005D4F96" w:rsidRPr="009448A5" w:rsidRDefault="005D4F96" w:rsidP="007C2140">
            <w:pPr>
              <w:rPr>
                <w:b/>
                <w:bCs/>
              </w:rPr>
            </w:pPr>
            <w:r w:rsidRPr="009448A5">
              <w:rPr>
                <w:b/>
                <w:bCs/>
              </w:rPr>
              <w:t>Total CY20</w:t>
            </w:r>
          </w:p>
        </w:tc>
        <w:tc>
          <w:tcPr>
            <w:tcW w:w="900" w:type="dxa"/>
            <w:shd w:val="clear" w:color="auto" w:fill="95B3D7" w:themeFill="accent1" w:themeFillTint="99"/>
          </w:tcPr>
          <w:p w14:paraId="1E8BBD47" w14:textId="77777777" w:rsidR="005D4F96" w:rsidRPr="009448A5" w:rsidRDefault="005D4F96" w:rsidP="007C2140">
            <w:pPr>
              <w:rPr>
                <w:b/>
                <w:bCs/>
              </w:rPr>
            </w:pPr>
            <w:r w:rsidRPr="009448A5">
              <w:rPr>
                <w:b/>
                <w:bCs/>
              </w:rPr>
              <w:t>Q1 CY21</w:t>
            </w:r>
          </w:p>
        </w:tc>
        <w:tc>
          <w:tcPr>
            <w:tcW w:w="900" w:type="dxa"/>
            <w:shd w:val="clear" w:color="auto" w:fill="95B3D7" w:themeFill="accent1" w:themeFillTint="99"/>
          </w:tcPr>
          <w:p w14:paraId="71E90835" w14:textId="77777777" w:rsidR="005D4F96" w:rsidRPr="009448A5" w:rsidRDefault="005D4F96" w:rsidP="007C2140">
            <w:pPr>
              <w:rPr>
                <w:b/>
                <w:bCs/>
              </w:rPr>
            </w:pPr>
            <w:r w:rsidRPr="009448A5">
              <w:rPr>
                <w:b/>
                <w:bCs/>
              </w:rPr>
              <w:t>Q2 CY21</w:t>
            </w:r>
          </w:p>
        </w:tc>
        <w:tc>
          <w:tcPr>
            <w:tcW w:w="1350" w:type="dxa"/>
            <w:shd w:val="clear" w:color="auto" w:fill="B8CCE4" w:themeFill="accent1" w:themeFillTint="66"/>
          </w:tcPr>
          <w:p w14:paraId="13ECDB08" w14:textId="77777777" w:rsidR="005D4F96" w:rsidRPr="009448A5" w:rsidRDefault="005D4F96" w:rsidP="007C2140">
            <w:pPr>
              <w:rPr>
                <w:b/>
                <w:bCs/>
              </w:rPr>
            </w:pPr>
            <w:r w:rsidRPr="009448A5">
              <w:rPr>
                <w:b/>
                <w:bCs/>
              </w:rPr>
              <w:t>Total CY21</w:t>
            </w:r>
          </w:p>
        </w:tc>
      </w:tr>
      <w:tr w:rsidR="005D4F96" w14:paraId="7327E528" w14:textId="77777777" w:rsidTr="007C2140">
        <w:tc>
          <w:tcPr>
            <w:tcW w:w="2155" w:type="dxa"/>
            <w:shd w:val="clear" w:color="auto" w:fill="95B3D7" w:themeFill="accent1" w:themeFillTint="99"/>
          </w:tcPr>
          <w:p w14:paraId="6A685A70" w14:textId="77777777" w:rsidR="005D4F96" w:rsidRPr="009448A5" w:rsidRDefault="005D4F96" w:rsidP="007C2140">
            <w:pPr>
              <w:rPr>
                <w:b/>
                <w:bCs/>
              </w:rPr>
            </w:pPr>
            <w:r w:rsidRPr="009448A5">
              <w:rPr>
                <w:b/>
                <w:bCs/>
              </w:rPr>
              <w:t>Pre-Tenancy Individual</w:t>
            </w:r>
          </w:p>
        </w:tc>
        <w:tc>
          <w:tcPr>
            <w:tcW w:w="1080" w:type="dxa"/>
          </w:tcPr>
          <w:p w14:paraId="40627725" w14:textId="77777777" w:rsidR="005D4F96" w:rsidRDefault="005D4F96" w:rsidP="007C2140">
            <w:r>
              <w:t>17</w:t>
            </w:r>
          </w:p>
        </w:tc>
        <w:tc>
          <w:tcPr>
            <w:tcW w:w="810" w:type="dxa"/>
          </w:tcPr>
          <w:p w14:paraId="1C81A06F" w14:textId="77777777" w:rsidR="005D4F96" w:rsidRDefault="005D4F96" w:rsidP="007C2140">
            <w:r>
              <w:t>48</w:t>
            </w:r>
          </w:p>
        </w:tc>
        <w:tc>
          <w:tcPr>
            <w:tcW w:w="990" w:type="dxa"/>
          </w:tcPr>
          <w:p w14:paraId="33F47B92" w14:textId="77777777" w:rsidR="005D4F96" w:rsidRDefault="005D4F96" w:rsidP="007C2140">
            <w:r>
              <w:t>179</w:t>
            </w:r>
          </w:p>
        </w:tc>
        <w:tc>
          <w:tcPr>
            <w:tcW w:w="990" w:type="dxa"/>
          </w:tcPr>
          <w:p w14:paraId="45356130" w14:textId="77777777" w:rsidR="005D4F96" w:rsidRDefault="005D4F96" w:rsidP="007C2140">
            <w:r>
              <w:t>294</w:t>
            </w:r>
          </w:p>
        </w:tc>
        <w:tc>
          <w:tcPr>
            <w:tcW w:w="1530" w:type="dxa"/>
            <w:shd w:val="clear" w:color="auto" w:fill="B8CCE4" w:themeFill="accent1" w:themeFillTint="66"/>
          </w:tcPr>
          <w:p w14:paraId="2BDE3D6A" w14:textId="77777777" w:rsidR="005D4F96" w:rsidRDefault="005D4F96" w:rsidP="007C2140">
            <w:r>
              <w:t>351</w:t>
            </w:r>
          </w:p>
        </w:tc>
        <w:tc>
          <w:tcPr>
            <w:tcW w:w="900" w:type="dxa"/>
          </w:tcPr>
          <w:p w14:paraId="07E6D039" w14:textId="77777777" w:rsidR="005D4F96" w:rsidRDefault="005D4F96" w:rsidP="007C2140">
            <w:r>
              <w:t>638</w:t>
            </w:r>
          </w:p>
        </w:tc>
        <w:tc>
          <w:tcPr>
            <w:tcW w:w="900" w:type="dxa"/>
          </w:tcPr>
          <w:p w14:paraId="3CCEBD79" w14:textId="77777777" w:rsidR="005D4F96" w:rsidRDefault="005D4F96" w:rsidP="007C2140">
            <w:r>
              <w:t>903</w:t>
            </w:r>
          </w:p>
        </w:tc>
        <w:tc>
          <w:tcPr>
            <w:tcW w:w="1350" w:type="dxa"/>
            <w:shd w:val="clear" w:color="auto" w:fill="B8CCE4" w:themeFill="accent1" w:themeFillTint="66"/>
          </w:tcPr>
          <w:p w14:paraId="6247AF95" w14:textId="77777777" w:rsidR="005D4F96" w:rsidRDefault="005D4F96" w:rsidP="007C2140">
            <w:r>
              <w:t>1130</w:t>
            </w:r>
          </w:p>
        </w:tc>
      </w:tr>
      <w:tr w:rsidR="005D4F96" w14:paraId="4ADC5B0F" w14:textId="77777777" w:rsidTr="007C2140">
        <w:tc>
          <w:tcPr>
            <w:tcW w:w="2155" w:type="dxa"/>
            <w:shd w:val="clear" w:color="auto" w:fill="95B3D7" w:themeFill="accent1" w:themeFillTint="99"/>
          </w:tcPr>
          <w:p w14:paraId="5C8F1D4D" w14:textId="77777777" w:rsidR="005D4F96" w:rsidRPr="009448A5" w:rsidRDefault="005D4F96" w:rsidP="007C2140">
            <w:pPr>
              <w:rPr>
                <w:b/>
                <w:bCs/>
              </w:rPr>
            </w:pPr>
            <w:r w:rsidRPr="009448A5">
              <w:rPr>
                <w:b/>
                <w:bCs/>
              </w:rPr>
              <w:t>Pre-Tenancy Transitional</w:t>
            </w:r>
          </w:p>
        </w:tc>
        <w:tc>
          <w:tcPr>
            <w:tcW w:w="1080" w:type="dxa"/>
          </w:tcPr>
          <w:p w14:paraId="7963F0DB" w14:textId="77777777" w:rsidR="005D4F96" w:rsidRDefault="005D4F96" w:rsidP="007C2140">
            <w:r>
              <w:t>0</w:t>
            </w:r>
          </w:p>
        </w:tc>
        <w:tc>
          <w:tcPr>
            <w:tcW w:w="810" w:type="dxa"/>
          </w:tcPr>
          <w:p w14:paraId="0A1BF241" w14:textId="77777777" w:rsidR="005D4F96" w:rsidRDefault="005D4F96" w:rsidP="007C2140">
            <w:r>
              <w:t>4</w:t>
            </w:r>
          </w:p>
        </w:tc>
        <w:tc>
          <w:tcPr>
            <w:tcW w:w="990" w:type="dxa"/>
          </w:tcPr>
          <w:p w14:paraId="6D296248" w14:textId="77777777" w:rsidR="005D4F96" w:rsidRDefault="005D4F96" w:rsidP="007C2140">
            <w:r>
              <w:t>31</w:t>
            </w:r>
          </w:p>
        </w:tc>
        <w:tc>
          <w:tcPr>
            <w:tcW w:w="990" w:type="dxa"/>
          </w:tcPr>
          <w:p w14:paraId="67AC469C" w14:textId="77777777" w:rsidR="005D4F96" w:rsidRDefault="005D4F96" w:rsidP="007C2140">
            <w:r>
              <w:t>33</w:t>
            </w:r>
          </w:p>
        </w:tc>
        <w:tc>
          <w:tcPr>
            <w:tcW w:w="1530" w:type="dxa"/>
            <w:shd w:val="clear" w:color="auto" w:fill="B8CCE4" w:themeFill="accent1" w:themeFillTint="66"/>
          </w:tcPr>
          <w:p w14:paraId="571DC296" w14:textId="77777777" w:rsidR="005D4F96" w:rsidRDefault="005D4F96" w:rsidP="007C2140">
            <w:r>
              <w:t>39</w:t>
            </w:r>
          </w:p>
        </w:tc>
        <w:tc>
          <w:tcPr>
            <w:tcW w:w="900" w:type="dxa"/>
          </w:tcPr>
          <w:p w14:paraId="2BBECE42" w14:textId="77777777" w:rsidR="005D4F96" w:rsidRDefault="005D4F96" w:rsidP="007C2140">
            <w:r>
              <w:t>124</w:t>
            </w:r>
          </w:p>
        </w:tc>
        <w:tc>
          <w:tcPr>
            <w:tcW w:w="900" w:type="dxa"/>
          </w:tcPr>
          <w:p w14:paraId="51FB84AE" w14:textId="77777777" w:rsidR="005D4F96" w:rsidRDefault="005D4F96" w:rsidP="007C2140">
            <w:r>
              <w:t>168</w:t>
            </w:r>
          </w:p>
        </w:tc>
        <w:tc>
          <w:tcPr>
            <w:tcW w:w="1350" w:type="dxa"/>
            <w:shd w:val="clear" w:color="auto" w:fill="B8CCE4" w:themeFill="accent1" w:themeFillTint="66"/>
          </w:tcPr>
          <w:p w14:paraId="391DE4B9" w14:textId="77777777" w:rsidR="005D4F96" w:rsidRDefault="005D4F96" w:rsidP="007C2140">
            <w:r>
              <w:t>241</w:t>
            </w:r>
          </w:p>
        </w:tc>
      </w:tr>
      <w:tr w:rsidR="005D4F96" w14:paraId="584EBFCA" w14:textId="77777777" w:rsidTr="007C2140">
        <w:tc>
          <w:tcPr>
            <w:tcW w:w="2155" w:type="dxa"/>
            <w:shd w:val="clear" w:color="auto" w:fill="95B3D7" w:themeFill="accent1" w:themeFillTint="99"/>
          </w:tcPr>
          <w:p w14:paraId="029E1DBA" w14:textId="77777777" w:rsidR="005D4F96" w:rsidRPr="009448A5" w:rsidRDefault="005D4F96" w:rsidP="007C2140">
            <w:pPr>
              <w:rPr>
                <w:b/>
                <w:bCs/>
              </w:rPr>
            </w:pPr>
            <w:r w:rsidRPr="009448A5">
              <w:rPr>
                <w:b/>
                <w:bCs/>
              </w:rPr>
              <w:t>Tenancy Sustaining</w:t>
            </w:r>
          </w:p>
        </w:tc>
        <w:tc>
          <w:tcPr>
            <w:tcW w:w="1080" w:type="dxa"/>
          </w:tcPr>
          <w:p w14:paraId="06E722CB" w14:textId="77777777" w:rsidR="005D4F96" w:rsidRDefault="005D4F96" w:rsidP="007C2140">
            <w:r>
              <w:t>10</w:t>
            </w:r>
          </w:p>
        </w:tc>
        <w:tc>
          <w:tcPr>
            <w:tcW w:w="810" w:type="dxa"/>
          </w:tcPr>
          <w:p w14:paraId="6C2E7E64" w14:textId="77777777" w:rsidR="005D4F96" w:rsidRDefault="005D4F96" w:rsidP="007C2140">
            <w:r>
              <w:t>67</w:t>
            </w:r>
          </w:p>
        </w:tc>
        <w:tc>
          <w:tcPr>
            <w:tcW w:w="990" w:type="dxa"/>
          </w:tcPr>
          <w:p w14:paraId="4EB3BF73" w14:textId="77777777" w:rsidR="005D4F96" w:rsidRDefault="005D4F96" w:rsidP="007C2140">
            <w:r>
              <w:t>324</w:t>
            </w:r>
          </w:p>
        </w:tc>
        <w:tc>
          <w:tcPr>
            <w:tcW w:w="990" w:type="dxa"/>
          </w:tcPr>
          <w:p w14:paraId="60C47684" w14:textId="77777777" w:rsidR="005D4F96" w:rsidRDefault="005D4F96" w:rsidP="007C2140">
            <w:r>
              <w:t>321</w:t>
            </w:r>
          </w:p>
        </w:tc>
        <w:tc>
          <w:tcPr>
            <w:tcW w:w="1530" w:type="dxa"/>
            <w:shd w:val="clear" w:color="auto" w:fill="B8CCE4" w:themeFill="accent1" w:themeFillTint="66"/>
          </w:tcPr>
          <w:p w14:paraId="6C039AB0" w14:textId="77777777" w:rsidR="005D4F96" w:rsidRDefault="005D4F96" w:rsidP="007C2140">
            <w:r>
              <w:t>524</w:t>
            </w:r>
          </w:p>
        </w:tc>
        <w:tc>
          <w:tcPr>
            <w:tcW w:w="900" w:type="dxa"/>
          </w:tcPr>
          <w:p w14:paraId="615251FD" w14:textId="77777777" w:rsidR="005D4F96" w:rsidRDefault="005D4F96" w:rsidP="007C2140">
            <w:r>
              <w:t>409</w:t>
            </w:r>
          </w:p>
        </w:tc>
        <w:tc>
          <w:tcPr>
            <w:tcW w:w="900" w:type="dxa"/>
          </w:tcPr>
          <w:p w14:paraId="2E204116" w14:textId="77777777" w:rsidR="005D4F96" w:rsidRDefault="005D4F96" w:rsidP="007C2140">
            <w:r>
              <w:t>484</w:t>
            </w:r>
          </w:p>
        </w:tc>
        <w:tc>
          <w:tcPr>
            <w:tcW w:w="1350" w:type="dxa"/>
            <w:shd w:val="clear" w:color="auto" w:fill="B8CCE4" w:themeFill="accent1" w:themeFillTint="66"/>
          </w:tcPr>
          <w:p w14:paraId="266DAB3B" w14:textId="77777777" w:rsidR="005D4F96" w:rsidRDefault="005D4F96" w:rsidP="007C2140">
            <w:r>
              <w:t>662</w:t>
            </w:r>
          </w:p>
        </w:tc>
      </w:tr>
      <w:tr w:rsidR="005D4F96" w14:paraId="755A5AEE" w14:textId="77777777" w:rsidTr="007C2140">
        <w:tc>
          <w:tcPr>
            <w:tcW w:w="2155" w:type="dxa"/>
            <w:shd w:val="clear" w:color="auto" w:fill="95B3D7" w:themeFill="accent1" w:themeFillTint="99"/>
          </w:tcPr>
          <w:p w14:paraId="60207B8D" w14:textId="77777777" w:rsidR="005D4F96" w:rsidRPr="009448A5" w:rsidRDefault="005D4F96" w:rsidP="007C2140">
            <w:pPr>
              <w:rPr>
                <w:b/>
                <w:bCs/>
              </w:rPr>
            </w:pPr>
            <w:r w:rsidRPr="009448A5">
              <w:rPr>
                <w:b/>
                <w:bCs/>
              </w:rPr>
              <w:t>Home Modifications</w:t>
            </w:r>
          </w:p>
        </w:tc>
        <w:tc>
          <w:tcPr>
            <w:tcW w:w="1080" w:type="dxa"/>
          </w:tcPr>
          <w:p w14:paraId="5930C1E3" w14:textId="77777777" w:rsidR="005D4F96" w:rsidRDefault="005D4F96" w:rsidP="007C2140">
            <w:r>
              <w:t>0</w:t>
            </w:r>
          </w:p>
        </w:tc>
        <w:tc>
          <w:tcPr>
            <w:tcW w:w="810" w:type="dxa"/>
          </w:tcPr>
          <w:p w14:paraId="3E8B105C" w14:textId="77777777" w:rsidR="005D4F96" w:rsidRDefault="005D4F96" w:rsidP="007C2140">
            <w:r>
              <w:t>3</w:t>
            </w:r>
          </w:p>
        </w:tc>
        <w:tc>
          <w:tcPr>
            <w:tcW w:w="990" w:type="dxa"/>
          </w:tcPr>
          <w:p w14:paraId="77FF6CAA" w14:textId="77777777" w:rsidR="005D4F96" w:rsidRDefault="005D4F96" w:rsidP="007C2140">
            <w:r>
              <w:t>71</w:t>
            </w:r>
          </w:p>
        </w:tc>
        <w:tc>
          <w:tcPr>
            <w:tcW w:w="990" w:type="dxa"/>
          </w:tcPr>
          <w:p w14:paraId="1CF8AE65" w14:textId="77777777" w:rsidR="005D4F96" w:rsidRDefault="005D4F96" w:rsidP="007C2140">
            <w:r>
              <w:t>95</w:t>
            </w:r>
          </w:p>
        </w:tc>
        <w:tc>
          <w:tcPr>
            <w:tcW w:w="1530" w:type="dxa"/>
            <w:shd w:val="clear" w:color="auto" w:fill="B8CCE4" w:themeFill="accent1" w:themeFillTint="66"/>
          </w:tcPr>
          <w:p w14:paraId="0B471D41" w14:textId="77777777" w:rsidR="005D4F96" w:rsidRDefault="005D4F96" w:rsidP="007C2140">
            <w:r>
              <w:t>162</w:t>
            </w:r>
          </w:p>
        </w:tc>
        <w:tc>
          <w:tcPr>
            <w:tcW w:w="900" w:type="dxa"/>
          </w:tcPr>
          <w:p w14:paraId="423A01CF" w14:textId="77777777" w:rsidR="005D4F96" w:rsidRDefault="005D4F96" w:rsidP="007C2140">
            <w:r>
              <w:t>99</w:t>
            </w:r>
          </w:p>
        </w:tc>
        <w:tc>
          <w:tcPr>
            <w:tcW w:w="900" w:type="dxa"/>
          </w:tcPr>
          <w:p w14:paraId="466428B5" w14:textId="77777777" w:rsidR="005D4F96" w:rsidRDefault="005D4F96" w:rsidP="007C2140">
            <w:r>
              <w:t>112</w:t>
            </w:r>
          </w:p>
        </w:tc>
        <w:tc>
          <w:tcPr>
            <w:tcW w:w="1350" w:type="dxa"/>
            <w:shd w:val="clear" w:color="auto" w:fill="B8CCE4" w:themeFill="accent1" w:themeFillTint="66"/>
          </w:tcPr>
          <w:p w14:paraId="0B7A7EAD" w14:textId="77777777" w:rsidR="005D4F96" w:rsidRDefault="005D4F96" w:rsidP="007C2140">
            <w:r>
              <w:t>210</w:t>
            </w:r>
          </w:p>
        </w:tc>
      </w:tr>
      <w:tr w:rsidR="005D4F96" w14:paraId="4E5CFE8B" w14:textId="77777777" w:rsidTr="007C2140">
        <w:tc>
          <w:tcPr>
            <w:tcW w:w="2155" w:type="dxa"/>
            <w:shd w:val="clear" w:color="auto" w:fill="95B3D7" w:themeFill="accent1" w:themeFillTint="99"/>
          </w:tcPr>
          <w:p w14:paraId="265F637C" w14:textId="77777777" w:rsidR="005D4F96" w:rsidRPr="009448A5" w:rsidRDefault="005D4F96" w:rsidP="007C2140">
            <w:pPr>
              <w:rPr>
                <w:b/>
                <w:bCs/>
              </w:rPr>
            </w:pPr>
            <w:r w:rsidRPr="009448A5">
              <w:rPr>
                <w:b/>
                <w:bCs/>
              </w:rPr>
              <w:t>Nutrition</w:t>
            </w:r>
          </w:p>
        </w:tc>
        <w:tc>
          <w:tcPr>
            <w:tcW w:w="1080" w:type="dxa"/>
          </w:tcPr>
          <w:p w14:paraId="34784BD0" w14:textId="77777777" w:rsidR="005D4F96" w:rsidRDefault="005D4F96" w:rsidP="007C2140">
            <w:r>
              <w:t>28</w:t>
            </w:r>
          </w:p>
        </w:tc>
        <w:tc>
          <w:tcPr>
            <w:tcW w:w="810" w:type="dxa"/>
          </w:tcPr>
          <w:p w14:paraId="06013425" w14:textId="77777777" w:rsidR="005D4F96" w:rsidRDefault="005D4F96" w:rsidP="007C2140">
            <w:r>
              <w:t>1164</w:t>
            </w:r>
          </w:p>
        </w:tc>
        <w:tc>
          <w:tcPr>
            <w:tcW w:w="990" w:type="dxa"/>
          </w:tcPr>
          <w:p w14:paraId="773A3127" w14:textId="77777777" w:rsidR="005D4F96" w:rsidRDefault="005D4F96" w:rsidP="007C2140">
            <w:r>
              <w:t>2850</w:t>
            </w:r>
          </w:p>
        </w:tc>
        <w:tc>
          <w:tcPr>
            <w:tcW w:w="990" w:type="dxa"/>
          </w:tcPr>
          <w:p w14:paraId="0E7C8A79" w14:textId="77777777" w:rsidR="005D4F96" w:rsidRDefault="005D4F96" w:rsidP="007C2140">
            <w:r>
              <w:t>3608</w:t>
            </w:r>
          </w:p>
        </w:tc>
        <w:tc>
          <w:tcPr>
            <w:tcW w:w="1530" w:type="dxa"/>
            <w:shd w:val="clear" w:color="auto" w:fill="B8CCE4" w:themeFill="accent1" w:themeFillTint="66"/>
          </w:tcPr>
          <w:p w14:paraId="5AD90D9C" w14:textId="77777777" w:rsidR="005D4F96" w:rsidRDefault="005D4F96" w:rsidP="007C2140">
            <w:r>
              <w:t>4839</w:t>
            </w:r>
          </w:p>
        </w:tc>
        <w:tc>
          <w:tcPr>
            <w:tcW w:w="900" w:type="dxa"/>
          </w:tcPr>
          <w:p w14:paraId="53EC08B7" w14:textId="77777777" w:rsidR="005D4F96" w:rsidRDefault="005D4F96" w:rsidP="007C2140">
            <w:r>
              <w:t>2473</w:t>
            </w:r>
          </w:p>
        </w:tc>
        <w:tc>
          <w:tcPr>
            <w:tcW w:w="900" w:type="dxa"/>
          </w:tcPr>
          <w:p w14:paraId="211735AA" w14:textId="77777777" w:rsidR="005D4F96" w:rsidRDefault="005D4F96" w:rsidP="007C2140">
            <w:r>
              <w:t>3201</w:t>
            </w:r>
          </w:p>
        </w:tc>
        <w:tc>
          <w:tcPr>
            <w:tcW w:w="1350" w:type="dxa"/>
            <w:shd w:val="clear" w:color="auto" w:fill="B8CCE4" w:themeFill="accent1" w:themeFillTint="66"/>
          </w:tcPr>
          <w:p w14:paraId="127284CA" w14:textId="77777777" w:rsidR="005D4F96" w:rsidRDefault="005D4F96" w:rsidP="007C2140">
            <w:r>
              <w:t>4076</w:t>
            </w:r>
          </w:p>
        </w:tc>
      </w:tr>
      <w:tr w:rsidR="005D4F96" w14:paraId="3F8B5285" w14:textId="77777777" w:rsidTr="007C2140">
        <w:tc>
          <w:tcPr>
            <w:tcW w:w="2155" w:type="dxa"/>
            <w:shd w:val="clear" w:color="auto" w:fill="95B3D7" w:themeFill="accent1" w:themeFillTint="99"/>
          </w:tcPr>
          <w:p w14:paraId="609DE712" w14:textId="77777777" w:rsidR="005D4F96" w:rsidRPr="009448A5" w:rsidRDefault="005D4F96" w:rsidP="007C2140">
            <w:pPr>
              <w:rPr>
                <w:b/>
                <w:bCs/>
              </w:rPr>
            </w:pPr>
            <w:r w:rsidRPr="009448A5">
              <w:rPr>
                <w:b/>
                <w:bCs/>
              </w:rPr>
              <w:t># of Unique Members / $ Spent</w:t>
            </w:r>
          </w:p>
        </w:tc>
        <w:tc>
          <w:tcPr>
            <w:tcW w:w="1080" w:type="dxa"/>
          </w:tcPr>
          <w:p w14:paraId="24B68FCF" w14:textId="77777777" w:rsidR="005D4F96" w:rsidRDefault="005D4F96" w:rsidP="007C2140">
            <w:r>
              <w:t>53 / $161,770</w:t>
            </w:r>
          </w:p>
        </w:tc>
        <w:tc>
          <w:tcPr>
            <w:tcW w:w="810" w:type="dxa"/>
          </w:tcPr>
          <w:p w14:paraId="0AB7ABC1" w14:textId="77777777" w:rsidR="005D4F96" w:rsidRDefault="005D4F96" w:rsidP="007C2140">
            <w:r>
              <w:t>1125 / $948,794</w:t>
            </w:r>
          </w:p>
        </w:tc>
        <w:tc>
          <w:tcPr>
            <w:tcW w:w="990" w:type="dxa"/>
          </w:tcPr>
          <w:p w14:paraId="4344BD64" w14:textId="77777777" w:rsidR="005D4F96" w:rsidRDefault="005D4F96" w:rsidP="007C2140">
            <w:r>
              <w:t>3143 / $2,532,791.60</w:t>
            </w:r>
          </w:p>
        </w:tc>
        <w:tc>
          <w:tcPr>
            <w:tcW w:w="990" w:type="dxa"/>
          </w:tcPr>
          <w:p w14:paraId="3F227A99" w14:textId="77777777" w:rsidR="005D4F96" w:rsidRDefault="005D4F96" w:rsidP="007C2140">
            <w:r>
              <w:t>4025 / $3,130,034.53</w:t>
            </w:r>
          </w:p>
        </w:tc>
        <w:tc>
          <w:tcPr>
            <w:tcW w:w="1530" w:type="dxa"/>
            <w:shd w:val="clear" w:color="auto" w:fill="B8CCE4" w:themeFill="accent1" w:themeFillTint="66"/>
          </w:tcPr>
          <w:p w14:paraId="28C60E2F" w14:textId="77777777" w:rsidR="005D4F96" w:rsidRDefault="005D4F96" w:rsidP="007C2140">
            <w:r>
              <w:t>5332 / $6,773,390.04</w:t>
            </w:r>
          </w:p>
        </w:tc>
        <w:tc>
          <w:tcPr>
            <w:tcW w:w="900" w:type="dxa"/>
          </w:tcPr>
          <w:p w14:paraId="511AE94E" w14:textId="77777777" w:rsidR="005D4F96" w:rsidRDefault="005D4F96" w:rsidP="007C2140">
            <w:r>
              <w:t>3325 / $3,432,391.74</w:t>
            </w:r>
          </w:p>
        </w:tc>
        <w:tc>
          <w:tcPr>
            <w:tcW w:w="900" w:type="dxa"/>
          </w:tcPr>
          <w:p w14:paraId="10753313" w14:textId="77777777" w:rsidR="005D4F96" w:rsidRDefault="005D4F96" w:rsidP="007C2140">
            <w:r>
              <w:t>4292 / $4,606,632.06</w:t>
            </w:r>
          </w:p>
        </w:tc>
        <w:tc>
          <w:tcPr>
            <w:tcW w:w="1350" w:type="dxa"/>
            <w:shd w:val="clear" w:color="auto" w:fill="B8CCE4" w:themeFill="accent1" w:themeFillTint="66"/>
          </w:tcPr>
          <w:p w14:paraId="7B351C4B" w14:textId="77777777" w:rsidR="005D4F96" w:rsidRDefault="005D4F96" w:rsidP="007C2140">
            <w:r>
              <w:t>5445 / $8,039,023.80</w:t>
            </w:r>
          </w:p>
        </w:tc>
      </w:tr>
      <w:tr w:rsidR="005D4F96" w14:paraId="6E6BE677" w14:textId="77777777" w:rsidTr="007C2140">
        <w:tc>
          <w:tcPr>
            <w:tcW w:w="2155" w:type="dxa"/>
            <w:shd w:val="clear" w:color="auto" w:fill="95B3D7" w:themeFill="accent1" w:themeFillTint="99"/>
          </w:tcPr>
          <w:p w14:paraId="5EE99A19" w14:textId="77777777" w:rsidR="005D4F96" w:rsidRPr="009448A5" w:rsidRDefault="005D4F96" w:rsidP="007C2140">
            <w:pPr>
              <w:rPr>
                <w:b/>
                <w:bCs/>
              </w:rPr>
            </w:pPr>
            <w:r w:rsidRPr="009448A5">
              <w:rPr>
                <w:b/>
                <w:bCs/>
              </w:rPr>
              <w:t># of Unique Members / $ Spent Across All Quarters</w:t>
            </w:r>
          </w:p>
        </w:tc>
        <w:tc>
          <w:tcPr>
            <w:tcW w:w="8550" w:type="dxa"/>
            <w:gridSpan w:val="8"/>
          </w:tcPr>
          <w:p w14:paraId="42C98C7F" w14:textId="77777777" w:rsidR="005D4F96" w:rsidRDefault="005D4F96" w:rsidP="007C2140">
            <w:pPr>
              <w:jc w:val="center"/>
            </w:pPr>
          </w:p>
          <w:p w14:paraId="491FAEB1" w14:textId="77777777" w:rsidR="005D4F96" w:rsidRDefault="005D4F96" w:rsidP="007C2140">
            <w:pPr>
              <w:jc w:val="center"/>
            </w:pPr>
          </w:p>
          <w:p w14:paraId="5F7D8BDF" w14:textId="77777777" w:rsidR="005D4F96" w:rsidRDefault="005D4F96" w:rsidP="007C2140">
            <w:pPr>
              <w:jc w:val="center"/>
            </w:pPr>
            <w:r>
              <w:t>8993 / $14,812,413.85</w:t>
            </w:r>
          </w:p>
        </w:tc>
      </w:tr>
    </w:tbl>
    <w:bookmarkEnd w:id="4"/>
    <w:p w14:paraId="3367EACF" w14:textId="32A4DFD0" w:rsidR="00E4667C" w:rsidRDefault="00C321A6" w:rsidP="00DC3DA6">
      <w:pPr>
        <w:widowControl w:val="0"/>
        <w:autoSpaceDE w:val="0"/>
        <w:autoSpaceDN w:val="0"/>
        <w:spacing w:before="100" w:beforeAutospacing="1" w:after="100" w:afterAutospacing="1"/>
        <w:ind w:right="827"/>
        <w:rPr>
          <w:rFonts w:eastAsia="Times New Roman" w:cs="Times New Roman"/>
          <w:szCs w:val="24"/>
          <w:u w:val="single"/>
        </w:rPr>
      </w:pPr>
      <w:r>
        <w:t>*All numbers are preliminary as MassHealth is still working on data clean up with ACOs. Adjustments may be made in future reports as data is verified.</w:t>
      </w:r>
    </w:p>
    <w:p w14:paraId="1DD11B1E" w14:textId="68FC5579" w:rsidR="00DC3DA6" w:rsidRPr="004B161F" w:rsidRDefault="00DC3DA6" w:rsidP="00DC3DA6">
      <w:pPr>
        <w:widowControl w:val="0"/>
        <w:autoSpaceDE w:val="0"/>
        <w:autoSpaceDN w:val="0"/>
        <w:spacing w:before="100" w:beforeAutospacing="1" w:after="100" w:afterAutospacing="1"/>
        <w:ind w:right="827"/>
        <w:rPr>
          <w:rFonts w:eastAsia="Times New Roman" w:cs="Times New Roman"/>
          <w:szCs w:val="24"/>
          <w:u w:val="single"/>
        </w:rPr>
      </w:pPr>
      <w:r w:rsidRPr="004B161F">
        <w:rPr>
          <w:rFonts w:eastAsia="Times New Roman" w:cs="Times New Roman"/>
          <w:szCs w:val="24"/>
          <w:u w:val="single"/>
        </w:rPr>
        <w:t>Annual Summary</w:t>
      </w:r>
    </w:p>
    <w:p w14:paraId="7A0A0172" w14:textId="77777777" w:rsidR="00DC3DA6" w:rsidRDefault="00DC3DA6" w:rsidP="00D01557">
      <w:pPr>
        <w:widowControl w:val="0"/>
        <w:autoSpaceDE w:val="0"/>
        <w:autoSpaceDN w:val="0"/>
        <w:spacing w:after="0"/>
        <w:ind w:right="821"/>
      </w:pPr>
      <w:r w:rsidRPr="004B161F">
        <w:rPr>
          <w:rFonts w:eastAsia="Calibri" w:cs="Times New Roman"/>
          <w:szCs w:val="24"/>
        </w:rPr>
        <w:t>Q1:</w:t>
      </w:r>
    </w:p>
    <w:p w14:paraId="6CE6716A" w14:textId="77777777" w:rsidR="00DC3DA6" w:rsidRPr="00BC7D74" w:rsidRDefault="00DC3DA6" w:rsidP="00D01557">
      <w:pPr>
        <w:pStyle w:val="ListParagraph"/>
        <w:widowControl w:val="0"/>
        <w:numPr>
          <w:ilvl w:val="0"/>
          <w:numId w:val="42"/>
        </w:numPr>
        <w:autoSpaceDE w:val="0"/>
        <w:autoSpaceDN w:val="0"/>
        <w:spacing w:after="0"/>
        <w:ind w:right="821"/>
        <w:rPr>
          <w:rFonts w:eastAsia="Times New Roman" w:cs="Times New Roman"/>
          <w:szCs w:val="24"/>
        </w:rPr>
      </w:pPr>
      <w:r w:rsidRPr="00BC7D74">
        <w:rPr>
          <w:rFonts w:eastAsia="Times New Roman" w:cs="Times New Roman"/>
          <w:szCs w:val="24"/>
        </w:rPr>
        <w:t>Released version 2.0 of the FS Guidance document and hosted a public meeting for FS stakeholders to provide updates on the FS program.</w:t>
      </w:r>
    </w:p>
    <w:p w14:paraId="5F99EB36" w14:textId="77777777" w:rsidR="00DC3DA6" w:rsidRPr="00BC7D74" w:rsidRDefault="00DC3DA6" w:rsidP="00DC3DA6">
      <w:pPr>
        <w:pStyle w:val="ListParagraph"/>
        <w:widowControl w:val="0"/>
        <w:numPr>
          <w:ilvl w:val="0"/>
          <w:numId w:val="42"/>
        </w:numPr>
        <w:autoSpaceDE w:val="0"/>
        <w:autoSpaceDN w:val="0"/>
        <w:spacing w:before="100" w:beforeAutospacing="1" w:after="100" w:afterAutospacing="1"/>
        <w:ind w:right="827"/>
        <w:rPr>
          <w:rFonts w:eastAsia="Times New Roman" w:cs="Times New Roman"/>
          <w:szCs w:val="24"/>
        </w:rPr>
      </w:pPr>
      <w:r w:rsidRPr="00BC7D74">
        <w:rPr>
          <w:rFonts w:eastAsia="Times New Roman" w:cs="Times New Roman"/>
          <w:szCs w:val="24"/>
        </w:rPr>
        <w:t>Revised policies related to the design of FS including new health equity requirements which included utilizing FS data to identify potential disparities in access to FS.</w:t>
      </w:r>
    </w:p>
    <w:p w14:paraId="2EE172A0" w14:textId="03054B97" w:rsidR="00DC3DA6" w:rsidRPr="00BC7D74" w:rsidRDefault="00DC3DA6" w:rsidP="00DC3DA6">
      <w:pPr>
        <w:pStyle w:val="ListParagraph"/>
        <w:widowControl w:val="0"/>
        <w:numPr>
          <w:ilvl w:val="1"/>
          <w:numId w:val="42"/>
        </w:numPr>
        <w:autoSpaceDE w:val="0"/>
        <w:autoSpaceDN w:val="0"/>
        <w:spacing w:before="100" w:beforeAutospacing="1" w:after="100" w:afterAutospacing="1"/>
        <w:ind w:right="827"/>
        <w:rPr>
          <w:rFonts w:eastAsia="Times New Roman" w:cs="Times New Roman"/>
          <w:szCs w:val="24"/>
        </w:rPr>
      </w:pPr>
      <w:r w:rsidRPr="00BC7D74">
        <w:rPr>
          <w:rFonts w:eastAsia="Times New Roman" w:cs="Times New Roman"/>
          <w:szCs w:val="24"/>
        </w:rPr>
        <w:t xml:space="preserve">Hosted office hours for ACOs and </w:t>
      </w:r>
      <w:r w:rsidR="00C315F6">
        <w:rPr>
          <w:rFonts w:eastAsia="Times New Roman" w:cs="Times New Roman"/>
          <w:szCs w:val="24"/>
        </w:rPr>
        <w:t>Social Service Organizations (</w:t>
      </w:r>
      <w:r w:rsidRPr="00BC7D74">
        <w:rPr>
          <w:rFonts w:eastAsia="Times New Roman" w:cs="Times New Roman"/>
          <w:szCs w:val="24"/>
        </w:rPr>
        <w:t>SSOs</w:t>
      </w:r>
      <w:r w:rsidR="00C315F6">
        <w:rPr>
          <w:rFonts w:eastAsia="Times New Roman" w:cs="Times New Roman"/>
          <w:szCs w:val="24"/>
        </w:rPr>
        <w:t>)</w:t>
      </w:r>
      <w:r w:rsidRPr="00BC7D74">
        <w:rPr>
          <w:rFonts w:eastAsia="Times New Roman" w:cs="Times New Roman"/>
          <w:szCs w:val="24"/>
        </w:rPr>
        <w:t xml:space="preserve"> to review this policy change</w:t>
      </w:r>
    </w:p>
    <w:p w14:paraId="19F72F35" w14:textId="77777777" w:rsidR="00DC3DA6" w:rsidRPr="00BC7D74" w:rsidRDefault="00DC3DA6" w:rsidP="00DC3DA6">
      <w:pPr>
        <w:pStyle w:val="ListParagraph"/>
        <w:widowControl w:val="0"/>
        <w:numPr>
          <w:ilvl w:val="0"/>
          <w:numId w:val="42"/>
        </w:numPr>
        <w:autoSpaceDE w:val="0"/>
        <w:autoSpaceDN w:val="0"/>
        <w:spacing w:before="100" w:beforeAutospacing="1" w:after="100" w:afterAutospacing="1"/>
        <w:ind w:right="827"/>
        <w:rPr>
          <w:rFonts w:eastAsia="Times New Roman" w:cs="Times New Roman"/>
          <w:szCs w:val="24"/>
        </w:rPr>
      </w:pPr>
      <w:r w:rsidRPr="00BC7D74">
        <w:rPr>
          <w:rFonts w:eastAsia="Times New Roman" w:cs="Times New Roman"/>
          <w:szCs w:val="24"/>
        </w:rPr>
        <w:t>Received Q2 CY2020 QTRs and Semi-annual Progress Reports (SPR)</w:t>
      </w:r>
    </w:p>
    <w:p w14:paraId="3ADAB7E1" w14:textId="77777777" w:rsidR="00DC3DA6" w:rsidRPr="00BC7D74" w:rsidRDefault="00DC3DA6" w:rsidP="00DC3DA6">
      <w:pPr>
        <w:pStyle w:val="ListParagraph"/>
        <w:widowControl w:val="0"/>
        <w:numPr>
          <w:ilvl w:val="0"/>
          <w:numId w:val="42"/>
        </w:numPr>
        <w:autoSpaceDE w:val="0"/>
        <w:autoSpaceDN w:val="0"/>
        <w:spacing w:before="100" w:beforeAutospacing="1" w:after="100" w:afterAutospacing="1"/>
        <w:ind w:right="827"/>
        <w:rPr>
          <w:rFonts w:eastAsia="Times New Roman" w:cs="Times New Roman"/>
          <w:szCs w:val="24"/>
        </w:rPr>
      </w:pPr>
      <w:r w:rsidRPr="00BC7D74">
        <w:rPr>
          <w:rFonts w:eastAsia="Times New Roman" w:cs="Times New Roman"/>
          <w:szCs w:val="24"/>
        </w:rPr>
        <w:t>Received CY2021 plans and budgets from ACOs. ACO plans consisted of 55 continuing programs and 14 new programs.</w:t>
      </w:r>
    </w:p>
    <w:p w14:paraId="73CD1258" w14:textId="77777777" w:rsidR="00DC3DA6" w:rsidRPr="007517F1" w:rsidRDefault="00DC3DA6" w:rsidP="00DC3DA6">
      <w:pPr>
        <w:pStyle w:val="ListParagraph"/>
        <w:widowControl w:val="0"/>
        <w:numPr>
          <w:ilvl w:val="0"/>
          <w:numId w:val="42"/>
        </w:numPr>
        <w:autoSpaceDE w:val="0"/>
        <w:autoSpaceDN w:val="0"/>
        <w:spacing w:before="100" w:beforeAutospacing="1" w:after="100" w:afterAutospacing="1"/>
        <w:ind w:right="827"/>
        <w:rPr>
          <w:rFonts w:eastAsia="Times New Roman" w:cs="Times New Roman"/>
          <w:szCs w:val="24"/>
        </w:rPr>
      </w:pPr>
      <w:r w:rsidRPr="00BC7D74">
        <w:rPr>
          <w:rFonts w:eastAsia="Times New Roman" w:cs="Times New Roman"/>
          <w:szCs w:val="24"/>
        </w:rPr>
        <w:t>Participated in an SSO FS Preparation Fund Virtual Learning Community that included breakout discussions on technology and a racial and health equity re-framing exercise.</w:t>
      </w:r>
    </w:p>
    <w:p w14:paraId="1D45B17B" w14:textId="77777777" w:rsidR="00DC3DA6" w:rsidRPr="004B161F" w:rsidRDefault="00DC3DA6" w:rsidP="00D01557">
      <w:pPr>
        <w:widowControl w:val="0"/>
        <w:autoSpaceDE w:val="0"/>
        <w:autoSpaceDN w:val="0"/>
        <w:spacing w:after="0"/>
        <w:ind w:right="821"/>
        <w:rPr>
          <w:rFonts w:eastAsia="Calibri" w:cs="Times New Roman"/>
          <w:szCs w:val="24"/>
        </w:rPr>
      </w:pPr>
      <w:r w:rsidRPr="004B161F">
        <w:rPr>
          <w:rFonts w:eastAsia="Calibri" w:cs="Times New Roman"/>
          <w:szCs w:val="24"/>
        </w:rPr>
        <w:t xml:space="preserve">Q2: </w:t>
      </w:r>
    </w:p>
    <w:p w14:paraId="15B68ABC" w14:textId="77777777" w:rsidR="00DC3DA6" w:rsidRPr="008D5001" w:rsidRDefault="00DC3DA6" w:rsidP="00D01557">
      <w:pPr>
        <w:pStyle w:val="ListParagraph"/>
        <w:widowControl w:val="0"/>
        <w:numPr>
          <w:ilvl w:val="0"/>
          <w:numId w:val="40"/>
        </w:numPr>
        <w:autoSpaceDE w:val="0"/>
        <w:autoSpaceDN w:val="0"/>
        <w:spacing w:after="0"/>
        <w:ind w:right="821"/>
        <w:rPr>
          <w:rFonts w:eastAsia="Times New Roman" w:cs="Times New Roman"/>
          <w:szCs w:val="24"/>
        </w:rPr>
      </w:pPr>
      <w:r w:rsidRPr="008D5001">
        <w:rPr>
          <w:rFonts w:eastAsia="Times New Roman" w:cs="Times New Roman"/>
          <w:szCs w:val="24"/>
        </w:rPr>
        <w:t>Reviewed ACOs’ CY2021 FS plans and budgets.</w:t>
      </w:r>
    </w:p>
    <w:p w14:paraId="16F519FA" w14:textId="77777777" w:rsidR="00DC3DA6" w:rsidRPr="008D5001" w:rsidRDefault="00DC3DA6" w:rsidP="00DC3DA6">
      <w:pPr>
        <w:pStyle w:val="ListParagraph"/>
        <w:widowControl w:val="0"/>
        <w:numPr>
          <w:ilvl w:val="0"/>
          <w:numId w:val="40"/>
        </w:numPr>
        <w:autoSpaceDE w:val="0"/>
        <w:autoSpaceDN w:val="0"/>
        <w:spacing w:before="100" w:beforeAutospacing="1" w:after="100" w:afterAutospacing="1"/>
        <w:ind w:right="827"/>
        <w:rPr>
          <w:rFonts w:eastAsia="Times New Roman" w:cs="Times New Roman"/>
          <w:szCs w:val="24"/>
        </w:rPr>
      </w:pPr>
      <w:r w:rsidRPr="008D5001">
        <w:rPr>
          <w:rFonts w:eastAsia="Times New Roman" w:cs="Times New Roman"/>
          <w:szCs w:val="24"/>
        </w:rPr>
        <w:t>Conducted quality and compliance checks on member-level data in the QTR for the Q2 CY2020 and SPRs.</w:t>
      </w:r>
    </w:p>
    <w:p w14:paraId="53F250D4" w14:textId="77777777" w:rsidR="00DC3DA6" w:rsidRPr="008D5001" w:rsidRDefault="00DC3DA6" w:rsidP="00DC3DA6">
      <w:pPr>
        <w:pStyle w:val="ListParagraph"/>
        <w:widowControl w:val="0"/>
        <w:numPr>
          <w:ilvl w:val="0"/>
          <w:numId w:val="40"/>
        </w:numPr>
        <w:autoSpaceDE w:val="0"/>
        <w:autoSpaceDN w:val="0"/>
        <w:spacing w:before="100" w:beforeAutospacing="1" w:after="100" w:afterAutospacing="1"/>
        <w:ind w:right="827"/>
        <w:rPr>
          <w:rFonts w:eastAsia="Times New Roman" w:cs="Times New Roman"/>
          <w:szCs w:val="24"/>
        </w:rPr>
      </w:pPr>
      <w:r w:rsidRPr="008D5001">
        <w:rPr>
          <w:rFonts w:eastAsia="Times New Roman" w:cs="Times New Roman"/>
          <w:szCs w:val="24"/>
        </w:rPr>
        <w:t xml:space="preserve">Began </w:t>
      </w:r>
      <w:r>
        <w:rPr>
          <w:rFonts w:eastAsia="Times New Roman" w:cs="Times New Roman"/>
          <w:szCs w:val="24"/>
        </w:rPr>
        <w:t>a</w:t>
      </w:r>
      <w:r w:rsidRPr="008D5001">
        <w:rPr>
          <w:rFonts w:eastAsia="Times New Roman" w:cs="Times New Roman"/>
          <w:szCs w:val="24"/>
        </w:rPr>
        <w:t>nalyzing Q2 member-level data and progress reports.</w:t>
      </w:r>
    </w:p>
    <w:p w14:paraId="1213BA06" w14:textId="77777777" w:rsidR="00DC3DA6" w:rsidRPr="008D5001" w:rsidRDefault="00DC3DA6" w:rsidP="00DC3DA6">
      <w:pPr>
        <w:pStyle w:val="ListParagraph"/>
        <w:widowControl w:val="0"/>
        <w:numPr>
          <w:ilvl w:val="0"/>
          <w:numId w:val="40"/>
        </w:numPr>
        <w:autoSpaceDE w:val="0"/>
        <w:autoSpaceDN w:val="0"/>
        <w:spacing w:before="100" w:beforeAutospacing="1" w:after="100" w:afterAutospacing="1"/>
        <w:ind w:right="827"/>
        <w:rPr>
          <w:rFonts w:eastAsia="Times New Roman" w:cs="Times New Roman"/>
          <w:szCs w:val="24"/>
        </w:rPr>
      </w:pPr>
      <w:r w:rsidRPr="008D5001">
        <w:rPr>
          <w:rFonts w:eastAsia="Times New Roman" w:cs="Times New Roman"/>
          <w:szCs w:val="24"/>
        </w:rPr>
        <w:t>Issued approval for 67 FS programs for CY2021 including 37 housing, 29 nutrition, and 1 combined housing/nutrition program.</w:t>
      </w:r>
    </w:p>
    <w:p w14:paraId="19D425F7" w14:textId="77777777" w:rsidR="00DC3DA6" w:rsidRPr="008D5001" w:rsidRDefault="00DC3DA6" w:rsidP="00DC3DA6">
      <w:pPr>
        <w:pStyle w:val="ListParagraph"/>
        <w:widowControl w:val="0"/>
        <w:numPr>
          <w:ilvl w:val="1"/>
          <w:numId w:val="40"/>
        </w:numPr>
        <w:autoSpaceDE w:val="0"/>
        <w:autoSpaceDN w:val="0"/>
        <w:spacing w:before="100" w:beforeAutospacing="1" w:after="100" w:afterAutospacing="1"/>
        <w:ind w:right="827"/>
        <w:rPr>
          <w:rFonts w:eastAsia="Times New Roman" w:cs="Times New Roman"/>
          <w:szCs w:val="24"/>
        </w:rPr>
      </w:pPr>
      <w:r w:rsidRPr="008D5001">
        <w:rPr>
          <w:rFonts w:eastAsia="Times New Roman" w:cs="Times New Roman"/>
          <w:szCs w:val="24"/>
        </w:rPr>
        <w:t>Four new SSO partners were introduced into the program as partners delivering FS.</w:t>
      </w:r>
    </w:p>
    <w:p w14:paraId="7AC12787" w14:textId="77777777" w:rsidR="00DC3DA6" w:rsidRPr="007517F1" w:rsidRDefault="00DC3DA6" w:rsidP="00DC3DA6">
      <w:pPr>
        <w:pStyle w:val="ListParagraph"/>
        <w:widowControl w:val="0"/>
        <w:numPr>
          <w:ilvl w:val="0"/>
          <w:numId w:val="40"/>
        </w:numPr>
        <w:autoSpaceDE w:val="0"/>
        <w:autoSpaceDN w:val="0"/>
        <w:spacing w:before="100" w:beforeAutospacing="1" w:after="100" w:afterAutospacing="1"/>
        <w:ind w:right="827"/>
        <w:rPr>
          <w:rFonts w:eastAsia="Times New Roman" w:cs="Times New Roman"/>
          <w:szCs w:val="24"/>
        </w:rPr>
      </w:pPr>
      <w:r w:rsidRPr="007517F1">
        <w:rPr>
          <w:rFonts w:eastAsia="Times New Roman" w:cs="Times New Roman"/>
          <w:szCs w:val="24"/>
        </w:rPr>
        <w:t>Participated in an SSO FS Preparation Fund Virtual Learning Community that included breakout discussions on the housing landscape relative to the eviction moratorium and housing crisis, evaluation review, and a preview of the 2021 schedule for future webinars.</w:t>
      </w:r>
    </w:p>
    <w:p w14:paraId="7A3D868B" w14:textId="77777777" w:rsidR="00DC3DA6" w:rsidRDefault="00DC3DA6" w:rsidP="00D01557">
      <w:pPr>
        <w:spacing w:after="0"/>
        <w:rPr>
          <w:rFonts w:eastAsia="Times New Roman" w:cs="Times New Roman"/>
          <w:szCs w:val="24"/>
        </w:rPr>
      </w:pPr>
      <w:r w:rsidRPr="004B161F">
        <w:rPr>
          <w:rFonts w:eastAsia="Calibri" w:cs="Times New Roman"/>
          <w:szCs w:val="24"/>
        </w:rPr>
        <w:t xml:space="preserve">Q3: </w:t>
      </w:r>
    </w:p>
    <w:p w14:paraId="255F7AAF" w14:textId="77777777" w:rsidR="00DC3DA6" w:rsidRPr="00072EF0" w:rsidRDefault="00DC3DA6" w:rsidP="00D01557">
      <w:pPr>
        <w:pStyle w:val="ListParagraph"/>
        <w:widowControl w:val="0"/>
        <w:numPr>
          <w:ilvl w:val="0"/>
          <w:numId w:val="41"/>
        </w:numPr>
        <w:autoSpaceDE w:val="0"/>
        <w:autoSpaceDN w:val="0"/>
        <w:spacing w:after="0"/>
        <w:ind w:right="827"/>
        <w:rPr>
          <w:rFonts w:eastAsia="Times New Roman" w:cs="Times New Roman"/>
          <w:szCs w:val="24"/>
        </w:rPr>
      </w:pPr>
      <w:r w:rsidRPr="00072EF0">
        <w:rPr>
          <w:rFonts w:eastAsia="Times New Roman" w:cs="Times New Roman"/>
          <w:szCs w:val="24"/>
        </w:rPr>
        <w:t>Reviewed and approved 10 new FS programs to begin serving members in CY21.</w:t>
      </w:r>
    </w:p>
    <w:p w14:paraId="5AF24C89" w14:textId="77777777" w:rsidR="00DC3DA6" w:rsidRPr="00072EF0" w:rsidRDefault="00DC3DA6" w:rsidP="00DC3DA6">
      <w:pPr>
        <w:pStyle w:val="ListParagraph"/>
        <w:widowControl w:val="0"/>
        <w:numPr>
          <w:ilvl w:val="1"/>
          <w:numId w:val="41"/>
        </w:numPr>
        <w:autoSpaceDE w:val="0"/>
        <w:autoSpaceDN w:val="0"/>
        <w:spacing w:before="100" w:beforeAutospacing="1" w:after="100" w:afterAutospacing="1"/>
        <w:ind w:right="827"/>
        <w:rPr>
          <w:rFonts w:eastAsia="Times New Roman" w:cs="Times New Roman"/>
          <w:szCs w:val="24"/>
        </w:rPr>
      </w:pPr>
      <w:r w:rsidRPr="00072EF0">
        <w:rPr>
          <w:rFonts w:eastAsia="Times New Roman" w:cs="Times New Roman"/>
          <w:szCs w:val="24"/>
        </w:rPr>
        <w:t>This included 5 housing and 5 nutrition programs.</w:t>
      </w:r>
    </w:p>
    <w:p w14:paraId="1C6F101E" w14:textId="77777777" w:rsidR="00DC3DA6" w:rsidRPr="00072EF0" w:rsidRDefault="00DC3DA6" w:rsidP="00DC3DA6">
      <w:pPr>
        <w:pStyle w:val="ListParagraph"/>
        <w:widowControl w:val="0"/>
        <w:numPr>
          <w:ilvl w:val="0"/>
          <w:numId w:val="41"/>
        </w:numPr>
        <w:autoSpaceDE w:val="0"/>
        <w:autoSpaceDN w:val="0"/>
        <w:spacing w:before="100" w:beforeAutospacing="1" w:after="100" w:afterAutospacing="1"/>
        <w:ind w:right="827"/>
        <w:rPr>
          <w:rFonts w:eastAsia="Times New Roman" w:cs="Times New Roman"/>
          <w:szCs w:val="24"/>
        </w:rPr>
      </w:pPr>
      <w:r w:rsidRPr="00072EF0">
        <w:rPr>
          <w:rFonts w:eastAsia="Times New Roman" w:cs="Times New Roman"/>
          <w:szCs w:val="24"/>
        </w:rPr>
        <w:t>Analyzed member-level data for Q4 CY2020 reports.</w:t>
      </w:r>
    </w:p>
    <w:p w14:paraId="6BCA1B66" w14:textId="28052527" w:rsidR="00DC3DA6" w:rsidRPr="00072EF0" w:rsidRDefault="00DC3DA6" w:rsidP="00DC3DA6">
      <w:pPr>
        <w:pStyle w:val="ListParagraph"/>
        <w:widowControl w:val="0"/>
        <w:numPr>
          <w:ilvl w:val="0"/>
          <w:numId w:val="41"/>
        </w:numPr>
        <w:autoSpaceDE w:val="0"/>
        <w:autoSpaceDN w:val="0"/>
        <w:spacing w:before="100" w:beforeAutospacing="1" w:after="100" w:afterAutospacing="1"/>
        <w:ind w:right="827"/>
        <w:rPr>
          <w:rFonts w:eastAsia="Times New Roman" w:cs="Times New Roman"/>
          <w:szCs w:val="24"/>
        </w:rPr>
      </w:pPr>
      <w:r w:rsidRPr="00072EF0">
        <w:rPr>
          <w:rFonts w:eastAsia="Times New Roman" w:cs="Times New Roman"/>
          <w:szCs w:val="24"/>
        </w:rPr>
        <w:t>Participated in the SSO FS Preparation Fund Virtual Learning Community and shared FS policy updates, answered participant questions around FSP evaluation, and included discussion on implementing referral systems.</w:t>
      </w:r>
    </w:p>
    <w:p w14:paraId="438A035A" w14:textId="77777777" w:rsidR="00DC3DA6" w:rsidRPr="00072EF0" w:rsidRDefault="00DC3DA6" w:rsidP="00DC3DA6">
      <w:pPr>
        <w:pStyle w:val="ListParagraph"/>
        <w:widowControl w:val="0"/>
        <w:numPr>
          <w:ilvl w:val="0"/>
          <w:numId w:val="41"/>
        </w:numPr>
        <w:autoSpaceDE w:val="0"/>
        <w:autoSpaceDN w:val="0"/>
        <w:spacing w:before="100" w:beforeAutospacing="1" w:after="100" w:afterAutospacing="1"/>
        <w:ind w:right="827"/>
        <w:rPr>
          <w:rFonts w:eastAsia="Times New Roman" w:cs="Times New Roman"/>
          <w:szCs w:val="24"/>
        </w:rPr>
      </w:pPr>
      <w:r w:rsidRPr="00072EF0">
        <w:rPr>
          <w:rFonts w:eastAsia="Times New Roman" w:cs="Times New Roman"/>
          <w:szCs w:val="24"/>
        </w:rPr>
        <w:t>Received and began reviewing 11 new program and modifications submitted by ACOs.</w:t>
      </w:r>
    </w:p>
    <w:p w14:paraId="20AF71BC" w14:textId="77777777" w:rsidR="00DC3DA6" w:rsidRPr="007517F1" w:rsidRDefault="00DC3DA6" w:rsidP="00DC3DA6">
      <w:pPr>
        <w:pStyle w:val="ListParagraph"/>
        <w:widowControl w:val="0"/>
        <w:numPr>
          <w:ilvl w:val="0"/>
          <w:numId w:val="41"/>
        </w:numPr>
        <w:autoSpaceDE w:val="0"/>
        <w:autoSpaceDN w:val="0"/>
        <w:spacing w:before="100" w:beforeAutospacing="1" w:after="100" w:afterAutospacing="1"/>
        <w:ind w:right="827"/>
        <w:rPr>
          <w:rFonts w:eastAsia="Times New Roman" w:cs="Times New Roman"/>
          <w:szCs w:val="24"/>
        </w:rPr>
      </w:pPr>
      <w:r w:rsidRPr="00072EF0">
        <w:rPr>
          <w:rFonts w:eastAsia="Times New Roman" w:cs="Times New Roman"/>
          <w:szCs w:val="24"/>
        </w:rPr>
        <w:t>Hosted a kickoff meeting in March to provide updates on Year 1 of FSP, updates on CY2020 Annual Progress Report submissions, and kicked off contract management for Year 2 of the program.</w:t>
      </w:r>
    </w:p>
    <w:p w14:paraId="147B9D49" w14:textId="77777777" w:rsidR="00894617" w:rsidRPr="004B161F" w:rsidRDefault="00894617" w:rsidP="00A26B29">
      <w:pPr>
        <w:pStyle w:val="Heading3"/>
      </w:pPr>
      <w:r w:rsidRPr="00A7229A">
        <w:t>Infrastructure and Capacity Building</w:t>
      </w:r>
      <w:r w:rsidRPr="004B161F">
        <w:t xml:space="preserve"> </w:t>
      </w:r>
    </w:p>
    <w:p w14:paraId="654DA37A" w14:textId="77777777" w:rsidR="00894617" w:rsidRPr="004B161F" w:rsidRDefault="00894617" w:rsidP="00894617">
      <w:pPr>
        <w:widowControl w:val="0"/>
        <w:autoSpaceDE w:val="0"/>
        <w:autoSpaceDN w:val="0"/>
        <w:spacing w:before="100" w:beforeAutospacing="1" w:after="100" w:afterAutospacing="1"/>
        <w:ind w:right="827"/>
        <w:rPr>
          <w:rFonts w:eastAsia="Times New Roman" w:cs="Times New Roman"/>
          <w:szCs w:val="24"/>
          <w:u w:val="single"/>
        </w:rPr>
      </w:pPr>
      <w:r w:rsidRPr="004B161F">
        <w:rPr>
          <w:rFonts w:eastAsia="Times New Roman" w:cs="Times New Roman"/>
          <w:szCs w:val="24"/>
          <w:u w:val="single"/>
        </w:rPr>
        <w:t>Overview</w:t>
      </w:r>
    </w:p>
    <w:p w14:paraId="6E8574BB" w14:textId="77777777" w:rsidR="00894617" w:rsidRPr="004B161F" w:rsidRDefault="00894617" w:rsidP="00894617">
      <w:pPr>
        <w:widowControl w:val="0"/>
        <w:autoSpaceDE w:val="0"/>
        <w:autoSpaceDN w:val="0"/>
        <w:spacing w:before="100" w:beforeAutospacing="1" w:after="100" w:afterAutospacing="1"/>
        <w:ind w:right="827"/>
        <w:rPr>
          <w:rFonts w:eastAsia="Times New Roman" w:cs="Times New Roman"/>
          <w:szCs w:val="24"/>
          <w:u w:val="single"/>
        </w:rPr>
      </w:pPr>
      <w:r>
        <w:rPr>
          <w:rFonts w:eastAsia="Times New Roman" w:cs="Times New Roman"/>
          <w:bCs/>
          <w:iCs/>
          <w:szCs w:val="24"/>
        </w:rPr>
        <w:t>MassHealth</w:t>
      </w:r>
      <w:r w:rsidRPr="0017224C">
        <w:rPr>
          <w:rFonts w:eastAsia="Times New Roman" w:cs="Times New Roman"/>
          <w:bCs/>
          <w:iCs/>
          <w:szCs w:val="24"/>
        </w:rPr>
        <w:t xml:space="preserve"> released $4.6 million (ICB Round 2 Installment 1) for SFY 2017, and an additional $9.5 million for SFY 2018 (ICB Round 2 Installment 2). ICB Round 2 provides eligible acute care hospitals with funding to complete independent financial and operational</w:t>
      </w:r>
      <w:r w:rsidRPr="00352C37">
        <w:rPr>
          <w:rFonts w:eastAsia="Times New Roman" w:cs="Times New Roman"/>
          <w:bCs/>
          <w:iCs/>
          <w:szCs w:val="24"/>
        </w:rPr>
        <w:t xml:space="preserve"> audits and to implement recommendations from the audits. The audit</w:t>
      </w:r>
      <w:r w:rsidRPr="00711DC6">
        <w:rPr>
          <w:rFonts w:eastAsia="Times New Roman" w:cs="Times New Roman"/>
          <w:bCs/>
          <w:iCs/>
          <w:szCs w:val="24"/>
        </w:rPr>
        <w:t>s and resulting projects focus on enhancing sustainability and efficiency and improving or continuing health care services that benefit the uninsured, underinsured, and MassHealth populations</w:t>
      </w:r>
      <w:r w:rsidRPr="0051773E">
        <w:rPr>
          <w:rFonts w:eastAsia="Times New Roman" w:cs="Times New Roman"/>
          <w:bCs/>
          <w:iCs/>
          <w:szCs w:val="24"/>
        </w:rPr>
        <w:t>.</w:t>
      </w:r>
      <w:r>
        <w:rPr>
          <w:rFonts w:eastAsia="Times New Roman" w:cs="Times New Roman"/>
          <w:bCs/>
          <w:iCs/>
          <w:szCs w:val="24"/>
        </w:rPr>
        <w:t xml:space="preserve"> </w:t>
      </w:r>
    </w:p>
    <w:p w14:paraId="10DC1BFA" w14:textId="77777777" w:rsidR="00894617" w:rsidRPr="004B161F" w:rsidRDefault="00894617" w:rsidP="00894617">
      <w:pPr>
        <w:widowControl w:val="0"/>
        <w:autoSpaceDE w:val="0"/>
        <w:autoSpaceDN w:val="0"/>
        <w:spacing w:before="100" w:beforeAutospacing="1" w:after="100" w:afterAutospacing="1"/>
        <w:rPr>
          <w:rFonts w:eastAsia="Times New Roman" w:cs="Times New Roman"/>
          <w:bCs/>
          <w:iCs/>
          <w:szCs w:val="24"/>
          <w:u w:val="single"/>
        </w:rPr>
      </w:pPr>
      <w:r w:rsidRPr="004B161F">
        <w:rPr>
          <w:rFonts w:eastAsia="Times New Roman" w:cs="Times New Roman"/>
          <w:bCs/>
          <w:iCs/>
          <w:szCs w:val="24"/>
          <w:u w:val="single"/>
        </w:rPr>
        <w:t>Q4 Update</w:t>
      </w:r>
    </w:p>
    <w:p w14:paraId="672A0AFA" w14:textId="77777777" w:rsidR="00894617" w:rsidRPr="004B161F" w:rsidRDefault="00894617" w:rsidP="00894617">
      <w:pPr>
        <w:widowControl w:val="0"/>
        <w:autoSpaceDE w:val="0"/>
        <w:autoSpaceDN w:val="0"/>
        <w:spacing w:before="100" w:beforeAutospacing="1" w:after="100" w:afterAutospacing="1"/>
        <w:rPr>
          <w:rFonts w:eastAsia="Times New Roman" w:cs="Times New Roman"/>
          <w:bCs/>
          <w:iCs/>
          <w:szCs w:val="24"/>
        </w:rPr>
      </w:pPr>
      <w:r w:rsidRPr="004B161F">
        <w:rPr>
          <w:rFonts w:eastAsia="Times New Roman" w:cs="Times New Roman"/>
          <w:bCs/>
          <w:iCs/>
          <w:szCs w:val="24"/>
        </w:rPr>
        <w:t xml:space="preserve">During Q4, </w:t>
      </w:r>
      <w:r w:rsidRPr="00012A22">
        <w:rPr>
          <w:rFonts w:cs="Times New Roman"/>
          <w:color w:val="212121"/>
          <w:szCs w:val="24"/>
        </w:rPr>
        <w:t>MassHealth</w:t>
      </w:r>
      <w:r w:rsidRPr="004B161F" w:rsidDel="00522F4E">
        <w:rPr>
          <w:rFonts w:eastAsia="Times New Roman" w:cs="Times New Roman"/>
          <w:bCs/>
          <w:iCs/>
          <w:szCs w:val="24"/>
        </w:rPr>
        <w:t xml:space="preserve"> </w:t>
      </w:r>
      <w:r w:rsidRPr="004B161F">
        <w:rPr>
          <w:rFonts w:eastAsia="Times New Roman" w:cs="Times New Roman"/>
          <w:bCs/>
          <w:iCs/>
          <w:szCs w:val="24"/>
        </w:rPr>
        <w:t xml:space="preserve">continued to connect with awardees to collect final reports for ICB Round 2 Installment </w:t>
      </w:r>
      <w:r>
        <w:rPr>
          <w:rFonts w:eastAsia="Times New Roman" w:cs="Times New Roman"/>
          <w:bCs/>
          <w:iCs/>
          <w:szCs w:val="24"/>
        </w:rPr>
        <w:t>2 and continued the review of the submitted reports.</w:t>
      </w:r>
      <w:r w:rsidRPr="004B161F">
        <w:rPr>
          <w:rFonts w:eastAsia="Times New Roman" w:cs="Times New Roman"/>
          <w:bCs/>
          <w:iCs/>
          <w:szCs w:val="24"/>
        </w:rPr>
        <w:t xml:space="preserve"> </w:t>
      </w:r>
    </w:p>
    <w:p w14:paraId="52F40BC2" w14:textId="77777777" w:rsidR="00894617" w:rsidRPr="004B161F" w:rsidRDefault="00894617" w:rsidP="00894617">
      <w:pPr>
        <w:widowControl w:val="0"/>
        <w:autoSpaceDE w:val="0"/>
        <w:autoSpaceDN w:val="0"/>
        <w:spacing w:before="100" w:beforeAutospacing="1" w:after="100" w:afterAutospacing="1"/>
        <w:rPr>
          <w:rFonts w:eastAsia="Times New Roman" w:cs="Times New Roman"/>
          <w:bCs/>
          <w:iCs/>
          <w:szCs w:val="24"/>
          <w:u w:val="single"/>
        </w:rPr>
      </w:pPr>
      <w:r w:rsidRPr="004B161F">
        <w:rPr>
          <w:rFonts w:eastAsia="Times New Roman" w:cs="Times New Roman"/>
          <w:bCs/>
          <w:iCs/>
          <w:szCs w:val="24"/>
          <w:u w:val="single"/>
        </w:rPr>
        <w:t>Annual Summary</w:t>
      </w:r>
    </w:p>
    <w:p w14:paraId="777403BD" w14:textId="77777777" w:rsidR="00894617" w:rsidRPr="004B161F" w:rsidRDefault="00894617" w:rsidP="00A26B29">
      <w:r w:rsidRPr="004B161F">
        <w:t>Q1:</w:t>
      </w:r>
    </w:p>
    <w:p w14:paraId="38C069F0" w14:textId="77777777" w:rsidR="00894617" w:rsidRPr="007517F1" w:rsidRDefault="00894617" w:rsidP="00A26B29">
      <w:pPr>
        <w:pStyle w:val="ListParagraph"/>
        <w:numPr>
          <w:ilvl w:val="0"/>
          <w:numId w:val="47"/>
        </w:numPr>
      </w:pPr>
      <w:r>
        <w:t xml:space="preserve">Continued to connect with awardees to collect final reports for ICB Round 2 Installment 1. </w:t>
      </w:r>
    </w:p>
    <w:p w14:paraId="48ACF4D4" w14:textId="02BD991E" w:rsidR="00894617" w:rsidRPr="004B161F" w:rsidRDefault="00894617" w:rsidP="00A26B29">
      <w:r w:rsidRPr="004B161F">
        <w:t>Q2:</w:t>
      </w:r>
    </w:p>
    <w:p w14:paraId="2E393E49" w14:textId="77777777" w:rsidR="00894617" w:rsidRDefault="00894617" w:rsidP="00D01557">
      <w:pPr>
        <w:pStyle w:val="ListParagraph"/>
        <w:widowControl w:val="0"/>
        <w:numPr>
          <w:ilvl w:val="0"/>
          <w:numId w:val="43"/>
        </w:numPr>
        <w:autoSpaceDE w:val="0"/>
        <w:autoSpaceDN w:val="0"/>
        <w:spacing w:after="0"/>
        <w:ind w:right="827"/>
        <w:rPr>
          <w:rFonts w:eastAsia="Times New Roman" w:cs="Times New Roman"/>
          <w:bCs/>
          <w:iCs/>
          <w:szCs w:val="24"/>
        </w:rPr>
      </w:pPr>
      <w:r>
        <w:rPr>
          <w:rFonts w:eastAsia="Times New Roman" w:cs="Times New Roman"/>
          <w:bCs/>
          <w:iCs/>
          <w:szCs w:val="24"/>
        </w:rPr>
        <w:t xml:space="preserve">Continued to connect with awardees </w:t>
      </w:r>
      <w:r w:rsidRPr="00A97855">
        <w:rPr>
          <w:rFonts w:eastAsia="Times New Roman" w:cs="Times New Roman"/>
          <w:bCs/>
          <w:iCs/>
          <w:szCs w:val="24"/>
        </w:rPr>
        <w:t>to collect final reports for ICB Round 2 Installment 2</w:t>
      </w:r>
    </w:p>
    <w:p w14:paraId="6517451E" w14:textId="77777777" w:rsidR="00894617" w:rsidRPr="004B161F" w:rsidRDefault="00894617" w:rsidP="00894617">
      <w:pPr>
        <w:pStyle w:val="ListParagraph"/>
        <w:widowControl w:val="0"/>
        <w:numPr>
          <w:ilvl w:val="0"/>
          <w:numId w:val="43"/>
        </w:numPr>
        <w:autoSpaceDE w:val="0"/>
        <w:autoSpaceDN w:val="0"/>
        <w:spacing w:before="100" w:beforeAutospacing="1" w:after="100" w:afterAutospacing="1"/>
        <w:ind w:right="827"/>
        <w:rPr>
          <w:rFonts w:eastAsia="Times New Roman" w:cs="Times New Roman"/>
          <w:bCs/>
          <w:iCs/>
          <w:szCs w:val="24"/>
        </w:rPr>
      </w:pPr>
      <w:r>
        <w:rPr>
          <w:rFonts w:eastAsia="Times New Roman" w:cs="Times New Roman"/>
          <w:bCs/>
          <w:iCs/>
          <w:szCs w:val="24"/>
        </w:rPr>
        <w:t>Continued the review of the submitted reports</w:t>
      </w:r>
      <w:r w:rsidRPr="004B161F">
        <w:rPr>
          <w:rFonts w:eastAsia="Times New Roman" w:cs="Times New Roman"/>
          <w:bCs/>
          <w:iCs/>
          <w:szCs w:val="24"/>
        </w:rPr>
        <w:t xml:space="preserve">. </w:t>
      </w:r>
    </w:p>
    <w:p w14:paraId="48C37E7E" w14:textId="77777777" w:rsidR="00894617" w:rsidRPr="004B161F" w:rsidRDefault="00894617" w:rsidP="00A26B29">
      <w:r w:rsidRPr="004B161F">
        <w:t>Q3:</w:t>
      </w:r>
    </w:p>
    <w:p w14:paraId="0ED88583" w14:textId="77777777" w:rsidR="00894617" w:rsidRDefault="00894617" w:rsidP="00D01557">
      <w:pPr>
        <w:pStyle w:val="ListParagraph"/>
        <w:widowControl w:val="0"/>
        <w:numPr>
          <w:ilvl w:val="0"/>
          <w:numId w:val="43"/>
        </w:numPr>
        <w:autoSpaceDE w:val="0"/>
        <w:autoSpaceDN w:val="0"/>
        <w:spacing w:after="0"/>
        <w:ind w:right="827"/>
        <w:rPr>
          <w:rFonts w:eastAsia="Times New Roman" w:cs="Times New Roman"/>
          <w:bCs/>
          <w:iCs/>
          <w:szCs w:val="24"/>
        </w:rPr>
      </w:pPr>
      <w:r>
        <w:rPr>
          <w:rFonts w:eastAsia="Times New Roman" w:cs="Times New Roman"/>
          <w:bCs/>
          <w:iCs/>
          <w:szCs w:val="24"/>
        </w:rPr>
        <w:t xml:space="preserve">Continued to connect with awardees </w:t>
      </w:r>
      <w:r w:rsidRPr="00A97855">
        <w:rPr>
          <w:rFonts w:eastAsia="Times New Roman" w:cs="Times New Roman"/>
          <w:bCs/>
          <w:iCs/>
          <w:szCs w:val="24"/>
        </w:rPr>
        <w:t xml:space="preserve">to collect final reports for ICB Round 2 </w:t>
      </w:r>
      <w:r>
        <w:rPr>
          <w:rFonts w:eastAsia="Times New Roman" w:cs="Times New Roman"/>
          <w:bCs/>
          <w:iCs/>
          <w:szCs w:val="24"/>
        </w:rPr>
        <w:t>I</w:t>
      </w:r>
      <w:r w:rsidRPr="00A97855">
        <w:rPr>
          <w:rFonts w:eastAsia="Times New Roman" w:cs="Times New Roman"/>
          <w:bCs/>
          <w:iCs/>
          <w:szCs w:val="24"/>
        </w:rPr>
        <w:t>nstallment 2</w:t>
      </w:r>
    </w:p>
    <w:p w14:paraId="2386AEFC" w14:textId="77777777" w:rsidR="00894617" w:rsidRDefault="00894617" w:rsidP="00894617">
      <w:pPr>
        <w:pStyle w:val="ListParagraph"/>
        <w:widowControl w:val="0"/>
        <w:numPr>
          <w:ilvl w:val="0"/>
          <w:numId w:val="43"/>
        </w:numPr>
        <w:autoSpaceDE w:val="0"/>
        <w:autoSpaceDN w:val="0"/>
        <w:spacing w:before="100" w:beforeAutospacing="1" w:after="100" w:afterAutospacing="1"/>
        <w:ind w:right="827"/>
        <w:rPr>
          <w:rFonts w:eastAsia="Times New Roman" w:cs="Times New Roman"/>
          <w:bCs/>
          <w:iCs/>
          <w:szCs w:val="24"/>
        </w:rPr>
      </w:pPr>
      <w:r>
        <w:rPr>
          <w:rFonts w:eastAsia="Times New Roman" w:cs="Times New Roman"/>
          <w:bCs/>
          <w:iCs/>
          <w:szCs w:val="24"/>
        </w:rPr>
        <w:t>Continued the review of the submitted reports</w:t>
      </w:r>
    </w:p>
    <w:p w14:paraId="04148F43" w14:textId="5C11F291" w:rsidR="00BC0AF4" w:rsidRDefault="00BC0AF4" w:rsidP="00A26B29">
      <w:pPr>
        <w:pStyle w:val="Heading2"/>
      </w:pPr>
      <w:r w:rsidRPr="005F0C06">
        <w:t>Operational/Issues</w:t>
      </w:r>
    </w:p>
    <w:p w14:paraId="379399CA" w14:textId="77777777" w:rsidR="00A26B29" w:rsidRPr="00A26B29" w:rsidRDefault="00A26B29" w:rsidP="00A26B29"/>
    <w:p w14:paraId="13D3D4A5" w14:textId="1E44BA68" w:rsidR="00893916" w:rsidRPr="00E53D26" w:rsidRDefault="00893916" w:rsidP="00893916">
      <w:pPr>
        <w:pStyle w:val="BodyText"/>
      </w:pPr>
      <w:bookmarkStart w:id="5" w:name="Policy_Developments/Issues"/>
      <w:bookmarkEnd w:id="5"/>
      <w:r w:rsidRPr="00A7229A">
        <w:t>During Q4,</w:t>
      </w:r>
      <w:r w:rsidRPr="00E53D26">
        <w:t xml:space="preserve"> MassHealth </w:t>
      </w:r>
      <w:r w:rsidR="001A240D">
        <w:t xml:space="preserve">published a Bulletin announcing that, effective July 1, 2021, </w:t>
      </w:r>
      <w:r w:rsidRPr="00E53D26">
        <w:t xml:space="preserve">MassHealth </w:t>
      </w:r>
      <w:r w:rsidR="001A240D">
        <w:t xml:space="preserve">will </w:t>
      </w:r>
      <w:r w:rsidRPr="00E53D26">
        <w:t xml:space="preserve">replace the former $250 annual pharmacy copay cap with a member-specific monthly copay cap not to exceed 2% of the member’s monthly household income. </w:t>
      </w:r>
      <w:hyperlink r:id="rId11" w:history="1">
        <w:r w:rsidRPr="00B4549A">
          <w:rPr>
            <w:rStyle w:val="Hyperlink"/>
          </w:rPr>
          <w:t>https://www.mass.gov/doc/all-provider-bulletin-315-change-in-pharmacy-copay-and-premium-policies-4/download</w:t>
        </w:r>
      </w:hyperlink>
      <w:r>
        <w:t xml:space="preserve"> </w:t>
      </w:r>
    </w:p>
    <w:p w14:paraId="409167C1" w14:textId="77777777" w:rsidR="00893916" w:rsidRDefault="00893916" w:rsidP="00893916">
      <w:pPr>
        <w:pStyle w:val="BodyText"/>
      </w:pPr>
    </w:p>
    <w:p w14:paraId="25462F3B" w14:textId="69D1DC7F" w:rsidR="00893916" w:rsidRDefault="00893916" w:rsidP="00893916">
      <w:pPr>
        <w:pStyle w:val="BodyText"/>
      </w:pPr>
      <w:r w:rsidRPr="00E53D26">
        <w:t xml:space="preserve">During Q4, in response to the coronavirus disease (COVID-19) outbreak, MassHealth announced certain policy </w:t>
      </w:r>
      <w:r w:rsidR="001A240D">
        <w:t xml:space="preserve">and operational </w:t>
      </w:r>
      <w:r w:rsidRPr="00E53D26">
        <w:t xml:space="preserve">changes to provide greater flexibility in providing care to MassHealth members.  </w:t>
      </w:r>
      <w:r w:rsidR="00A7229A">
        <w:t>B</w:t>
      </w:r>
      <w:r w:rsidRPr="00E53D26">
        <w:t xml:space="preserve">ulletins </w:t>
      </w:r>
      <w:r w:rsidR="00A7229A">
        <w:t xml:space="preserve">released during the quarter </w:t>
      </w:r>
      <w:r w:rsidRPr="00E53D26">
        <w:t xml:space="preserve">guide </w:t>
      </w:r>
      <w:r w:rsidR="001A240D">
        <w:t xml:space="preserve">providers and </w:t>
      </w:r>
      <w:r w:rsidRPr="00E53D26">
        <w:t>health plans on</w:t>
      </w:r>
      <w:r w:rsidR="00E676A2">
        <w:t xml:space="preserve"> the following policy changes</w:t>
      </w:r>
      <w:r w:rsidRPr="00E53D26">
        <w:t>:</w:t>
      </w:r>
      <w:r>
        <w:t xml:space="preserve"> </w:t>
      </w:r>
    </w:p>
    <w:p w14:paraId="108EB54A" w14:textId="77777777" w:rsidR="00893916" w:rsidRPr="00E53D26" w:rsidRDefault="00893916" w:rsidP="00893916">
      <w:pPr>
        <w:pStyle w:val="BodyText"/>
      </w:pPr>
    </w:p>
    <w:p w14:paraId="4DCD9CF7" w14:textId="77777777" w:rsidR="00893916" w:rsidRDefault="00893916" w:rsidP="00A7229A">
      <w:pPr>
        <w:pStyle w:val="BodyText"/>
        <w:numPr>
          <w:ilvl w:val="0"/>
          <w:numId w:val="60"/>
        </w:numPr>
      </w:pPr>
      <w:r w:rsidRPr="00E53D26">
        <w:t xml:space="preserve">MassHealth is now permitting acute treatment services providers, clinical stabilization services providers and dental providers to bill MassHealth for COVID-19 vaccine administration, even if they are not currently authorized to receive payment from MassHealth to administer other vaccines. </w:t>
      </w:r>
      <w:hyperlink r:id="rId12" w:history="1">
        <w:r w:rsidRPr="00B4549A">
          <w:rPr>
            <w:rStyle w:val="Hyperlink"/>
          </w:rPr>
          <w:t>https://www.mass.gov/doc/managed-care-entity-bulletin-62-update-to-authorized-providers-and-payment-for-coronavirus-disease-2019-covid-19-vaccine-administration-0/download</w:t>
        </w:r>
      </w:hyperlink>
      <w:r>
        <w:t xml:space="preserve"> </w:t>
      </w:r>
    </w:p>
    <w:p w14:paraId="640B9BB3" w14:textId="77777777" w:rsidR="00893916" w:rsidRPr="00E53D26" w:rsidRDefault="00893916" w:rsidP="00893916">
      <w:pPr>
        <w:pStyle w:val="BodyText"/>
      </w:pPr>
    </w:p>
    <w:p w14:paraId="2C61186A" w14:textId="77777777" w:rsidR="00893916" w:rsidRDefault="00893916" w:rsidP="00A7229A">
      <w:pPr>
        <w:pStyle w:val="BodyText"/>
        <w:numPr>
          <w:ilvl w:val="0"/>
          <w:numId w:val="60"/>
        </w:numPr>
      </w:pPr>
      <w:r w:rsidRPr="00E53D26">
        <w:t>MassHealth extended temporary policy changes to its telehealth policy to end 90 days beyond the final date of the Governor’s Declaration of a State of Emergency to Respond to COVID-19</w:t>
      </w:r>
      <w:r>
        <w:t>.</w:t>
      </w:r>
      <w:r w:rsidRPr="00E53D26">
        <w:t xml:space="preserve"> </w:t>
      </w:r>
      <w:hyperlink r:id="rId13" w:history="1">
        <w:r w:rsidRPr="00B4549A">
          <w:rPr>
            <w:rStyle w:val="Hyperlink"/>
          </w:rPr>
          <w:t>https://www.mass.gov/doc/managed-care-entity-bulletin-60-updated-masshealth-telehealth-policy-0/download</w:t>
        </w:r>
      </w:hyperlink>
      <w:r>
        <w:t xml:space="preserve"> </w:t>
      </w:r>
    </w:p>
    <w:p w14:paraId="23F2740D" w14:textId="77777777" w:rsidR="00893916" w:rsidRPr="00E53D26" w:rsidRDefault="00893916" w:rsidP="00893916">
      <w:pPr>
        <w:pStyle w:val="BodyText"/>
      </w:pPr>
    </w:p>
    <w:p w14:paraId="275ACC86" w14:textId="77777777" w:rsidR="00893916" w:rsidRDefault="00893916" w:rsidP="00A7229A">
      <w:pPr>
        <w:pStyle w:val="BodyText"/>
        <w:numPr>
          <w:ilvl w:val="0"/>
          <w:numId w:val="60"/>
        </w:numPr>
      </w:pPr>
      <w:r w:rsidRPr="00E53D26">
        <w:t xml:space="preserve">MassHealth temporarily increased its managed care rate floors for Acute Treatment Services (ATS), Clinical Stabilization Services (CSS), and Residential Rehabilitation Services (RRS) for dates of service effective April 1, 2021, through June 30, 2021. </w:t>
      </w:r>
      <w:hyperlink r:id="rId14" w:history="1">
        <w:r w:rsidRPr="00B4549A">
          <w:rPr>
            <w:rStyle w:val="Hyperlink"/>
          </w:rPr>
          <w:t>https://www.mass.gov/doc/managed-care-entity-bulletin-63-masshealth-rate-floor-enhancements-for-acute-treatment-services-clinical-stabilization-services-and-residential-rehabilitation-services-0/download</w:t>
        </w:r>
      </w:hyperlink>
      <w:r>
        <w:t xml:space="preserve"> </w:t>
      </w:r>
    </w:p>
    <w:p w14:paraId="6164F430" w14:textId="77777777" w:rsidR="00893916" w:rsidRPr="00E53D26" w:rsidRDefault="00893916" w:rsidP="00893916">
      <w:pPr>
        <w:pStyle w:val="BodyText"/>
      </w:pPr>
    </w:p>
    <w:p w14:paraId="78F8C886" w14:textId="77777777" w:rsidR="00893916" w:rsidRDefault="00893916" w:rsidP="00A7229A">
      <w:pPr>
        <w:pStyle w:val="BodyText"/>
        <w:numPr>
          <w:ilvl w:val="0"/>
          <w:numId w:val="60"/>
        </w:numPr>
      </w:pPr>
      <w:r w:rsidRPr="00E53D26">
        <w:t xml:space="preserve">MassHealth has retained certain of the flexibilities provided during the state of emergency in the Commonwealth  beyond the June 15, 2021, expiration of the March 2020 declaration of a state of emergency. </w:t>
      </w:r>
      <w:hyperlink r:id="rId15" w:history="1">
        <w:r w:rsidRPr="00B4549A">
          <w:rPr>
            <w:rStyle w:val="Hyperlink"/>
          </w:rPr>
          <w:t>https://www.mass.gov/doc/all-provider-bulletin-319-coverage-and-reimbursement-policy-updates-for-services-related-to-covid-19-after-the-termination-of-the-state-of-emergency-0/download</w:t>
        </w:r>
      </w:hyperlink>
      <w:r>
        <w:t xml:space="preserve"> </w:t>
      </w:r>
    </w:p>
    <w:p w14:paraId="7B31BCE1" w14:textId="77777777" w:rsidR="00893916" w:rsidRPr="00E53D26" w:rsidRDefault="00893916" w:rsidP="00893916">
      <w:pPr>
        <w:pStyle w:val="BodyText"/>
      </w:pPr>
    </w:p>
    <w:p w14:paraId="3E27FBD9" w14:textId="77777777" w:rsidR="00893916" w:rsidRDefault="00893916" w:rsidP="00A7229A">
      <w:pPr>
        <w:pStyle w:val="BodyText"/>
        <w:numPr>
          <w:ilvl w:val="0"/>
          <w:numId w:val="60"/>
        </w:numPr>
      </w:pPr>
      <w:r w:rsidRPr="00E53D26">
        <w:t xml:space="preserve">MassHealth updated coverage and reimbursement policies for services related to COVID-19 after the termination of the state of emergency in the Commonwealth. </w:t>
      </w:r>
      <w:hyperlink r:id="rId16" w:history="1">
        <w:r w:rsidRPr="00B4549A">
          <w:rPr>
            <w:rStyle w:val="Hyperlink"/>
          </w:rPr>
          <w:t>https://www.mass.gov/doc/all-provider-bulletin-319-coverage-and-reimbursement-policy-updates-for-services-related-to-covid-19-after-the-termination-of-the-state-of-emergency-0/download</w:t>
        </w:r>
      </w:hyperlink>
      <w:r>
        <w:t xml:space="preserve"> </w:t>
      </w:r>
    </w:p>
    <w:p w14:paraId="1EF59444" w14:textId="77777777" w:rsidR="00893916" w:rsidRPr="00E53D26" w:rsidRDefault="00893916" w:rsidP="00893916">
      <w:pPr>
        <w:pStyle w:val="BodyText"/>
      </w:pPr>
    </w:p>
    <w:p w14:paraId="4E45C5C6" w14:textId="77777777" w:rsidR="00893916" w:rsidRPr="00AE7E02" w:rsidRDefault="00893916" w:rsidP="00A7229A">
      <w:pPr>
        <w:pStyle w:val="BodyText"/>
        <w:numPr>
          <w:ilvl w:val="0"/>
          <w:numId w:val="60"/>
        </w:numPr>
        <w:rPr>
          <w:b/>
          <w:u w:val="single"/>
        </w:rPr>
      </w:pPr>
      <w:r w:rsidRPr="00E53D26">
        <w:t xml:space="preserve">MassHealth updated payment for administration of monoclonal antibody products for treatment of Coronavirus Disease 2019 (COVID-19). </w:t>
      </w:r>
      <w:hyperlink r:id="rId17" w:history="1">
        <w:r w:rsidRPr="00B4549A">
          <w:rPr>
            <w:rStyle w:val="Hyperlink"/>
          </w:rPr>
          <w:t>https://www.mass.gov/doc/all-provider-bulletin-318-update-about-monoclonal-antibody-treatment-for-coronavirus-disease-2019-covid-19-0/download</w:t>
        </w:r>
      </w:hyperlink>
      <w:r>
        <w:t xml:space="preserve"> </w:t>
      </w:r>
    </w:p>
    <w:p w14:paraId="319FA049" w14:textId="4DAFF9FA" w:rsidR="005F0C06" w:rsidRPr="00A26B29" w:rsidRDefault="001A240D" w:rsidP="00A26B29">
      <w:pPr>
        <w:rPr>
          <w:u w:val="single"/>
        </w:rPr>
      </w:pPr>
      <w:r>
        <w:rPr>
          <w:b/>
          <w:bCs/>
        </w:rPr>
        <w:br/>
      </w:r>
      <w:r w:rsidR="005F0C06" w:rsidRPr="00A26B29">
        <w:rPr>
          <w:u w:val="single"/>
        </w:rPr>
        <w:t>Annual Summary</w:t>
      </w:r>
    </w:p>
    <w:p w14:paraId="0B4D1CB8" w14:textId="6DF3A459" w:rsidR="005A1B56" w:rsidRDefault="005A1B56" w:rsidP="005A1B56">
      <w:pPr>
        <w:spacing w:before="100" w:beforeAutospacing="1" w:after="100" w:afterAutospacing="1"/>
        <w:rPr>
          <w:rFonts w:cs="Times New Roman"/>
          <w:bCs/>
          <w:szCs w:val="24"/>
        </w:rPr>
      </w:pPr>
      <w:r>
        <w:rPr>
          <w:rFonts w:cs="Times New Roman"/>
          <w:bCs/>
          <w:szCs w:val="24"/>
        </w:rPr>
        <w:t>In response to the COVID-19 pandemic, this year MassHealth announced certain policy changes to provide greater flexibility in providing care to MassHealth members. Key bulletins included:</w:t>
      </w:r>
    </w:p>
    <w:p w14:paraId="285364AF" w14:textId="77777777" w:rsidR="005A1B56" w:rsidRDefault="005A1B56" w:rsidP="005A1B56">
      <w:pPr>
        <w:numPr>
          <w:ilvl w:val="0"/>
          <w:numId w:val="61"/>
        </w:numPr>
        <w:spacing w:before="100" w:beforeAutospacing="1" w:after="100" w:afterAutospacing="1"/>
        <w:rPr>
          <w:rFonts w:cs="Times New Roman"/>
          <w:bCs/>
          <w:szCs w:val="24"/>
          <w:u w:val="single"/>
        </w:rPr>
      </w:pPr>
      <w:r>
        <w:rPr>
          <w:rFonts w:cs="Times New Roman"/>
          <w:bCs/>
          <w:szCs w:val="24"/>
        </w:rPr>
        <w:t>Updated MassHealth Telehealth Policy</w:t>
      </w:r>
      <w:r>
        <w:rPr>
          <w:rFonts w:cs="Times New Roman"/>
          <w:bCs/>
          <w:szCs w:val="24"/>
          <w:u w:val="single"/>
        </w:rPr>
        <w:t> </w:t>
      </w:r>
      <w:hyperlink r:id="rId18" w:tgtFrame="_blank" w:history="1">
        <w:r>
          <w:rPr>
            <w:rStyle w:val="Hyperlink"/>
            <w:rFonts w:cs="Times New Roman"/>
            <w:bCs/>
            <w:szCs w:val="24"/>
          </w:rPr>
          <w:t>https://www.mass.gov/doc/managed-care-entity-bulletin-46-updated-masshealth-telehealth-policy-0/download</w:t>
        </w:r>
      </w:hyperlink>
    </w:p>
    <w:p w14:paraId="224A5D00" w14:textId="77777777" w:rsidR="005A1B56" w:rsidRDefault="005A1B56" w:rsidP="005A1B56">
      <w:pPr>
        <w:numPr>
          <w:ilvl w:val="0"/>
          <w:numId w:val="61"/>
        </w:numPr>
        <w:spacing w:before="100" w:beforeAutospacing="1" w:after="100" w:afterAutospacing="1"/>
        <w:rPr>
          <w:rFonts w:cs="Times New Roman"/>
          <w:bCs/>
          <w:szCs w:val="24"/>
          <w:u w:val="single"/>
        </w:rPr>
      </w:pPr>
      <w:r>
        <w:rPr>
          <w:rFonts w:cs="Times New Roman"/>
          <w:bCs/>
          <w:szCs w:val="24"/>
        </w:rPr>
        <w:t xml:space="preserve">Coverage and Payment for Coronavirus Disease 2019 (COVID-19) Vaccine Administration, Testing, and Monoclonal Antibody Product Infusion </w:t>
      </w:r>
      <w:hyperlink r:id="rId19" w:history="1">
        <w:r>
          <w:rPr>
            <w:rStyle w:val="Hyperlink"/>
            <w:rFonts w:cs="Times New Roman"/>
            <w:bCs/>
            <w:szCs w:val="24"/>
          </w:rPr>
          <w:t>https://www.mass.gov/doc/managed-care-entity-bulletin-50-coverage-and-payment-for-coronavirus-disease-2019-covid-19-0/download</w:t>
        </w:r>
      </w:hyperlink>
      <w:r>
        <w:rPr>
          <w:rFonts w:cs="Times New Roman"/>
          <w:bCs/>
          <w:szCs w:val="24"/>
          <w:u w:val="single"/>
        </w:rPr>
        <w:t xml:space="preserve"> </w:t>
      </w:r>
    </w:p>
    <w:p w14:paraId="19DE9129" w14:textId="77777777" w:rsidR="005A1B56" w:rsidRDefault="005A1B56" w:rsidP="005A1B56">
      <w:pPr>
        <w:numPr>
          <w:ilvl w:val="0"/>
          <w:numId w:val="61"/>
        </w:numPr>
        <w:spacing w:before="100" w:beforeAutospacing="1" w:after="100" w:afterAutospacing="1"/>
        <w:rPr>
          <w:rFonts w:cs="Times New Roman"/>
          <w:bCs/>
          <w:szCs w:val="24"/>
          <w:u w:val="single"/>
        </w:rPr>
      </w:pPr>
      <w:r>
        <w:rPr>
          <w:rFonts w:cs="Times New Roman"/>
          <w:bCs/>
          <w:szCs w:val="24"/>
        </w:rPr>
        <w:t xml:space="preserve">Updated coverage and reimbursement policies for services related to COVID-19 after the termination of the state of emergency in the Commonwealth </w:t>
      </w:r>
      <w:hyperlink r:id="rId20" w:history="1">
        <w:r>
          <w:rPr>
            <w:rStyle w:val="Hyperlink"/>
            <w:rFonts w:cs="Times New Roman"/>
            <w:bCs/>
            <w:szCs w:val="24"/>
          </w:rPr>
          <w:t>https://www.mass.gov/doc/all-provider-bulletin-319-coverage-and-reimbursement-policy-updates-for-services-related-to-covid-19-after-the-termination-of-the-state-of-emergency-0/download</w:t>
        </w:r>
      </w:hyperlink>
      <w:r>
        <w:rPr>
          <w:rFonts w:cs="Times New Roman"/>
          <w:bCs/>
          <w:szCs w:val="24"/>
          <w:u w:val="single"/>
        </w:rPr>
        <w:t xml:space="preserve"> </w:t>
      </w:r>
    </w:p>
    <w:p w14:paraId="0A73824D" w14:textId="77777777" w:rsidR="005A1B56" w:rsidRDefault="005A1B56" w:rsidP="005A1B56">
      <w:pPr>
        <w:numPr>
          <w:ilvl w:val="0"/>
          <w:numId w:val="61"/>
        </w:numPr>
        <w:spacing w:before="100" w:beforeAutospacing="1" w:after="100" w:afterAutospacing="1"/>
        <w:rPr>
          <w:rFonts w:cs="Times New Roman"/>
          <w:bCs/>
          <w:szCs w:val="24"/>
          <w:u w:val="single"/>
        </w:rPr>
      </w:pPr>
      <w:r>
        <w:rPr>
          <w:rFonts w:cs="Times New Roman"/>
          <w:bCs/>
          <w:szCs w:val="24"/>
        </w:rPr>
        <w:t xml:space="preserve">Retention of certain flexibilities provided during the state of emergency in the Commonwealth  beyond the June 15, 2021, expiration of the March 2020 declaration of a state of emergency </w:t>
      </w:r>
      <w:hyperlink r:id="rId21" w:history="1">
        <w:r>
          <w:rPr>
            <w:rStyle w:val="Hyperlink"/>
            <w:rFonts w:cs="Times New Roman"/>
            <w:bCs/>
            <w:szCs w:val="24"/>
          </w:rPr>
          <w:t>https://www.mass.gov/doc/all-provider-bulletin-319-coverage-and-reimbursement-policy-updates-for-services-related-to-covid-19-after-the-termination-of-the-state-of-emergency-0/download</w:t>
        </w:r>
      </w:hyperlink>
      <w:r>
        <w:rPr>
          <w:rFonts w:cs="Times New Roman"/>
          <w:bCs/>
          <w:szCs w:val="24"/>
          <w:u w:val="single"/>
        </w:rPr>
        <w:t xml:space="preserve"> </w:t>
      </w:r>
    </w:p>
    <w:p w14:paraId="4C1911F3" w14:textId="347FB08D" w:rsidR="00BC0AF4" w:rsidRDefault="00BC0AF4" w:rsidP="00A26B29">
      <w:pPr>
        <w:pStyle w:val="Heading2"/>
      </w:pPr>
      <w:r w:rsidRPr="00A97855">
        <w:t>Policy Developments/Issues</w:t>
      </w:r>
    </w:p>
    <w:p w14:paraId="7B8B3EFD" w14:textId="5E7C1687" w:rsidR="006C1B7C" w:rsidRPr="00A26B29" w:rsidRDefault="006C1B7C" w:rsidP="00A26B29">
      <w:pPr>
        <w:rPr>
          <w:u w:val="single"/>
        </w:rPr>
      </w:pPr>
      <w:r w:rsidRPr="00A26B29">
        <w:rPr>
          <w:u w:val="single"/>
        </w:rPr>
        <w:t>Annual Summary</w:t>
      </w:r>
    </w:p>
    <w:p w14:paraId="423B5772" w14:textId="74781DA4" w:rsidR="0025373E" w:rsidRDefault="0025373E" w:rsidP="0025373E">
      <w:pPr>
        <w:widowControl w:val="0"/>
        <w:autoSpaceDE w:val="0"/>
        <w:autoSpaceDN w:val="0"/>
        <w:spacing w:before="100" w:beforeAutospacing="1" w:after="100" w:afterAutospacing="1"/>
        <w:rPr>
          <w:rFonts w:eastAsia="Times New Roman" w:cs="Times New Roman"/>
          <w:bCs/>
          <w:szCs w:val="24"/>
        </w:rPr>
      </w:pPr>
      <w:bookmarkStart w:id="6" w:name="Financial/Budget_Neutrality_Development/"/>
      <w:bookmarkEnd w:id="6"/>
      <w:r w:rsidRPr="00352BA4">
        <w:rPr>
          <w:rFonts w:eastAsia="Times New Roman" w:cs="Times New Roman"/>
          <w:bCs/>
          <w:szCs w:val="24"/>
        </w:rPr>
        <w:t xml:space="preserve">During Q1 EOHHS continued to focus on policy changes in response to the COVID-19 pandemic.  During the 1st quarter EOHHS received approval for Medicaid Disaster State Plan Amendments </w:t>
      </w:r>
      <w:r w:rsidR="0046147E">
        <w:rPr>
          <w:rFonts w:eastAsia="Times New Roman" w:cs="Times New Roman"/>
          <w:bCs/>
          <w:szCs w:val="24"/>
        </w:rPr>
        <w:t xml:space="preserve">(SPAs) </w:t>
      </w:r>
      <w:r w:rsidRPr="00352BA4">
        <w:rPr>
          <w:rFonts w:eastAsia="Times New Roman" w:cs="Times New Roman"/>
          <w:bCs/>
          <w:szCs w:val="24"/>
        </w:rPr>
        <w:t>that authorized temporary increases to certain behavioral health and SUD rates; temporary adjustments to the dispensing fee for home-delivered drugs and certain exceptions to the preferred drug list if shortages occur; and flexibilities for Hospital Presumptive Eligibility for certain individuals 65 and older and the elimination of copays on acute inpatient hospital stays for all members.  During the quarter EOHHS also submitted a fourth 1135 waiver request to permit the state to make payments for clinic services delivered via telehealth or in other non-clinic locations and continued to work with CMS regarding the pending Medicaid and CHIP Disaster SPAs, 1135 requests and Emergency COVID-19 1115</w:t>
      </w:r>
      <w:r>
        <w:rPr>
          <w:rFonts w:eastAsia="Times New Roman" w:cs="Times New Roman"/>
          <w:bCs/>
          <w:szCs w:val="24"/>
        </w:rPr>
        <w:t>.</w:t>
      </w:r>
    </w:p>
    <w:p w14:paraId="4F9C8E4D" w14:textId="567C8AF2" w:rsidR="0025373E" w:rsidRDefault="0025373E" w:rsidP="0025373E">
      <w:pPr>
        <w:widowControl w:val="0"/>
        <w:autoSpaceDE w:val="0"/>
        <w:autoSpaceDN w:val="0"/>
        <w:spacing w:before="100" w:beforeAutospacing="1" w:after="100" w:afterAutospacing="1"/>
        <w:rPr>
          <w:rFonts w:eastAsia="Times New Roman" w:cs="Times New Roman"/>
          <w:bCs/>
          <w:szCs w:val="24"/>
        </w:rPr>
      </w:pPr>
      <w:r w:rsidRPr="00352BA4">
        <w:rPr>
          <w:rFonts w:eastAsia="Times New Roman" w:cs="Times New Roman"/>
          <w:bCs/>
          <w:szCs w:val="24"/>
        </w:rPr>
        <w:t>During Q</w:t>
      </w:r>
      <w:r>
        <w:rPr>
          <w:rFonts w:eastAsia="Times New Roman" w:cs="Times New Roman"/>
          <w:bCs/>
          <w:szCs w:val="24"/>
        </w:rPr>
        <w:t>2,</w:t>
      </w:r>
      <w:r w:rsidRPr="00352BA4">
        <w:rPr>
          <w:rFonts w:eastAsia="Times New Roman" w:cs="Times New Roman"/>
          <w:bCs/>
          <w:szCs w:val="24"/>
        </w:rPr>
        <w:t xml:space="preserve"> EOHHS continued to focus on policy changes in response to the COVID-19 pandemic. EOHHS received approval for </w:t>
      </w:r>
      <w:r>
        <w:rPr>
          <w:rFonts w:eastAsia="Times New Roman" w:cs="Times New Roman"/>
          <w:bCs/>
          <w:szCs w:val="24"/>
        </w:rPr>
        <w:t xml:space="preserve">a CHIP Disaster </w:t>
      </w:r>
      <w:r w:rsidR="0046147E">
        <w:rPr>
          <w:rFonts w:eastAsia="Times New Roman" w:cs="Times New Roman"/>
          <w:bCs/>
          <w:szCs w:val="24"/>
        </w:rPr>
        <w:t>SPA</w:t>
      </w:r>
      <w:r>
        <w:rPr>
          <w:rFonts w:eastAsia="Times New Roman" w:cs="Times New Roman"/>
          <w:bCs/>
          <w:szCs w:val="24"/>
        </w:rPr>
        <w:t xml:space="preserve"> that authorizes</w:t>
      </w:r>
      <w:r w:rsidRPr="002B0FD9">
        <w:rPr>
          <w:rFonts w:eastAsia="Times New Roman" w:cs="Times New Roman"/>
          <w:bCs/>
          <w:szCs w:val="24"/>
        </w:rPr>
        <w:t xml:space="preserve"> continuous coverage for certain factors for separate CHIP, allow</w:t>
      </w:r>
      <w:r>
        <w:rPr>
          <w:rFonts w:eastAsia="Times New Roman" w:cs="Times New Roman"/>
          <w:bCs/>
          <w:szCs w:val="24"/>
        </w:rPr>
        <w:t>s</w:t>
      </w:r>
      <w:r w:rsidRPr="002B0FD9">
        <w:rPr>
          <w:rFonts w:eastAsia="Times New Roman" w:cs="Times New Roman"/>
          <w:bCs/>
          <w:szCs w:val="24"/>
        </w:rPr>
        <w:t xml:space="preserve"> for self</w:t>
      </w:r>
      <w:r>
        <w:rPr>
          <w:rFonts w:eastAsia="Times New Roman" w:cs="Times New Roman"/>
          <w:bCs/>
          <w:szCs w:val="24"/>
        </w:rPr>
        <w:t>-</w:t>
      </w:r>
      <w:r w:rsidRPr="002B0FD9">
        <w:rPr>
          <w:rFonts w:eastAsia="Times New Roman" w:cs="Times New Roman"/>
          <w:bCs/>
          <w:szCs w:val="24"/>
        </w:rPr>
        <w:t>attestation of eligibility factors other than citizenship/immigration status</w:t>
      </w:r>
      <w:r>
        <w:rPr>
          <w:rFonts w:eastAsia="Times New Roman" w:cs="Times New Roman"/>
          <w:bCs/>
          <w:szCs w:val="24"/>
        </w:rPr>
        <w:t>,</w:t>
      </w:r>
      <w:r w:rsidRPr="002B0FD9">
        <w:rPr>
          <w:rFonts w:eastAsia="Times New Roman" w:cs="Times New Roman"/>
          <w:bCs/>
          <w:szCs w:val="24"/>
        </w:rPr>
        <w:t xml:space="preserve"> allow</w:t>
      </w:r>
      <w:r>
        <w:rPr>
          <w:rFonts w:eastAsia="Times New Roman" w:cs="Times New Roman"/>
          <w:bCs/>
          <w:szCs w:val="24"/>
        </w:rPr>
        <w:t>s</w:t>
      </w:r>
      <w:r w:rsidRPr="002B0FD9">
        <w:rPr>
          <w:rFonts w:eastAsia="Times New Roman" w:cs="Times New Roman"/>
          <w:bCs/>
          <w:szCs w:val="24"/>
        </w:rPr>
        <w:t xml:space="preserve"> up to 2 H</w:t>
      </w:r>
      <w:r>
        <w:rPr>
          <w:rFonts w:eastAsia="Times New Roman" w:cs="Times New Roman"/>
          <w:bCs/>
          <w:szCs w:val="24"/>
        </w:rPr>
        <w:t xml:space="preserve">ospital </w:t>
      </w:r>
      <w:r w:rsidRPr="002B0FD9">
        <w:rPr>
          <w:rFonts w:eastAsia="Times New Roman" w:cs="Times New Roman"/>
          <w:bCs/>
          <w:szCs w:val="24"/>
        </w:rPr>
        <w:t>P</w:t>
      </w:r>
      <w:r>
        <w:rPr>
          <w:rFonts w:eastAsia="Times New Roman" w:cs="Times New Roman"/>
          <w:bCs/>
          <w:szCs w:val="24"/>
        </w:rPr>
        <w:t xml:space="preserve">resumptive </w:t>
      </w:r>
      <w:r w:rsidRPr="002B0FD9">
        <w:rPr>
          <w:rFonts w:eastAsia="Times New Roman" w:cs="Times New Roman"/>
          <w:bCs/>
          <w:szCs w:val="24"/>
        </w:rPr>
        <w:t>E</w:t>
      </w:r>
      <w:r>
        <w:rPr>
          <w:rFonts w:eastAsia="Times New Roman" w:cs="Times New Roman"/>
          <w:bCs/>
          <w:szCs w:val="24"/>
        </w:rPr>
        <w:t>ligibility</w:t>
      </w:r>
      <w:r w:rsidRPr="002B0FD9">
        <w:rPr>
          <w:rFonts w:eastAsia="Times New Roman" w:cs="Times New Roman"/>
          <w:bCs/>
          <w:szCs w:val="24"/>
        </w:rPr>
        <w:t xml:space="preserve"> periods within a 12 month period; </w:t>
      </w:r>
      <w:r>
        <w:rPr>
          <w:rFonts w:eastAsia="Times New Roman" w:cs="Times New Roman"/>
          <w:bCs/>
          <w:szCs w:val="24"/>
        </w:rPr>
        <w:t xml:space="preserve">and </w:t>
      </w:r>
      <w:r w:rsidRPr="002B0FD9">
        <w:rPr>
          <w:rFonts w:eastAsia="Times New Roman" w:cs="Times New Roman"/>
          <w:bCs/>
          <w:szCs w:val="24"/>
        </w:rPr>
        <w:t>waive</w:t>
      </w:r>
      <w:r>
        <w:rPr>
          <w:rFonts w:eastAsia="Times New Roman" w:cs="Times New Roman"/>
          <w:bCs/>
          <w:szCs w:val="24"/>
        </w:rPr>
        <w:t xml:space="preserve">s </w:t>
      </w:r>
      <w:r w:rsidRPr="002B0FD9">
        <w:rPr>
          <w:rFonts w:eastAsia="Times New Roman" w:cs="Times New Roman"/>
          <w:bCs/>
          <w:szCs w:val="24"/>
        </w:rPr>
        <w:t>premiums and/or premium balance to reactivate coverage following a termination due to non-payment of premiums for those who apply for a hardship waiver.</w:t>
      </w:r>
      <w:r>
        <w:rPr>
          <w:rFonts w:eastAsia="Times New Roman" w:cs="Times New Roman"/>
          <w:bCs/>
          <w:szCs w:val="24"/>
        </w:rPr>
        <w:t xml:space="preserve"> EOHHS also received approval for a </w:t>
      </w:r>
      <w:r w:rsidRPr="00352BA4">
        <w:rPr>
          <w:rFonts w:eastAsia="Times New Roman" w:cs="Times New Roman"/>
          <w:bCs/>
          <w:szCs w:val="24"/>
        </w:rPr>
        <w:t xml:space="preserve">Medicaid Disaster </w:t>
      </w:r>
      <w:r w:rsidR="0046147E">
        <w:rPr>
          <w:rFonts w:eastAsia="Times New Roman" w:cs="Times New Roman"/>
          <w:bCs/>
          <w:szCs w:val="24"/>
        </w:rPr>
        <w:t>SPA</w:t>
      </w:r>
      <w:r w:rsidRPr="00352BA4">
        <w:rPr>
          <w:rFonts w:eastAsia="Times New Roman" w:cs="Times New Roman"/>
          <w:bCs/>
          <w:szCs w:val="24"/>
        </w:rPr>
        <w:t xml:space="preserve"> that authorized temporary increases to </w:t>
      </w:r>
      <w:r>
        <w:rPr>
          <w:rFonts w:eastAsia="Times New Roman" w:cs="Times New Roman"/>
          <w:bCs/>
          <w:szCs w:val="24"/>
        </w:rPr>
        <w:t xml:space="preserve">acute and psychiatric inpatient hospital rates and responded to questions from CMS on pending Disaster SPAs. </w:t>
      </w:r>
    </w:p>
    <w:p w14:paraId="440BF3D1" w14:textId="77777777" w:rsidR="0025373E" w:rsidRDefault="0025373E" w:rsidP="0025373E">
      <w:pPr>
        <w:widowControl w:val="0"/>
        <w:autoSpaceDE w:val="0"/>
        <w:autoSpaceDN w:val="0"/>
        <w:spacing w:before="100" w:beforeAutospacing="1" w:after="100" w:afterAutospacing="1"/>
        <w:rPr>
          <w:rFonts w:eastAsia="Times New Roman" w:cs="Times New Roman"/>
          <w:bCs/>
          <w:szCs w:val="24"/>
        </w:rPr>
      </w:pPr>
      <w:r w:rsidRPr="00352BA4">
        <w:rPr>
          <w:rFonts w:eastAsia="Times New Roman" w:cs="Times New Roman"/>
          <w:bCs/>
          <w:szCs w:val="24"/>
        </w:rPr>
        <w:t xml:space="preserve">During the quarter EOHHS </w:t>
      </w:r>
      <w:r>
        <w:rPr>
          <w:rFonts w:eastAsia="Times New Roman" w:cs="Times New Roman"/>
          <w:bCs/>
          <w:szCs w:val="24"/>
        </w:rPr>
        <w:t>received approval for a</w:t>
      </w:r>
      <w:r w:rsidRPr="00352BA4">
        <w:rPr>
          <w:rFonts w:eastAsia="Times New Roman" w:cs="Times New Roman"/>
          <w:bCs/>
          <w:szCs w:val="24"/>
        </w:rPr>
        <w:t xml:space="preserve"> 1135 waiver request </w:t>
      </w:r>
      <w:r w:rsidRPr="00425B9C">
        <w:rPr>
          <w:rFonts w:cs="Times New Roman"/>
          <w:color w:val="141414"/>
          <w:szCs w:val="24"/>
        </w:rPr>
        <w:t>allowing for clinic services to be provided in the clinic practitioner’s home and the state’s COVID-19 isolation and recovery sites. </w:t>
      </w:r>
      <w:r>
        <w:rPr>
          <w:rFonts w:eastAsia="Times New Roman" w:cs="Times New Roman"/>
          <w:bCs/>
          <w:szCs w:val="24"/>
        </w:rPr>
        <w:t>In addition, during the quarter EOHHS received approval for an Emergency 1115 Demonstration, which provided waiver and expenditure authority to support mobile testing, Telehealth Network Providers and retainer payments to Adult Day Heath and Day Habilitation providers, all designed to support the state’s response to the COVID-19 pandemic. Finally, towards the end of the quarter, MassHealth developed its policies around coverage and payment rates for COVID-19 vaccine administration and began to pay eligible providers for administration of the vaccines.</w:t>
      </w:r>
    </w:p>
    <w:p w14:paraId="103D217F" w14:textId="6636792E" w:rsidR="0025373E" w:rsidRPr="00581D6F" w:rsidRDefault="0025373E" w:rsidP="00A26B29">
      <w:r w:rsidRPr="00C63409">
        <w:t>During Q</w:t>
      </w:r>
      <w:r>
        <w:t>3</w:t>
      </w:r>
      <w:r w:rsidRPr="00C63409">
        <w:t xml:space="preserve">, </w:t>
      </w:r>
      <w:r w:rsidRPr="00581D6F">
        <w:t xml:space="preserve">in response to </w:t>
      </w:r>
      <w:r>
        <w:t xml:space="preserve">the </w:t>
      </w:r>
      <w:r w:rsidRPr="00581D6F">
        <w:t xml:space="preserve">COVID-19 outbreak, MassHealth announced </w:t>
      </w:r>
      <w:r>
        <w:t>additional</w:t>
      </w:r>
      <w:r w:rsidRPr="00581D6F">
        <w:t xml:space="preserve"> policy changes to provide greater flexibility in providing care to MassHealth members. </w:t>
      </w:r>
      <w:r>
        <w:t xml:space="preserve">Provider </w:t>
      </w:r>
      <w:r w:rsidR="0046147E">
        <w:t>B</w:t>
      </w:r>
      <w:r>
        <w:t xml:space="preserve">ulletins </w:t>
      </w:r>
      <w:r w:rsidRPr="00581D6F">
        <w:t>guide</w:t>
      </w:r>
      <w:r>
        <w:t>d</w:t>
      </w:r>
      <w:r w:rsidRPr="00581D6F">
        <w:t xml:space="preserve"> </w:t>
      </w:r>
      <w:r>
        <w:t xml:space="preserve">providers and </w:t>
      </w:r>
      <w:r w:rsidRPr="00581D6F">
        <w:t>health plans on</w:t>
      </w:r>
      <w:r>
        <w:t xml:space="preserve"> policies including COVID-19 vaccine administration, suspension of prior authorization requirements and extension of telehealth flexibilities.  </w:t>
      </w:r>
      <w:r w:rsidR="0046147E">
        <w:t xml:space="preserve">The </w:t>
      </w:r>
      <w:r>
        <w:t>Provider Bulletin</w:t>
      </w:r>
      <w:r w:rsidR="0046147E">
        <w:t>s</w:t>
      </w:r>
      <w:r>
        <w:t xml:space="preserve"> can be found at: </w:t>
      </w:r>
      <w:hyperlink r:id="rId22" w:history="1">
        <w:r w:rsidRPr="001350F3">
          <w:rPr>
            <w:rStyle w:val="Hyperlink"/>
            <w:rFonts w:cs="Times New Roman"/>
            <w:szCs w:val="24"/>
          </w:rPr>
          <w:t>https://www.mass.gov/lists/2021-masshealth-provider-bulletins</w:t>
        </w:r>
      </w:hyperlink>
      <w:r>
        <w:tab/>
      </w:r>
    </w:p>
    <w:p w14:paraId="143AB7DE" w14:textId="4F68F4B7" w:rsidR="0025373E" w:rsidRPr="00906CAC" w:rsidRDefault="0025373E" w:rsidP="0025373E">
      <w:pPr>
        <w:widowControl w:val="0"/>
        <w:autoSpaceDE w:val="0"/>
        <w:autoSpaceDN w:val="0"/>
        <w:spacing w:before="100" w:beforeAutospacing="1" w:after="100" w:afterAutospacing="1"/>
        <w:rPr>
          <w:rFonts w:eastAsia="Times New Roman" w:cs="Times New Roman"/>
          <w:bCs/>
          <w:szCs w:val="24"/>
        </w:rPr>
      </w:pPr>
      <w:r w:rsidRPr="00906CAC">
        <w:rPr>
          <w:rFonts w:eastAsia="Times New Roman" w:cs="Times New Roman"/>
          <w:bCs/>
          <w:szCs w:val="24"/>
        </w:rPr>
        <w:t xml:space="preserve">During Q3, EOHHS received approval for a Medicaid Disaster </w:t>
      </w:r>
      <w:r w:rsidR="0046147E">
        <w:rPr>
          <w:rFonts w:eastAsia="Times New Roman" w:cs="Times New Roman"/>
          <w:bCs/>
          <w:szCs w:val="24"/>
        </w:rPr>
        <w:t>SPA</w:t>
      </w:r>
      <w:r w:rsidRPr="00906CAC">
        <w:rPr>
          <w:rFonts w:eastAsia="Times New Roman" w:cs="Times New Roman"/>
          <w:bCs/>
          <w:szCs w:val="24"/>
        </w:rPr>
        <w:t xml:space="preserve"> that provides coverage for COVID-19 mobile testing and makes temporary updates to the payment methodologies for a number of services and provider types including inpatient and outpatient hospitals, community health centers, physicians and remote patient monitoring, for a Medicaid Disaster </w:t>
      </w:r>
      <w:r w:rsidR="0046147E">
        <w:rPr>
          <w:rFonts w:eastAsia="Times New Roman" w:cs="Times New Roman"/>
          <w:bCs/>
          <w:szCs w:val="24"/>
        </w:rPr>
        <w:t>SPA</w:t>
      </w:r>
      <w:r w:rsidRPr="00906CAC">
        <w:rPr>
          <w:rFonts w:eastAsia="Times New Roman" w:cs="Times New Roman"/>
          <w:bCs/>
          <w:szCs w:val="24"/>
        </w:rPr>
        <w:t xml:space="preserve"> that makes temporary updates to </w:t>
      </w:r>
      <w:r w:rsidRPr="00906CAC">
        <w:rPr>
          <w:rFonts w:cs="Times New Roman"/>
          <w:color w:val="000000"/>
          <w:szCs w:val="24"/>
          <w:shd w:val="clear" w:color="auto" w:fill="FFFFFF"/>
        </w:rPr>
        <w:t xml:space="preserve">the payment methodologies for the Adult Day Health and Day Habilitation services and for a Medicaid Disaster </w:t>
      </w:r>
      <w:r w:rsidR="0046147E">
        <w:rPr>
          <w:rFonts w:cs="Times New Roman"/>
          <w:color w:val="000000"/>
          <w:szCs w:val="24"/>
          <w:shd w:val="clear" w:color="auto" w:fill="FFFFFF"/>
        </w:rPr>
        <w:t>SPA</w:t>
      </w:r>
      <w:r w:rsidRPr="00906CAC">
        <w:rPr>
          <w:rFonts w:cs="Times New Roman"/>
          <w:color w:val="000000"/>
          <w:szCs w:val="24"/>
          <w:shd w:val="clear" w:color="auto" w:fill="FFFFFF"/>
        </w:rPr>
        <w:t xml:space="preserve"> that provides </w:t>
      </w:r>
      <w:r w:rsidRPr="00906CAC">
        <w:rPr>
          <w:rFonts w:cs="Times New Roman"/>
          <w:color w:val="000000"/>
          <w:szCs w:val="24"/>
        </w:rPr>
        <w:t>o</w:t>
      </w:r>
      <w:r w:rsidRPr="00906CAC">
        <w:rPr>
          <w:rFonts w:cs="Times New Roman"/>
          <w:color w:val="000000"/>
          <w:szCs w:val="24"/>
          <w:shd w:val="clear" w:color="auto" w:fill="FFFFFF"/>
        </w:rPr>
        <w:t>ne time supplemental payments to chronic disease and rehabilitation inpatient hospitals</w:t>
      </w:r>
      <w:r w:rsidRPr="00906CAC">
        <w:rPr>
          <w:rFonts w:cs="Times New Roman"/>
          <w:color w:val="000000"/>
          <w:szCs w:val="24"/>
        </w:rPr>
        <w:t>.</w:t>
      </w:r>
    </w:p>
    <w:p w14:paraId="0DDDEB19" w14:textId="6308CBEB" w:rsidR="0046147E" w:rsidRPr="0046147E" w:rsidRDefault="0025373E" w:rsidP="0046147E">
      <w:pPr>
        <w:widowControl w:val="0"/>
        <w:autoSpaceDE w:val="0"/>
        <w:autoSpaceDN w:val="0"/>
        <w:spacing w:before="100" w:beforeAutospacing="1" w:after="100" w:afterAutospacing="1"/>
        <w:rPr>
          <w:rFonts w:ascii="inherit" w:eastAsia="Times New Roman" w:hAnsi="inherit" w:cs="Calibri"/>
          <w:color w:val="000000"/>
          <w:bdr w:val="none" w:sz="0" w:space="0" w:color="auto" w:frame="1"/>
        </w:rPr>
      </w:pPr>
      <w:r>
        <w:rPr>
          <w:rFonts w:eastAsia="Times New Roman" w:cs="Times New Roman"/>
          <w:bCs/>
          <w:szCs w:val="24"/>
        </w:rPr>
        <w:t xml:space="preserve">During Q4, MassHealth announced additional policy changes in response to COVID-19 (please see the Operational Issues section </w:t>
      </w:r>
      <w:r w:rsidR="0046147E">
        <w:rPr>
          <w:rFonts w:eastAsia="Times New Roman" w:cs="Times New Roman"/>
          <w:bCs/>
          <w:szCs w:val="24"/>
        </w:rPr>
        <w:t xml:space="preserve">above </w:t>
      </w:r>
      <w:r>
        <w:rPr>
          <w:rFonts w:eastAsia="Times New Roman" w:cs="Times New Roman"/>
          <w:bCs/>
          <w:szCs w:val="24"/>
        </w:rPr>
        <w:t xml:space="preserve">for details).  During this quarter MassHealth received approval </w:t>
      </w:r>
      <w:r w:rsidRPr="0046147E">
        <w:rPr>
          <w:rFonts w:eastAsia="Times New Roman" w:cs="Times New Roman"/>
          <w:bCs/>
          <w:szCs w:val="24"/>
        </w:rPr>
        <w:t xml:space="preserve">for a </w:t>
      </w:r>
      <w:r w:rsidR="0046147E">
        <w:rPr>
          <w:rFonts w:eastAsia="Times New Roman" w:cs="Times New Roman"/>
          <w:bCs/>
          <w:szCs w:val="24"/>
        </w:rPr>
        <w:t xml:space="preserve">Medicaid </w:t>
      </w:r>
      <w:r w:rsidRPr="0046147E">
        <w:rPr>
          <w:rFonts w:eastAsia="Times New Roman" w:cs="Times New Roman"/>
          <w:bCs/>
          <w:szCs w:val="24"/>
        </w:rPr>
        <w:t xml:space="preserve">Disaster </w:t>
      </w:r>
      <w:r w:rsidR="0046147E">
        <w:rPr>
          <w:rFonts w:eastAsia="Times New Roman" w:cs="Times New Roman"/>
          <w:bCs/>
          <w:szCs w:val="24"/>
        </w:rPr>
        <w:t>SPA</w:t>
      </w:r>
      <w:r w:rsidRPr="0046147E">
        <w:rPr>
          <w:rFonts w:eastAsia="Times New Roman" w:cs="Times New Roman"/>
          <w:bCs/>
          <w:szCs w:val="24"/>
        </w:rPr>
        <w:t xml:space="preserve"> that </w:t>
      </w:r>
      <w:r w:rsidR="0046147E">
        <w:rPr>
          <w:rFonts w:eastAsia="Times New Roman" w:cs="Times New Roman"/>
          <w:bCs/>
          <w:szCs w:val="24"/>
        </w:rPr>
        <w:t>made updates to the payment methodologies for home  health and private duty nursing services</w:t>
      </w:r>
      <w:r w:rsidR="002930E9">
        <w:rPr>
          <w:rFonts w:eastAsia="Times New Roman" w:cs="Times New Roman"/>
          <w:bCs/>
          <w:szCs w:val="24"/>
        </w:rPr>
        <w:t xml:space="preserve">, a Medicaid Disaster SPA related to cost sharing policies, </w:t>
      </w:r>
      <w:r w:rsidR="0046147E">
        <w:rPr>
          <w:rFonts w:eastAsia="Times New Roman" w:cs="Times New Roman"/>
          <w:bCs/>
          <w:szCs w:val="24"/>
        </w:rPr>
        <w:t xml:space="preserve">and a Medicaid Disaster SPA that </w:t>
      </w:r>
      <w:r w:rsidR="0046147E" w:rsidRPr="0046147E">
        <w:rPr>
          <w:rFonts w:eastAsia="Times New Roman" w:cs="Times New Roman"/>
          <w:bCs/>
          <w:szCs w:val="24"/>
        </w:rPr>
        <w:t xml:space="preserve">added </w:t>
      </w:r>
      <w:r w:rsidR="0046147E" w:rsidRPr="0046147E">
        <w:rPr>
          <w:rFonts w:cs="Times New Roman"/>
          <w:color w:val="000000"/>
          <w:szCs w:val="24"/>
          <w:bdr w:val="none" w:sz="0" w:space="0" w:color="auto" w:frame="1"/>
          <w:shd w:val="clear" w:color="auto" w:fill="FFFFFF"/>
        </w:rPr>
        <w:t xml:space="preserve">a variety of </w:t>
      </w:r>
      <w:r w:rsidR="002930E9">
        <w:rPr>
          <w:rFonts w:cs="Times New Roman"/>
          <w:color w:val="000000"/>
          <w:szCs w:val="24"/>
          <w:bdr w:val="none" w:sz="0" w:space="0" w:color="auto" w:frame="1"/>
          <w:shd w:val="clear" w:color="auto" w:fill="FFFFFF"/>
        </w:rPr>
        <w:t>codes related to COVID-19 testing.</w:t>
      </w:r>
      <w:r w:rsidR="001A252F">
        <w:rPr>
          <w:rFonts w:cs="Times New Roman"/>
          <w:color w:val="000000"/>
          <w:szCs w:val="24"/>
          <w:bdr w:val="none" w:sz="0" w:space="0" w:color="auto" w:frame="1"/>
          <w:shd w:val="clear" w:color="auto" w:fill="FFFFFF"/>
        </w:rPr>
        <w:br/>
      </w:r>
      <w:r w:rsidR="001A252F">
        <w:rPr>
          <w:rFonts w:cs="Times New Roman"/>
          <w:color w:val="000000"/>
          <w:szCs w:val="24"/>
          <w:bdr w:val="none" w:sz="0" w:space="0" w:color="auto" w:frame="1"/>
          <w:shd w:val="clear" w:color="auto" w:fill="FFFFFF"/>
        </w:rPr>
        <w:br/>
        <w:t xml:space="preserve">During the Quarter MassHealth </w:t>
      </w:r>
      <w:r w:rsidR="00E4667C">
        <w:rPr>
          <w:rFonts w:cs="Times New Roman"/>
          <w:color w:val="000000"/>
          <w:szCs w:val="24"/>
          <w:bdr w:val="none" w:sz="0" w:space="0" w:color="auto" w:frame="1"/>
          <w:shd w:val="clear" w:color="auto" w:fill="FFFFFF"/>
        </w:rPr>
        <w:t xml:space="preserve">also </w:t>
      </w:r>
      <w:r w:rsidR="001A252F">
        <w:rPr>
          <w:rFonts w:cs="Times New Roman"/>
          <w:color w:val="000000"/>
          <w:szCs w:val="24"/>
          <w:bdr w:val="none" w:sz="0" w:space="0" w:color="auto" w:frame="1"/>
          <w:shd w:val="clear" w:color="auto" w:fill="FFFFFF"/>
        </w:rPr>
        <w:t xml:space="preserve">submitted a request to amend the 1115 Demonstration </w:t>
      </w:r>
      <w:r w:rsidR="00E4667C">
        <w:rPr>
          <w:rFonts w:cs="Times New Roman"/>
          <w:color w:val="000000"/>
          <w:szCs w:val="24"/>
          <w:bdr w:val="none" w:sz="0" w:space="0" w:color="auto" w:frame="1"/>
          <w:shd w:val="clear" w:color="auto" w:fill="FFFFFF"/>
        </w:rPr>
        <w:t>and continued work on the upcoming request to extend the 1115.</w:t>
      </w:r>
    </w:p>
    <w:p w14:paraId="2FF30CB4" w14:textId="14F02728" w:rsidR="00D363C9" w:rsidRPr="00A97855" w:rsidRDefault="00D363C9" w:rsidP="00A26B29">
      <w:pPr>
        <w:pStyle w:val="Heading2"/>
      </w:pPr>
      <w:bookmarkStart w:id="7" w:name="Member_Month_Reporting"/>
      <w:bookmarkEnd w:id="7"/>
      <w:r w:rsidRPr="009E7EBC">
        <w:t>Financial/Budget Neutrality Development/Issues</w:t>
      </w:r>
    </w:p>
    <w:p w14:paraId="1A3B30CE" w14:textId="77777777" w:rsidR="00D363C9" w:rsidRPr="002109EF" w:rsidRDefault="00D363C9" w:rsidP="00A26B29">
      <w:r w:rsidRPr="002109EF">
        <w:t xml:space="preserve">The attached budget neutrality (BN) statement includes actual expenditures and member months through Quarter </w:t>
      </w:r>
      <w:r>
        <w:t>4</w:t>
      </w:r>
      <w:r w:rsidRPr="002109EF">
        <w:t xml:space="preserve"> of state fiscal year (SFY) 2021 as reported through the quarter ending </w:t>
      </w:r>
      <w:r>
        <w:t>June</w:t>
      </w:r>
      <w:r w:rsidRPr="002109EF">
        <w:t xml:space="preserve"> 3</w:t>
      </w:r>
      <w:r>
        <w:t>0</w:t>
      </w:r>
      <w:r w:rsidRPr="002109EF">
        <w:t>, 202</w:t>
      </w:r>
      <w:r>
        <w:t>1</w:t>
      </w:r>
      <w:r w:rsidRPr="002109EF">
        <w:t xml:space="preserve"> (QE </w:t>
      </w:r>
      <w:r>
        <w:t>6</w:t>
      </w:r>
      <w:r w:rsidRPr="002109EF">
        <w:t>/3</w:t>
      </w:r>
      <w:r>
        <w:t>0</w:t>
      </w:r>
      <w:r w:rsidRPr="002109EF">
        <w:t>/2</w:t>
      </w:r>
      <w:r>
        <w:t>1</w:t>
      </w:r>
      <w:r w:rsidRPr="002109EF">
        <w:t xml:space="preserve">). </w:t>
      </w:r>
    </w:p>
    <w:p w14:paraId="6BCC1963" w14:textId="77777777" w:rsidR="00D363C9" w:rsidRPr="002109EF" w:rsidRDefault="00D363C9" w:rsidP="00A26B29">
      <w:r w:rsidRPr="002109EF">
        <w:t>This BN demonstration includes actual expenditure figures, updated according to the most recent complete data available for SFY 2018, SFY 2019, SFY 2020, and SFY 2021. The enrollment data for the years SFY 2019, SFY 2020, and SFY 2021</w:t>
      </w:r>
      <w:r>
        <w:t xml:space="preserve"> </w:t>
      </w:r>
      <w:r w:rsidRPr="002109EF">
        <w:t xml:space="preserve">were updated based on actual enrollment through </w:t>
      </w:r>
      <w:r>
        <w:t>September</w:t>
      </w:r>
      <w:r w:rsidRPr="002109EF">
        <w:t xml:space="preserve"> 2021.  </w:t>
      </w:r>
    </w:p>
    <w:p w14:paraId="0FF6E0E8" w14:textId="77777777" w:rsidR="00D363C9" w:rsidRPr="00664147" w:rsidRDefault="00D363C9" w:rsidP="00A26B29">
      <w:pPr>
        <w:pStyle w:val="Heading3"/>
      </w:pPr>
      <w:r w:rsidRPr="00664147">
        <w:t>Safety Net Care Pool (SNCP)</w:t>
      </w:r>
    </w:p>
    <w:p w14:paraId="0D1ED42A" w14:textId="77777777" w:rsidR="00D363C9" w:rsidRPr="002109EF" w:rsidRDefault="00D363C9" w:rsidP="00A26B29">
      <w:r w:rsidRPr="002109EF">
        <w:t>The five-year SNCP target is based on projected expenditures for SFY 2018-2022.  The changes for SFY 2018-2022 will continue to be updated as the fiscal year progresses.</w:t>
      </w:r>
    </w:p>
    <w:p w14:paraId="72BE055A" w14:textId="77777777" w:rsidR="00D363C9" w:rsidRPr="00664147" w:rsidRDefault="00D363C9" w:rsidP="00A26B29">
      <w:pPr>
        <w:pStyle w:val="Heading3"/>
      </w:pPr>
      <w:r w:rsidRPr="00664147">
        <w:t>Budget neutrality - summary</w:t>
      </w:r>
    </w:p>
    <w:p w14:paraId="7EE05370" w14:textId="77777777" w:rsidR="00D363C9" w:rsidRPr="002109EF" w:rsidRDefault="00D363C9" w:rsidP="00A26B29">
      <w:r w:rsidRPr="002109EF">
        <w:t>In sum, the total projected budget neutrality cushion is $5</w:t>
      </w:r>
      <w:r>
        <w:t>.7</w:t>
      </w:r>
      <w:r w:rsidRPr="002109EF">
        <w:t xml:space="preserve"> billion for the period SFY 2018 through SFY 2022 and $</w:t>
      </w:r>
      <w:r>
        <w:t>27.7</w:t>
      </w:r>
      <w:r w:rsidRPr="002109EF">
        <w:t xml:space="preserve"> billion for the period SFY 201</w:t>
      </w:r>
      <w:r>
        <w:t>3</w:t>
      </w:r>
      <w:r w:rsidRPr="002109EF">
        <w:t xml:space="preserve"> through SFY 2022. We will continue to update CMS through quarterly reports as updated information is available.</w:t>
      </w:r>
    </w:p>
    <w:p w14:paraId="1FA85755" w14:textId="77777777" w:rsidR="00C73740" w:rsidRPr="00A97855" w:rsidRDefault="00C73740" w:rsidP="00A26B29">
      <w:pPr>
        <w:pStyle w:val="Heading3"/>
      </w:pPr>
      <w:r w:rsidRPr="00196161">
        <w:t>Member Month Reporting</w:t>
      </w:r>
    </w:p>
    <w:p w14:paraId="182B29B4" w14:textId="77777777" w:rsidR="00C73740" w:rsidRPr="00C21143" w:rsidRDefault="00C73740" w:rsidP="00C73740">
      <w:pPr>
        <w:spacing w:before="100" w:beforeAutospacing="1" w:after="100" w:afterAutospacing="1"/>
        <w:rPr>
          <w:rFonts w:eastAsia="Times New Roman" w:cs="Times New Roman"/>
          <w:szCs w:val="24"/>
        </w:rPr>
      </w:pPr>
      <w:r w:rsidRPr="00C21143">
        <w:rPr>
          <w:rFonts w:eastAsia="Times New Roman" w:cs="Times New Roman"/>
          <w:szCs w:val="24"/>
        </w:rPr>
        <w:t>Enter the member months for each of the EGs for the quarter.</w:t>
      </w:r>
    </w:p>
    <w:p w14:paraId="4AEB9F5A" w14:textId="77777777" w:rsidR="00C73740" w:rsidRPr="00C21143" w:rsidRDefault="00C73740" w:rsidP="00C73740">
      <w:pPr>
        <w:numPr>
          <w:ilvl w:val="1"/>
          <w:numId w:val="1"/>
        </w:numPr>
        <w:spacing w:before="100" w:beforeAutospacing="1" w:after="100" w:afterAutospacing="1"/>
        <w:rPr>
          <w:rFonts w:eastAsia="Times New Roman" w:cs="Times New Roman"/>
          <w:b/>
          <w:bCs/>
          <w:szCs w:val="24"/>
        </w:rPr>
      </w:pPr>
      <w:r w:rsidRPr="00C21143">
        <w:rPr>
          <w:rFonts w:eastAsia="Times New Roman" w:cs="Times New Roman"/>
          <w:b/>
          <w:bCs/>
          <w:szCs w:val="24"/>
        </w:rPr>
        <w:t>For Use in Budget Neutrality Calculations</w:t>
      </w:r>
    </w:p>
    <w:tbl>
      <w:tblPr>
        <w:tblW w:w="11362" w:type="dxa"/>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9"/>
        <w:gridCol w:w="1376"/>
        <w:gridCol w:w="1341"/>
        <w:gridCol w:w="1232"/>
        <w:gridCol w:w="1780"/>
        <w:gridCol w:w="1372"/>
        <w:gridCol w:w="1372"/>
      </w:tblGrid>
      <w:tr w:rsidR="00C73740" w:rsidRPr="00375A4E" w14:paraId="08C464A8" w14:textId="77777777" w:rsidTr="00F158A1">
        <w:trPr>
          <w:trHeight w:hRule="exact" w:val="856"/>
        </w:trPr>
        <w:tc>
          <w:tcPr>
            <w:tcW w:w="2889" w:type="dxa"/>
            <w:tcBorders>
              <w:top w:val="single" w:sz="4" w:space="0" w:color="000000"/>
              <w:left w:val="single" w:sz="4" w:space="0" w:color="000000"/>
              <w:bottom w:val="single" w:sz="4" w:space="0" w:color="000000"/>
              <w:right w:val="single" w:sz="4" w:space="0" w:color="000000"/>
            </w:tcBorders>
            <w:shd w:val="clear" w:color="auto" w:fill="E2E2E2"/>
          </w:tcPr>
          <w:p w14:paraId="4C4D2C0B" w14:textId="77777777" w:rsidR="00C73740" w:rsidRPr="00375A4E" w:rsidRDefault="00C73740" w:rsidP="00F158A1">
            <w:pPr>
              <w:widowControl w:val="0"/>
              <w:autoSpaceDE w:val="0"/>
              <w:autoSpaceDN w:val="0"/>
              <w:spacing w:before="100" w:beforeAutospacing="1" w:after="100" w:afterAutospacing="1" w:line="240" w:lineRule="auto"/>
              <w:rPr>
                <w:rFonts w:eastAsia="Times New Roman" w:cs="Times New Roman"/>
                <w:b/>
                <w:szCs w:val="24"/>
              </w:rPr>
            </w:pPr>
            <w:r w:rsidRPr="00375A4E">
              <w:rPr>
                <w:rFonts w:eastAsia="Times New Roman" w:cs="Times New Roman"/>
                <w:b/>
                <w:szCs w:val="24"/>
              </w:rPr>
              <w:t>Expenditure and Eligibility Group (EG) Reporting</w:t>
            </w:r>
          </w:p>
        </w:tc>
        <w:tc>
          <w:tcPr>
            <w:tcW w:w="1376" w:type="dxa"/>
            <w:tcBorders>
              <w:top w:val="single" w:sz="4" w:space="0" w:color="000000"/>
              <w:left w:val="single" w:sz="4" w:space="0" w:color="000000"/>
              <w:bottom w:val="single" w:sz="4" w:space="0" w:color="000000"/>
              <w:right w:val="single" w:sz="4" w:space="0" w:color="000000"/>
            </w:tcBorders>
            <w:shd w:val="clear" w:color="auto" w:fill="E2E2E2"/>
          </w:tcPr>
          <w:p w14:paraId="479F6E7F" w14:textId="77777777" w:rsidR="00C73740" w:rsidRPr="00375A4E" w:rsidRDefault="00C73740" w:rsidP="00F158A1">
            <w:pPr>
              <w:widowControl w:val="0"/>
              <w:autoSpaceDE w:val="0"/>
              <w:autoSpaceDN w:val="0"/>
              <w:spacing w:before="100" w:beforeAutospacing="1" w:after="100" w:afterAutospacing="1" w:line="240" w:lineRule="auto"/>
              <w:rPr>
                <w:rFonts w:eastAsia="Times New Roman" w:cs="Times New Roman"/>
                <w:b/>
                <w:szCs w:val="24"/>
              </w:rPr>
            </w:pPr>
            <w:r>
              <w:rPr>
                <w:rFonts w:eastAsia="Times New Roman" w:cs="Times New Roman"/>
                <w:b/>
                <w:szCs w:val="24"/>
              </w:rPr>
              <w:t>April 2021</w:t>
            </w:r>
          </w:p>
        </w:tc>
        <w:tc>
          <w:tcPr>
            <w:tcW w:w="1341" w:type="dxa"/>
            <w:tcBorders>
              <w:top w:val="single" w:sz="4" w:space="0" w:color="000000"/>
              <w:left w:val="single" w:sz="4" w:space="0" w:color="000000"/>
              <w:bottom w:val="single" w:sz="4" w:space="0" w:color="000000"/>
              <w:right w:val="single" w:sz="4" w:space="0" w:color="000000"/>
            </w:tcBorders>
            <w:shd w:val="clear" w:color="auto" w:fill="E2E2E2"/>
          </w:tcPr>
          <w:p w14:paraId="4A5EE96F" w14:textId="77777777" w:rsidR="00C73740" w:rsidRPr="00375A4E" w:rsidRDefault="00C73740" w:rsidP="00F158A1">
            <w:pPr>
              <w:widowControl w:val="0"/>
              <w:autoSpaceDE w:val="0"/>
              <w:autoSpaceDN w:val="0"/>
              <w:spacing w:before="100" w:beforeAutospacing="1" w:after="100" w:afterAutospacing="1" w:line="240" w:lineRule="auto"/>
              <w:rPr>
                <w:rFonts w:eastAsia="Times New Roman" w:cs="Times New Roman"/>
                <w:b/>
                <w:szCs w:val="24"/>
              </w:rPr>
            </w:pPr>
            <w:r>
              <w:rPr>
                <w:rFonts w:eastAsia="Times New Roman" w:cs="Times New Roman"/>
                <w:b/>
                <w:szCs w:val="24"/>
              </w:rPr>
              <w:t>May 2021</w:t>
            </w:r>
          </w:p>
        </w:tc>
        <w:tc>
          <w:tcPr>
            <w:tcW w:w="1232" w:type="dxa"/>
            <w:tcBorders>
              <w:top w:val="single" w:sz="4" w:space="0" w:color="000000"/>
              <w:left w:val="single" w:sz="4" w:space="0" w:color="000000"/>
              <w:bottom w:val="single" w:sz="4" w:space="0" w:color="000000"/>
              <w:right w:val="single" w:sz="4" w:space="0" w:color="000000"/>
            </w:tcBorders>
            <w:shd w:val="clear" w:color="auto" w:fill="E2E2E2"/>
          </w:tcPr>
          <w:p w14:paraId="362E255C" w14:textId="77777777" w:rsidR="00C73740" w:rsidRPr="00375A4E" w:rsidRDefault="00C73740" w:rsidP="00F158A1">
            <w:pPr>
              <w:widowControl w:val="0"/>
              <w:autoSpaceDE w:val="0"/>
              <w:autoSpaceDN w:val="0"/>
              <w:spacing w:before="100" w:beforeAutospacing="1" w:after="100" w:afterAutospacing="1" w:line="240" w:lineRule="auto"/>
              <w:rPr>
                <w:rFonts w:eastAsia="Times New Roman" w:cs="Times New Roman"/>
                <w:b/>
                <w:szCs w:val="24"/>
              </w:rPr>
            </w:pPr>
            <w:r>
              <w:rPr>
                <w:rFonts w:eastAsia="Times New Roman" w:cs="Times New Roman"/>
                <w:b/>
                <w:szCs w:val="24"/>
              </w:rPr>
              <w:t>June 2021</w:t>
            </w:r>
          </w:p>
        </w:tc>
        <w:tc>
          <w:tcPr>
            <w:tcW w:w="1780" w:type="dxa"/>
            <w:tcBorders>
              <w:top w:val="single" w:sz="4" w:space="0" w:color="000000"/>
              <w:left w:val="single" w:sz="4" w:space="0" w:color="000000"/>
              <w:bottom w:val="single" w:sz="4" w:space="0" w:color="000000"/>
              <w:right w:val="single" w:sz="4" w:space="0" w:color="000000"/>
            </w:tcBorders>
            <w:shd w:val="clear" w:color="auto" w:fill="E2E2E2"/>
          </w:tcPr>
          <w:p w14:paraId="235C12B1" w14:textId="77777777" w:rsidR="00C73740" w:rsidRPr="00375A4E" w:rsidRDefault="00C73740" w:rsidP="00F158A1">
            <w:pPr>
              <w:widowControl w:val="0"/>
              <w:autoSpaceDE w:val="0"/>
              <w:autoSpaceDN w:val="0"/>
              <w:spacing w:before="100" w:beforeAutospacing="1" w:after="100" w:afterAutospacing="1" w:line="240" w:lineRule="auto"/>
              <w:rPr>
                <w:rFonts w:eastAsia="Times New Roman" w:cs="Times New Roman"/>
                <w:b/>
                <w:szCs w:val="24"/>
              </w:rPr>
            </w:pPr>
            <w:r w:rsidRPr="00375A4E">
              <w:rPr>
                <w:rFonts w:eastAsia="Times New Roman" w:cs="Times New Roman"/>
                <w:b/>
                <w:szCs w:val="24"/>
              </w:rPr>
              <w:t xml:space="preserve">Total for Quarter </w:t>
            </w:r>
            <w:r>
              <w:rPr>
                <w:rFonts w:eastAsia="Times New Roman" w:cs="Times New Roman"/>
                <w:b/>
                <w:szCs w:val="24"/>
              </w:rPr>
              <w:t>Ending 06/21</w:t>
            </w:r>
          </w:p>
        </w:tc>
        <w:tc>
          <w:tcPr>
            <w:tcW w:w="1372" w:type="dxa"/>
            <w:tcBorders>
              <w:top w:val="single" w:sz="4" w:space="0" w:color="000000"/>
              <w:left w:val="single" w:sz="4" w:space="0" w:color="000000"/>
              <w:bottom w:val="single" w:sz="4" w:space="0" w:color="000000"/>
              <w:right w:val="single" w:sz="4" w:space="0" w:color="000000"/>
            </w:tcBorders>
            <w:shd w:val="clear" w:color="auto" w:fill="E2E2E2"/>
          </w:tcPr>
          <w:p w14:paraId="1E45C2BB" w14:textId="77777777" w:rsidR="00C73740" w:rsidRPr="00375A4E" w:rsidRDefault="00C73740" w:rsidP="00F158A1">
            <w:pPr>
              <w:widowControl w:val="0"/>
              <w:autoSpaceDE w:val="0"/>
              <w:autoSpaceDN w:val="0"/>
              <w:spacing w:before="100" w:beforeAutospacing="1" w:after="100" w:afterAutospacing="1" w:line="240" w:lineRule="auto"/>
              <w:rPr>
                <w:rFonts w:eastAsia="Times New Roman" w:cs="Times New Roman"/>
                <w:b/>
                <w:szCs w:val="24"/>
              </w:rPr>
            </w:pPr>
            <w:r w:rsidRPr="00375A4E">
              <w:rPr>
                <w:rFonts w:eastAsia="Times New Roman" w:cs="Times New Roman"/>
                <w:b/>
                <w:szCs w:val="24"/>
              </w:rPr>
              <w:t>Total fo</w:t>
            </w:r>
            <w:r>
              <w:rPr>
                <w:rFonts w:eastAsia="Times New Roman" w:cs="Times New Roman"/>
                <w:b/>
                <w:szCs w:val="24"/>
              </w:rPr>
              <w:t>r       SFY 2020</w:t>
            </w:r>
          </w:p>
        </w:tc>
        <w:tc>
          <w:tcPr>
            <w:tcW w:w="1372" w:type="dxa"/>
            <w:tcBorders>
              <w:top w:val="single" w:sz="4" w:space="0" w:color="000000"/>
              <w:left w:val="single" w:sz="4" w:space="0" w:color="000000"/>
              <w:bottom w:val="single" w:sz="4" w:space="0" w:color="000000"/>
              <w:right w:val="single" w:sz="4" w:space="0" w:color="000000"/>
            </w:tcBorders>
            <w:shd w:val="clear" w:color="auto" w:fill="E2E2E2"/>
          </w:tcPr>
          <w:p w14:paraId="754C3CC6" w14:textId="77777777" w:rsidR="00C73740" w:rsidRPr="00375A4E" w:rsidRDefault="00C73740" w:rsidP="00F158A1">
            <w:pPr>
              <w:widowControl w:val="0"/>
              <w:autoSpaceDE w:val="0"/>
              <w:autoSpaceDN w:val="0"/>
              <w:spacing w:before="100" w:beforeAutospacing="1" w:after="100" w:afterAutospacing="1" w:line="240" w:lineRule="auto"/>
              <w:rPr>
                <w:rFonts w:eastAsia="Times New Roman" w:cs="Times New Roman"/>
                <w:b/>
                <w:szCs w:val="24"/>
              </w:rPr>
            </w:pPr>
            <w:r w:rsidRPr="00375A4E">
              <w:rPr>
                <w:rFonts w:eastAsia="Times New Roman" w:cs="Times New Roman"/>
                <w:b/>
                <w:szCs w:val="24"/>
              </w:rPr>
              <w:t>Total fo</w:t>
            </w:r>
            <w:r>
              <w:rPr>
                <w:rFonts w:eastAsia="Times New Roman" w:cs="Times New Roman"/>
                <w:b/>
                <w:szCs w:val="24"/>
              </w:rPr>
              <w:t>r       SFY 2021</w:t>
            </w:r>
          </w:p>
        </w:tc>
      </w:tr>
      <w:tr w:rsidR="00C73740" w:rsidRPr="00375A4E" w14:paraId="364BD12F" w14:textId="77777777" w:rsidTr="00F158A1">
        <w:trPr>
          <w:trHeight w:hRule="exact" w:val="299"/>
        </w:trPr>
        <w:tc>
          <w:tcPr>
            <w:tcW w:w="2889" w:type="dxa"/>
            <w:tcBorders>
              <w:top w:val="single" w:sz="4" w:space="0" w:color="000000"/>
              <w:left w:val="single" w:sz="4" w:space="0" w:color="000000"/>
              <w:bottom w:val="single" w:sz="12" w:space="0" w:color="000000"/>
              <w:right w:val="single" w:sz="4" w:space="0" w:color="000000"/>
            </w:tcBorders>
          </w:tcPr>
          <w:p w14:paraId="715623B8" w14:textId="77777777" w:rsidR="00C73740" w:rsidRPr="00664147" w:rsidRDefault="00C73740" w:rsidP="00F158A1">
            <w:pPr>
              <w:widowControl w:val="0"/>
              <w:autoSpaceDE w:val="0"/>
              <w:autoSpaceDN w:val="0"/>
              <w:spacing w:before="100" w:beforeAutospacing="1" w:after="100" w:afterAutospacing="1" w:line="240" w:lineRule="auto"/>
              <w:rPr>
                <w:rFonts w:eastAsia="Times New Roman" w:cs="Times New Roman"/>
                <w:szCs w:val="24"/>
              </w:rPr>
            </w:pPr>
            <w:r w:rsidRPr="00664147">
              <w:rPr>
                <w:rFonts w:eastAsia="Times New Roman" w:cs="Times New Roman"/>
                <w:szCs w:val="24"/>
              </w:rPr>
              <w:t>Base Families</w:t>
            </w:r>
          </w:p>
        </w:tc>
        <w:tc>
          <w:tcPr>
            <w:tcW w:w="1376" w:type="dxa"/>
            <w:tcBorders>
              <w:top w:val="single" w:sz="4" w:space="0" w:color="000000"/>
              <w:left w:val="single" w:sz="4" w:space="0" w:color="000000"/>
              <w:bottom w:val="single" w:sz="4" w:space="0" w:color="000000"/>
              <w:right w:val="single" w:sz="4" w:space="0" w:color="000000"/>
            </w:tcBorders>
          </w:tcPr>
          <w:p w14:paraId="10A54DDF" w14:textId="77777777" w:rsidR="00C73740" w:rsidRPr="00664147" w:rsidRDefault="00C73740" w:rsidP="00F158A1">
            <w:pPr>
              <w:jc w:val="right"/>
              <w:rPr>
                <w:rFonts w:cs="Times New Roman"/>
              </w:rPr>
            </w:pPr>
            <w:r w:rsidRPr="00DA7394">
              <w:t>867,814</w:t>
            </w:r>
          </w:p>
        </w:tc>
        <w:tc>
          <w:tcPr>
            <w:tcW w:w="1341" w:type="dxa"/>
            <w:tcBorders>
              <w:top w:val="single" w:sz="4" w:space="0" w:color="000000"/>
              <w:left w:val="single" w:sz="4" w:space="0" w:color="000000"/>
              <w:bottom w:val="single" w:sz="4" w:space="0" w:color="000000"/>
              <w:right w:val="single" w:sz="4" w:space="0" w:color="000000"/>
            </w:tcBorders>
          </w:tcPr>
          <w:p w14:paraId="30A91996" w14:textId="77777777" w:rsidR="00C73740" w:rsidRPr="00664147" w:rsidRDefault="00C73740" w:rsidP="00F158A1">
            <w:pPr>
              <w:jc w:val="right"/>
              <w:rPr>
                <w:rFonts w:cs="Times New Roman"/>
                <w:bCs/>
                <w:szCs w:val="24"/>
              </w:rPr>
            </w:pPr>
            <w:r w:rsidRPr="00DA7394">
              <w:t>874,224</w:t>
            </w:r>
          </w:p>
        </w:tc>
        <w:tc>
          <w:tcPr>
            <w:tcW w:w="1232" w:type="dxa"/>
            <w:tcBorders>
              <w:top w:val="single" w:sz="4" w:space="0" w:color="000000"/>
              <w:left w:val="single" w:sz="4" w:space="0" w:color="000000"/>
              <w:bottom w:val="single" w:sz="4" w:space="0" w:color="000000"/>
              <w:right w:val="single" w:sz="4" w:space="0" w:color="000000"/>
            </w:tcBorders>
          </w:tcPr>
          <w:p w14:paraId="62476476" w14:textId="77777777" w:rsidR="00C73740" w:rsidRPr="00664147" w:rsidRDefault="00C73740" w:rsidP="00F158A1">
            <w:pPr>
              <w:jc w:val="right"/>
              <w:rPr>
                <w:rFonts w:cs="Times New Roman"/>
                <w:bCs/>
                <w:szCs w:val="24"/>
              </w:rPr>
            </w:pPr>
            <w:r w:rsidRPr="00DA7394">
              <w:t>881,665</w:t>
            </w:r>
          </w:p>
        </w:tc>
        <w:tc>
          <w:tcPr>
            <w:tcW w:w="1780" w:type="dxa"/>
            <w:tcBorders>
              <w:top w:val="single" w:sz="4" w:space="0" w:color="000000"/>
              <w:left w:val="single" w:sz="4" w:space="0" w:color="000000"/>
              <w:bottom w:val="single" w:sz="4" w:space="0" w:color="000000"/>
              <w:right w:val="single" w:sz="4" w:space="0" w:color="000000"/>
            </w:tcBorders>
          </w:tcPr>
          <w:p w14:paraId="67E5DBF4" w14:textId="77777777" w:rsidR="00C73740" w:rsidRPr="00664147" w:rsidRDefault="00C73740" w:rsidP="00F158A1">
            <w:pPr>
              <w:jc w:val="right"/>
              <w:rPr>
                <w:rFonts w:cs="Times New Roman"/>
                <w:bCs/>
                <w:szCs w:val="24"/>
              </w:rPr>
            </w:pPr>
            <w:r w:rsidRPr="00A46A36">
              <w:t>2,623,703</w:t>
            </w:r>
          </w:p>
        </w:tc>
        <w:tc>
          <w:tcPr>
            <w:tcW w:w="1372" w:type="dxa"/>
            <w:tcBorders>
              <w:top w:val="single" w:sz="4" w:space="0" w:color="000000"/>
              <w:left w:val="single" w:sz="4" w:space="0" w:color="000000"/>
              <w:bottom w:val="single" w:sz="4" w:space="0" w:color="000000"/>
              <w:right w:val="single" w:sz="4" w:space="0" w:color="000000"/>
            </w:tcBorders>
          </w:tcPr>
          <w:p w14:paraId="78341EB7" w14:textId="77777777" w:rsidR="00C73740" w:rsidRPr="00664147" w:rsidRDefault="00C73740" w:rsidP="00F158A1">
            <w:pPr>
              <w:jc w:val="right"/>
              <w:rPr>
                <w:rFonts w:cs="Times New Roman"/>
                <w:bCs/>
                <w:szCs w:val="24"/>
              </w:rPr>
            </w:pPr>
            <w:r w:rsidRPr="0047258D">
              <w:t>9,347,663</w:t>
            </w:r>
          </w:p>
        </w:tc>
        <w:tc>
          <w:tcPr>
            <w:tcW w:w="1372" w:type="dxa"/>
            <w:tcBorders>
              <w:top w:val="single" w:sz="4" w:space="0" w:color="000000"/>
              <w:left w:val="single" w:sz="4" w:space="0" w:color="000000"/>
              <w:bottom w:val="single" w:sz="4" w:space="0" w:color="000000"/>
              <w:right w:val="single" w:sz="4" w:space="0" w:color="000000"/>
            </w:tcBorders>
          </w:tcPr>
          <w:p w14:paraId="028B5516" w14:textId="77777777" w:rsidR="00C73740" w:rsidRPr="00664147" w:rsidRDefault="00C73740" w:rsidP="00F158A1">
            <w:pPr>
              <w:jc w:val="right"/>
              <w:rPr>
                <w:rFonts w:cs="Times New Roman"/>
                <w:bCs/>
                <w:szCs w:val="24"/>
              </w:rPr>
            </w:pPr>
            <w:r w:rsidRPr="0047258D">
              <w:t>10,166,094</w:t>
            </w:r>
          </w:p>
        </w:tc>
      </w:tr>
      <w:tr w:rsidR="00C73740" w:rsidRPr="00375A4E" w14:paraId="3DE92BB5" w14:textId="77777777" w:rsidTr="00F158A1">
        <w:trPr>
          <w:trHeight w:hRule="exact" w:val="288"/>
        </w:trPr>
        <w:tc>
          <w:tcPr>
            <w:tcW w:w="2889" w:type="dxa"/>
            <w:tcBorders>
              <w:top w:val="single" w:sz="12" w:space="0" w:color="000000"/>
              <w:left w:val="single" w:sz="4" w:space="0" w:color="000000"/>
              <w:bottom w:val="single" w:sz="12" w:space="0" w:color="000000"/>
              <w:right w:val="single" w:sz="4" w:space="0" w:color="000000"/>
            </w:tcBorders>
          </w:tcPr>
          <w:p w14:paraId="15A4C7A7" w14:textId="77777777" w:rsidR="00C73740" w:rsidRPr="00664147" w:rsidRDefault="00C73740" w:rsidP="00F158A1">
            <w:pPr>
              <w:widowControl w:val="0"/>
              <w:autoSpaceDE w:val="0"/>
              <w:autoSpaceDN w:val="0"/>
              <w:spacing w:before="100" w:beforeAutospacing="1" w:after="100" w:afterAutospacing="1" w:line="240" w:lineRule="auto"/>
              <w:rPr>
                <w:rFonts w:eastAsia="Times New Roman" w:cs="Times New Roman"/>
                <w:szCs w:val="24"/>
              </w:rPr>
            </w:pPr>
            <w:r w:rsidRPr="00664147">
              <w:rPr>
                <w:rFonts w:eastAsia="Times New Roman" w:cs="Times New Roman"/>
                <w:szCs w:val="24"/>
              </w:rPr>
              <w:t>Base Disabled</w:t>
            </w:r>
          </w:p>
        </w:tc>
        <w:tc>
          <w:tcPr>
            <w:tcW w:w="1376" w:type="dxa"/>
            <w:tcBorders>
              <w:top w:val="single" w:sz="4" w:space="0" w:color="000000"/>
              <w:left w:val="single" w:sz="4" w:space="0" w:color="000000"/>
              <w:bottom w:val="single" w:sz="4" w:space="0" w:color="000000"/>
              <w:right w:val="single" w:sz="4" w:space="0" w:color="000000"/>
            </w:tcBorders>
          </w:tcPr>
          <w:p w14:paraId="6D8C1866" w14:textId="77777777" w:rsidR="00C73740" w:rsidRPr="00664147" w:rsidRDefault="00C73740" w:rsidP="00F158A1">
            <w:pPr>
              <w:jc w:val="right"/>
              <w:rPr>
                <w:rFonts w:cs="Times New Roman"/>
                <w:bCs/>
                <w:szCs w:val="24"/>
              </w:rPr>
            </w:pPr>
            <w:r w:rsidRPr="00771D7A">
              <w:t>228,423</w:t>
            </w:r>
          </w:p>
        </w:tc>
        <w:tc>
          <w:tcPr>
            <w:tcW w:w="1341" w:type="dxa"/>
            <w:tcBorders>
              <w:top w:val="single" w:sz="4" w:space="0" w:color="000000"/>
              <w:left w:val="single" w:sz="4" w:space="0" w:color="000000"/>
              <w:bottom w:val="single" w:sz="4" w:space="0" w:color="000000"/>
              <w:right w:val="single" w:sz="4" w:space="0" w:color="000000"/>
            </w:tcBorders>
          </w:tcPr>
          <w:p w14:paraId="3290ECE1" w14:textId="77777777" w:rsidR="00C73740" w:rsidRPr="00664147" w:rsidRDefault="00C73740" w:rsidP="00F158A1">
            <w:pPr>
              <w:jc w:val="right"/>
              <w:rPr>
                <w:rFonts w:cs="Times New Roman"/>
                <w:bCs/>
                <w:szCs w:val="24"/>
              </w:rPr>
            </w:pPr>
            <w:r w:rsidRPr="00771D7A">
              <w:t>227,803</w:t>
            </w:r>
          </w:p>
        </w:tc>
        <w:tc>
          <w:tcPr>
            <w:tcW w:w="1232" w:type="dxa"/>
            <w:tcBorders>
              <w:top w:val="single" w:sz="4" w:space="0" w:color="000000"/>
              <w:left w:val="single" w:sz="4" w:space="0" w:color="000000"/>
              <w:bottom w:val="single" w:sz="4" w:space="0" w:color="000000"/>
              <w:right w:val="single" w:sz="4" w:space="0" w:color="000000"/>
            </w:tcBorders>
          </w:tcPr>
          <w:p w14:paraId="7CDC35E6" w14:textId="77777777" w:rsidR="00C73740" w:rsidRPr="00664147" w:rsidRDefault="00C73740" w:rsidP="00F158A1">
            <w:pPr>
              <w:jc w:val="right"/>
              <w:rPr>
                <w:rFonts w:cs="Times New Roman"/>
                <w:bCs/>
                <w:szCs w:val="24"/>
              </w:rPr>
            </w:pPr>
            <w:r w:rsidRPr="00771D7A">
              <w:t>227,658</w:t>
            </w:r>
          </w:p>
        </w:tc>
        <w:tc>
          <w:tcPr>
            <w:tcW w:w="1780" w:type="dxa"/>
            <w:tcBorders>
              <w:top w:val="single" w:sz="4" w:space="0" w:color="000000"/>
              <w:left w:val="single" w:sz="4" w:space="0" w:color="000000"/>
              <w:bottom w:val="single" w:sz="4" w:space="0" w:color="000000"/>
              <w:right w:val="single" w:sz="4" w:space="0" w:color="000000"/>
            </w:tcBorders>
          </w:tcPr>
          <w:p w14:paraId="270CA14E" w14:textId="77777777" w:rsidR="00C73740" w:rsidRPr="00664147" w:rsidRDefault="00C73740" w:rsidP="00F158A1">
            <w:pPr>
              <w:jc w:val="right"/>
              <w:rPr>
                <w:rFonts w:cs="Times New Roman"/>
                <w:bCs/>
                <w:szCs w:val="24"/>
              </w:rPr>
            </w:pPr>
            <w:r w:rsidRPr="00A46A36">
              <w:t>683,884</w:t>
            </w:r>
          </w:p>
        </w:tc>
        <w:tc>
          <w:tcPr>
            <w:tcW w:w="1372" w:type="dxa"/>
            <w:tcBorders>
              <w:top w:val="single" w:sz="4" w:space="0" w:color="000000"/>
              <w:left w:val="single" w:sz="4" w:space="0" w:color="000000"/>
              <w:bottom w:val="single" w:sz="4" w:space="0" w:color="000000"/>
              <w:right w:val="single" w:sz="4" w:space="0" w:color="000000"/>
            </w:tcBorders>
          </w:tcPr>
          <w:p w14:paraId="2A9504C7" w14:textId="77777777" w:rsidR="00C73740" w:rsidRPr="00664147" w:rsidRDefault="00C73740" w:rsidP="00F158A1">
            <w:pPr>
              <w:jc w:val="right"/>
              <w:rPr>
                <w:rFonts w:cs="Times New Roman"/>
                <w:bCs/>
                <w:szCs w:val="24"/>
              </w:rPr>
            </w:pPr>
            <w:r w:rsidRPr="00AE31CC">
              <w:t>2,718,201</w:t>
            </w:r>
          </w:p>
        </w:tc>
        <w:tc>
          <w:tcPr>
            <w:tcW w:w="1372" w:type="dxa"/>
            <w:tcBorders>
              <w:top w:val="single" w:sz="4" w:space="0" w:color="000000"/>
              <w:left w:val="single" w:sz="4" w:space="0" w:color="000000"/>
              <w:bottom w:val="single" w:sz="4" w:space="0" w:color="000000"/>
              <w:right w:val="single" w:sz="4" w:space="0" w:color="000000"/>
            </w:tcBorders>
          </w:tcPr>
          <w:p w14:paraId="31E51F29" w14:textId="77777777" w:rsidR="00C73740" w:rsidRPr="00664147" w:rsidRDefault="00C73740" w:rsidP="00F158A1">
            <w:pPr>
              <w:jc w:val="right"/>
              <w:rPr>
                <w:rFonts w:cs="Times New Roman"/>
                <w:bCs/>
                <w:szCs w:val="24"/>
              </w:rPr>
            </w:pPr>
            <w:r w:rsidRPr="00AE31CC">
              <w:t>2,734,670</w:t>
            </w:r>
          </w:p>
        </w:tc>
      </w:tr>
      <w:tr w:rsidR="00C73740" w:rsidRPr="00375A4E" w14:paraId="542C234D" w14:textId="77777777" w:rsidTr="00F158A1">
        <w:trPr>
          <w:trHeight w:hRule="exact" w:val="286"/>
        </w:trPr>
        <w:tc>
          <w:tcPr>
            <w:tcW w:w="2889" w:type="dxa"/>
            <w:tcBorders>
              <w:top w:val="single" w:sz="12" w:space="0" w:color="000000"/>
              <w:left w:val="single" w:sz="4" w:space="0" w:color="000000"/>
              <w:bottom w:val="single" w:sz="12" w:space="0" w:color="000000"/>
              <w:right w:val="single" w:sz="4" w:space="0" w:color="000000"/>
            </w:tcBorders>
          </w:tcPr>
          <w:p w14:paraId="353E80FE" w14:textId="77777777" w:rsidR="00C73740" w:rsidRPr="00664147" w:rsidRDefault="00C73740" w:rsidP="00F158A1">
            <w:pPr>
              <w:widowControl w:val="0"/>
              <w:autoSpaceDE w:val="0"/>
              <w:autoSpaceDN w:val="0"/>
              <w:spacing w:before="100" w:beforeAutospacing="1" w:after="100" w:afterAutospacing="1" w:line="240" w:lineRule="auto"/>
              <w:rPr>
                <w:rFonts w:eastAsia="Times New Roman" w:cs="Times New Roman"/>
                <w:szCs w:val="24"/>
              </w:rPr>
            </w:pPr>
            <w:r w:rsidRPr="00664147">
              <w:rPr>
                <w:rFonts w:eastAsia="Times New Roman" w:cs="Times New Roman"/>
                <w:szCs w:val="24"/>
              </w:rPr>
              <w:t>1902(r)(2) Children</w:t>
            </w:r>
          </w:p>
        </w:tc>
        <w:tc>
          <w:tcPr>
            <w:tcW w:w="1376" w:type="dxa"/>
            <w:tcBorders>
              <w:top w:val="single" w:sz="4" w:space="0" w:color="000000"/>
              <w:left w:val="single" w:sz="4" w:space="0" w:color="000000"/>
              <w:bottom w:val="single" w:sz="4" w:space="0" w:color="000000"/>
              <w:right w:val="single" w:sz="4" w:space="0" w:color="000000"/>
            </w:tcBorders>
          </w:tcPr>
          <w:p w14:paraId="39E759A1" w14:textId="77777777" w:rsidR="00C73740" w:rsidRPr="00664147" w:rsidRDefault="00C73740" w:rsidP="00F158A1">
            <w:pPr>
              <w:jc w:val="right"/>
              <w:rPr>
                <w:rFonts w:cs="Times New Roman"/>
                <w:bCs/>
                <w:szCs w:val="24"/>
              </w:rPr>
            </w:pPr>
            <w:r w:rsidRPr="009F3F1A">
              <w:t>22,844</w:t>
            </w:r>
          </w:p>
        </w:tc>
        <w:tc>
          <w:tcPr>
            <w:tcW w:w="1341" w:type="dxa"/>
            <w:tcBorders>
              <w:top w:val="single" w:sz="4" w:space="0" w:color="000000"/>
              <w:left w:val="single" w:sz="4" w:space="0" w:color="000000"/>
              <w:bottom w:val="single" w:sz="4" w:space="0" w:color="000000"/>
              <w:right w:val="single" w:sz="4" w:space="0" w:color="000000"/>
            </w:tcBorders>
          </w:tcPr>
          <w:p w14:paraId="7B6648A8" w14:textId="77777777" w:rsidR="00C73740" w:rsidRPr="00664147" w:rsidRDefault="00C73740" w:rsidP="00F158A1">
            <w:pPr>
              <w:jc w:val="right"/>
              <w:rPr>
                <w:rFonts w:cs="Times New Roman"/>
                <w:bCs/>
                <w:szCs w:val="24"/>
              </w:rPr>
            </w:pPr>
            <w:r w:rsidRPr="009F3F1A">
              <w:t>23,392</w:t>
            </w:r>
          </w:p>
        </w:tc>
        <w:tc>
          <w:tcPr>
            <w:tcW w:w="1232" w:type="dxa"/>
            <w:tcBorders>
              <w:top w:val="single" w:sz="4" w:space="0" w:color="000000"/>
              <w:left w:val="single" w:sz="4" w:space="0" w:color="000000"/>
              <w:bottom w:val="single" w:sz="4" w:space="0" w:color="000000"/>
              <w:right w:val="single" w:sz="4" w:space="0" w:color="000000"/>
            </w:tcBorders>
          </w:tcPr>
          <w:p w14:paraId="1DFE46B3" w14:textId="77777777" w:rsidR="00C73740" w:rsidRPr="00664147" w:rsidRDefault="00C73740" w:rsidP="00F158A1">
            <w:pPr>
              <w:jc w:val="right"/>
              <w:rPr>
                <w:rFonts w:cs="Times New Roman"/>
                <w:bCs/>
                <w:szCs w:val="24"/>
              </w:rPr>
            </w:pPr>
            <w:r w:rsidRPr="009F3F1A">
              <w:t>23,924</w:t>
            </w:r>
          </w:p>
        </w:tc>
        <w:tc>
          <w:tcPr>
            <w:tcW w:w="1780" w:type="dxa"/>
            <w:tcBorders>
              <w:top w:val="single" w:sz="4" w:space="0" w:color="000000"/>
              <w:left w:val="single" w:sz="4" w:space="0" w:color="000000"/>
              <w:bottom w:val="single" w:sz="4" w:space="0" w:color="000000"/>
              <w:right w:val="single" w:sz="4" w:space="0" w:color="000000"/>
            </w:tcBorders>
          </w:tcPr>
          <w:p w14:paraId="3EEB09A2" w14:textId="77777777" w:rsidR="00C73740" w:rsidRPr="00664147" w:rsidRDefault="00C73740" w:rsidP="00F158A1">
            <w:pPr>
              <w:jc w:val="right"/>
              <w:rPr>
                <w:rFonts w:cs="Times New Roman"/>
                <w:bCs/>
                <w:szCs w:val="24"/>
              </w:rPr>
            </w:pPr>
            <w:r w:rsidRPr="00A46A36">
              <w:t>70,160</w:t>
            </w:r>
          </w:p>
        </w:tc>
        <w:tc>
          <w:tcPr>
            <w:tcW w:w="1372" w:type="dxa"/>
            <w:tcBorders>
              <w:top w:val="single" w:sz="4" w:space="0" w:color="000000"/>
              <w:left w:val="single" w:sz="4" w:space="0" w:color="000000"/>
              <w:bottom w:val="single" w:sz="4" w:space="0" w:color="000000"/>
              <w:right w:val="single" w:sz="4" w:space="0" w:color="000000"/>
            </w:tcBorders>
          </w:tcPr>
          <w:p w14:paraId="59DD6610" w14:textId="77777777" w:rsidR="00C73740" w:rsidRPr="00664147" w:rsidRDefault="00C73740" w:rsidP="00F158A1">
            <w:pPr>
              <w:jc w:val="right"/>
              <w:rPr>
                <w:rFonts w:cs="Times New Roman"/>
                <w:bCs/>
                <w:szCs w:val="24"/>
              </w:rPr>
            </w:pPr>
            <w:r w:rsidRPr="000A70EB">
              <w:t>147,421</w:t>
            </w:r>
          </w:p>
        </w:tc>
        <w:tc>
          <w:tcPr>
            <w:tcW w:w="1372" w:type="dxa"/>
            <w:tcBorders>
              <w:top w:val="single" w:sz="4" w:space="0" w:color="000000"/>
              <w:left w:val="single" w:sz="4" w:space="0" w:color="000000"/>
              <w:bottom w:val="single" w:sz="4" w:space="0" w:color="000000"/>
              <w:right w:val="single" w:sz="4" w:space="0" w:color="000000"/>
            </w:tcBorders>
          </w:tcPr>
          <w:p w14:paraId="1DA16854" w14:textId="77777777" w:rsidR="00C73740" w:rsidRPr="00664147" w:rsidRDefault="00C73740" w:rsidP="00F158A1">
            <w:pPr>
              <w:jc w:val="right"/>
              <w:rPr>
                <w:rFonts w:cs="Times New Roman"/>
                <w:bCs/>
                <w:szCs w:val="24"/>
              </w:rPr>
            </w:pPr>
            <w:r w:rsidRPr="000A70EB">
              <w:t>254,954</w:t>
            </w:r>
          </w:p>
        </w:tc>
      </w:tr>
      <w:tr w:rsidR="00C73740" w:rsidRPr="00375A4E" w14:paraId="0C11C078" w14:textId="77777777" w:rsidTr="00F158A1">
        <w:trPr>
          <w:trHeight w:hRule="exact" w:val="286"/>
        </w:trPr>
        <w:tc>
          <w:tcPr>
            <w:tcW w:w="2889" w:type="dxa"/>
            <w:tcBorders>
              <w:top w:val="single" w:sz="12" w:space="0" w:color="000000"/>
              <w:left w:val="single" w:sz="4" w:space="0" w:color="000000"/>
              <w:bottom w:val="single" w:sz="12" w:space="0" w:color="000000"/>
              <w:right w:val="single" w:sz="4" w:space="0" w:color="000000"/>
            </w:tcBorders>
          </w:tcPr>
          <w:p w14:paraId="3C531112" w14:textId="77777777" w:rsidR="00C73740" w:rsidRPr="00664147" w:rsidRDefault="00C73740" w:rsidP="00F158A1">
            <w:pPr>
              <w:widowControl w:val="0"/>
              <w:autoSpaceDE w:val="0"/>
              <w:autoSpaceDN w:val="0"/>
              <w:spacing w:before="100" w:beforeAutospacing="1" w:after="100" w:afterAutospacing="1" w:line="240" w:lineRule="auto"/>
              <w:rPr>
                <w:rFonts w:eastAsia="Times New Roman" w:cs="Times New Roman"/>
                <w:szCs w:val="24"/>
              </w:rPr>
            </w:pPr>
            <w:r w:rsidRPr="00664147">
              <w:rPr>
                <w:rFonts w:eastAsia="Times New Roman" w:cs="Times New Roman"/>
                <w:szCs w:val="24"/>
              </w:rPr>
              <w:t>1902(r)(2) Disabled</w:t>
            </w:r>
          </w:p>
        </w:tc>
        <w:tc>
          <w:tcPr>
            <w:tcW w:w="1376" w:type="dxa"/>
            <w:tcBorders>
              <w:top w:val="single" w:sz="4" w:space="0" w:color="000000"/>
              <w:left w:val="single" w:sz="4" w:space="0" w:color="000000"/>
              <w:bottom w:val="single" w:sz="4" w:space="0" w:color="000000"/>
              <w:right w:val="single" w:sz="4" w:space="0" w:color="000000"/>
            </w:tcBorders>
          </w:tcPr>
          <w:p w14:paraId="59C2C00C" w14:textId="77777777" w:rsidR="00C73740" w:rsidRPr="00664147" w:rsidRDefault="00C73740" w:rsidP="00F158A1">
            <w:pPr>
              <w:jc w:val="right"/>
              <w:rPr>
                <w:rFonts w:cs="Times New Roman"/>
                <w:bCs/>
                <w:szCs w:val="24"/>
              </w:rPr>
            </w:pPr>
            <w:r w:rsidRPr="003B63A3">
              <w:t>17,847</w:t>
            </w:r>
          </w:p>
        </w:tc>
        <w:tc>
          <w:tcPr>
            <w:tcW w:w="1341" w:type="dxa"/>
            <w:tcBorders>
              <w:top w:val="single" w:sz="4" w:space="0" w:color="000000"/>
              <w:left w:val="single" w:sz="4" w:space="0" w:color="000000"/>
              <w:bottom w:val="single" w:sz="4" w:space="0" w:color="000000"/>
              <w:right w:val="single" w:sz="4" w:space="0" w:color="000000"/>
            </w:tcBorders>
          </w:tcPr>
          <w:p w14:paraId="1F4E6467" w14:textId="77777777" w:rsidR="00C73740" w:rsidRPr="00664147" w:rsidRDefault="00C73740" w:rsidP="00F158A1">
            <w:pPr>
              <w:jc w:val="right"/>
              <w:rPr>
                <w:rFonts w:cs="Times New Roman"/>
                <w:bCs/>
                <w:szCs w:val="24"/>
              </w:rPr>
            </w:pPr>
            <w:r w:rsidRPr="003B63A3">
              <w:t>17,943</w:t>
            </w:r>
          </w:p>
        </w:tc>
        <w:tc>
          <w:tcPr>
            <w:tcW w:w="1232" w:type="dxa"/>
            <w:tcBorders>
              <w:top w:val="single" w:sz="4" w:space="0" w:color="000000"/>
              <w:left w:val="single" w:sz="4" w:space="0" w:color="000000"/>
              <w:bottom w:val="single" w:sz="4" w:space="0" w:color="000000"/>
              <w:right w:val="single" w:sz="4" w:space="0" w:color="000000"/>
            </w:tcBorders>
          </w:tcPr>
          <w:p w14:paraId="1D6E874E" w14:textId="77777777" w:rsidR="00C73740" w:rsidRPr="00664147" w:rsidRDefault="00C73740" w:rsidP="00F158A1">
            <w:pPr>
              <w:jc w:val="right"/>
              <w:rPr>
                <w:rFonts w:cs="Times New Roman"/>
                <w:bCs/>
                <w:szCs w:val="24"/>
              </w:rPr>
            </w:pPr>
            <w:r w:rsidRPr="003B63A3">
              <w:t>18,002</w:t>
            </w:r>
          </w:p>
        </w:tc>
        <w:tc>
          <w:tcPr>
            <w:tcW w:w="1780" w:type="dxa"/>
            <w:tcBorders>
              <w:top w:val="single" w:sz="4" w:space="0" w:color="000000"/>
              <w:left w:val="single" w:sz="4" w:space="0" w:color="000000"/>
              <w:bottom w:val="single" w:sz="4" w:space="0" w:color="000000"/>
              <w:right w:val="single" w:sz="4" w:space="0" w:color="000000"/>
            </w:tcBorders>
          </w:tcPr>
          <w:p w14:paraId="3449848B" w14:textId="77777777" w:rsidR="00C73740" w:rsidRPr="00664147" w:rsidRDefault="00C73740" w:rsidP="00F158A1">
            <w:pPr>
              <w:jc w:val="right"/>
              <w:rPr>
                <w:rFonts w:cs="Times New Roman"/>
                <w:bCs/>
                <w:szCs w:val="24"/>
              </w:rPr>
            </w:pPr>
            <w:r w:rsidRPr="00A46A36">
              <w:t>53,792</w:t>
            </w:r>
          </w:p>
        </w:tc>
        <w:tc>
          <w:tcPr>
            <w:tcW w:w="1372" w:type="dxa"/>
            <w:tcBorders>
              <w:top w:val="single" w:sz="4" w:space="0" w:color="000000"/>
              <w:left w:val="single" w:sz="4" w:space="0" w:color="000000"/>
              <w:bottom w:val="single" w:sz="4" w:space="0" w:color="000000"/>
              <w:right w:val="single" w:sz="4" w:space="0" w:color="000000"/>
            </w:tcBorders>
          </w:tcPr>
          <w:p w14:paraId="036E8DBC" w14:textId="77777777" w:rsidR="00C73740" w:rsidRPr="00664147" w:rsidRDefault="00C73740" w:rsidP="00F158A1">
            <w:pPr>
              <w:jc w:val="right"/>
              <w:rPr>
                <w:rFonts w:cs="Times New Roman"/>
                <w:bCs/>
                <w:szCs w:val="24"/>
              </w:rPr>
            </w:pPr>
            <w:r w:rsidRPr="00A9351B">
              <w:t>214,394</w:t>
            </w:r>
          </w:p>
        </w:tc>
        <w:tc>
          <w:tcPr>
            <w:tcW w:w="1372" w:type="dxa"/>
            <w:tcBorders>
              <w:top w:val="single" w:sz="4" w:space="0" w:color="000000"/>
              <w:left w:val="single" w:sz="4" w:space="0" w:color="000000"/>
              <w:bottom w:val="single" w:sz="4" w:space="0" w:color="000000"/>
              <w:right w:val="single" w:sz="4" w:space="0" w:color="000000"/>
            </w:tcBorders>
          </w:tcPr>
          <w:p w14:paraId="4340127B" w14:textId="77777777" w:rsidR="00C73740" w:rsidRPr="00664147" w:rsidRDefault="00C73740" w:rsidP="00F158A1">
            <w:pPr>
              <w:jc w:val="right"/>
              <w:rPr>
                <w:rFonts w:cs="Times New Roman"/>
                <w:bCs/>
                <w:szCs w:val="24"/>
              </w:rPr>
            </w:pPr>
            <w:r w:rsidRPr="00A9351B">
              <w:t>215,250</w:t>
            </w:r>
          </w:p>
        </w:tc>
      </w:tr>
      <w:tr w:rsidR="00C73740" w:rsidRPr="00375A4E" w14:paraId="0A02E56D" w14:textId="77777777" w:rsidTr="00F158A1">
        <w:trPr>
          <w:trHeight w:hRule="exact" w:val="288"/>
        </w:trPr>
        <w:tc>
          <w:tcPr>
            <w:tcW w:w="2889" w:type="dxa"/>
            <w:tcBorders>
              <w:top w:val="single" w:sz="12" w:space="0" w:color="000000"/>
              <w:left w:val="single" w:sz="4" w:space="0" w:color="000000"/>
              <w:bottom w:val="single" w:sz="12" w:space="0" w:color="000000"/>
              <w:right w:val="single" w:sz="4" w:space="0" w:color="000000"/>
            </w:tcBorders>
          </w:tcPr>
          <w:p w14:paraId="20116F85" w14:textId="77777777" w:rsidR="00C73740" w:rsidRPr="00664147" w:rsidRDefault="00C73740" w:rsidP="00F158A1">
            <w:pPr>
              <w:widowControl w:val="0"/>
              <w:autoSpaceDE w:val="0"/>
              <w:autoSpaceDN w:val="0"/>
              <w:spacing w:before="100" w:beforeAutospacing="1" w:after="100" w:afterAutospacing="1" w:line="240" w:lineRule="auto"/>
              <w:rPr>
                <w:rFonts w:eastAsia="Times New Roman" w:cs="Times New Roman"/>
                <w:szCs w:val="24"/>
              </w:rPr>
            </w:pPr>
            <w:r w:rsidRPr="00664147">
              <w:rPr>
                <w:rFonts w:eastAsia="Times New Roman" w:cs="Times New Roman"/>
                <w:szCs w:val="24"/>
              </w:rPr>
              <w:t>New Adult Group</w:t>
            </w:r>
          </w:p>
        </w:tc>
        <w:tc>
          <w:tcPr>
            <w:tcW w:w="1376" w:type="dxa"/>
            <w:tcBorders>
              <w:top w:val="single" w:sz="4" w:space="0" w:color="000000"/>
              <w:left w:val="single" w:sz="4" w:space="0" w:color="000000"/>
              <w:bottom w:val="single" w:sz="4" w:space="0" w:color="000000"/>
              <w:right w:val="single" w:sz="4" w:space="0" w:color="000000"/>
            </w:tcBorders>
          </w:tcPr>
          <w:p w14:paraId="57F0166F" w14:textId="77777777" w:rsidR="00C73740" w:rsidRPr="00664147" w:rsidRDefault="00C73740" w:rsidP="00F158A1">
            <w:pPr>
              <w:jc w:val="right"/>
              <w:rPr>
                <w:rFonts w:cs="Times New Roman"/>
                <w:bCs/>
                <w:szCs w:val="24"/>
              </w:rPr>
            </w:pPr>
            <w:r w:rsidRPr="00B112E2">
              <w:t>409,923</w:t>
            </w:r>
          </w:p>
        </w:tc>
        <w:tc>
          <w:tcPr>
            <w:tcW w:w="1341" w:type="dxa"/>
            <w:tcBorders>
              <w:top w:val="single" w:sz="4" w:space="0" w:color="000000"/>
              <w:left w:val="single" w:sz="4" w:space="0" w:color="000000"/>
              <w:bottom w:val="single" w:sz="4" w:space="0" w:color="000000"/>
              <w:right w:val="single" w:sz="4" w:space="0" w:color="000000"/>
            </w:tcBorders>
          </w:tcPr>
          <w:p w14:paraId="3099875A" w14:textId="77777777" w:rsidR="00C73740" w:rsidRPr="00664147" w:rsidRDefault="00C73740" w:rsidP="00F158A1">
            <w:pPr>
              <w:jc w:val="right"/>
              <w:rPr>
                <w:rFonts w:cs="Times New Roman"/>
                <w:bCs/>
                <w:szCs w:val="24"/>
              </w:rPr>
            </w:pPr>
            <w:r w:rsidRPr="00B112E2">
              <w:t>414,283</w:t>
            </w:r>
          </w:p>
        </w:tc>
        <w:tc>
          <w:tcPr>
            <w:tcW w:w="1232" w:type="dxa"/>
            <w:tcBorders>
              <w:top w:val="single" w:sz="4" w:space="0" w:color="000000"/>
              <w:left w:val="single" w:sz="4" w:space="0" w:color="000000"/>
              <w:bottom w:val="single" w:sz="4" w:space="0" w:color="000000"/>
              <w:right w:val="single" w:sz="4" w:space="0" w:color="000000"/>
            </w:tcBorders>
          </w:tcPr>
          <w:p w14:paraId="0CEA582C" w14:textId="77777777" w:rsidR="00C73740" w:rsidRPr="00664147" w:rsidRDefault="00C73740" w:rsidP="00F158A1">
            <w:pPr>
              <w:jc w:val="right"/>
              <w:rPr>
                <w:rFonts w:cs="Times New Roman"/>
                <w:bCs/>
                <w:szCs w:val="24"/>
              </w:rPr>
            </w:pPr>
            <w:r w:rsidRPr="00B112E2">
              <w:t>418,462</w:t>
            </w:r>
          </w:p>
        </w:tc>
        <w:tc>
          <w:tcPr>
            <w:tcW w:w="1780" w:type="dxa"/>
            <w:tcBorders>
              <w:top w:val="single" w:sz="4" w:space="0" w:color="000000"/>
              <w:left w:val="single" w:sz="4" w:space="0" w:color="000000"/>
              <w:bottom w:val="single" w:sz="4" w:space="0" w:color="000000"/>
              <w:right w:val="single" w:sz="4" w:space="0" w:color="000000"/>
            </w:tcBorders>
          </w:tcPr>
          <w:p w14:paraId="1545469C" w14:textId="77777777" w:rsidR="00C73740" w:rsidRPr="00664147" w:rsidRDefault="00C73740" w:rsidP="00F158A1">
            <w:pPr>
              <w:jc w:val="right"/>
              <w:rPr>
                <w:rFonts w:cs="Times New Roman"/>
                <w:bCs/>
                <w:szCs w:val="24"/>
              </w:rPr>
            </w:pPr>
            <w:r w:rsidRPr="00A46A36">
              <w:t>1,242,668</w:t>
            </w:r>
          </w:p>
        </w:tc>
        <w:tc>
          <w:tcPr>
            <w:tcW w:w="1372" w:type="dxa"/>
            <w:tcBorders>
              <w:top w:val="single" w:sz="4" w:space="0" w:color="000000"/>
              <w:left w:val="single" w:sz="4" w:space="0" w:color="000000"/>
              <w:bottom w:val="single" w:sz="4" w:space="0" w:color="000000"/>
              <w:right w:val="single" w:sz="4" w:space="0" w:color="000000"/>
            </w:tcBorders>
          </w:tcPr>
          <w:p w14:paraId="1DB2921C" w14:textId="77777777" w:rsidR="00C73740" w:rsidRPr="00664147" w:rsidRDefault="00C73740" w:rsidP="00F158A1">
            <w:pPr>
              <w:jc w:val="right"/>
              <w:rPr>
                <w:rFonts w:cs="Times New Roman"/>
                <w:bCs/>
                <w:szCs w:val="24"/>
              </w:rPr>
            </w:pPr>
            <w:r w:rsidRPr="000A0ACC">
              <w:t>3,862,915</w:t>
            </w:r>
          </w:p>
        </w:tc>
        <w:tc>
          <w:tcPr>
            <w:tcW w:w="1372" w:type="dxa"/>
            <w:tcBorders>
              <w:top w:val="single" w:sz="4" w:space="0" w:color="000000"/>
              <w:left w:val="single" w:sz="4" w:space="0" w:color="000000"/>
              <w:bottom w:val="single" w:sz="4" w:space="0" w:color="000000"/>
              <w:right w:val="single" w:sz="4" w:space="0" w:color="000000"/>
            </w:tcBorders>
          </w:tcPr>
          <w:p w14:paraId="669C01EE" w14:textId="77777777" w:rsidR="00C73740" w:rsidRPr="00664147" w:rsidRDefault="00C73740" w:rsidP="00F158A1">
            <w:pPr>
              <w:jc w:val="right"/>
              <w:rPr>
                <w:rFonts w:cs="Times New Roman"/>
                <w:bCs/>
                <w:szCs w:val="24"/>
              </w:rPr>
            </w:pPr>
            <w:r w:rsidRPr="000A0ACC">
              <w:t>4,650,083</w:t>
            </w:r>
          </w:p>
        </w:tc>
      </w:tr>
      <w:tr w:rsidR="00C73740" w:rsidRPr="00375A4E" w14:paraId="0AADCCBC" w14:textId="77777777" w:rsidTr="00F158A1">
        <w:trPr>
          <w:trHeight w:hRule="exact" w:val="280"/>
        </w:trPr>
        <w:tc>
          <w:tcPr>
            <w:tcW w:w="2889" w:type="dxa"/>
            <w:tcBorders>
              <w:top w:val="single" w:sz="12" w:space="0" w:color="000000"/>
              <w:left w:val="single" w:sz="4" w:space="0" w:color="000000"/>
              <w:bottom w:val="single" w:sz="12" w:space="0" w:color="000000"/>
              <w:right w:val="single" w:sz="4" w:space="0" w:color="000000"/>
            </w:tcBorders>
          </w:tcPr>
          <w:p w14:paraId="2C283188" w14:textId="77777777" w:rsidR="00C73740" w:rsidRPr="00664147" w:rsidRDefault="00C73740" w:rsidP="00F158A1">
            <w:pPr>
              <w:widowControl w:val="0"/>
              <w:autoSpaceDE w:val="0"/>
              <w:autoSpaceDN w:val="0"/>
              <w:spacing w:before="100" w:beforeAutospacing="1" w:after="100" w:afterAutospacing="1" w:line="240" w:lineRule="auto"/>
              <w:rPr>
                <w:rFonts w:eastAsia="Times New Roman" w:cs="Times New Roman"/>
                <w:szCs w:val="24"/>
              </w:rPr>
            </w:pPr>
            <w:r w:rsidRPr="00664147">
              <w:rPr>
                <w:rFonts w:eastAsia="Times New Roman" w:cs="Times New Roman"/>
                <w:szCs w:val="24"/>
              </w:rPr>
              <w:t>BCCDP</w:t>
            </w:r>
          </w:p>
        </w:tc>
        <w:tc>
          <w:tcPr>
            <w:tcW w:w="1376" w:type="dxa"/>
            <w:tcBorders>
              <w:top w:val="single" w:sz="4" w:space="0" w:color="000000"/>
              <w:left w:val="single" w:sz="4" w:space="0" w:color="000000"/>
              <w:bottom w:val="single" w:sz="4" w:space="0" w:color="000000"/>
              <w:right w:val="single" w:sz="4" w:space="0" w:color="000000"/>
            </w:tcBorders>
          </w:tcPr>
          <w:p w14:paraId="1D010B52" w14:textId="77777777" w:rsidR="00C73740" w:rsidRPr="00664147" w:rsidRDefault="00C73740" w:rsidP="00F158A1">
            <w:pPr>
              <w:jc w:val="right"/>
              <w:rPr>
                <w:rFonts w:cs="Times New Roman"/>
                <w:bCs/>
                <w:szCs w:val="24"/>
              </w:rPr>
            </w:pPr>
            <w:r w:rsidRPr="00D6605A">
              <w:t>1,143</w:t>
            </w:r>
          </w:p>
        </w:tc>
        <w:tc>
          <w:tcPr>
            <w:tcW w:w="1341" w:type="dxa"/>
            <w:tcBorders>
              <w:top w:val="single" w:sz="4" w:space="0" w:color="000000"/>
              <w:left w:val="single" w:sz="4" w:space="0" w:color="000000"/>
              <w:bottom w:val="single" w:sz="4" w:space="0" w:color="000000"/>
              <w:right w:val="single" w:sz="4" w:space="0" w:color="000000"/>
            </w:tcBorders>
          </w:tcPr>
          <w:p w14:paraId="4C1C0541" w14:textId="77777777" w:rsidR="00C73740" w:rsidRPr="00664147" w:rsidRDefault="00C73740" w:rsidP="00F158A1">
            <w:pPr>
              <w:jc w:val="right"/>
              <w:rPr>
                <w:rFonts w:cs="Times New Roman"/>
                <w:bCs/>
                <w:szCs w:val="24"/>
              </w:rPr>
            </w:pPr>
            <w:r w:rsidRPr="00D6605A">
              <w:t>1,135</w:t>
            </w:r>
          </w:p>
        </w:tc>
        <w:tc>
          <w:tcPr>
            <w:tcW w:w="1232" w:type="dxa"/>
            <w:tcBorders>
              <w:top w:val="single" w:sz="4" w:space="0" w:color="000000"/>
              <w:left w:val="single" w:sz="4" w:space="0" w:color="000000"/>
              <w:bottom w:val="single" w:sz="4" w:space="0" w:color="000000"/>
              <w:right w:val="single" w:sz="4" w:space="0" w:color="000000"/>
            </w:tcBorders>
          </w:tcPr>
          <w:p w14:paraId="6A027EDB" w14:textId="77777777" w:rsidR="00C73740" w:rsidRPr="00664147" w:rsidRDefault="00C73740" w:rsidP="00F158A1">
            <w:pPr>
              <w:jc w:val="right"/>
              <w:rPr>
                <w:rFonts w:cs="Times New Roman"/>
                <w:bCs/>
                <w:szCs w:val="24"/>
              </w:rPr>
            </w:pPr>
            <w:r w:rsidRPr="00D6605A">
              <w:t>1,152</w:t>
            </w:r>
          </w:p>
        </w:tc>
        <w:tc>
          <w:tcPr>
            <w:tcW w:w="1780" w:type="dxa"/>
            <w:tcBorders>
              <w:top w:val="single" w:sz="4" w:space="0" w:color="000000"/>
              <w:left w:val="single" w:sz="4" w:space="0" w:color="000000"/>
              <w:bottom w:val="single" w:sz="4" w:space="0" w:color="000000"/>
              <w:right w:val="single" w:sz="4" w:space="0" w:color="000000"/>
            </w:tcBorders>
          </w:tcPr>
          <w:p w14:paraId="7CC97524" w14:textId="77777777" w:rsidR="00C73740" w:rsidRPr="00664147" w:rsidRDefault="00C73740" w:rsidP="00F158A1">
            <w:pPr>
              <w:jc w:val="right"/>
              <w:rPr>
                <w:rFonts w:cs="Times New Roman"/>
                <w:bCs/>
                <w:szCs w:val="24"/>
              </w:rPr>
            </w:pPr>
            <w:r w:rsidRPr="00A46A36">
              <w:t>3,430</w:t>
            </w:r>
          </w:p>
        </w:tc>
        <w:tc>
          <w:tcPr>
            <w:tcW w:w="1372" w:type="dxa"/>
            <w:tcBorders>
              <w:top w:val="single" w:sz="4" w:space="0" w:color="000000"/>
              <w:left w:val="single" w:sz="4" w:space="0" w:color="000000"/>
              <w:bottom w:val="single" w:sz="4" w:space="0" w:color="000000"/>
              <w:right w:val="single" w:sz="4" w:space="0" w:color="000000"/>
            </w:tcBorders>
          </w:tcPr>
          <w:p w14:paraId="579FE142" w14:textId="77777777" w:rsidR="00C73740" w:rsidRPr="00664147" w:rsidRDefault="00C73740" w:rsidP="00F158A1">
            <w:pPr>
              <w:jc w:val="right"/>
              <w:rPr>
                <w:rFonts w:cs="Times New Roman"/>
                <w:bCs/>
                <w:szCs w:val="24"/>
              </w:rPr>
            </w:pPr>
            <w:r w:rsidRPr="002C3377">
              <w:t>13,349</w:t>
            </w:r>
          </w:p>
        </w:tc>
        <w:tc>
          <w:tcPr>
            <w:tcW w:w="1372" w:type="dxa"/>
            <w:tcBorders>
              <w:top w:val="single" w:sz="4" w:space="0" w:color="000000"/>
              <w:left w:val="single" w:sz="4" w:space="0" w:color="000000"/>
              <w:bottom w:val="single" w:sz="4" w:space="0" w:color="000000"/>
              <w:right w:val="single" w:sz="4" w:space="0" w:color="000000"/>
            </w:tcBorders>
          </w:tcPr>
          <w:p w14:paraId="2B91927F" w14:textId="77777777" w:rsidR="00C73740" w:rsidRPr="00664147" w:rsidRDefault="00C73740" w:rsidP="00F158A1">
            <w:pPr>
              <w:jc w:val="right"/>
              <w:rPr>
                <w:rFonts w:cs="Times New Roman"/>
                <w:bCs/>
                <w:szCs w:val="24"/>
              </w:rPr>
            </w:pPr>
            <w:r w:rsidRPr="002C3377">
              <w:t>13,780</w:t>
            </w:r>
          </w:p>
        </w:tc>
      </w:tr>
      <w:tr w:rsidR="00C73740" w:rsidRPr="00375A4E" w14:paraId="684C761B" w14:textId="77777777" w:rsidTr="00F158A1">
        <w:trPr>
          <w:trHeight w:hRule="exact" w:val="286"/>
        </w:trPr>
        <w:tc>
          <w:tcPr>
            <w:tcW w:w="2889" w:type="dxa"/>
            <w:tcBorders>
              <w:top w:val="single" w:sz="12" w:space="0" w:color="000000"/>
              <w:left w:val="single" w:sz="4" w:space="0" w:color="000000"/>
              <w:bottom w:val="single" w:sz="12" w:space="0" w:color="000000"/>
              <w:right w:val="single" w:sz="4" w:space="0" w:color="000000"/>
            </w:tcBorders>
          </w:tcPr>
          <w:p w14:paraId="4893FD6C" w14:textId="77777777" w:rsidR="00C73740" w:rsidRPr="00664147" w:rsidRDefault="00C73740" w:rsidP="00F158A1">
            <w:pPr>
              <w:widowControl w:val="0"/>
              <w:autoSpaceDE w:val="0"/>
              <w:autoSpaceDN w:val="0"/>
              <w:spacing w:before="100" w:beforeAutospacing="1" w:after="100" w:afterAutospacing="1" w:line="240" w:lineRule="auto"/>
              <w:rPr>
                <w:rFonts w:eastAsia="Times New Roman" w:cs="Times New Roman"/>
                <w:szCs w:val="24"/>
              </w:rPr>
            </w:pPr>
            <w:r w:rsidRPr="00664147">
              <w:rPr>
                <w:rFonts w:eastAsia="Times New Roman" w:cs="Times New Roman"/>
                <w:szCs w:val="24"/>
              </w:rPr>
              <w:t>CommonHealth</w:t>
            </w:r>
          </w:p>
        </w:tc>
        <w:tc>
          <w:tcPr>
            <w:tcW w:w="1376" w:type="dxa"/>
            <w:tcBorders>
              <w:top w:val="single" w:sz="4" w:space="0" w:color="000000"/>
              <w:left w:val="single" w:sz="4" w:space="0" w:color="000000"/>
              <w:bottom w:val="single" w:sz="4" w:space="0" w:color="000000"/>
              <w:right w:val="single" w:sz="4" w:space="0" w:color="000000"/>
            </w:tcBorders>
          </w:tcPr>
          <w:p w14:paraId="706DE9C1" w14:textId="77777777" w:rsidR="00C73740" w:rsidRPr="00664147" w:rsidRDefault="00C73740" w:rsidP="00F158A1">
            <w:pPr>
              <w:jc w:val="right"/>
              <w:rPr>
                <w:rFonts w:cs="Times New Roman"/>
                <w:bCs/>
                <w:szCs w:val="24"/>
              </w:rPr>
            </w:pPr>
            <w:r w:rsidRPr="0024612B">
              <w:t>32,665</w:t>
            </w:r>
          </w:p>
        </w:tc>
        <w:tc>
          <w:tcPr>
            <w:tcW w:w="1341" w:type="dxa"/>
            <w:tcBorders>
              <w:top w:val="single" w:sz="4" w:space="0" w:color="000000"/>
              <w:left w:val="single" w:sz="4" w:space="0" w:color="000000"/>
              <w:bottom w:val="single" w:sz="4" w:space="0" w:color="000000"/>
              <w:right w:val="single" w:sz="4" w:space="0" w:color="000000"/>
            </w:tcBorders>
          </w:tcPr>
          <w:p w14:paraId="43AD82EE" w14:textId="77777777" w:rsidR="00C73740" w:rsidRPr="00664147" w:rsidRDefault="00C73740" w:rsidP="00F158A1">
            <w:pPr>
              <w:jc w:val="right"/>
              <w:rPr>
                <w:rFonts w:cs="Times New Roman"/>
                <w:bCs/>
                <w:szCs w:val="24"/>
              </w:rPr>
            </w:pPr>
            <w:r w:rsidRPr="0024612B">
              <w:t>32,798</w:t>
            </w:r>
          </w:p>
        </w:tc>
        <w:tc>
          <w:tcPr>
            <w:tcW w:w="1232" w:type="dxa"/>
            <w:tcBorders>
              <w:top w:val="single" w:sz="4" w:space="0" w:color="000000"/>
              <w:left w:val="single" w:sz="4" w:space="0" w:color="000000"/>
              <w:bottom w:val="single" w:sz="4" w:space="0" w:color="000000"/>
              <w:right w:val="single" w:sz="4" w:space="0" w:color="000000"/>
            </w:tcBorders>
          </w:tcPr>
          <w:p w14:paraId="7284BB00" w14:textId="77777777" w:rsidR="00C73740" w:rsidRPr="00664147" w:rsidRDefault="00C73740" w:rsidP="00F158A1">
            <w:pPr>
              <w:jc w:val="right"/>
              <w:rPr>
                <w:rFonts w:cs="Times New Roman"/>
                <w:bCs/>
                <w:szCs w:val="24"/>
              </w:rPr>
            </w:pPr>
            <w:r w:rsidRPr="0024612B">
              <w:t>32,764</w:t>
            </w:r>
          </w:p>
        </w:tc>
        <w:tc>
          <w:tcPr>
            <w:tcW w:w="1780" w:type="dxa"/>
            <w:tcBorders>
              <w:top w:val="single" w:sz="4" w:space="0" w:color="000000"/>
              <w:left w:val="single" w:sz="4" w:space="0" w:color="000000"/>
              <w:bottom w:val="single" w:sz="4" w:space="0" w:color="000000"/>
              <w:right w:val="single" w:sz="4" w:space="0" w:color="000000"/>
            </w:tcBorders>
          </w:tcPr>
          <w:p w14:paraId="6906E755" w14:textId="77777777" w:rsidR="00C73740" w:rsidRPr="00664147" w:rsidRDefault="00C73740" w:rsidP="00F158A1">
            <w:pPr>
              <w:jc w:val="right"/>
              <w:rPr>
                <w:rFonts w:cs="Times New Roman"/>
                <w:bCs/>
                <w:szCs w:val="24"/>
              </w:rPr>
            </w:pPr>
            <w:r w:rsidRPr="00A46A36">
              <w:t>98,227</w:t>
            </w:r>
          </w:p>
        </w:tc>
        <w:tc>
          <w:tcPr>
            <w:tcW w:w="1372" w:type="dxa"/>
            <w:tcBorders>
              <w:top w:val="single" w:sz="4" w:space="0" w:color="000000"/>
              <w:left w:val="single" w:sz="4" w:space="0" w:color="000000"/>
              <w:bottom w:val="single" w:sz="4" w:space="0" w:color="000000"/>
              <w:right w:val="single" w:sz="4" w:space="0" w:color="000000"/>
            </w:tcBorders>
          </w:tcPr>
          <w:p w14:paraId="48E59D4B" w14:textId="77777777" w:rsidR="00C73740" w:rsidRPr="00664147" w:rsidRDefault="00C73740" w:rsidP="00F158A1">
            <w:pPr>
              <w:jc w:val="right"/>
              <w:rPr>
                <w:rFonts w:cs="Times New Roman"/>
                <w:bCs/>
                <w:szCs w:val="24"/>
              </w:rPr>
            </w:pPr>
            <w:r w:rsidRPr="00C423FA">
              <w:t>385,162</w:t>
            </w:r>
          </w:p>
        </w:tc>
        <w:tc>
          <w:tcPr>
            <w:tcW w:w="1372" w:type="dxa"/>
            <w:tcBorders>
              <w:top w:val="single" w:sz="4" w:space="0" w:color="000000"/>
              <w:left w:val="single" w:sz="4" w:space="0" w:color="000000"/>
              <w:bottom w:val="single" w:sz="4" w:space="0" w:color="000000"/>
              <w:right w:val="single" w:sz="4" w:space="0" w:color="000000"/>
            </w:tcBorders>
          </w:tcPr>
          <w:p w14:paraId="2BD011ED" w14:textId="77777777" w:rsidR="00C73740" w:rsidRPr="00664147" w:rsidRDefault="00C73740" w:rsidP="00F158A1">
            <w:pPr>
              <w:jc w:val="right"/>
              <w:rPr>
                <w:rFonts w:cs="Times New Roman"/>
                <w:bCs/>
                <w:szCs w:val="24"/>
              </w:rPr>
            </w:pPr>
            <w:r w:rsidRPr="00C423FA">
              <w:t>390,202</w:t>
            </w:r>
          </w:p>
        </w:tc>
      </w:tr>
      <w:tr w:rsidR="00C73740" w:rsidRPr="00375A4E" w14:paraId="03F71992" w14:textId="77777777" w:rsidTr="00F158A1">
        <w:trPr>
          <w:trHeight w:hRule="exact" w:val="294"/>
        </w:trPr>
        <w:tc>
          <w:tcPr>
            <w:tcW w:w="2889" w:type="dxa"/>
            <w:tcBorders>
              <w:top w:val="single" w:sz="12" w:space="0" w:color="000000"/>
              <w:left w:val="single" w:sz="4" w:space="0" w:color="000000"/>
              <w:bottom w:val="single" w:sz="12" w:space="0" w:color="000000"/>
              <w:right w:val="single" w:sz="4" w:space="0" w:color="000000"/>
            </w:tcBorders>
          </w:tcPr>
          <w:p w14:paraId="585BCED0" w14:textId="77777777" w:rsidR="00C73740" w:rsidRPr="00664147" w:rsidRDefault="00C73740" w:rsidP="00F158A1">
            <w:pPr>
              <w:widowControl w:val="0"/>
              <w:autoSpaceDE w:val="0"/>
              <w:autoSpaceDN w:val="0"/>
              <w:spacing w:before="100" w:beforeAutospacing="1" w:after="100" w:afterAutospacing="1" w:line="240" w:lineRule="auto"/>
              <w:rPr>
                <w:rFonts w:eastAsia="Times New Roman" w:cs="Times New Roman"/>
                <w:szCs w:val="24"/>
              </w:rPr>
            </w:pPr>
            <w:r w:rsidRPr="00E6001D">
              <w:rPr>
                <w:rFonts w:eastAsia="Times New Roman" w:cs="Times New Roman"/>
                <w:szCs w:val="24"/>
              </w:rPr>
              <w:t>TANF/EAEDC*</w:t>
            </w:r>
          </w:p>
        </w:tc>
        <w:tc>
          <w:tcPr>
            <w:tcW w:w="1376" w:type="dxa"/>
            <w:tcBorders>
              <w:top w:val="single" w:sz="4" w:space="0" w:color="000000"/>
              <w:left w:val="single" w:sz="4" w:space="0" w:color="000000"/>
              <w:bottom w:val="single" w:sz="4" w:space="0" w:color="000000"/>
              <w:right w:val="single" w:sz="4" w:space="0" w:color="000000"/>
            </w:tcBorders>
          </w:tcPr>
          <w:p w14:paraId="5519D5B5" w14:textId="77777777" w:rsidR="00C73740" w:rsidRPr="00664147" w:rsidRDefault="00C73740" w:rsidP="00F158A1">
            <w:pPr>
              <w:jc w:val="right"/>
              <w:rPr>
                <w:rFonts w:cs="Times New Roman"/>
                <w:szCs w:val="24"/>
              </w:rPr>
            </w:pPr>
            <w:r w:rsidRPr="003727C5">
              <w:t xml:space="preserve"> 331 </w:t>
            </w:r>
          </w:p>
        </w:tc>
        <w:tc>
          <w:tcPr>
            <w:tcW w:w="1341" w:type="dxa"/>
            <w:tcBorders>
              <w:top w:val="single" w:sz="4" w:space="0" w:color="000000"/>
              <w:left w:val="single" w:sz="4" w:space="0" w:color="000000"/>
              <w:bottom w:val="single" w:sz="4" w:space="0" w:color="000000"/>
              <w:right w:val="single" w:sz="4" w:space="0" w:color="000000"/>
            </w:tcBorders>
          </w:tcPr>
          <w:p w14:paraId="5B2859EB" w14:textId="77777777" w:rsidR="00C73740" w:rsidRPr="00664147" w:rsidRDefault="00C73740" w:rsidP="00F158A1">
            <w:pPr>
              <w:jc w:val="right"/>
              <w:rPr>
                <w:rFonts w:cs="Times New Roman"/>
                <w:szCs w:val="24"/>
              </w:rPr>
            </w:pPr>
            <w:r w:rsidRPr="003727C5">
              <w:t xml:space="preserve"> 311 </w:t>
            </w:r>
          </w:p>
        </w:tc>
        <w:tc>
          <w:tcPr>
            <w:tcW w:w="1232" w:type="dxa"/>
            <w:tcBorders>
              <w:top w:val="single" w:sz="4" w:space="0" w:color="000000"/>
              <w:left w:val="single" w:sz="4" w:space="0" w:color="000000"/>
              <w:bottom w:val="single" w:sz="4" w:space="0" w:color="000000"/>
              <w:right w:val="single" w:sz="4" w:space="0" w:color="000000"/>
            </w:tcBorders>
          </w:tcPr>
          <w:p w14:paraId="360E6C0E" w14:textId="77777777" w:rsidR="00C73740" w:rsidRPr="00664147" w:rsidRDefault="00C73740" w:rsidP="00F158A1">
            <w:pPr>
              <w:jc w:val="right"/>
              <w:rPr>
                <w:rFonts w:cs="Times New Roman"/>
                <w:szCs w:val="24"/>
              </w:rPr>
            </w:pPr>
            <w:r w:rsidRPr="003727C5">
              <w:t xml:space="preserve"> 291 </w:t>
            </w:r>
          </w:p>
        </w:tc>
        <w:tc>
          <w:tcPr>
            <w:tcW w:w="1780" w:type="dxa"/>
            <w:tcBorders>
              <w:top w:val="single" w:sz="4" w:space="0" w:color="000000"/>
              <w:left w:val="single" w:sz="4" w:space="0" w:color="000000"/>
              <w:bottom w:val="single" w:sz="4" w:space="0" w:color="000000"/>
              <w:right w:val="single" w:sz="4" w:space="0" w:color="000000"/>
            </w:tcBorders>
          </w:tcPr>
          <w:p w14:paraId="62542D33" w14:textId="77777777" w:rsidR="00C73740" w:rsidRPr="00664147" w:rsidRDefault="00C73740" w:rsidP="00F158A1">
            <w:pPr>
              <w:jc w:val="right"/>
              <w:rPr>
                <w:rFonts w:cs="Times New Roman"/>
                <w:szCs w:val="24"/>
              </w:rPr>
            </w:pPr>
            <w:r w:rsidRPr="00A46A36">
              <w:t>933</w:t>
            </w:r>
          </w:p>
        </w:tc>
        <w:tc>
          <w:tcPr>
            <w:tcW w:w="1372" w:type="dxa"/>
            <w:tcBorders>
              <w:top w:val="single" w:sz="4" w:space="0" w:color="000000"/>
              <w:left w:val="single" w:sz="4" w:space="0" w:color="000000"/>
              <w:bottom w:val="single" w:sz="4" w:space="0" w:color="000000"/>
              <w:right w:val="single" w:sz="4" w:space="0" w:color="000000"/>
            </w:tcBorders>
          </w:tcPr>
          <w:p w14:paraId="5256EEBE" w14:textId="77777777" w:rsidR="00C73740" w:rsidRPr="00664147" w:rsidRDefault="00C73740" w:rsidP="00F158A1">
            <w:pPr>
              <w:jc w:val="right"/>
              <w:rPr>
                <w:rFonts w:cs="Times New Roman"/>
                <w:szCs w:val="24"/>
              </w:rPr>
            </w:pPr>
            <w:r w:rsidRPr="00814DAD">
              <w:t xml:space="preserve"> 5,430 </w:t>
            </w:r>
          </w:p>
        </w:tc>
        <w:tc>
          <w:tcPr>
            <w:tcW w:w="1372" w:type="dxa"/>
            <w:tcBorders>
              <w:top w:val="single" w:sz="4" w:space="0" w:color="000000"/>
              <w:left w:val="single" w:sz="4" w:space="0" w:color="000000"/>
              <w:bottom w:val="single" w:sz="4" w:space="0" w:color="000000"/>
              <w:right w:val="single" w:sz="4" w:space="0" w:color="000000"/>
            </w:tcBorders>
          </w:tcPr>
          <w:p w14:paraId="6C11DA78" w14:textId="77777777" w:rsidR="00C73740" w:rsidRPr="00664147" w:rsidRDefault="00C73740" w:rsidP="00F158A1">
            <w:pPr>
              <w:jc w:val="right"/>
              <w:rPr>
                <w:rFonts w:cs="Times New Roman"/>
                <w:szCs w:val="24"/>
              </w:rPr>
            </w:pPr>
            <w:r w:rsidRPr="00814DAD">
              <w:t xml:space="preserve"> 4,312 </w:t>
            </w:r>
          </w:p>
        </w:tc>
      </w:tr>
    </w:tbl>
    <w:p w14:paraId="399C9FC6" w14:textId="77777777" w:rsidR="00C73740" w:rsidRPr="00F10407" w:rsidRDefault="00C73740" w:rsidP="00C73740">
      <w:pPr>
        <w:widowControl w:val="0"/>
        <w:autoSpaceDE w:val="0"/>
        <w:autoSpaceDN w:val="0"/>
        <w:spacing w:before="100" w:beforeAutospacing="1" w:after="100" w:afterAutospacing="1"/>
        <w:rPr>
          <w:rFonts w:eastAsia="Times New Roman" w:cs="Times New Roman"/>
          <w:b/>
          <w:szCs w:val="24"/>
        </w:rPr>
      </w:pPr>
      <w:r w:rsidRPr="00F10407">
        <w:rPr>
          <w:rFonts w:eastAsia="Times New Roman" w:cs="Times New Roman"/>
          <w:szCs w:val="24"/>
        </w:rPr>
        <w:t>*TANF/EAEDC is a subcategory of Base Families</w:t>
      </w:r>
    </w:p>
    <w:p w14:paraId="48AA4F70" w14:textId="77777777" w:rsidR="00C73740" w:rsidRPr="00196161" w:rsidRDefault="00C73740" w:rsidP="00C73740">
      <w:pPr>
        <w:numPr>
          <w:ilvl w:val="0"/>
          <w:numId w:val="7"/>
        </w:numPr>
        <w:spacing w:before="100" w:beforeAutospacing="1" w:after="100" w:afterAutospacing="1"/>
        <w:rPr>
          <w:rFonts w:eastAsia="Times New Roman" w:cs="Times New Roman"/>
          <w:b/>
          <w:szCs w:val="24"/>
        </w:rPr>
      </w:pPr>
      <w:r w:rsidRPr="00196161">
        <w:rPr>
          <w:rFonts w:eastAsia="Times New Roman" w:cs="Times New Roman"/>
          <w:b/>
          <w:szCs w:val="24"/>
        </w:rPr>
        <w:t>For Informational Purposes Only</w:t>
      </w:r>
    </w:p>
    <w:tbl>
      <w:tblPr>
        <w:tblpPr w:leftFromText="180" w:rightFromText="180" w:vertAnchor="text" w:horzAnchor="margin" w:tblpXSpec="center" w:tblpY="230"/>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3"/>
        <w:gridCol w:w="1408"/>
        <w:gridCol w:w="1402"/>
        <w:gridCol w:w="1288"/>
        <w:gridCol w:w="1954"/>
      </w:tblGrid>
      <w:tr w:rsidR="00C73740" w:rsidRPr="00C21143" w14:paraId="3424013B" w14:textId="77777777" w:rsidTr="00F158A1">
        <w:trPr>
          <w:trHeight w:hRule="exact" w:val="1216"/>
        </w:trPr>
        <w:tc>
          <w:tcPr>
            <w:tcW w:w="4743" w:type="dxa"/>
            <w:tcBorders>
              <w:top w:val="single" w:sz="4" w:space="0" w:color="000000"/>
              <w:left w:val="single" w:sz="4" w:space="0" w:color="000000"/>
              <w:bottom w:val="single" w:sz="4" w:space="0" w:color="000000"/>
              <w:right w:val="single" w:sz="4" w:space="0" w:color="000000"/>
            </w:tcBorders>
            <w:shd w:val="clear" w:color="auto" w:fill="E2E2E2"/>
          </w:tcPr>
          <w:p w14:paraId="48B653BA" w14:textId="77777777" w:rsidR="00C73740" w:rsidRPr="00C21143" w:rsidRDefault="00C73740" w:rsidP="00F158A1">
            <w:pPr>
              <w:spacing w:before="100" w:beforeAutospacing="1" w:after="100" w:afterAutospacing="1"/>
              <w:rPr>
                <w:rFonts w:eastAsia="Times New Roman" w:cs="Times New Roman"/>
                <w:b/>
                <w:szCs w:val="24"/>
              </w:rPr>
            </w:pPr>
            <w:r w:rsidRPr="00915F0B">
              <w:rPr>
                <w:rFonts w:eastAsia="Times New Roman" w:cs="Times New Roman"/>
                <w:b/>
                <w:szCs w:val="24"/>
              </w:rPr>
              <w:t>Expenditure and Eligibility Group (EG) Reporting</w:t>
            </w:r>
          </w:p>
        </w:tc>
        <w:tc>
          <w:tcPr>
            <w:tcW w:w="1408" w:type="dxa"/>
            <w:tcBorders>
              <w:top w:val="single" w:sz="4" w:space="0" w:color="000000"/>
              <w:left w:val="single" w:sz="4" w:space="0" w:color="000000"/>
              <w:bottom w:val="single" w:sz="4" w:space="0" w:color="000000"/>
              <w:right w:val="single" w:sz="4" w:space="0" w:color="000000"/>
            </w:tcBorders>
            <w:shd w:val="clear" w:color="auto" w:fill="E2E2E2"/>
          </w:tcPr>
          <w:p w14:paraId="15B6F0D2" w14:textId="77777777" w:rsidR="00C73740" w:rsidRPr="00C21143" w:rsidRDefault="00C73740" w:rsidP="00F158A1">
            <w:pPr>
              <w:spacing w:before="100" w:beforeAutospacing="1" w:after="100" w:afterAutospacing="1"/>
              <w:rPr>
                <w:rFonts w:eastAsia="Times New Roman" w:cs="Times New Roman"/>
                <w:b/>
                <w:szCs w:val="24"/>
              </w:rPr>
            </w:pPr>
            <w:r w:rsidRPr="00915F0B">
              <w:rPr>
                <w:rFonts w:eastAsia="Times New Roman" w:cs="Times New Roman"/>
                <w:b/>
                <w:szCs w:val="24"/>
              </w:rPr>
              <w:t>April 20</w:t>
            </w:r>
            <w:r>
              <w:rPr>
                <w:rFonts w:eastAsia="Times New Roman" w:cs="Times New Roman"/>
                <w:b/>
                <w:szCs w:val="24"/>
              </w:rPr>
              <w:t>21</w:t>
            </w:r>
          </w:p>
        </w:tc>
        <w:tc>
          <w:tcPr>
            <w:tcW w:w="1402" w:type="dxa"/>
            <w:tcBorders>
              <w:top w:val="single" w:sz="4" w:space="0" w:color="000000"/>
              <w:left w:val="single" w:sz="4" w:space="0" w:color="000000"/>
              <w:bottom w:val="single" w:sz="4" w:space="0" w:color="000000"/>
              <w:right w:val="single" w:sz="4" w:space="0" w:color="000000"/>
            </w:tcBorders>
            <w:shd w:val="clear" w:color="auto" w:fill="E2E2E2"/>
          </w:tcPr>
          <w:p w14:paraId="2641717F" w14:textId="77777777" w:rsidR="00C73740" w:rsidRPr="00C21143" w:rsidRDefault="00C73740" w:rsidP="00F158A1">
            <w:pPr>
              <w:spacing w:before="100" w:beforeAutospacing="1" w:after="100" w:afterAutospacing="1"/>
              <w:rPr>
                <w:rFonts w:eastAsia="Times New Roman" w:cs="Times New Roman"/>
                <w:b/>
                <w:szCs w:val="24"/>
              </w:rPr>
            </w:pPr>
            <w:r w:rsidRPr="00915F0B">
              <w:rPr>
                <w:rFonts w:eastAsia="Times New Roman" w:cs="Times New Roman"/>
                <w:b/>
                <w:szCs w:val="24"/>
              </w:rPr>
              <w:t>May 20</w:t>
            </w:r>
            <w:r>
              <w:rPr>
                <w:rFonts w:eastAsia="Times New Roman" w:cs="Times New Roman"/>
                <w:b/>
                <w:szCs w:val="24"/>
              </w:rPr>
              <w:t>21</w:t>
            </w:r>
          </w:p>
        </w:tc>
        <w:tc>
          <w:tcPr>
            <w:tcW w:w="1288" w:type="dxa"/>
            <w:tcBorders>
              <w:top w:val="single" w:sz="4" w:space="0" w:color="000000"/>
              <w:left w:val="single" w:sz="4" w:space="0" w:color="000000"/>
              <w:bottom w:val="single" w:sz="4" w:space="0" w:color="000000"/>
              <w:right w:val="single" w:sz="4" w:space="0" w:color="000000"/>
            </w:tcBorders>
            <w:shd w:val="clear" w:color="auto" w:fill="E2E2E2"/>
          </w:tcPr>
          <w:p w14:paraId="37ABDA5F" w14:textId="77777777" w:rsidR="00C73740" w:rsidRPr="00C21143" w:rsidRDefault="00C73740" w:rsidP="00F158A1">
            <w:pPr>
              <w:spacing w:before="100" w:beforeAutospacing="1" w:after="100" w:afterAutospacing="1"/>
              <w:rPr>
                <w:rFonts w:eastAsia="Times New Roman" w:cs="Times New Roman"/>
                <w:b/>
                <w:szCs w:val="24"/>
              </w:rPr>
            </w:pPr>
            <w:r w:rsidRPr="00915F0B">
              <w:rPr>
                <w:rFonts w:eastAsia="Times New Roman" w:cs="Times New Roman"/>
                <w:b/>
                <w:szCs w:val="24"/>
              </w:rPr>
              <w:t>June 20</w:t>
            </w:r>
            <w:r>
              <w:rPr>
                <w:rFonts w:eastAsia="Times New Roman" w:cs="Times New Roman"/>
                <w:b/>
                <w:szCs w:val="24"/>
              </w:rPr>
              <w:t>21</w:t>
            </w:r>
          </w:p>
        </w:tc>
        <w:tc>
          <w:tcPr>
            <w:tcW w:w="1954" w:type="dxa"/>
            <w:tcBorders>
              <w:top w:val="single" w:sz="4" w:space="0" w:color="000000"/>
              <w:left w:val="single" w:sz="4" w:space="0" w:color="000000"/>
              <w:bottom w:val="single" w:sz="4" w:space="0" w:color="000000"/>
              <w:right w:val="single" w:sz="4" w:space="0" w:color="000000"/>
            </w:tcBorders>
            <w:shd w:val="clear" w:color="auto" w:fill="E2E2E2"/>
          </w:tcPr>
          <w:p w14:paraId="56E5420E" w14:textId="77777777" w:rsidR="00C73740" w:rsidRPr="00C21143" w:rsidRDefault="00C73740" w:rsidP="00F158A1">
            <w:pPr>
              <w:spacing w:before="100" w:beforeAutospacing="1" w:after="100" w:afterAutospacing="1"/>
              <w:rPr>
                <w:rFonts w:eastAsia="Times New Roman" w:cs="Times New Roman"/>
                <w:b/>
                <w:szCs w:val="24"/>
              </w:rPr>
            </w:pPr>
            <w:r w:rsidRPr="00915F0B">
              <w:rPr>
                <w:rFonts w:eastAsia="Times New Roman" w:cs="Times New Roman"/>
                <w:b/>
                <w:szCs w:val="24"/>
              </w:rPr>
              <w:t>Total for Quarter Ending 06/</w:t>
            </w:r>
            <w:r>
              <w:rPr>
                <w:rFonts w:eastAsia="Times New Roman" w:cs="Times New Roman"/>
                <w:b/>
                <w:szCs w:val="24"/>
              </w:rPr>
              <w:t>21</w:t>
            </w:r>
          </w:p>
        </w:tc>
      </w:tr>
      <w:tr w:rsidR="00C73740" w:rsidRPr="00C21143" w14:paraId="20348F4A" w14:textId="77777777" w:rsidTr="00F158A1">
        <w:trPr>
          <w:trHeight w:hRule="exact" w:val="299"/>
        </w:trPr>
        <w:tc>
          <w:tcPr>
            <w:tcW w:w="4743" w:type="dxa"/>
            <w:tcBorders>
              <w:top w:val="single" w:sz="4" w:space="0" w:color="000000"/>
              <w:left w:val="single" w:sz="4" w:space="0" w:color="000000"/>
              <w:bottom w:val="single" w:sz="12" w:space="0" w:color="000000"/>
              <w:right w:val="single" w:sz="4" w:space="0" w:color="000000"/>
            </w:tcBorders>
          </w:tcPr>
          <w:p w14:paraId="64500EB8" w14:textId="77777777" w:rsidR="00C73740" w:rsidRPr="00664147" w:rsidRDefault="00C73740" w:rsidP="00F158A1">
            <w:pPr>
              <w:spacing w:before="100" w:beforeAutospacing="1" w:after="100" w:afterAutospacing="1"/>
              <w:rPr>
                <w:rFonts w:eastAsia="Times New Roman" w:cs="Times New Roman"/>
                <w:szCs w:val="24"/>
              </w:rPr>
            </w:pPr>
            <w:r w:rsidRPr="00664147">
              <w:rPr>
                <w:rFonts w:eastAsia="Times New Roman" w:cs="Times New Roman"/>
                <w:szCs w:val="24"/>
              </w:rPr>
              <w:t>e-HIV/FA</w:t>
            </w:r>
          </w:p>
        </w:tc>
        <w:tc>
          <w:tcPr>
            <w:tcW w:w="1408" w:type="dxa"/>
            <w:tcBorders>
              <w:top w:val="single" w:sz="4" w:space="0" w:color="000000"/>
              <w:left w:val="single" w:sz="4" w:space="0" w:color="000000"/>
              <w:bottom w:val="single" w:sz="4" w:space="0" w:color="000000"/>
              <w:right w:val="single" w:sz="4" w:space="0" w:color="000000"/>
            </w:tcBorders>
          </w:tcPr>
          <w:p w14:paraId="6E51A453" w14:textId="77777777" w:rsidR="00C73740" w:rsidRPr="00664147" w:rsidRDefault="00C73740" w:rsidP="00F158A1">
            <w:pPr>
              <w:spacing w:before="100" w:beforeAutospacing="1" w:after="100" w:afterAutospacing="1"/>
              <w:jc w:val="right"/>
              <w:rPr>
                <w:rFonts w:eastAsia="Times New Roman" w:cs="Times New Roman"/>
                <w:b/>
                <w:szCs w:val="24"/>
              </w:rPr>
            </w:pPr>
            <w:r w:rsidRPr="000F7147">
              <w:t>785</w:t>
            </w:r>
          </w:p>
        </w:tc>
        <w:tc>
          <w:tcPr>
            <w:tcW w:w="1402" w:type="dxa"/>
            <w:tcBorders>
              <w:top w:val="single" w:sz="4" w:space="0" w:color="000000"/>
              <w:left w:val="single" w:sz="4" w:space="0" w:color="000000"/>
              <w:bottom w:val="single" w:sz="4" w:space="0" w:color="000000"/>
              <w:right w:val="single" w:sz="4" w:space="0" w:color="000000"/>
            </w:tcBorders>
          </w:tcPr>
          <w:p w14:paraId="4D19EB2E" w14:textId="77777777" w:rsidR="00C73740" w:rsidRPr="00664147" w:rsidRDefault="00C73740" w:rsidP="00F158A1">
            <w:pPr>
              <w:spacing w:before="100" w:beforeAutospacing="1" w:after="100" w:afterAutospacing="1"/>
              <w:jc w:val="right"/>
              <w:rPr>
                <w:rFonts w:eastAsia="Times New Roman" w:cs="Times New Roman"/>
                <w:b/>
                <w:szCs w:val="24"/>
              </w:rPr>
            </w:pPr>
            <w:r w:rsidRPr="000F7147">
              <w:t>790</w:t>
            </w:r>
          </w:p>
        </w:tc>
        <w:tc>
          <w:tcPr>
            <w:tcW w:w="1288" w:type="dxa"/>
            <w:tcBorders>
              <w:top w:val="single" w:sz="4" w:space="0" w:color="000000"/>
              <w:left w:val="single" w:sz="4" w:space="0" w:color="000000"/>
              <w:bottom w:val="single" w:sz="4" w:space="0" w:color="000000"/>
              <w:right w:val="single" w:sz="4" w:space="0" w:color="000000"/>
            </w:tcBorders>
          </w:tcPr>
          <w:p w14:paraId="76601441" w14:textId="77777777" w:rsidR="00C73740" w:rsidRPr="00664147" w:rsidRDefault="00C73740" w:rsidP="00F158A1">
            <w:pPr>
              <w:spacing w:before="100" w:beforeAutospacing="1" w:after="100" w:afterAutospacing="1"/>
              <w:jc w:val="right"/>
              <w:rPr>
                <w:rFonts w:eastAsia="Times New Roman" w:cs="Times New Roman"/>
                <w:b/>
                <w:szCs w:val="24"/>
              </w:rPr>
            </w:pPr>
            <w:r w:rsidRPr="000F7147">
              <w:t>805</w:t>
            </w:r>
          </w:p>
        </w:tc>
        <w:tc>
          <w:tcPr>
            <w:tcW w:w="1954" w:type="dxa"/>
            <w:tcBorders>
              <w:top w:val="single" w:sz="4" w:space="0" w:color="000000"/>
              <w:left w:val="single" w:sz="4" w:space="0" w:color="000000"/>
              <w:bottom w:val="single" w:sz="4" w:space="0" w:color="000000"/>
              <w:right w:val="single" w:sz="4" w:space="0" w:color="000000"/>
            </w:tcBorders>
          </w:tcPr>
          <w:p w14:paraId="5EF60BEE" w14:textId="77777777" w:rsidR="00C73740" w:rsidRPr="008D46F0" w:rsidRDefault="00C73740" w:rsidP="00F158A1">
            <w:pPr>
              <w:spacing w:before="100" w:beforeAutospacing="1" w:after="100" w:afterAutospacing="1"/>
              <w:jc w:val="right"/>
              <w:rPr>
                <w:rFonts w:eastAsia="Times New Roman" w:cs="Times New Roman"/>
                <w:bCs/>
                <w:szCs w:val="24"/>
              </w:rPr>
            </w:pPr>
            <w:r w:rsidRPr="008D46F0">
              <w:rPr>
                <w:rFonts w:eastAsia="Times New Roman" w:cs="Times New Roman"/>
                <w:bCs/>
                <w:szCs w:val="24"/>
              </w:rPr>
              <w:t>2,380</w:t>
            </w:r>
          </w:p>
        </w:tc>
      </w:tr>
      <w:tr w:rsidR="00C73740" w:rsidRPr="00C21143" w14:paraId="7B9B83A0" w14:textId="77777777" w:rsidTr="00F158A1">
        <w:trPr>
          <w:trHeight w:hRule="exact" w:val="633"/>
        </w:trPr>
        <w:tc>
          <w:tcPr>
            <w:tcW w:w="4743" w:type="dxa"/>
            <w:tcBorders>
              <w:top w:val="single" w:sz="12" w:space="0" w:color="000000"/>
              <w:left w:val="single" w:sz="4" w:space="0" w:color="000000"/>
              <w:bottom w:val="single" w:sz="12" w:space="0" w:color="000000"/>
              <w:right w:val="single" w:sz="4" w:space="0" w:color="000000"/>
            </w:tcBorders>
            <w:shd w:val="clear" w:color="auto" w:fill="auto"/>
          </w:tcPr>
          <w:p w14:paraId="1B69DDF4" w14:textId="77777777" w:rsidR="00C73740" w:rsidRPr="00664147" w:rsidRDefault="00C73740" w:rsidP="00F158A1">
            <w:pPr>
              <w:spacing w:before="100" w:beforeAutospacing="1" w:after="100" w:afterAutospacing="1"/>
              <w:rPr>
                <w:rFonts w:eastAsia="Times New Roman" w:cs="Times New Roman"/>
                <w:szCs w:val="24"/>
              </w:rPr>
            </w:pPr>
            <w:r w:rsidRPr="00664147">
              <w:rPr>
                <w:rFonts w:eastAsia="Times New Roman" w:cs="Times New Roman"/>
                <w:szCs w:val="24"/>
              </w:rPr>
              <w:t>Small Business Employee Premium Assistance</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4ABD6" w14:textId="77777777" w:rsidR="00C73740" w:rsidRPr="00664147" w:rsidRDefault="00C73740" w:rsidP="00F158A1">
            <w:pPr>
              <w:spacing w:before="100" w:beforeAutospacing="1" w:after="100" w:afterAutospacing="1"/>
              <w:jc w:val="right"/>
              <w:rPr>
                <w:rFonts w:eastAsia="Times New Roman" w:cs="Times New Roman"/>
                <w:szCs w:val="24"/>
              </w:rPr>
            </w:pPr>
            <w:r w:rsidRPr="00664147">
              <w:rPr>
                <w:rFonts w:cs="Times New Roman"/>
              </w:rPr>
              <w:t xml:space="preserve">                0 </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1148C" w14:textId="77777777" w:rsidR="00C73740" w:rsidRPr="00664147" w:rsidRDefault="00C73740" w:rsidP="00F158A1">
            <w:pPr>
              <w:spacing w:before="100" w:beforeAutospacing="1" w:after="100" w:afterAutospacing="1"/>
              <w:jc w:val="right"/>
              <w:rPr>
                <w:rFonts w:eastAsia="Times New Roman" w:cs="Times New Roman"/>
                <w:szCs w:val="24"/>
              </w:rPr>
            </w:pPr>
            <w:r w:rsidRPr="00664147">
              <w:rPr>
                <w:rFonts w:cs="Times New Roman"/>
              </w:rPr>
              <w:t xml:space="preserve">             0 </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E1699" w14:textId="77777777" w:rsidR="00C73740" w:rsidRPr="00664147" w:rsidRDefault="00C73740" w:rsidP="00F158A1">
            <w:pPr>
              <w:spacing w:before="100" w:beforeAutospacing="1" w:after="100" w:afterAutospacing="1"/>
              <w:jc w:val="right"/>
              <w:rPr>
                <w:rFonts w:eastAsia="Times New Roman" w:cs="Times New Roman"/>
                <w:szCs w:val="24"/>
              </w:rPr>
            </w:pPr>
            <w:r w:rsidRPr="00664147">
              <w:rPr>
                <w:rFonts w:cs="Times New Roman"/>
              </w:rPr>
              <w:t xml:space="preserve">              0 </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5E052" w14:textId="77777777" w:rsidR="00C73740" w:rsidRPr="00664147" w:rsidRDefault="00C73740" w:rsidP="00F158A1">
            <w:pPr>
              <w:spacing w:before="100" w:beforeAutospacing="1" w:after="100" w:afterAutospacing="1"/>
              <w:jc w:val="right"/>
              <w:rPr>
                <w:rFonts w:eastAsia="Times New Roman" w:cs="Times New Roman"/>
                <w:szCs w:val="24"/>
              </w:rPr>
            </w:pPr>
            <w:r w:rsidRPr="00664147">
              <w:rPr>
                <w:rFonts w:cs="Times New Roman"/>
              </w:rPr>
              <w:t xml:space="preserve">0 </w:t>
            </w:r>
          </w:p>
        </w:tc>
      </w:tr>
      <w:tr w:rsidR="00C73740" w:rsidRPr="00C21143" w14:paraId="54DC61B5" w14:textId="77777777" w:rsidTr="00F158A1">
        <w:trPr>
          <w:trHeight w:hRule="exact" w:val="624"/>
        </w:trPr>
        <w:tc>
          <w:tcPr>
            <w:tcW w:w="4743" w:type="dxa"/>
            <w:tcBorders>
              <w:top w:val="single" w:sz="12" w:space="0" w:color="000000"/>
              <w:left w:val="single" w:sz="4" w:space="0" w:color="000000"/>
              <w:bottom w:val="single" w:sz="12" w:space="0" w:color="000000"/>
              <w:right w:val="single" w:sz="4" w:space="0" w:color="000000"/>
            </w:tcBorders>
          </w:tcPr>
          <w:p w14:paraId="1815892A" w14:textId="77777777" w:rsidR="00C73740" w:rsidRPr="00664147" w:rsidRDefault="00C73740" w:rsidP="00F158A1">
            <w:pPr>
              <w:spacing w:before="100" w:beforeAutospacing="1" w:after="100" w:afterAutospacing="1"/>
              <w:rPr>
                <w:rFonts w:eastAsia="Times New Roman" w:cs="Times New Roman"/>
                <w:szCs w:val="24"/>
              </w:rPr>
            </w:pPr>
            <w:r w:rsidRPr="00664147">
              <w:rPr>
                <w:rFonts w:eastAsia="Times New Roman" w:cs="Times New Roman"/>
                <w:szCs w:val="24"/>
              </w:rPr>
              <w:t>DSHP- Health Connector Subsidies</w:t>
            </w:r>
          </w:p>
        </w:tc>
        <w:tc>
          <w:tcPr>
            <w:tcW w:w="1408" w:type="dxa"/>
            <w:tcBorders>
              <w:top w:val="single" w:sz="4" w:space="0" w:color="000000"/>
              <w:left w:val="single" w:sz="4" w:space="0" w:color="000000"/>
              <w:bottom w:val="single" w:sz="4" w:space="0" w:color="000000"/>
              <w:right w:val="single" w:sz="4" w:space="0" w:color="000000"/>
            </w:tcBorders>
          </w:tcPr>
          <w:p w14:paraId="0D3BC370" w14:textId="77777777" w:rsidR="00C73740" w:rsidRPr="00664147" w:rsidRDefault="00C73740" w:rsidP="00F158A1">
            <w:pPr>
              <w:spacing w:before="100" w:beforeAutospacing="1" w:after="100" w:afterAutospacing="1"/>
              <w:jc w:val="right"/>
              <w:rPr>
                <w:rFonts w:eastAsia="Times New Roman" w:cs="Times New Roman"/>
                <w:szCs w:val="24"/>
              </w:rPr>
            </w:pPr>
            <w:r w:rsidRPr="00664147">
              <w:rPr>
                <w:rFonts w:cs="Times New Roman"/>
              </w:rPr>
              <w:t>N/A</w:t>
            </w:r>
          </w:p>
        </w:tc>
        <w:tc>
          <w:tcPr>
            <w:tcW w:w="1402" w:type="dxa"/>
            <w:tcBorders>
              <w:top w:val="single" w:sz="4" w:space="0" w:color="000000"/>
              <w:left w:val="single" w:sz="4" w:space="0" w:color="000000"/>
              <w:bottom w:val="single" w:sz="4" w:space="0" w:color="000000"/>
              <w:right w:val="single" w:sz="4" w:space="0" w:color="000000"/>
            </w:tcBorders>
          </w:tcPr>
          <w:p w14:paraId="48C5557C" w14:textId="77777777" w:rsidR="00C73740" w:rsidRPr="00664147" w:rsidRDefault="00C73740" w:rsidP="00F158A1">
            <w:pPr>
              <w:spacing w:before="100" w:beforeAutospacing="1" w:after="100" w:afterAutospacing="1"/>
              <w:jc w:val="right"/>
              <w:rPr>
                <w:rFonts w:eastAsia="Times New Roman" w:cs="Times New Roman"/>
                <w:szCs w:val="24"/>
              </w:rPr>
            </w:pPr>
            <w:r w:rsidRPr="00664147">
              <w:rPr>
                <w:rFonts w:cs="Times New Roman"/>
              </w:rPr>
              <w:t>N/A</w:t>
            </w:r>
          </w:p>
        </w:tc>
        <w:tc>
          <w:tcPr>
            <w:tcW w:w="1288" w:type="dxa"/>
            <w:tcBorders>
              <w:top w:val="single" w:sz="4" w:space="0" w:color="000000"/>
              <w:left w:val="single" w:sz="4" w:space="0" w:color="000000"/>
              <w:bottom w:val="single" w:sz="4" w:space="0" w:color="000000"/>
              <w:right w:val="single" w:sz="4" w:space="0" w:color="000000"/>
            </w:tcBorders>
          </w:tcPr>
          <w:p w14:paraId="556D5FEB" w14:textId="77777777" w:rsidR="00C73740" w:rsidRPr="00664147" w:rsidRDefault="00C73740" w:rsidP="00F158A1">
            <w:pPr>
              <w:spacing w:before="100" w:beforeAutospacing="1" w:after="100" w:afterAutospacing="1"/>
              <w:jc w:val="right"/>
              <w:rPr>
                <w:rFonts w:eastAsia="Times New Roman" w:cs="Times New Roman"/>
                <w:szCs w:val="24"/>
              </w:rPr>
            </w:pPr>
            <w:r w:rsidRPr="00664147">
              <w:rPr>
                <w:rFonts w:cs="Times New Roman"/>
              </w:rPr>
              <w:t>N/A</w:t>
            </w:r>
          </w:p>
        </w:tc>
        <w:tc>
          <w:tcPr>
            <w:tcW w:w="1954" w:type="dxa"/>
            <w:tcBorders>
              <w:top w:val="single" w:sz="4" w:space="0" w:color="000000"/>
              <w:left w:val="single" w:sz="4" w:space="0" w:color="000000"/>
              <w:bottom w:val="single" w:sz="4" w:space="0" w:color="000000"/>
              <w:right w:val="single" w:sz="4" w:space="0" w:color="000000"/>
            </w:tcBorders>
          </w:tcPr>
          <w:p w14:paraId="6005AD76" w14:textId="77777777" w:rsidR="00C73740" w:rsidRPr="00664147" w:rsidRDefault="00C73740" w:rsidP="00F158A1">
            <w:pPr>
              <w:spacing w:before="100" w:beforeAutospacing="1" w:after="100" w:afterAutospacing="1"/>
              <w:jc w:val="right"/>
              <w:rPr>
                <w:rFonts w:eastAsia="Times New Roman" w:cs="Times New Roman"/>
                <w:szCs w:val="24"/>
              </w:rPr>
            </w:pPr>
            <w:r w:rsidRPr="00664147">
              <w:rPr>
                <w:rFonts w:cs="Times New Roman"/>
              </w:rPr>
              <w:t>N/A</w:t>
            </w:r>
          </w:p>
        </w:tc>
      </w:tr>
      <w:tr w:rsidR="00C73740" w:rsidRPr="00C21143" w14:paraId="03C4A2ED" w14:textId="77777777" w:rsidTr="00F158A1">
        <w:trPr>
          <w:trHeight w:hRule="exact" w:val="288"/>
        </w:trPr>
        <w:tc>
          <w:tcPr>
            <w:tcW w:w="4743" w:type="dxa"/>
            <w:tcBorders>
              <w:top w:val="single" w:sz="12" w:space="0" w:color="000000"/>
              <w:left w:val="single" w:sz="4" w:space="0" w:color="000000"/>
              <w:bottom w:val="single" w:sz="12" w:space="0" w:color="000000"/>
              <w:right w:val="single" w:sz="4" w:space="0" w:color="000000"/>
            </w:tcBorders>
          </w:tcPr>
          <w:p w14:paraId="259D2E6D" w14:textId="77777777" w:rsidR="00C73740" w:rsidRPr="00664147" w:rsidRDefault="00C73740" w:rsidP="00F158A1">
            <w:pPr>
              <w:spacing w:before="100" w:beforeAutospacing="1" w:after="100" w:afterAutospacing="1"/>
              <w:rPr>
                <w:rFonts w:eastAsia="Times New Roman" w:cs="Times New Roman"/>
                <w:szCs w:val="24"/>
              </w:rPr>
            </w:pPr>
            <w:r w:rsidRPr="00664147">
              <w:rPr>
                <w:rFonts w:eastAsia="Times New Roman" w:cs="Times New Roman"/>
                <w:szCs w:val="24"/>
              </w:rPr>
              <w:t>Base Fam XXI RO</w:t>
            </w:r>
          </w:p>
        </w:tc>
        <w:tc>
          <w:tcPr>
            <w:tcW w:w="1408" w:type="dxa"/>
            <w:tcBorders>
              <w:top w:val="single" w:sz="4" w:space="0" w:color="000000"/>
              <w:left w:val="single" w:sz="4" w:space="0" w:color="000000"/>
              <w:bottom w:val="single" w:sz="4" w:space="0" w:color="000000"/>
              <w:right w:val="single" w:sz="4" w:space="0" w:color="000000"/>
            </w:tcBorders>
          </w:tcPr>
          <w:p w14:paraId="1A0AE4FD" w14:textId="77777777" w:rsidR="00C73740" w:rsidRPr="00664147" w:rsidRDefault="00C73740" w:rsidP="00F158A1">
            <w:pPr>
              <w:spacing w:before="100" w:beforeAutospacing="1" w:after="100" w:afterAutospacing="1"/>
              <w:jc w:val="right"/>
              <w:rPr>
                <w:rFonts w:eastAsia="Times New Roman" w:cs="Times New Roman"/>
                <w:szCs w:val="24"/>
              </w:rPr>
            </w:pPr>
            <w:r w:rsidRPr="00664147">
              <w:rPr>
                <w:rFonts w:cs="Times New Roman"/>
              </w:rPr>
              <w:t>0</w:t>
            </w:r>
          </w:p>
        </w:tc>
        <w:tc>
          <w:tcPr>
            <w:tcW w:w="1402" w:type="dxa"/>
            <w:tcBorders>
              <w:top w:val="single" w:sz="4" w:space="0" w:color="000000"/>
              <w:left w:val="single" w:sz="4" w:space="0" w:color="000000"/>
              <w:bottom w:val="single" w:sz="4" w:space="0" w:color="000000"/>
              <w:right w:val="single" w:sz="4" w:space="0" w:color="000000"/>
            </w:tcBorders>
          </w:tcPr>
          <w:p w14:paraId="2EFF8C23" w14:textId="77777777" w:rsidR="00C73740" w:rsidRPr="00664147" w:rsidRDefault="00C73740" w:rsidP="00F158A1">
            <w:pPr>
              <w:spacing w:before="100" w:beforeAutospacing="1" w:after="100" w:afterAutospacing="1"/>
              <w:jc w:val="right"/>
              <w:rPr>
                <w:rFonts w:eastAsia="Times New Roman" w:cs="Times New Roman"/>
                <w:szCs w:val="24"/>
              </w:rPr>
            </w:pPr>
            <w:r w:rsidRPr="00664147">
              <w:rPr>
                <w:rFonts w:cs="Times New Roman"/>
              </w:rPr>
              <w:t>0</w:t>
            </w:r>
          </w:p>
        </w:tc>
        <w:tc>
          <w:tcPr>
            <w:tcW w:w="1288" w:type="dxa"/>
            <w:tcBorders>
              <w:top w:val="single" w:sz="4" w:space="0" w:color="000000"/>
              <w:left w:val="single" w:sz="4" w:space="0" w:color="000000"/>
              <w:bottom w:val="single" w:sz="4" w:space="0" w:color="000000"/>
              <w:right w:val="single" w:sz="4" w:space="0" w:color="000000"/>
            </w:tcBorders>
          </w:tcPr>
          <w:p w14:paraId="1CAFE678" w14:textId="77777777" w:rsidR="00C73740" w:rsidRPr="00664147" w:rsidRDefault="00C73740" w:rsidP="00F158A1">
            <w:pPr>
              <w:spacing w:before="100" w:beforeAutospacing="1" w:after="100" w:afterAutospacing="1"/>
              <w:jc w:val="right"/>
              <w:rPr>
                <w:rFonts w:eastAsia="Times New Roman" w:cs="Times New Roman"/>
                <w:szCs w:val="24"/>
              </w:rPr>
            </w:pPr>
            <w:r w:rsidRPr="00664147">
              <w:rPr>
                <w:rFonts w:cs="Times New Roman"/>
              </w:rPr>
              <w:t>0</w:t>
            </w:r>
          </w:p>
        </w:tc>
        <w:tc>
          <w:tcPr>
            <w:tcW w:w="1954" w:type="dxa"/>
            <w:tcBorders>
              <w:top w:val="single" w:sz="4" w:space="0" w:color="000000"/>
              <w:left w:val="single" w:sz="4" w:space="0" w:color="000000"/>
              <w:bottom w:val="single" w:sz="4" w:space="0" w:color="000000"/>
              <w:right w:val="single" w:sz="4" w:space="0" w:color="000000"/>
            </w:tcBorders>
          </w:tcPr>
          <w:p w14:paraId="23295593" w14:textId="77777777" w:rsidR="00C73740" w:rsidRPr="00664147" w:rsidRDefault="00C73740" w:rsidP="00F158A1">
            <w:pPr>
              <w:spacing w:before="100" w:beforeAutospacing="1" w:after="100" w:afterAutospacing="1"/>
              <w:jc w:val="right"/>
              <w:rPr>
                <w:rFonts w:eastAsia="Times New Roman" w:cs="Times New Roman"/>
                <w:szCs w:val="24"/>
              </w:rPr>
            </w:pPr>
            <w:r w:rsidRPr="00664147">
              <w:rPr>
                <w:rFonts w:cs="Times New Roman"/>
              </w:rPr>
              <w:t>0</w:t>
            </w:r>
          </w:p>
        </w:tc>
      </w:tr>
      <w:tr w:rsidR="00C73740" w:rsidRPr="00C21143" w14:paraId="42309FBD" w14:textId="77777777" w:rsidTr="00F158A1">
        <w:trPr>
          <w:trHeight w:hRule="exact" w:val="286"/>
        </w:trPr>
        <w:tc>
          <w:tcPr>
            <w:tcW w:w="4743" w:type="dxa"/>
            <w:tcBorders>
              <w:top w:val="single" w:sz="12" w:space="0" w:color="000000"/>
              <w:left w:val="single" w:sz="4" w:space="0" w:color="000000"/>
              <w:bottom w:val="single" w:sz="12" w:space="0" w:color="000000"/>
              <w:right w:val="single" w:sz="4" w:space="0" w:color="000000"/>
            </w:tcBorders>
          </w:tcPr>
          <w:p w14:paraId="29AB0C41" w14:textId="77777777" w:rsidR="00C73740" w:rsidRPr="00664147" w:rsidRDefault="00C73740" w:rsidP="00F158A1">
            <w:pPr>
              <w:spacing w:before="100" w:beforeAutospacing="1" w:after="100" w:afterAutospacing="1"/>
              <w:rPr>
                <w:rFonts w:eastAsia="Times New Roman" w:cs="Times New Roman"/>
                <w:szCs w:val="24"/>
              </w:rPr>
            </w:pPr>
            <w:r w:rsidRPr="00664147">
              <w:rPr>
                <w:rFonts w:eastAsia="Times New Roman" w:cs="Times New Roman"/>
                <w:szCs w:val="24"/>
              </w:rPr>
              <w:t>1902(r)(2) RO</w:t>
            </w:r>
          </w:p>
        </w:tc>
        <w:tc>
          <w:tcPr>
            <w:tcW w:w="1408" w:type="dxa"/>
            <w:tcBorders>
              <w:top w:val="single" w:sz="4" w:space="0" w:color="000000"/>
              <w:left w:val="single" w:sz="4" w:space="0" w:color="000000"/>
              <w:bottom w:val="single" w:sz="4" w:space="0" w:color="000000"/>
              <w:right w:val="single" w:sz="4" w:space="0" w:color="000000"/>
            </w:tcBorders>
          </w:tcPr>
          <w:p w14:paraId="2201EF42" w14:textId="77777777" w:rsidR="00C73740" w:rsidRPr="00664147" w:rsidRDefault="00C73740" w:rsidP="00F158A1">
            <w:pPr>
              <w:spacing w:before="100" w:beforeAutospacing="1" w:after="100" w:afterAutospacing="1"/>
              <w:jc w:val="right"/>
              <w:rPr>
                <w:rFonts w:eastAsia="Times New Roman" w:cs="Times New Roman"/>
                <w:szCs w:val="24"/>
              </w:rPr>
            </w:pPr>
            <w:r w:rsidRPr="00664147">
              <w:rPr>
                <w:rFonts w:cs="Times New Roman"/>
              </w:rPr>
              <w:t>0</w:t>
            </w:r>
          </w:p>
        </w:tc>
        <w:tc>
          <w:tcPr>
            <w:tcW w:w="1402" w:type="dxa"/>
            <w:tcBorders>
              <w:top w:val="single" w:sz="4" w:space="0" w:color="000000"/>
              <w:left w:val="single" w:sz="4" w:space="0" w:color="000000"/>
              <w:bottom w:val="single" w:sz="4" w:space="0" w:color="000000"/>
              <w:right w:val="single" w:sz="4" w:space="0" w:color="000000"/>
            </w:tcBorders>
          </w:tcPr>
          <w:p w14:paraId="3F44820E" w14:textId="77777777" w:rsidR="00C73740" w:rsidRPr="00664147" w:rsidRDefault="00C73740" w:rsidP="00F158A1">
            <w:pPr>
              <w:spacing w:before="100" w:beforeAutospacing="1" w:after="100" w:afterAutospacing="1"/>
              <w:jc w:val="right"/>
              <w:rPr>
                <w:rFonts w:eastAsia="Times New Roman" w:cs="Times New Roman"/>
                <w:szCs w:val="24"/>
              </w:rPr>
            </w:pPr>
            <w:r w:rsidRPr="00664147">
              <w:rPr>
                <w:rFonts w:cs="Times New Roman"/>
              </w:rPr>
              <w:t>0</w:t>
            </w:r>
          </w:p>
        </w:tc>
        <w:tc>
          <w:tcPr>
            <w:tcW w:w="1288" w:type="dxa"/>
            <w:tcBorders>
              <w:top w:val="single" w:sz="4" w:space="0" w:color="000000"/>
              <w:left w:val="single" w:sz="4" w:space="0" w:color="000000"/>
              <w:bottom w:val="single" w:sz="4" w:space="0" w:color="000000"/>
              <w:right w:val="single" w:sz="4" w:space="0" w:color="000000"/>
            </w:tcBorders>
          </w:tcPr>
          <w:p w14:paraId="423E2D13" w14:textId="77777777" w:rsidR="00C73740" w:rsidRPr="00664147" w:rsidRDefault="00C73740" w:rsidP="00F158A1">
            <w:pPr>
              <w:spacing w:before="100" w:beforeAutospacing="1" w:after="100" w:afterAutospacing="1"/>
              <w:jc w:val="right"/>
              <w:rPr>
                <w:rFonts w:eastAsia="Times New Roman" w:cs="Times New Roman"/>
                <w:szCs w:val="24"/>
              </w:rPr>
            </w:pPr>
            <w:r w:rsidRPr="00664147">
              <w:rPr>
                <w:rFonts w:cs="Times New Roman"/>
              </w:rPr>
              <w:t>0</w:t>
            </w:r>
          </w:p>
        </w:tc>
        <w:tc>
          <w:tcPr>
            <w:tcW w:w="1954" w:type="dxa"/>
            <w:tcBorders>
              <w:top w:val="single" w:sz="4" w:space="0" w:color="000000"/>
              <w:left w:val="single" w:sz="4" w:space="0" w:color="000000"/>
              <w:bottom w:val="single" w:sz="4" w:space="0" w:color="000000"/>
              <w:right w:val="single" w:sz="4" w:space="0" w:color="000000"/>
            </w:tcBorders>
          </w:tcPr>
          <w:p w14:paraId="66541182" w14:textId="77777777" w:rsidR="00C73740" w:rsidRPr="00664147" w:rsidRDefault="00C73740" w:rsidP="00F158A1">
            <w:pPr>
              <w:spacing w:before="100" w:beforeAutospacing="1" w:after="100" w:afterAutospacing="1"/>
              <w:jc w:val="right"/>
              <w:rPr>
                <w:rFonts w:eastAsia="Times New Roman" w:cs="Times New Roman"/>
                <w:szCs w:val="24"/>
              </w:rPr>
            </w:pPr>
            <w:r w:rsidRPr="00664147">
              <w:rPr>
                <w:rFonts w:cs="Times New Roman"/>
              </w:rPr>
              <w:t>0</w:t>
            </w:r>
          </w:p>
        </w:tc>
      </w:tr>
      <w:tr w:rsidR="00C73740" w:rsidRPr="00C21143" w14:paraId="0F2BC913" w14:textId="77777777" w:rsidTr="00F158A1">
        <w:trPr>
          <w:trHeight w:hRule="exact" w:val="286"/>
        </w:trPr>
        <w:tc>
          <w:tcPr>
            <w:tcW w:w="4743" w:type="dxa"/>
            <w:tcBorders>
              <w:top w:val="single" w:sz="12" w:space="0" w:color="000000"/>
              <w:left w:val="single" w:sz="4" w:space="0" w:color="000000"/>
              <w:bottom w:val="single" w:sz="12" w:space="0" w:color="000000"/>
              <w:right w:val="single" w:sz="4" w:space="0" w:color="000000"/>
            </w:tcBorders>
          </w:tcPr>
          <w:p w14:paraId="5E6CE4A2" w14:textId="77777777" w:rsidR="00C73740" w:rsidRPr="00664147" w:rsidRDefault="00C73740" w:rsidP="00F158A1">
            <w:pPr>
              <w:spacing w:before="100" w:beforeAutospacing="1" w:after="100" w:afterAutospacing="1"/>
              <w:rPr>
                <w:rFonts w:eastAsia="Times New Roman" w:cs="Times New Roman"/>
                <w:szCs w:val="24"/>
              </w:rPr>
            </w:pPr>
            <w:r w:rsidRPr="00664147">
              <w:rPr>
                <w:rFonts w:eastAsia="Times New Roman" w:cs="Times New Roman"/>
                <w:szCs w:val="24"/>
              </w:rPr>
              <w:t>CommonHealth XXI</w:t>
            </w:r>
          </w:p>
        </w:tc>
        <w:tc>
          <w:tcPr>
            <w:tcW w:w="1408" w:type="dxa"/>
            <w:tcBorders>
              <w:top w:val="single" w:sz="4" w:space="0" w:color="000000"/>
              <w:left w:val="single" w:sz="4" w:space="0" w:color="000000"/>
              <w:bottom w:val="single" w:sz="4" w:space="0" w:color="000000"/>
              <w:right w:val="single" w:sz="4" w:space="0" w:color="000000"/>
            </w:tcBorders>
          </w:tcPr>
          <w:p w14:paraId="128C05ED" w14:textId="77777777" w:rsidR="00C73740" w:rsidRPr="00664147" w:rsidRDefault="00C73740" w:rsidP="00F158A1">
            <w:pPr>
              <w:spacing w:before="100" w:beforeAutospacing="1" w:after="100" w:afterAutospacing="1"/>
              <w:jc w:val="right"/>
              <w:rPr>
                <w:rFonts w:eastAsia="Times New Roman" w:cs="Times New Roman"/>
                <w:szCs w:val="24"/>
              </w:rPr>
            </w:pPr>
            <w:r w:rsidRPr="00664147">
              <w:rPr>
                <w:rFonts w:cs="Times New Roman"/>
              </w:rPr>
              <w:t>0</w:t>
            </w:r>
          </w:p>
        </w:tc>
        <w:tc>
          <w:tcPr>
            <w:tcW w:w="1402" w:type="dxa"/>
            <w:tcBorders>
              <w:top w:val="single" w:sz="4" w:space="0" w:color="000000"/>
              <w:left w:val="single" w:sz="4" w:space="0" w:color="000000"/>
              <w:bottom w:val="single" w:sz="4" w:space="0" w:color="000000"/>
              <w:right w:val="single" w:sz="4" w:space="0" w:color="000000"/>
            </w:tcBorders>
          </w:tcPr>
          <w:p w14:paraId="20CC1E3B" w14:textId="77777777" w:rsidR="00C73740" w:rsidRPr="00664147" w:rsidRDefault="00C73740" w:rsidP="00F158A1">
            <w:pPr>
              <w:spacing w:before="100" w:beforeAutospacing="1" w:after="100" w:afterAutospacing="1"/>
              <w:jc w:val="right"/>
              <w:rPr>
                <w:rFonts w:eastAsia="Times New Roman" w:cs="Times New Roman"/>
                <w:szCs w:val="24"/>
              </w:rPr>
            </w:pPr>
            <w:r w:rsidRPr="00664147">
              <w:rPr>
                <w:rFonts w:cs="Times New Roman"/>
              </w:rPr>
              <w:t>0</w:t>
            </w:r>
          </w:p>
        </w:tc>
        <w:tc>
          <w:tcPr>
            <w:tcW w:w="1288" w:type="dxa"/>
            <w:tcBorders>
              <w:top w:val="single" w:sz="4" w:space="0" w:color="000000"/>
              <w:left w:val="single" w:sz="4" w:space="0" w:color="000000"/>
              <w:bottom w:val="single" w:sz="4" w:space="0" w:color="000000"/>
              <w:right w:val="single" w:sz="4" w:space="0" w:color="000000"/>
            </w:tcBorders>
          </w:tcPr>
          <w:p w14:paraId="51B07BB3" w14:textId="77777777" w:rsidR="00C73740" w:rsidRPr="00664147" w:rsidRDefault="00C73740" w:rsidP="00F158A1">
            <w:pPr>
              <w:spacing w:before="100" w:beforeAutospacing="1" w:after="100" w:afterAutospacing="1"/>
              <w:jc w:val="right"/>
              <w:rPr>
                <w:rFonts w:eastAsia="Times New Roman" w:cs="Times New Roman"/>
                <w:szCs w:val="24"/>
              </w:rPr>
            </w:pPr>
            <w:r w:rsidRPr="00664147">
              <w:rPr>
                <w:rFonts w:cs="Times New Roman"/>
              </w:rPr>
              <w:t>0</w:t>
            </w:r>
          </w:p>
        </w:tc>
        <w:tc>
          <w:tcPr>
            <w:tcW w:w="1954" w:type="dxa"/>
            <w:tcBorders>
              <w:top w:val="single" w:sz="4" w:space="0" w:color="000000"/>
              <w:left w:val="single" w:sz="4" w:space="0" w:color="000000"/>
              <w:bottom w:val="single" w:sz="4" w:space="0" w:color="000000"/>
              <w:right w:val="single" w:sz="4" w:space="0" w:color="000000"/>
            </w:tcBorders>
          </w:tcPr>
          <w:p w14:paraId="7A8659B1" w14:textId="77777777" w:rsidR="00C73740" w:rsidRPr="00664147" w:rsidRDefault="00C73740" w:rsidP="00F158A1">
            <w:pPr>
              <w:spacing w:before="100" w:beforeAutospacing="1" w:after="100" w:afterAutospacing="1"/>
              <w:jc w:val="right"/>
              <w:rPr>
                <w:rFonts w:eastAsia="Times New Roman" w:cs="Times New Roman"/>
                <w:szCs w:val="24"/>
              </w:rPr>
            </w:pPr>
            <w:r w:rsidRPr="00664147">
              <w:rPr>
                <w:rFonts w:cs="Times New Roman"/>
              </w:rPr>
              <w:t>0</w:t>
            </w:r>
          </w:p>
        </w:tc>
      </w:tr>
      <w:tr w:rsidR="00C73740" w:rsidRPr="00C21143" w14:paraId="10354EA6" w14:textId="77777777" w:rsidTr="00F158A1">
        <w:trPr>
          <w:trHeight w:hRule="exact" w:val="288"/>
        </w:trPr>
        <w:tc>
          <w:tcPr>
            <w:tcW w:w="4743" w:type="dxa"/>
            <w:tcBorders>
              <w:top w:val="single" w:sz="12" w:space="0" w:color="000000"/>
              <w:left w:val="single" w:sz="4" w:space="0" w:color="000000"/>
              <w:bottom w:val="single" w:sz="12" w:space="0" w:color="000000"/>
              <w:right w:val="single" w:sz="4" w:space="0" w:color="000000"/>
            </w:tcBorders>
          </w:tcPr>
          <w:p w14:paraId="1DCD956D" w14:textId="77777777" w:rsidR="00C73740" w:rsidRPr="00664147" w:rsidRDefault="00C73740" w:rsidP="00F158A1">
            <w:pPr>
              <w:spacing w:before="100" w:beforeAutospacing="1" w:after="100" w:afterAutospacing="1"/>
              <w:rPr>
                <w:rFonts w:eastAsia="Times New Roman" w:cs="Times New Roman"/>
                <w:szCs w:val="24"/>
              </w:rPr>
            </w:pPr>
            <w:r w:rsidRPr="00664147">
              <w:rPr>
                <w:rFonts w:eastAsia="Times New Roman" w:cs="Times New Roman"/>
                <w:szCs w:val="24"/>
              </w:rPr>
              <w:t>Fam Assist XXI</w:t>
            </w:r>
          </w:p>
        </w:tc>
        <w:tc>
          <w:tcPr>
            <w:tcW w:w="1408" w:type="dxa"/>
            <w:tcBorders>
              <w:top w:val="single" w:sz="4" w:space="0" w:color="000000"/>
              <w:left w:val="single" w:sz="4" w:space="0" w:color="000000"/>
              <w:bottom w:val="single" w:sz="4" w:space="0" w:color="000000"/>
              <w:right w:val="single" w:sz="4" w:space="0" w:color="000000"/>
            </w:tcBorders>
          </w:tcPr>
          <w:p w14:paraId="72EA40EC" w14:textId="77777777" w:rsidR="00C73740" w:rsidRPr="00664147" w:rsidRDefault="00C73740" w:rsidP="00F158A1">
            <w:pPr>
              <w:spacing w:before="100" w:beforeAutospacing="1" w:after="100" w:afterAutospacing="1"/>
              <w:jc w:val="right"/>
              <w:rPr>
                <w:rFonts w:eastAsia="Times New Roman" w:cs="Times New Roman"/>
                <w:szCs w:val="24"/>
              </w:rPr>
            </w:pPr>
            <w:r w:rsidRPr="00664147">
              <w:rPr>
                <w:rFonts w:cs="Times New Roman"/>
              </w:rPr>
              <w:t>0</w:t>
            </w:r>
          </w:p>
        </w:tc>
        <w:tc>
          <w:tcPr>
            <w:tcW w:w="1402" w:type="dxa"/>
            <w:tcBorders>
              <w:top w:val="single" w:sz="4" w:space="0" w:color="000000"/>
              <w:left w:val="single" w:sz="4" w:space="0" w:color="000000"/>
              <w:bottom w:val="single" w:sz="4" w:space="0" w:color="000000"/>
              <w:right w:val="single" w:sz="4" w:space="0" w:color="000000"/>
            </w:tcBorders>
          </w:tcPr>
          <w:p w14:paraId="1FC9A522" w14:textId="77777777" w:rsidR="00C73740" w:rsidRPr="00664147" w:rsidRDefault="00C73740" w:rsidP="00F158A1">
            <w:pPr>
              <w:spacing w:before="100" w:beforeAutospacing="1" w:after="100" w:afterAutospacing="1"/>
              <w:jc w:val="right"/>
              <w:rPr>
                <w:rFonts w:eastAsia="Times New Roman" w:cs="Times New Roman"/>
                <w:szCs w:val="24"/>
              </w:rPr>
            </w:pPr>
            <w:r w:rsidRPr="00664147">
              <w:rPr>
                <w:rFonts w:cs="Times New Roman"/>
              </w:rPr>
              <w:t>0</w:t>
            </w:r>
          </w:p>
        </w:tc>
        <w:tc>
          <w:tcPr>
            <w:tcW w:w="1288" w:type="dxa"/>
            <w:tcBorders>
              <w:top w:val="single" w:sz="4" w:space="0" w:color="000000"/>
              <w:left w:val="single" w:sz="4" w:space="0" w:color="000000"/>
              <w:bottom w:val="single" w:sz="4" w:space="0" w:color="000000"/>
              <w:right w:val="single" w:sz="4" w:space="0" w:color="000000"/>
            </w:tcBorders>
          </w:tcPr>
          <w:p w14:paraId="15D0C586" w14:textId="77777777" w:rsidR="00C73740" w:rsidRPr="00664147" w:rsidRDefault="00C73740" w:rsidP="00F158A1">
            <w:pPr>
              <w:spacing w:before="100" w:beforeAutospacing="1" w:after="100" w:afterAutospacing="1"/>
              <w:jc w:val="right"/>
              <w:rPr>
                <w:rFonts w:eastAsia="Times New Roman" w:cs="Times New Roman"/>
                <w:szCs w:val="24"/>
              </w:rPr>
            </w:pPr>
            <w:r w:rsidRPr="00664147">
              <w:rPr>
                <w:rFonts w:cs="Times New Roman"/>
              </w:rPr>
              <w:t>0</w:t>
            </w:r>
          </w:p>
        </w:tc>
        <w:tc>
          <w:tcPr>
            <w:tcW w:w="1954" w:type="dxa"/>
            <w:tcBorders>
              <w:top w:val="single" w:sz="4" w:space="0" w:color="000000"/>
              <w:left w:val="single" w:sz="4" w:space="0" w:color="000000"/>
              <w:bottom w:val="single" w:sz="4" w:space="0" w:color="000000"/>
              <w:right w:val="single" w:sz="4" w:space="0" w:color="000000"/>
            </w:tcBorders>
          </w:tcPr>
          <w:p w14:paraId="053653B1" w14:textId="77777777" w:rsidR="00C73740" w:rsidRPr="00664147" w:rsidRDefault="00C73740" w:rsidP="00F158A1">
            <w:pPr>
              <w:spacing w:before="100" w:beforeAutospacing="1" w:after="100" w:afterAutospacing="1"/>
              <w:jc w:val="right"/>
              <w:rPr>
                <w:rFonts w:eastAsia="Times New Roman" w:cs="Times New Roman"/>
                <w:szCs w:val="24"/>
              </w:rPr>
            </w:pPr>
            <w:r w:rsidRPr="00664147">
              <w:rPr>
                <w:rFonts w:cs="Times New Roman"/>
              </w:rPr>
              <w:t>0</w:t>
            </w:r>
          </w:p>
        </w:tc>
      </w:tr>
    </w:tbl>
    <w:p w14:paraId="6816E342" w14:textId="77777777" w:rsidR="00C73740" w:rsidRDefault="00C73740" w:rsidP="00C73740"/>
    <w:p w14:paraId="2958A0B0" w14:textId="61A33E8D" w:rsidR="00375A4E" w:rsidRPr="00F53008" w:rsidRDefault="00375A4E" w:rsidP="00E3134B">
      <w:pPr>
        <w:pStyle w:val="Heading2"/>
      </w:pPr>
      <w:r w:rsidRPr="00E7652C">
        <w:t>Consumer Issues</w:t>
      </w:r>
    </w:p>
    <w:p w14:paraId="79FEC0DA" w14:textId="4DF2DC90" w:rsidR="00893916" w:rsidRPr="00142491" w:rsidRDefault="00893916" w:rsidP="00893916">
      <w:pPr>
        <w:spacing w:before="100" w:beforeAutospacing="1" w:after="100" w:afterAutospacing="1"/>
        <w:rPr>
          <w:b/>
          <w:bCs/>
          <w:i/>
          <w:iCs/>
        </w:rPr>
      </w:pPr>
      <w:r w:rsidRPr="00AE7E02">
        <w:rPr>
          <w:rFonts w:cs="Times New Roman"/>
          <w:szCs w:val="24"/>
        </w:rPr>
        <w:t xml:space="preserve">Please see the sections above related to ombudsman issues (DSRIP Operations and </w:t>
      </w:r>
      <w:r w:rsidRPr="00D363C9">
        <w:rPr>
          <w:rFonts w:cs="Times New Roman"/>
          <w:szCs w:val="24"/>
        </w:rPr>
        <w:t xml:space="preserve">Implementation p. </w:t>
      </w:r>
      <w:r w:rsidR="00D363C9" w:rsidRPr="00D363C9">
        <w:rPr>
          <w:rFonts w:cs="Times New Roman"/>
          <w:szCs w:val="24"/>
        </w:rPr>
        <w:t>22</w:t>
      </w:r>
      <w:r w:rsidRPr="00D363C9">
        <w:rPr>
          <w:rFonts w:cs="Times New Roman"/>
          <w:szCs w:val="24"/>
        </w:rPr>
        <w:t>) and MassHealth flexibilities for members in response to COVID-19 (Member Education and Communication p.</w:t>
      </w:r>
      <w:r w:rsidR="00D363C9" w:rsidRPr="00D363C9">
        <w:rPr>
          <w:rFonts w:cs="Times New Roman"/>
          <w:szCs w:val="24"/>
        </w:rPr>
        <w:t xml:space="preserve"> 9</w:t>
      </w:r>
      <w:r w:rsidRPr="00D363C9">
        <w:rPr>
          <w:rFonts w:cs="Times New Roman"/>
          <w:szCs w:val="24"/>
        </w:rPr>
        <w:t>).</w:t>
      </w:r>
    </w:p>
    <w:p w14:paraId="1B35D7EB" w14:textId="6D84100D" w:rsidR="00BC0AF4" w:rsidRDefault="00BC0AF4" w:rsidP="00EB3D07">
      <w:pPr>
        <w:pStyle w:val="Heading2"/>
      </w:pPr>
      <w:r w:rsidRPr="00E7652C">
        <w:t>Quality Assurance/Monitoring Activity</w:t>
      </w:r>
    </w:p>
    <w:p w14:paraId="07731AF4" w14:textId="77777777" w:rsidR="000C1C99" w:rsidRDefault="000C1C99" w:rsidP="00F07491">
      <w:pPr>
        <w:pStyle w:val="Heading3"/>
      </w:pPr>
      <w:r>
        <w:t xml:space="preserve">Managed Care Quality Activities </w:t>
      </w:r>
    </w:p>
    <w:p w14:paraId="65DDC8D9" w14:textId="76D2DE64" w:rsidR="000C1C99" w:rsidRPr="00F07491" w:rsidRDefault="000C1C99" w:rsidP="000C1C99">
      <w:pPr>
        <w:autoSpaceDE w:val="0"/>
        <w:autoSpaceDN w:val="0"/>
        <w:spacing w:before="100" w:beforeAutospacing="1" w:after="100" w:afterAutospacing="1"/>
        <w:rPr>
          <w:rFonts w:cs="Times New Roman"/>
          <w:szCs w:val="24"/>
        </w:rPr>
      </w:pPr>
      <w:r w:rsidRPr="00F07491">
        <w:rPr>
          <w:rFonts w:cs="Times New Roman"/>
          <w:szCs w:val="24"/>
        </w:rPr>
        <w:t>Managed Care Program (under 65, non-disabled)</w:t>
      </w:r>
      <w:r w:rsidR="000836C2">
        <w:rPr>
          <w:rFonts w:cs="Times New Roman"/>
          <w:szCs w:val="24"/>
        </w:rPr>
        <w:t>:</w:t>
      </w:r>
    </w:p>
    <w:p w14:paraId="086F0E3E" w14:textId="77777777" w:rsidR="000C1C99" w:rsidRDefault="000C1C99" w:rsidP="000C1C99">
      <w:pPr>
        <w:autoSpaceDE w:val="0"/>
        <w:autoSpaceDN w:val="0"/>
        <w:spacing w:before="100" w:beforeAutospacing="1" w:after="100" w:afterAutospacing="1"/>
        <w:rPr>
          <w:rFonts w:cs="Times New Roman"/>
          <w:szCs w:val="24"/>
        </w:rPr>
      </w:pPr>
      <w:r>
        <w:rPr>
          <w:rFonts w:cs="Times New Roman"/>
          <w:szCs w:val="24"/>
        </w:rPr>
        <w:t>The MassHealth Managed Care (MCO) Program continued to engage in quality-related activities focused primarily on quality measurement and improvement. During Quarter 1, the MassHealth Quality Office (MQO) initiated its analysis of managed care performance on the 2020 HEDIS measure slate.  Quality analysts compared MCO performance across plans and calculated MassHealth weighted means and other descriptive statistics.  MassHealth uses the MCO-submitted data to support the submission of the CMS Child and Adult Core Measure sets. Additionally, in Q1 MCOs submitted their year-end report completing their remeasurement year project activities and closing out CY20 project year.</w:t>
      </w:r>
    </w:p>
    <w:p w14:paraId="27821919" w14:textId="77777777" w:rsidR="000C1C99" w:rsidRDefault="000C1C99" w:rsidP="000C1C99">
      <w:pPr>
        <w:autoSpaceDE w:val="0"/>
        <w:autoSpaceDN w:val="0"/>
        <w:spacing w:before="100" w:beforeAutospacing="1" w:after="100" w:afterAutospacing="1"/>
        <w:rPr>
          <w:rFonts w:cs="Times New Roman"/>
          <w:szCs w:val="24"/>
        </w:rPr>
      </w:pPr>
      <w:r>
        <w:rPr>
          <w:rFonts w:cs="Times New Roman"/>
          <w:szCs w:val="24"/>
        </w:rPr>
        <w:t>In Q2, the MCO program calculated the results for the Adult and Child Core Sets. Rates were completed in mid-December and sent to MassHealth executive leadership for review prior to reporting in the MACPRO system. All results were reported and certified prior to the January deadline. Additionally, in Quarters 2 and 3, MassHealth analysts continued to analyze the 2020 HEDIS (measurement period – CY19) data that was submitted in SFY20 Q4, comparing individual MCO rates as well as MassHealth weighted means to regional and national benchmarks. This data was used to support the development of the MassHealth public performance reporting available on the MassHealth website (</w:t>
      </w:r>
      <w:hyperlink r:id="rId23" w:history="1">
        <w:r>
          <w:rPr>
            <w:rStyle w:val="Hyperlink"/>
            <w:rFonts w:cs="Times New Roman"/>
            <w:szCs w:val="24"/>
          </w:rPr>
          <w:t>https://www.mass.gov/doc/managed-care-plan-quality-performance-2020-0/download</w:t>
        </w:r>
      </w:hyperlink>
      <w:r>
        <w:rPr>
          <w:rFonts w:cs="Times New Roman"/>
          <w:szCs w:val="24"/>
        </w:rPr>
        <w:t xml:space="preserve">).  </w:t>
      </w:r>
    </w:p>
    <w:p w14:paraId="45098CE1" w14:textId="06278925" w:rsidR="000C1C99" w:rsidRDefault="000C1C99" w:rsidP="000C1C99">
      <w:pPr>
        <w:autoSpaceDE w:val="0"/>
        <w:autoSpaceDN w:val="0"/>
        <w:spacing w:before="100" w:beforeAutospacing="1" w:after="100" w:afterAutospacing="1"/>
        <w:rPr>
          <w:rFonts w:cs="Times New Roman"/>
          <w:szCs w:val="24"/>
        </w:rPr>
      </w:pPr>
      <w:r>
        <w:rPr>
          <w:rFonts w:cs="Times New Roman"/>
          <w:szCs w:val="24"/>
        </w:rPr>
        <w:t xml:space="preserve">In addition to assessing performance on quality measures, the MCOs began work on their contractually required quality improvement projects. CY21 represents the initial year of a new quality improvement cycle. The QIP topics for new cycle are telehealth and vaccinations with added focus on health equity. In Q3, MCOs submitted their first CY21 quality improvement project deliverable, a mid-year progress report. In this report, MCOs highlight </w:t>
      </w:r>
      <w:r w:rsidR="00E7652C">
        <w:rPr>
          <w:rFonts w:cs="Times New Roman"/>
          <w:szCs w:val="24"/>
        </w:rPr>
        <w:t xml:space="preserve">and </w:t>
      </w:r>
      <w:r>
        <w:rPr>
          <w:rFonts w:cs="Times New Roman"/>
          <w:szCs w:val="24"/>
        </w:rPr>
        <w:t xml:space="preserve">lay out their quality improvement projects for year 1 as well as describe their implementation plan for the upcoming year. </w:t>
      </w:r>
    </w:p>
    <w:p w14:paraId="1A6E6171" w14:textId="67D0DA54" w:rsidR="000C1C99" w:rsidRDefault="000C1C99" w:rsidP="000C1C99">
      <w:pPr>
        <w:autoSpaceDE w:val="0"/>
        <w:autoSpaceDN w:val="0"/>
        <w:spacing w:before="100" w:beforeAutospacing="1" w:after="100" w:afterAutospacing="1"/>
        <w:rPr>
          <w:rFonts w:cs="Times New Roman"/>
          <w:szCs w:val="24"/>
        </w:rPr>
      </w:pPr>
      <w:r>
        <w:rPr>
          <w:rFonts w:cs="Times New Roman"/>
          <w:szCs w:val="24"/>
        </w:rPr>
        <w:t>In Quarter 4 MC</w:t>
      </w:r>
      <w:r w:rsidR="00E7652C">
        <w:rPr>
          <w:rFonts w:cs="Times New Roman"/>
          <w:szCs w:val="24"/>
        </w:rPr>
        <w:t>O</w:t>
      </w:r>
      <w:r>
        <w:rPr>
          <w:rFonts w:cs="Times New Roman"/>
          <w:szCs w:val="24"/>
        </w:rPr>
        <w:t xml:space="preserve">s completed their HEDIS MY2020 data collection and submitted their results to </w:t>
      </w:r>
      <w:r w:rsidR="00E7652C">
        <w:rPr>
          <w:rFonts w:cs="Times New Roman"/>
          <w:szCs w:val="24"/>
        </w:rPr>
        <w:t xml:space="preserve">the </w:t>
      </w:r>
      <w:r>
        <w:rPr>
          <w:rFonts w:cs="Times New Roman"/>
          <w:szCs w:val="24"/>
        </w:rPr>
        <w:t xml:space="preserve">National Committee of Quality Assurance (NCQA) via the Interactive Data Submission System (IDSS) as well as the MassHealth Quality Office (MQO). MassHealth is awaiting the release of national benchmark data in Q2. Once received, the MQO will begin comparing plan HEDIS data to these national benchmarks. During Q4 MCOs continued Baseline implementation of their quality improvement projects, incorporating any recommendations made by MassHealth and its External Quality Review Vendor during the planning phase. In September 2021, MCOs will submit their year-end reports for analysis and review as well as begin preparation for CY21. </w:t>
      </w:r>
    </w:p>
    <w:p w14:paraId="179CED64" w14:textId="77777777" w:rsidR="000C1C99" w:rsidRDefault="000C1C99" w:rsidP="000836C2">
      <w:pPr>
        <w:pStyle w:val="Heading3"/>
      </w:pPr>
      <w:r>
        <w:t>External Quality Review (EQR) Activities</w:t>
      </w:r>
    </w:p>
    <w:p w14:paraId="7A4BD7C9" w14:textId="4C30A1CB" w:rsidR="000C1C99" w:rsidRDefault="000C1C99" w:rsidP="000C1C99">
      <w:pPr>
        <w:autoSpaceDE w:val="0"/>
        <w:autoSpaceDN w:val="0"/>
        <w:spacing w:before="100" w:beforeAutospacing="1" w:after="100" w:afterAutospacing="1"/>
        <w:rPr>
          <w:rFonts w:cs="Times New Roman"/>
          <w:szCs w:val="24"/>
        </w:rPr>
      </w:pPr>
      <w:r>
        <w:rPr>
          <w:rFonts w:cs="Times New Roman"/>
          <w:szCs w:val="24"/>
        </w:rPr>
        <w:t>During Q1, the External Quality Review Organization (EQRO) began completing reviews of Performance Improvement Project (PIP) materials submitted in Q1 by all MassHealth Managed Care Plans including MCOs, Accountable Care Partnership Plan ACOs</w:t>
      </w:r>
      <w:r w:rsidR="006C7037">
        <w:rPr>
          <w:rFonts w:cs="Times New Roman"/>
          <w:szCs w:val="24"/>
        </w:rPr>
        <w:t xml:space="preserve"> (ACPPs)</w:t>
      </w:r>
      <w:r>
        <w:rPr>
          <w:rFonts w:cs="Times New Roman"/>
          <w:szCs w:val="24"/>
        </w:rPr>
        <w:t xml:space="preserve">, Senior Care </w:t>
      </w:r>
      <w:bookmarkStart w:id="8" w:name="_Hlk51142585"/>
      <w:r>
        <w:rPr>
          <w:rFonts w:cs="Times New Roman"/>
          <w:szCs w:val="24"/>
        </w:rPr>
        <w:t>Organizations</w:t>
      </w:r>
      <w:r w:rsidR="006C7037">
        <w:rPr>
          <w:rFonts w:cs="Times New Roman"/>
          <w:szCs w:val="24"/>
        </w:rPr>
        <w:t xml:space="preserve"> (SCOs)</w:t>
      </w:r>
      <w:r>
        <w:rPr>
          <w:rFonts w:cs="Times New Roman"/>
          <w:szCs w:val="24"/>
        </w:rPr>
        <w:t>, One Care Plans, and the Massachusetts Behavioral Health Partnership</w:t>
      </w:r>
      <w:r w:rsidR="006C7037">
        <w:rPr>
          <w:rFonts w:cs="Times New Roman"/>
          <w:szCs w:val="24"/>
        </w:rPr>
        <w:t xml:space="preserve"> (MBHP)</w:t>
      </w:r>
      <w:r>
        <w:rPr>
          <w:rFonts w:cs="Times New Roman"/>
          <w:szCs w:val="24"/>
        </w:rPr>
        <w:t xml:space="preserve">. </w:t>
      </w:r>
      <w:bookmarkEnd w:id="8"/>
      <w:r>
        <w:rPr>
          <w:rFonts w:cs="Times New Roman"/>
          <w:szCs w:val="24"/>
        </w:rPr>
        <w:t>Each plan submitted a CY 2020 year-end report for each project, one focused on a behavioral health topic and the other on a priority condition identified by the plan. The EQRO held teleconferences with each plan to ask questions and discuss feedback on the projects during Q1 and Q2, with final scores being reviewed by MassHealth and shared with plans in November during Q2. 2020 Performance Measure Validation (PMV) activities for MBHP, MCOs, SCOs, and One Care plans concluded in November</w:t>
      </w:r>
      <w:r w:rsidR="003C02DC">
        <w:rPr>
          <w:rFonts w:cs="Times New Roman"/>
          <w:szCs w:val="24"/>
        </w:rPr>
        <w:t xml:space="preserve"> and </w:t>
      </w:r>
      <w:r>
        <w:rPr>
          <w:rFonts w:cs="Times New Roman"/>
          <w:szCs w:val="24"/>
        </w:rPr>
        <w:t xml:space="preserve">final scoring work sheets were shared with plans in December. </w:t>
      </w:r>
    </w:p>
    <w:p w14:paraId="4AA23EA4" w14:textId="77777777" w:rsidR="000C1C99" w:rsidRDefault="000C1C99" w:rsidP="000C1C99">
      <w:pPr>
        <w:autoSpaceDE w:val="0"/>
        <w:autoSpaceDN w:val="0"/>
        <w:spacing w:before="100" w:beforeAutospacing="1" w:after="100" w:afterAutospacing="1"/>
        <w:rPr>
          <w:rFonts w:cs="Times New Roman"/>
          <w:szCs w:val="24"/>
        </w:rPr>
      </w:pPr>
      <w:r>
        <w:rPr>
          <w:rFonts w:cs="Times New Roman"/>
          <w:szCs w:val="24"/>
        </w:rPr>
        <w:t>The majority of EQR work in Q3 focused on the drafting and finalization of the EQR technical report available on the MassHealth Website (</w:t>
      </w:r>
      <w:hyperlink r:id="rId24" w:anchor="masshealth-external-quality-review-" w:history="1">
        <w:r>
          <w:rPr>
            <w:rStyle w:val="Hyperlink"/>
            <w:rFonts w:cs="Times New Roman"/>
            <w:szCs w:val="24"/>
          </w:rPr>
          <w:t>https://www.mass.gov/info-details/masshealth-quality-reports-and-resources#masshealth-external-quality-review-</w:t>
        </w:r>
      </w:hyperlink>
      <w:r>
        <w:rPr>
          <w:rFonts w:cs="Times New Roman"/>
          <w:szCs w:val="24"/>
        </w:rPr>
        <w:t>). Q3 represented the beginning of new QI cycle for the managed care plans focusing on telehealth and vaccinations with added sub-focus on health equity. In March, managed care plans submitted a midyear report that details their Quality Improvement Plan (QIP) as well as describe their implementation plan for the upcoming year and the new cycle. Feedback on these reports was provided to plans in early Q4.</w:t>
      </w:r>
    </w:p>
    <w:p w14:paraId="4D4A06E6" w14:textId="3F66FEC1" w:rsidR="000C1C99" w:rsidRDefault="000C1C99" w:rsidP="000C1C99">
      <w:pPr>
        <w:autoSpaceDE w:val="0"/>
        <w:autoSpaceDN w:val="0"/>
        <w:spacing w:before="100" w:beforeAutospacing="1" w:after="100" w:afterAutospacing="1"/>
        <w:rPr>
          <w:rFonts w:cs="Times New Roman"/>
          <w:szCs w:val="24"/>
        </w:rPr>
      </w:pPr>
      <w:r>
        <w:rPr>
          <w:rFonts w:cs="Times New Roman"/>
          <w:szCs w:val="24"/>
        </w:rPr>
        <w:t>During Quarter 4, EQR activities focused primarily on compliance audit activities for the ACPP</w:t>
      </w:r>
      <w:r w:rsidR="003508A9">
        <w:rPr>
          <w:rFonts w:cs="Times New Roman"/>
          <w:szCs w:val="24"/>
        </w:rPr>
        <w:t>s</w:t>
      </w:r>
      <w:r>
        <w:rPr>
          <w:rFonts w:cs="Times New Roman"/>
          <w:szCs w:val="24"/>
        </w:rPr>
        <w:t xml:space="preserve"> and Primary Care ACOs </w:t>
      </w:r>
      <w:r w:rsidR="003508A9">
        <w:rPr>
          <w:rFonts w:cs="Times New Roman"/>
          <w:szCs w:val="24"/>
        </w:rPr>
        <w:t>(PCACOs)</w:t>
      </w:r>
      <w:r>
        <w:rPr>
          <w:rFonts w:cs="Times New Roman"/>
          <w:szCs w:val="24"/>
        </w:rPr>
        <w:t>as well as performance measure validation preparation for ACPP, PCACO, SCO, One Care and MBHP. In May, the EQRO sent RFIs to ACPP</w:t>
      </w:r>
      <w:r w:rsidR="003508A9">
        <w:rPr>
          <w:rFonts w:cs="Times New Roman"/>
          <w:szCs w:val="24"/>
        </w:rPr>
        <w:t>s</w:t>
      </w:r>
      <w:r>
        <w:rPr>
          <w:rFonts w:cs="Times New Roman"/>
          <w:szCs w:val="24"/>
        </w:rPr>
        <w:t xml:space="preserve"> and PCACOs for compliance activities and a subset </w:t>
      </w:r>
      <w:r w:rsidR="003508A9">
        <w:rPr>
          <w:rFonts w:cs="Times New Roman"/>
          <w:szCs w:val="24"/>
        </w:rPr>
        <w:t xml:space="preserve">of </w:t>
      </w:r>
      <w:r>
        <w:rPr>
          <w:rFonts w:cs="Times New Roman"/>
          <w:szCs w:val="24"/>
        </w:rPr>
        <w:t>managed care plans for PMV</w:t>
      </w:r>
      <w:r w:rsidR="003508A9">
        <w:rPr>
          <w:rFonts w:cs="Times New Roman"/>
          <w:szCs w:val="24"/>
        </w:rPr>
        <w:t xml:space="preserve"> activities.  Additionally</w:t>
      </w:r>
      <w:r>
        <w:rPr>
          <w:rFonts w:cs="Times New Roman"/>
          <w:szCs w:val="24"/>
        </w:rPr>
        <w:t>, the PCC Plan, which participates voluntarily, also received an RFI for PMV activities only. Plans are asked to provide requested documentation within 6 weeks for review by the EQRO in Q1 and Q2 of FY22.  Due to COVID</w:t>
      </w:r>
      <w:r w:rsidR="003508A9">
        <w:rPr>
          <w:rFonts w:cs="Times New Roman"/>
          <w:szCs w:val="24"/>
        </w:rPr>
        <w:t>-19</w:t>
      </w:r>
      <w:r>
        <w:rPr>
          <w:rFonts w:cs="Times New Roman"/>
          <w:szCs w:val="24"/>
        </w:rPr>
        <w:t xml:space="preserve"> flexibilities, PMV activities for ACOs will be focused </w:t>
      </w:r>
      <w:r w:rsidR="003508A9">
        <w:rPr>
          <w:rFonts w:cs="Times New Roman"/>
          <w:szCs w:val="24"/>
        </w:rPr>
        <w:t xml:space="preserve">on </w:t>
      </w:r>
      <w:r>
        <w:rPr>
          <w:rFonts w:cs="Times New Roman"/>
          <w:szCs w:val="24"/>
        </w:rPr>
        <w:t>CY19 measures.  Although measures will be calculated for CY20, CY19 will be used to asse</w:t>
      </w:r>
      <w:r w:rsidR="003508A9">
        <w:rPr>
          <w:rFonts w:cs="Times New Roman"/>
          <w:szCs w:val="24"/>
        </w:rPr>
        <w:t>s</w:t>
      </w:r>
      <w:r>
        <w:rPr>
          <w:rFonts w:cs="Times New Roman"/>
          <w:szCs w:val="24"/>
        </w:rPr>
        <w:t xml:space="preserve">s ACO performance. </w:t>
      </w:r>
    </w:p>
    <w:p w14:paraId="50F33675" w14:textId="77777777" w:rsidR="000C1C99" w:rsidRDefault="000C1C99" w:rsidP="000836C2">
      <w:pPr>
        <w:pStyle w:val="Heading3"/>
      </w:pPr>
      <w:r>
        <w:t>MassHealth Quality Committee</w:t>
      </w:r>
    </w:p>
    <w:p w14:paraId="1D7D0969" w14:textId="7C232998" w:rsidR="000C1C99" w:rsidRDefault="000C1C99" w:rsidP="000C1C99">
      <w:pPr>
        <w:autoSpaceDE w:val="0"/>
        <w:autoSpaceDN w:val="0"/>
        <w:spacing w:before="100" w:beforeAutospacing="1" w:after="100" w:afterAutospacing="1"/>
        <w:rPr>
          <w:rStyle w:val="eop"/>
          <w:color w:val="000000"/>
        </w:rPr>
      </w:pPr>
      <w:r>
        <w:rPr>
          <w:rFonts w:cs="Times New Roman"/>
          <w:szCs w:val="24"/>
        </w:rPr>
        <w:t xml:space="preserve">The MassHealth Quality Committee continued to engage in serving as a collaborative forum to discuss and develop recommendations on key topics and issues to support leadership and program managers across MassHealth in driving quality strategy.   </w:t>
      </w:r>
      <w:r>
        <w:rPr>
          <w:rStyle w:val="normaltextrun"/>
          <w:rFonts w:cs="Times New Roman"/>
          <w:color w:val="000000"/>
          <w:szCs w:val="24"/>
        </w:rPr>
        <w:t>The </w:t>
      </w:r>
      <w:r w:rsidR="00BA0E23">
        <w:rPr>
          <w:rStyle w:val="normaltextrun"/>
          <w:rFonts w:cs="Times New Roman"/>
          <w:color w:val="000000"/>
          <w:szCs w:val="24"/>
        </w:rPr>
        <w:t>Committee</w:t>
      </w:r>
      <w:r>
        <w:rPr>
          <w:rStyle w:val="normaltextrun"/>
          <w:rFonts w:cs="Times New Roman"/>
          <w:szCs w:val="24"/>
        </w:rPr>
        <w:t xml:space="preserve"> is inclusive of programs, departments and functions that intersect with quality to guide quality </w:t>
      </w:r>
      <w:r>
        <w:rPr>
          <w:rFonts w:cs="Times New Roman"/>
          <w:szCs w:val="24"/>
        </w:rPr>
        <w:t xml:space="preserve">program development, measurement, improvement and evaluation activities. </w:t>
      </w:r>
    </w:p>
    <w:p w14:paraId="60DED1FE" w14:textId="77777777" w:rsidR="000C1C99" w:rsidRDefault="000C1C99" w:rsidP="000C1C99">
      <w:pPr>
        <w:autoSpaceDE w:val="0"/>
        <w:autoSpaceDN w:val="0"/>
        <w:spacing w:before="100" w:beforeAutospacing="1" w:after="100" w:afterAutospacing="1"/>
      </w:pPr>
      <w:r>
        <w:rPr>
          <w:rFonts w:cs="Times New Roman"/>
          <w:szCs w:val="24"/>
        </w:rPr>
        <w:t xml:space="preserve">In Q1 2021, the Committee continued monitoring of the impact of COVID-19 on clinical quality data collection, program reporting and member experience surveys.  The group also reviewed CMS feedback to the current Quality Strategy and identification of content areas to be updated or added.  </w:t>
      </w:r>
    </w:p>
    <w:p w14:paraId="5F2AD6BC" w14:textId="77777777" w:rsidR="000C1C99" w:rsidRDefault="000C1C99" w:rsidP="000C1C99">
      <w:pPr>
        <w:autoSpaceDE w:val="0"/>
        <w:autoSpaceDN w:val="0"/>
        <w:spacing w:before="100" w:beforeAutospacing="1" w:after="100" w:afterAutospacing="1"/>
        <w:rPr>
          <w:rFonts w:cs="Times New Roman"/>
          <w:szCs w:val="24"/>
        </w:rPr>
      </w:pPr>
      <w:r>
        <w:rPr>
          <w:rFonts w:cs="Times New Roman"/>
          <w:szCs w:val="24"/>
        </w:rPr>
        <w:t>In Q2, the Committee reviewed priorities and the process for MassHealth managed care plan performance improvement projects (PIPs) in 2021.  The group provided guidance on quality measures and populations to consider in the strategic development of key performance indicators to address health equity.  The Committee also reviewed and discussed EHS performance on 2020 Adult and Child Core Measures that were then finalized and reported to CMS.</w:t>
      </w:r>
    </w:p>
    <w:p w14:paraId="097CE5DB" w14:textId="77777777" w:rsidR="000C1C99" w:rsidRDefault="000C1C99" w:rsidP="000C1C99">
      <w:pPr>
        <w:autoSpaceDE w:val="0"/>
        <w:autoSpaceDN w:val="0"/>
        <w:spacing w:before="100" w:beforeAutospacing="1" w:after="100" w:afterAutospacing="1"/>
        <w:rPr>
          <w:rFonts w:cs="Times New Roman"/>
          <w:szCs w:val="24"/>
        </w:rPr>
      </w:pPr>
      <w:r>
        <w:rPr>
          <w:rFonts w:cs="Times New Roman"/>
          <w:szCs w:val="24"/>
        </w:rPr>
        <w:t xml:space="preserve">In Q3, the Committee initiated the process to update the Quality Strategy for 2021.  The Committee reviewed and supported drafted updated quality goals.  In Q3, quality staff also initiated a concurrent process to start work on an evaluation report of the Quality Strategy.  </w:t>
      </w:r>
    </w:p>
    <w:p w14:paraId="178ACA31" w14:textId="77777777" w:rsidR="000C1C99" w:rsidRDefault="000C1C99" w:rsidP="000C1C99">
      <w:pPr>
        <w:autoSpaceDE w:val="0"/>
        <w:autoSpaceDN w:val="0"/>
        <w:spacing w:before="100" w:beforeAutospacing="1" w:after="100" w:afterAutospacing="1"/>
        <w:rPr>
          <w:rFonts w:cs="Times New Roman"/>
          <w:szCs w:val="24"/>
        </w:rPr>
      </w:pPr>
      <w:r>
        <w:rPr>
          <w:rFonts w:cs="Times New Roman"/>
          <w:szCs w:val="24"/>
        </w:rPr>
        <w:t>In Q4, most of the Committee’s focus was on reviewing and providing feedback to the drafted section of the Quality Strategy related to State Standards (as part of the Managed Care Strategy) that includes MCE access standards and measurement and improvement standards.</w:t>
      </w:r>
    </w:p>
    <w:p w14:paraId="427B8627" w14:textId="19D33BB7" w:rsidR="000C1C99" w:rsidRPr="00E3134B" w:rsidRDefault="000C1C99" w:rsidP="00E3134B">
      <w:pPr>
        <w:pStyle w:val="Heading3"/>
      </w:pPr>
      <w:r w:rsidRPr="00E3134B">
        <w:rPr>
          <w:rStyle w:val="Strong"/>
          <w:b w:val="0"/>
          <w:bCs w:val="0"/>
        </w:rPr>
        <w:t>MassHealth ACO/CP Quality Strategy</w:t>
      </w:r>
      <w:r w:rsidRPr="00E3134B">
        <w:t> </w:t>
      </w:r>
    </w:p>
    <w:p w14:paraId="17D66388" w14:textId="11229F6E" w:rsidR="000C1C99" w:rsidRPr="00BF6B04" w:rsidRDefault="000C1C99" w:rsidP="000C1C99">
      <w:pPr>
        <w:shd w:val="clear" w:color="auto" w:fill="FFFFFF"/>
        <w:rPr>
          <w:rFonts w:cs="Times New Roman"/>
          <w:szCs w:val="24"/>
        </w:rPr>
      </w:pPr>
      <w:r w:rsidRPr="00BF6B04">
        <w:rPr>
          <w:rFonts w:cs="Times New Roman"/>
          <w:color w:val="000000"/>
          <w:szCs w:val="24"/>
        </w:rPr>
        <w:t xml:space="preserve">In Quarter 4, MassHealth and CMS continued to finalize a small, remaining set of measure specifications for use in the Community Partners program. Informational sessions were held with quality representatives from the CPs to keep them up to date on these changes. MassHealth also continued to work with statistical experts at </w:t>
      </w:r>
      <w:r w:rsidR="00BA0E23">
        <w:rPr>
          <w:rFonts w:cs="Times New Roman"/>
          <w:color w:val="000000"/>
          <w:szCs w:val="24"/>
        </w:rPr>
        <w:t xml:space="preserve">the </w:t>
      </w:r>
      <w:r w:rsidRPr="00BF6B04">
        <w:rPr>
          <w:rFonts w:cs="Times New Roman"/>
          <w:color w:val="000000"/>
          <w:szCs w:val="24"/>
        </w:rPr>
        <w:t>U</w:t>
      </w:r>
      <w:r w:rsidR="00BA0E23">
        <w:rPr>
          <w:rFonts w:cs="Times New Roman"/>
          <w:color w:val="000000"/>
          <w:szCs w:val="24"/>
        </w:rPr>
        <w:t xml:space="preserve">niversity of </w:t>
      </w:r>
      <w:r w:rsidRPr="00BF6B04">
        <w:rPr>
          <w:rFonts w:cs="Times New Roman"/>
          <w:color w:val="000000"/>
          <w:szCs w:val="24"/>
        </w:rPr>
        <w:t>Mass</w:t>
      </w:r>
      <w:r w:rsidR="00BA0E23">
        <w:rPr>
          <w:rFonts w:cs="Times New Roman"/>
          <w:color w:val="000000"/>
          <w:szCs w:val="24"/>
        </w:rPr>
        <w:t>achusetts</w:t>
      </w:r>
      <w:r w:rsidRPr="00BF6B04">
        <w:rPr>
          <w:rFonts w:cs="Times New Roman"/>
          <w:color w:val="000000"/>
          <w:szCs w:val="24"/>
        </w:rPr>
        <w:t xml:space="preserve"> Chan School of Medicine on the risk adjustment methodology needed for the ACO Community Tenure measure (an EOHHS developed metric for assessing number of days at risk members remain outside of inpatient settings).​ At the end of quarter 4, focus shifted toward training efforts and guidance for the collection of supplemental and hybrid data needed for the calculation of CY2020 ACO measures.  </w:t>
      </w:r>
    </w:p>
    <w:p w14:paraId="1404E48F" w14:textId="418BC840" w:rsidR="00BC0AF4" w:rsidRPr="00F53008" w:rsidRDefault="00BC0AF4" w:rsidP="000836C2">
      <w:pPr>
        <w:pStyle w:val="Heading2"/>
      </w:pPr>
      <w:r w:rsidRPr="00F53008">
        <w:t>Demonstration Evaluation</w:t>
      </w:r>
    </w:p>
    <w:p w14:paraId="7DA5506E" w14:textId="06754F11" w:rsidR="00894617" w:rsidRPr="000836C2" w:rsidRDefault="00894617" w:rsidP="00894617">
      <w:pPr>
        <w:tabs>
          <w:tab w:val="left" w:pos="270"/>
        </w:tabs>
        <w:spacing w:after="160" w:line="259" w:lineRule="auto"/>
        <w:rPr>
          <w:rFonts w:cs="Times New Roman"/>
          <w:bCs/>
          <w:szCs w:val="24"/>
        </w:rPr>
      </w:pPr>
      <w:bookmarkStart w:id="9" w:name="Enclosures/Attachments"/>
      <w:bookmarkEnd w:id="9"/>
      <w:r w:rsidRPr="000836C2">
        <w:rPr>
          <w:rFonts w:cs="Times New Roman"/>
          <w:bCs/>
          <w:szCs w:val="24"/>
        </w:rPr>
        <w:t>(UMass Medical School (UMMS))</w:t>
      </w:r>
    </w:p>
    <w:p w14:paraId="4A0B80A0" w14:textId="77777777" w:rsidR="00894617" w:rsidRPr="004B161F" w:rsidRDefault="00894617" w:rsidP="00894617">
      <w:pPr>
        <w:widowControl w:val="0"/>
        <w:autoSpaceDE w:val="0"/>
        <w:autoSpaceDN w:val="0"/>
        <w:spacing w:before="100" w:beforeAutospacing="1" w:after="100" w:afterAutospacing="1"/>
        <w:rPr>
          <w:rFonts w:eastAsia="Times New Roman" w:cs="Times New Roman"/>
          <w:bCs/>
          <w:iCs/>
          <w:szCs w:val="24"/>
          <w:u w:val="single"/>
        </w:rPr>
      </w:pPr>
      <w:r w:rsidRPr="004B161F">
        <w:rPr>
          <w:rFonts w:eastAsia="Times New Roman" w:cs="Times New Roman"/>
          <w:bCs/>
          <w:iCs/>
          <w:szCs w:val="24"/>
          <w:u w:val="single"/>
        </w:rPr>
        <w:t>Q4 Update</w:t>
      </w:r>
    </w:p>
    <w:p w14:paraId="36524CEC" w14:textId="77777777" w:rsidR="00894617" w:rsidRPr="0096129F" w:rsidRDefault="00894617" w:rsidP="00894617">
      <w:pPr>
        <w:rPr>
          <w:rFonts w:cs="Times New Roman"/>
          <w:szCs w:val="24"/>
        </w:rPr>
      </w:pPr>
      <w:bookmarkStart w:id="10" w:name="_Hlk39827922"/>
      <w:r w:rsidRPr="0096129F">
        <w:rPr>
          <w:rFonts w:cs="Times New Roman"/>
          <w:szCs w:val="24"/>
        </w:rPr>
        <w:t>The primary goals for this period involved drafting the Independent Evaluation Interim Report (IEIR), responding to comments from MassHealth and UMMS’s Scientific Advisory Committee on initial drafts of the report, and completing acquisition and analyses of data covered in</w:t>
      </w:r>
      <w:r>
        <w:rPr>
          <w:rFonts w:cs="Times New Roman"/>
          <w:szCs w:val="24"/>
        </w:rPr>
        <w:t xml:space="preserve"> the</w:t>
      </w:r>
      <w:r w:rsidRPr="0096129F">
        <w:rPr>
          <w:rFonts w:cs="Times New Roman"/>
          <w:szCs w:val="24"/>
        </w:rPr>
        <w:t xml:space="preserve"> IEIR. </w:t>
      </w:r>
    </w:p>
    <w:p w14:paraId="0E5DC890" w14:textId="4726C50F" w:rsidR="00894617" w:rsidRPr="0096129F" w:rsidRDefault="00894617" w:rsidP="00894617">
      <w:pPr>
        <w:rPr>
          <w:rFonts w:cs="Times New Roman"/>
          <w:szCs w:val="24"/>
        </w:rPr>
      </w:pPr>
      <w:r w:rsidRPr="0096129F">
        <w:rPr>
          <w:rFonts w:cs="Times New Roman"/>
          <w:szCs w:val="24"/>
        </w:rPr>
        <w:t xml:space="preserve">Significant activities during this period included drafting the IEIR and responding to comments. Additional data acquisition and analysis were conducted. The team continued to analyze data from various sources including the </w:t>
      </w:r>
      <w:r>
        <w:rPr>
          <w:rFonts w:cs="Times New Roman"/>
          <w:szCs w:val="24"/>
        </w:rPr>
        <w:t xml:space="preserve">ACO </w:t>
      </w:r>
      <w:r w:rsidRPr="0096129F">
        <w:rPr>
          <w:rFonts w:cs="Times New Roman"/>
          <w:szCs w:val="24"/>
        </w:rPr>
        <w:t xml:space="preserve">practice site administrator survey, ACO provider and CP staff surveys, Member Experience Surveys, ACO, CP, MCO, member and MassHealth staff key informant interviews (KIIs), MassHealth administrative data, clinical quality measures, and MassHealth final financial reconciliation reports for the ACOs. UMMS integrated and synthesized data for the IEIR draft report sections and shared sections with MassHealth programmatic staff for correction of any factual errors regarding program history, data, or design. </w:t>
      </w:r>
    </w:p>
    <w:p w14:paraId="3EE3F316" w14:textId="49D708DE" w:rsidR="00894617" w:rsidRPr="0096129F" w:rsidRDefault="00894617" w:rsidP="00894617">
      <w:pPr>
        <w:rPr>
          <w:rFonts w:cs="Times New Roman"/>
          <w:szCs w:val="24"/>
        </w:rPr>
      </w:pPr>
      <w:r w:rsidRPr="0096129F">
        <w:rPr>
          <w:rFonts w:cs="Times New Roman"/>
          <w:szCs w:val="24"/>
        </w:rPr>
        <w:t xml:space="preserve">During this period, UMMS continued preparation for the second wave of ACO and CP KIIs, reviewing documents and updating KII protocols, outreach documents, and interview guides. </w:t>
      </w:r>
    </w:p>
    <w:p w14:paraId="49F1645D" w14:textId="77777777" w:rsidR="00894617" w:rsidRPr="00857AA8" w:rsidRDefault="00894617" w:rsidP="00894617">
      <w:pPr>
        <w:rPr>
          <w:rFonts w:cs="Times New Roman"/>
          <w:szCs w:val="24"/>
        </w:rPr>
      </w:pPr>
      <w:r w:rsidRPr="0096129F">
        <w:rPr>
          <w:rFonts w:cs="Times New Roman"/>
          <w:szCs w:val="24"/>
        </w:rPr>
        <w:t>UMMS continues to hold recurring meetings with MassHealth to coordinate work-streams and deliverables, communicate updates with potential impact on the evaluation, and ensure access to data required</w:t>
      </w:r>
      <w:bookmarkEnd w:id="10"/>
      <w:r w:rsidRPr="00857AA8">
        <w:rPr>
          <w:rFonts w:cs="Times New Roman"/>
          <w:szCs w:val="24"/>
        </w:rPr>
        <w:t>.</w:t>
      </w:r>
    </w:p>
    <w:p w14:paraId="4CA427AA" w14:textId="77777777" w:rsidR="00894617" w:rsidRPr="00857AA8" w:rsidRDefault="00894617" w:rsidP="00894617">
      <w:pPr>
        <w:rPr>
          <w:rFonts w:cs="Times New Roman"/>
          <w:szCs w:val="24"/>
        </w:rPr>
      </w:pPr>
      <w:r w:rsidRPr="00857AA8">
        <w:rPr>
          <w:rFonts w:cs="Times New Roman"/>
          <w:szCs w:val="24"/>
        </w:rPr>
        <w:t xml:space="preserve">The following sections provide updates by Demonstration Goal aligned with the 1115 Demonstration Waiver and the approved Evaluation Design Document. </w:t>
      </w:r>
    </w:p>
    <w:p w14:paraId="50928377" w14:textId="77777777" w:rsidR="00894617" w:rsidRPr="00857AA8" w:rsidRDefault="00894617" w:rsidP="00894617">
      <w:pPr>
        <w:pStyle w:val="ListParagraph"/>
        <w:numPr>
          <w:ilvl w:val="0"/>
          <w:numId w:val="8"/>
        </w:numPr>
        <w:spacing w:after="160" w:line="259" w:lineRule="auto"/>
        <w:ind w:left="270" w:hanging="270"/>
        <w:rPr>
          <w:rFonts w:cs="Times New Roman"/>
          <w:szCs w:val="24"/>
        </w:rPr>
      </w:pPr>
      <w:r w:rsidRPr="00857AA8">
        <w:rPr>
          <w:rFonts w:cs="Times New Roman"/>
          <w:b/>
          <w:szCs w:val="24"/>
        </w:rPr>
        <w:t xml:space="preserve">Goals 1 and 2 and DSRIP Evaluation Updates </w:t>
      </w:r>
    </w:p>
    <w:p w14:paraId="1FCA5CDA" w14:textId="77777777" w:rsidR="00894617" w:rsidRPr="00857AA8" w:rsidRDefault="00894617" w:rsidP="00894617">
      <w:pPr>
        <w:pStyle w:val="ListParagraph"/>
        <w:numPr>
          <w:ilvl w:val="0"/>
          <w:numId w:val="9"/>
        </w:numPr>
        <w:spacing w:after="160" w:line="259" w:lineRule="auto"/>
        <w:rPr>
          <w:rFonts w:cs="Times New Roman"/>
          <w:szCs w:val="24"/>
          <w:u w:val="single"/>
        </w:rPr>
      </w:pPr>
      <w:r w:rsidRPr="00857AA8">
        <w:rPr>
          <w:rFonts w:cs="Times New Roman"/>
          <w:szCs w:val="24"/>
          <w:u w:val="single"/>
        </w:rPr>
        <w:t>Overall</w:t>
      </w:r>
    </w:p>
    <w:p w14:paraId="3158CAE6" w14:textId="77777777" w:rsidR="00894617" w:rsidRPr="00601B16" w:rsidRDefault="00894617" w:rsidP="00894617">
      <w:pPr>
        <w:pStyle w:val="ListParagraph"/>
        <w:numPr>
          <w:ilvl w:val="1"/>
          <w:numId w:val="9"/>
        </w:numPr>
        <w:spacing w:after="160" w:line="259" w:lineRule="auto"/>
        <w:rPr>
          <w:rFonts w:cs="Times New Roman"/>
          <w:szCs w:val="24"/>
        </w:rPr>
      </w:pPr>
      <w:r w:rsidRPr="00601B16">
        <w:rPr>
          <w:rFonts w:cs="Times New Roman"/>
          <w:szCs w:val="24"/>
        </w:rPr>
        <w:t>Prepared interim report for Goals 1 and 2</w:t>
      </w:r>
    </w:p>
    <w:p w14:paraId="366C99C5" w14:textId="77777777" w:rsidR="00894617" w:rsidRPr="00601B16" w:rsidRDefault="00894617" w:rsidP="00894617">
      <w:pPr>
        <w:pStyle w:val="ListParagraph"/>
        <w:numPr>
          <w:ilvl w:val="1"/>
          <w:numId w:val="9"/>
        </w:numPr>
        <w:spacing w:after="160" w:line="259" w:lineRule="auto"/>
        <w:rPr>
          <w:rFonts w:cs="Times New Roman"/>
          <w:szCs w:val="24"/>
        </w:rPr>
      </w:pPr>
      <w:r w:rsidRPr="00601B16">
        <w:rPr>
          <w:rFonts w:cs="Times New Roman"/>
          <w:szCs w:val="24"/>
        </w:rPr>
        <w:t>Analyzed ACO provider and CP staff surveys</w:t>
      </w:r>
    </w:p>
    <w:p w14:paraId="7F53E797" w14:textId="77777777" w:rsidR="00894617" w:rsidRPr="00601B16" w:rsidRDefault="00894617" w:rsidP="00894617">
      <w:pPr>
        <w:pStyle w:val="ListParagraph"/>
        <w:numPr>
          <w:ilvl w:val="1"/>
          <w:numId w:val="9"/>
        </w:numPr>
        <w:spacing w:after="160" w:line="259" w:lineRule="auto"/>
        <w:rPr>
          <w:rFonts w:cs="Times New Roman"/>
          <w:szCs w:val="24"/>
        </w:rPr>
      </w:pPr>
      <w:r w:rsidRPr="00601B16">
        <w:rPr>
          <w:rFonts w:cs="Times New Roman"/>
          <w:szCs w:val="24"/>
        </w:rPr>
        <w:t>Analyzed member experience surveys</w:t>
      </w:r>
    </w:p>
    <w:p w14:paraId="50E88191" w14:textId="77777777" w:rsidR="00894617" w:rsidRPr="00601B16" w:rsidRDefault="00894617" w:rsidP="00894617">
      <w:pPr>
        <w:pStyle w:val="ListParagraph"/>
        <w:numPr>
          <w:ilvl w:val="1"/>
          <w:numId w:val="9"/>
        </w:numPr>
        <w:spacing w:after="160" w:line="259" w:lineRule="auto"/>
        <w:rPr>
          <w:rFonts w:cs="Times New Roman"/>
          <w:szCs w:val="24"/>
        </w:rPr>
      </w:pPr>
      <w:r w:rsidRPr="00601B16">
        <w:rPr>
          <w:rFonts w:cs="Times New Roman"/>
          <w:szCs w:val="24"/>
        </w:rPr>
        <w:t>Analyzed hybrid quality measure data</w:t>
      </w:r>
    </w:p>
    <w:p w14:paraId="02BF7F4E" w14:textId="77777777" w:rsidR="00894617" w:rsidRPr="00601B16" w:rsidRDefault="00894617" w:rsidP="00894617">
      <w:pPr>
        <w:pStyle w:val="ListParagraph"/>
        <w:numPr>
          <w:ilvl w:val="1"/>
          <w:numId w:val="9"/>
        </w:numPr>
        <w:spacing w:after="160" w:line="259" w:lineRule="auto"/>
        <w:rPr>
          <w:rFonts w:cs="Times New Roman"/>
          <w:szCs w:val="24"/>
        </w:rPr>
      </w:pPr>
      <w:r w:rsidRPr="00601B16">
        <w:rPr>
          <w:rFonts w:cs="Times New Roman"/>
          <w:szCs w:val="24"/>
        </w:rPr>
        <w:t>Continued coding and analysis of MassHealth administrative data</w:t>
      </w:r>
    </w:p>
    <w:p w14:paraId="07838ED5" w14:textId="77777777" w:rsidR="00894617" w:rsidRPr="00601B16" w:rsidRDefault="00894617" w:rsidP="00894617">
      <w:pPr>
        <w:pStyle w:val="ListParagraph"/>
        <w:numPr>
          <w:ilvl w:val="1"/>
          <w:numId w:val="9"/>
        </w:numPr>
        <w:spacing w:after="160" w:line="259" w:lineRule="auto"/>
        <w:rPr>
          <w:rFonts w:cs="Times New Roman"/>
          <w:szCs w:val="24"/>
        </w:rPr>
      </w:pPr>
      <w:r w:rsidRPr="00601B16">
        <w:rPr>
          <w:rFonts w:cs="Times New Roman"/>
          <w:szCs w:val="24"/>
        </w:rPr>
        <w:t>Integrated data and drafted sections of the interim report</w:t>
      </w:r>
    </w:p>
    <w:p w14:paraId="5D0B3D66" w14:textId="77777777" w:rsidR="00894617" w:rsidRPr="00601B16" w:rsidRDefault="00894617" w:rsidP="00894617">
      <w:pPr>
        <w:pStyle w:val="ListParagraph"/>
        <w:numPr>
          <w:ilvl w:val="1"/>
          <w:numId w:val="9"/>
        </w:numPr>
        <w:spacing w:after="160" w:line="259" w:lineRule="auto"/>
        <w:rPr>
          <w:rFonts w:cs="Times New Roman"/>
          <w:szCs w:val="24"/>
        </w:rPr>
      </w:pPr>
      <w:r w:rsidRPr="00601B16">
        <w:rPr>
          <w:rFonts w:cs="Times New Roman"/>
          <w:szCs w:val="24"/>
        </w:rPr>
        <w:t>Reviewed DSRIP program documentation</w:t>
      </w:r>
    </w:p>
    <w:p w14:paraId="133F4F7C" w14:textId="77777777" w:rsidR="00894617" w:rsidRPr="00601B16" w:rsidRDefault="00894617" w:rsidP="00894617">
      <w:pPr>
        <w:pStyle w:val="ListParagraph"/>
        <w:numPr>
          <w:ilvl w:val="1"/>
          <w:numId w:val="9"/>
        </w:numPr>
        <w:spacing w:after="160" w:line="259" w:lineRule="auto"/>
        <w:rPr>
          <w:rFonts w:cs="Times New Roman"/>
          <w:szCs w:val="24"/>
        </w:rPr>
      </w:pPr>
      <w:r w:rsidRPr="00601B16">
        <w:rPr>
          <w:rFonts w:cs="Times New Roman"/>
          <w:szCs w:val="24"/>
        </w:rPr>
        <w:t>Revised materials in preparation for the second round of ACO and CP KIIs</w:t>
      </w:r>
    </w:p>
    <w:p w14:paraId="7ED8FFA4" w14:textId="77777777" w:rsidR="00894617" w:rsidRPr="000E5562" w:rsidRDefault="00894617" w:rsidP="00894617">
      <w:pPr>
        <w:pStyle w:val="ListParagraph"/>
        <w:numPr>
          <w:ilvl w:val="1"/>
          <w:numId w:val="9"/>
        </w:numPr>
        <w:spacing w:after="160" w:line="259" w:lineRule="auto"/>
        <w:rPr>
          <w:rFonts w:cs="Times New Roman"/>
          <w:szCs w:val="24"/>
        </w:rPr>
      </w:pPr>
      <w:r w:rsidRPr="00601B16">
        <w:rPr>
          <w:rFonts w:cs="Times New Roman"/>
          <w:szCs w:val="24"/>
        </w:rPr>
        <w:t>Provided input to MassHealth regarding revisions to the data collected from ACOs regarding their Flexible Services programs</w:t>
      </w:r>
    </w:p>
    <w:p w14:paraId="65D42E3D" w14:textId="77777777" w:rsidR="00894617" w:rsidRPr="00857AA8" w:rsidRDefault="00894617" w:rsidP="00894617">
      <w:pPr>
        <w:pStyle w:val="ListParagraph"/>
        <w:ind w:left="1440"/>
        <w:rPr>
          <w:rFonts w:cs="Times New Roman"/>
          <w:szCs w:val="24"/>
          <w:u w:val="single"/>
        </w:rPr>
      </w:pPr>
    </w:p>
    <w:p w14:paraId="17FEB726" w14:textId="77777777" w:rsidR="00894617" w:rsidRPr="00857AA8" w:rsidRDefault="00894617" w:rsidP="00894617">
      <w:pPr>
        <w:pStyle w:val="ListParagraph"/>
        <w:numPr>
          <w:ilvl w:val="0"/>
          <w:numId w:val="9"/>
        </w:numPr>
        <w:spacing w:after="160" w:line="259" w:lineRule="auto"/>
        <w:rPr>
          <w:rFonts w:cs="Times New Roman"/>
          <w:szCs w:val="24"/>
          <w:u w:val="single"/>
        </w:rPr>
      </w:pPr>
      <w:r w:rsidRPr="00857AA8">
        <w:rPr>
          <w:rFonts w:cs="Times New Roman"/>
          <w:szCs w:val="24"/>
          <w:u w:val="single"/>
        </w:rPr>
        <w:t xml:space="preserve">Evaluation components involving primary data collection: </w:t>
      </w:r>
    </w:p>
    <w:p w14:paraId="21C4F03E" w14:textId="77777777" w:rsidR="00894617" w:rsidRPr="00857AA8" w:rsidRDefault="00894617" w:rsidP="00894617">
      <w:pPr>
        <w:ind w:left="360"/>
        <w:rPr>
          <w:rFonts w:cs="Times New Roman"/>
          <w:b/>
          <w:szCs w:val="24"/>
        </w:rPr>
      </w:pPr>
      <w:r w:rsidRPr="00857AA8">
        <w:rPr>
          <w:rFonts w:cs="Times New Roman"/>
          <w:b/>
          <w:szCs w:val="24"/>
        </w:rPr>
        <w:t>Activities Completed in this Quarter</w:t>
      </w:r>
    </w:p>
    <w:p w14:paraId="1B414049" w14:textId="77777777" w:rsidR="00894617" w:rsidRPr="00CB703A" w:rsidRDefault="00894617" w:rsidP="00894617">
      <w:pPr>
        <w:pStyle w:val="ListParagraph"/>
        <w:numPr>
          <w:ilvl w:val="0"/>
          <w:numId w:val="14"/>
        </w:numPr>
        <w:spacing w:after="160" w:line="259" w:lineRule="auto"/>
        <w:rPr>
          <w:rFonts w:cs="Times New Roman"/>
          <w:szCs w:val="24"/>
        </w:rPr>
      </w:pPr>
      <w:r w:rsidRPr="00CB703A">
        <w:rPr>
          <w:rFonts w:cs="Times New Roman"/>
          <w:szCs w:val="24"/>
        </w:rPr>
        <w:t>Drafted the interim report for Goals 1 and 2</w:t>
      </w:r>
    </w:p>
    <w:p w14:paraId="314BE81E" w14:textId="77777777" w:rsidR="00894617" w:rsidRPr="00CB703A" w:rsidRDefault="00894617" w:rsidP="00894617">
      <w:pPr>
        <w:pStyle w:val="ListParagraph"/>
        <w:numPr>
          <w:ilvl w:val="0"/>
          <w:numId w:val="14"/>
        </w:numPr>
        <w:spacing w:after="160" w:line="259" w:lineRule="auto"/>
        <w:rPr>
          <w:rFonts w:cs="Times New Roman"/>
          <w:szCs w:val="24"/>
        </w:rPr>
      </w:pPr>
      <w:r w:rsidRPr="00CB703A">
        <w:rPr>
          <w:rFonts w:cs="Times New Roman"/>
          <w:szCs w:val="24"/>
        </w:rPr>
        <w:t>Continued analyzing the 4 ACO case studies and incorporated initial results in Interim Report</w:t>
      </w:r>
    </w:p>
    <w:p w14:paraId="48149832" w14:textId="77777777" w:rsidR="00894617" w:rsidRPr="00CB703A" w:rsidRDefault="00894617" w:rsidP="00894617">
      <w:pPr>
        <w:pStyle w:val="ListParagraph"/>
        <w:numPr>
          <w:ilvl w:val="0"/>
          <w:numId w:val="14"/>
        </w:numPr>
        <w:spacing w:after="160" w:line="259" w:lineRule="auto"/>
        <w:rPr>
          <w:rFonts w:cs="Times New Roman"/>
          <w:szCs w:val="24"/>
        </w:rPr>
      </w:pPr>
      <w:r w:rsidRPr="00CB703A">
        <w:rPr>
          <w:rFonts w:cs="Times New Roman"/>
          <w:szCs w:val="24"/>
        </w:rPr>
        <w:t>Continued analyzing the 4 CP case studies and included initial results in Interim Report</w:t>
      </w:r>
    </w:p>
    <w:p w14:paraId="591F9313" w14:textId="77777777" w:rsidR="00894617" w:rsidRPr="00CB703A" w:rsidRDefault="00894617" w:rsidP="00894617">
      <w:pPr>
        <w:pStyle w:val="ListParagraph"/>
        <w:numPr>
          <w:ilvl w:val="0"/>
          <w:numId w:val="14"/>
        </w:numPr>
        <w:spacing w:after="160" w:line="259" w:lineRule="auto"/>
        <w:rPr>
          <w:rFonts w:cs="Times New Roman"/>
          <w:szCs w:val="24"/>
        </w:rPr>
      </w:pPr>
      <w:r w:rsidRPr="00CB703A">
        <w:rPr>
          <w:rFonts w:cs="Times New Roman"/>
          <w:szCs w:val="24"/>
        </w:rPr>
        <w:t>Continued analysis of the ACO Provider Survey and incorporated initial results in Interim Report</w:t>
      </w:r>
    </w:p>
    <w:p w14:paraId="2B5A22BC" w14:textId="77777777" w:rsidR="00894617" w:rsidRPr="00CB703A" w:rsidRDefault="00894617" w:rsidP="00894617">
      <w:pPr>
        <w:pStyle w:val="ListParagraph"/>
        <w:numPr>
          <w:ilvl w:val="0"/>
          <w:numId w:val="14"/>
        </w:numPr>
        <w:spacing w:after="160" w:line="259" w:lineRule="auto"/>
        <w:rPr>
          <w:rFonts w:cs="Times New Roman"/>
          <w:szCs w:val="24"/>
        </w:rPr>
      </w:pPr>
      <w:r w:rsidRPr="00CB703A">
        <w:rPr>
          <w:rFonts w:cs="Times New Roman"/>
          <w:szCs w:val="24"/>
        </w:rPr>
        <w:t>Continued analysis of the CP Staff Survey and incorporated initial results in Interim Report</w:t>
      </w:r>
    </w:p>
    <w:p w14:paraId="3BF3502D" w14:textId="77777777" w:rsidR="00894617" w:rsidRPr="00CB703A" w:rsidRDefault="00894617" w:rsidP="00894617">
      <w:pPr>
        <w:pStyle w:val="ListParagraph"/>
        <w:numPr>
          <w:ilvl w:val="0"/>
          <w:numId w:val="14"/>
        </w:numPr>
        <w:spacing w:after="160" w:line="259" w:lineRule="auto"/>
        <w:rPr>
          <w:rFonts w:cs="Times New Roman"/>
          <w:szCs w:val="24"/>
        </w:rPr>
      </w:pPr>
      <w:r w:rsidRPr="00CB703A">
        <w:rPr>
          <w:rFonts w:cs="Times New Roman"/>
          <w:szCs w:val="24"/>
        </w:rPr>
        <w:t xml:space="preserve">Continued analyzing KII data from the first round of interviews </w:t>
      </w:r>
    </w:p>
    <w:p w14:paraId="0057ABF0" w14:textId="77777777" w:rsidR="00894617" w:rsidRPr="000E5562" w:rsidRDefault="00894617" w:rsidP="00894617">
      <w:pPr>
        <w:pStyle w:val="ListParagraph"/>
        <w:numPr>
          <w:ilvl w:val="0"/>
          <w:numId w:val="14"/>
        </w:numPr>
        <w:spacing w:after="160" w:line="259" w:lineRule="auto"/>
        <w:rPr>
          <w:rFonts w:cs="Times New Roman"/>
          <w:szCs w:val="24"/>
        </w:rPr>
      </w:pPr>
      <w:r w:rsidRPr="00CB703A">
        <w:rPr>
          <w:rFonts w:cs="Times New Roman"/>
          <w:szCs w:val="24"/>
        </w:rPr>
        <w:t>Made initial updates to and received MassHealth feedback on the ACO and CP KII materials for the next wave of interviews</w:t>
      </w:r>
    </w:p>
    <w:p w14:paraId="3E6BC4A5" w14:textId="77777777" w:rsidR="00894617" w:rsidRPr="00857AA8" w:rsidRDefault="00894617" w:rsidP="00894617">
      <w:pPr>
        <w:pStyle w:val="ListParagraph"/>
        <w:ind w:left="1080"/>
        <w:rPr>
          <w:rFonts w:cs="Times New Roman"/>
          <w:szCs w:val="24"/>
        </w:rPr>
      </w:pPr>
    </w:p>
    <w:p w14:paraId="4763B919" w14:textId="77777777" w:rsidR="00894617" w:rsidRPr="00857AA8" w:rsidRDefault="00894617" w:rsidP="00894617">
      <w:pPr>
        <w:pStyle w:val="ListParagraph"/>
        <w:numPr>
          <w:ilvl w:val="0"/>
          <w:numId w:val="9"/>
        </w:numPr>
        <w:spacing w:after="160" w:line="259" w:lineRule="auto"/>
        <w:rPr>
          <w:rFonts w:cs="Times New Roman"/>
          <w:szCs w:val="24"/>
          <w:u w:val="single"/>
        </w:rPr>
      </w:pPr>
      <w:r w:rsidRPr="00857AA8">
        <w:rPr>
          <w:rFonts w:cs="Times New Roman"/>
          <w:szCs w:val="24"/>
          <w:u w:val="single"/>
        </w:rPr>
        <w:t>Quantitative Evaluation of administrative and other secondary data sources</w:t>
      </w:r>
      <w:r w:rsidRPr="00857AA8">
        <w:rPr>
          <w:rFonts w:cs="Times New Roman"/>
          <w:b/>
          <w:szCs w:val="24"/>
          <w:u w:val="single"/>
        </w:rPr>
        <w:t>:</w:t>
      </w:r>
      <w:r w:rsidRPr="00857AA8">
        <w:rPr>
          <w:rFonts w:cs="Times New Roman"/>
          <w:szCs w:val="24"/>
          <w:u w:val="single"/>
        </w:rPr>
        <w:t xml:space="preserve"> </w:t>
      </w:r>
    </w:p>
    <w:p w14:paraId="57C0BD10" w14:textId="77777777" w:rsidR="00894617" w:rsidRPr="00857AA8" w:rsidRDefault="00894617" w:rsidP="00894617">
      <w:pPr>
        <w:ind w:left="360"/>
        <w:rPr>
          <w:rFonts w:cs="Times New Roman"/>
          <w:b/>
          <w:szCs w:val="24"/>
        </w:rPr>
      </w:pPr>
      <w:r w:rsidRPr="00857AA8">
        <w:rPr>
          <w:rFonts w:cs="Times New Roman"/>
          <w:b/>
          <w:szCs w:val="24"/>
        </w:rPr>
        <w:t>Activities Completed in this Quarter</w:t>
      </w:r>
    </w:p>
    <w:p w14:paraId="1821E582" w14:textId="77777777" w:rsidR="00894617" w:rsidRPr="005A10A2" w:rsidRDefault="00894617" w:rsidP="00894617">
      <w:pPr>
        <w:pStyle w:val="ListParagraph"/>
        <w:numPr>
          <w:ilvl w:val="0"/>
          <w:numId w:val="12"/>
        </w:numPr>
        <w:spacing w:after="160" w:line="259" w:lineRule="auto"/>
        <w:rPr>
          <w:rFonts w:cs="Times New Roman"/>
          <w:szCs w:val="24"/>
        </w:rPr>
      </w:pPr>
      <w:r w:rsidRPr="005A10A2">
        <w:rPr>
          <w:rFonts w:cs="Times New Roman"/>
          <w:szCs w:val="24"/>
        </w:rPr>
        <w:t>Coordinated with MassHealth to facilitate availability and transfer of data needed for the evaluation</w:t>
      </w:r>
    </w:p>
    <w:p w14:paraId="676E65C5" w14:textId="77777777" w:rsidR="00894617" w:rsidRPr="005A10A2" w:rsidRDefault="00894617" w:rsidP="00894617">
      <w:pPr>
        <w:pStyle w:val="ListParagraph"/>
        <w:numPr>
          <w:ilvl w:val="0"/>
          <w:numId w:val="12"/>
        </w:numPr>
        <w:spacing w:after="160" w:line="259" w:lineRule="auto"/>
        <w:rPr>
          <w:rFonts w:cs="Times New Roman"/>
          <w:szCs w:val="24"/>
        </w:rPr>
      </w:pPr>
      <w:r w:rsidRPr="005A10A2">
        <w:rPr>
          <w:rFonts w:cs="Times New Roman"/>
          <w:szCs w:val="24"/>
        </w:rPr>
        <w:t>Coded and analyzed measures relying on MassHealth administrative claims and encounter data for calendar years 2015-2019</w:t>
      </w:r>
    </w:p>
    <w:p w14:paraId="11432397" w14:textId="77777777" w:rsidR="00894617" w:rsidRPr="005A10A2" w:rsidRDefault="00894617" w:rsidP="00894617">
      <w:pPr>
        <w:pStyle w:val="ListParagraph"/>
        <w:numPr>
          <w:ilvl w:val="0"/>
          <w:numId w:val="12"/>
        </w:numPr>
        <w:spacing w:after="160" w:line="259" w:lineRule="auto"/>
        <w:rPr>
          <w:rFonts w:cs="Times New Roman"/>
          <w:szCs w:val="24"/>
        </w:rPr>
      </w:pPr>
      <w:r w:rsidRPr="005A10A2">
        <w:rPr>
          <w:rFonts w:cs="Times New Roman"/>
          <w:szCs w:val="24"/>
        </w:rPr>
        <w:t>Performed analyses for hybrid quality measures</w:t>
      </w:r>
    </w:p>
    <w:p w14:paraId="57B91658" w14:textId="77777777" w:rsidR="00894617" w:rsidRPr="005A10A2" w:rsidRDefault="00894617" w:rsidP="00894617">
      <w:pPr>
        <w:pStyle w:val="ListParagraph"/>
        <w:numPr>
          <w:ilvl w:val="0"/>
          <w:numId w:val="12"/>
        </w:numPr>
        <w:spacing w:after="160" w:line="259" w:lineRule="auto"/>
        <w:rPr>
          <w:rFonts w:cs="Times New Roman"/>
          <w:szCs w:val="24"/>
        </w:rPr>
      </w:pPr>
      <w:r w:rsidRPr="005A10A2">
        <w:rPr>
          <w:rFonts w:cs="Times New Roman"/>
          <w:szCs w:val="24"/>
        </w:rPr>
        <w:t>Performed analyses for member experience surveys</w:t>
      </w:r>
    </w:p>
    <w:p w14:paraId="729B1A89" w14:textId="77777777" w:rsidR="00894617" w:rsidRPr="005A10A2" w:rsidRDefault="00894617" w:rsidP="00894617">
      <w:pPr>
        <w:pStyle w:val="ListParagraph"/>
        <w:numPr>
          <w:ilvl w:val="0"/>
          <w:numId w:val="12"/>
        </w:numPr>
        <w:spacing w:after="160" w:line="259" w:lineRule="auto"/>
        <w:rPr>
          <w:rFonts w:cs="Times New Roman"/>
          <w:szCs w:val="24"/>
        </w:rPr>
      </w:pPr>
      <w:r w:rsidRPr="005A10A2">
        <w:rPr>
          <w:rFonts w:cs="Times New Roman"/>
          <w:szCs w:val="24"/>
        </w:rPr>
        <w:t>Analyzed ACO financial performance for 2018 based on MassHealth reconciliation reports</w:t>
      </w:r>
    </w:p>
    <w:p w14:paraId="4356018A" w14:textId="77777777" w:rsidR="00894617" w:rsidRPr="005A10A2" w:rsidRDefault="00894617" w:rsidP="00894617">
      <w:pPr>
        <w:pStyle w:val="ListParagraph"/>
        <w:numPr>
          <w:ilvl w:val="0"/>
          <w:numId w:val="12"/>
        </w:numPr>
        <w:spacing w:after="160" w:line="259" w:lineRule="auto"/>
        <w:rPr>
          <w:rFonts w:cs="Times New Roman"/>
          <w:szCs w:val="24"/>
        </w:rPr>
      </w:pPr>
      <w:r w:rsidRPr="005A10A2">
        <w:rPr>
          <w:rFonts w:cs="Times New Roman"/>
          <w:szCs w:val="24"/>
        </w:rPr>
        <w:t>Analyzed preliminary data on the Flexible Services Program and summarized findings for the interim report</w:t>
      </w:r>
    </w:p>
    <w:p w14:paraId="5585EA11" w14:textId="77777777" w:rsidR="00894617" w:rsidRPr="000E5562" w:rsidRDefault="00894617" w:rsidP="00894617">
      <w:pPr>
        <w:pStyle w:val="ListParagraph"/>
        <w:numPr>
          <w:ilvl w:val="0"/>
          <w:numId w:val="12"/>
        </w:numPr>
        <w:spacing w:after="160" w:line="259" w:lineRule="auto"/>
        <w:rPr>
          <w:rFonts w:cs="Times New Roman"/>
          <w:szCs w:val="24"/>
        </w:rPr>
      </w:pPr>
      <w:r w:rsidRPr="005A10A2">
        <w:rPr>
          <w:rFonts w:cs="Times New Roman"/>
          <w:szCs w:val="24"/>
        </w:rPr>
        <w:t>Drafted sections for the interim report</w:t>
      </w:r>
    </w:p>
    <w:p w14:paraId="0D716D57" w14:textId="77777777" w:rsidR="00894617" w:rsidRPr="00857AA8" w:rsidRDefault="00894617" w:rsidP="00894617">
      <w:pPr>
        <w:pStyle w:val="ListParagraph"/>
        <w:ind w:left="1080"/>
        <w:rPr>
          <w:rFonts w:cs="Times New Roman"/>
          <w:szCs w:val="24"/>
        </w:rPr>
      </w:pPr>
    </w:p>
    <w:p w14:paraId="537C49F1" w14:textId="77777777" w:rsidR="00894617" w:rsidRPr="00857AA8" w:rsidRDefault="00894617" w:rsidP="00894617">
      <w:pPr>
        <w:pStyle w:val="ListParagraph"/>
        <w:numPr>
          <w:ilvl w:val="0"/>
          <w:numId w:val="8"/>
        </w:numPr>
        <w:spacing w:after="160" w:line="259" w:lineRule="auto"/>
        <w:ind w:left="360" w:hanging="360"/>
        <w:rPr>
          <w:rFonts w:cs="Times New Roman"/>
          <w:b/>
          <w:szCs w:val="24"/>
          <w:u w:val="single"/>
        </w:rPr>
      </w:pPr>
      <w:r w:rsidRPr="00857AA8">
        <w:rPr>
          <w:rFonts w:cs="Times New Roman"/>
          <w:b/>
          <w:szCs w:val="24"/>
        </w:rPr>
        <w:t xml:space="preserve">Goals 3-7: Non-DSRIP Evaluation Updates- </w:t>
      </w:r>
    </w:p>
    <w:p w14:paraId="622D8A40" w14:textId="77777777" w:rsidR="00894617" w:rsidRPr="00857AA8" w:rsidRDefault="00894617" w:rsidP="00894617">
      <w:pPr>
        <w:pStyle w:val="ListParagraph"/>
        <w:ind w:left="360"/>
        <w:rPr>
          <w:rFonts w:cs="Times New Roman"/>
          <w:b/>
          <w:szCs w:val="24"/>
          <w:u w:val="single"/>
        </w:rPr>
      </w:pPr>
    </w:p>
    <w:p w14:paraId="081DA214" w14:textId="09283785" w:rsidR="00894617" w:rsidRPr="00857AA8" w:rsidRDefault="00894617" w:rsidP="00894617">
      <w:pPr>
        <w:pStyle w:val="ListParagraph"/>
        <w:numPr>
          <w:ilvl w:val="0"/>
          <w:numId w:val="10"/>
        </w:numPr>
        <w:spacing w:after="160" w:line="259" w:lineRule="auto"/>
        <w:rPr>
          <w:rFonts w:cs="Times New Roman"/>
          <w:szCs w:val="24"/>
        </w:rPr>
      </w:pPr>
      <w:r w:rsidRPr="00857AA8">
        <w:rPr>
          <w:rFonts w:cs="Times New Roman"/>
          <w:szCs w:val="24"/>
          <w:u w:val="single"/>
        </w:rPr>
        <w:t xml:space="preserve">Goals 3, 4, 6, 7 </w:t>
      </w:r>
      <w:r w:rsidRPr="00857AA8">
        <w:rPr>
          <w:rFonts w:cs="Times New Roman"/>
          <w:szCs w:val="24"/>
        </w:rPr>
        <w:t xml:space="preserve">– </w:t>
      </w:r>
      <w:r w:rsidR="008464CB">
        <w:rPr>
          <w:rFonts w:cs="Times New Roman"/>
          <w:szCs w:val="24"/>
        </w:rPr>
        <w:t>Related to</w:t>
      </w:r>
      <w:r w:rsidRPr="00857AA8">
        <w:rPr>
          <w:rFonts w:cs="Times New Roman"/>
          <w:szCs w:val="24"/>
        </w:rPr>
        <w:t xml:space="preserve"> universal coverage, Student Health Insurance Program, sustaining safety net hospitals, covering former foster care youth, and updated provisional eligibility requirements</w:t>
      </w:r>
    </w:p>
    <w:p w14:paraId="73DF9129" w14:textId="77777777" w:rsidR="00894617" w:rsidRPr="00857AA8" w:rsidRDefault="00894617" w:rsidP="00894617">
      <w:pPr>
        <w:ind w:left="360"/>
        <w:rPr>
          <w:rFonts w:cs="Times New Roman"/>
          <w:b/>
          <w:szCs w:val="24"/>
        </w:rPr>
      </w:pPr>
      <w:r w:rsidRPr="00857AA8">
        <w:rPr>
          <w:rFonts w:cs="Times New Roman"/>
          <w:b/>
          <w:szCs w:val="24"/>
        </w:rPr>
        <w:t>Activities Completed in this Quarter</w:t>
      </w:r>
    </w:p>
    <w:p w14:paraId="62D0BF10" w14:textId="77777777" w:rsidR="00894617" w:rsidRPr="00E10FD4" w:rsidRDefault="00894617" w:rsidP="00894617">
      <w:pPr>
        <w:pStyle w:val="ListParagraph"/>
        <w:numPr>
          <w:ilvl w:val="0"/>
          <w:numId w:val="11"/>
        </w:numPr>
        <w:spacing w:after="160" w:line="259" w:lineRule="auto"/>
        <w:rPr>
          <w:rFonts w:cs="Times New Roman"/>
          <w:szCs w:val="24"/>
        </w:rPr>
      </w:pPr>
      <w:r w:rsidRPr="00E10FD4">
        <w:rPr>
          <w:rFonts w:cs="Times New Roman"/>
          <w:szCs w:val="24"/>
        </w:rPr>
        <w:t>Continued to refine and update summaries of relevant literature for each goal</w:t>
      </w:r>
    </w:p>
    <w:p w14:paraId="7D3EBBAD" w14:textId="77777777" w:rsidR="00894617" w:rsidRPr="00E10FD4" w:rsidRDefault="00894617" w:rsidP="00894617">
      <w:pPr>
        <w:pStyle w:val="ListParagraph"/>
        <w:numPr>
          <w:ilvl w:val="0"/>
          <w:numId w:val="11"/>
        </w:numPr>
        <w:spacing w:after="160" w:line="259" w:lineRule="auto"/>
        <w:rPr>
          <w:rFonts w:cs="Times New Roman"/>
          <w:szCs w:val="24"/>
        </w:rPr>
      </w:pPr>
      <w:r w:rsidRPr="00E10FD4">
        <w:rPr>
          <w:rFonts w:cs="Times New Roman"/>
          <w:szCs w:val="24"/>
        </w:rPr>
        <w:t>Continued research of policy developments relevant to each goal</w:t>
      </w:r>
    </w:p>
    <w:p w14:paraId="6AB2C725" w14:textId="77777777" w:rsidR="00894617" w:rsidRPr="00E10FD4" w:rsidRDefault="00894617" w:rsidP="00894617">
      <w:pPr>
        <w:pStyle w:val="ListParagraph"/>
        <w:numPr>
          <w:ilvl w:val="0"/>
          <w:numId w:val="11"/>
        </w:numPr>
        <w:spacing w:after="160" w:line="259" w:lineRule="auto"/>
        <w:rPr>
          <w:rFonts w:cs="Times New Roman"/>
          <w:szCs w:val="24"/>
        </w:rPr>
      </w:pPr>
      <w:r w:rsidRPr="00E10FD4">
        <w:rPr>
          <w:rFonts w:cs="Times New Roman"/>
          <w:szCs w:val="24"/>
        </w:rPr>
        <w:t>Refined timeline and work plan for interim report planning</w:t>
      </w:r>
    </w:p>
    <w:p w14:paraId="678EB479" w14:textId="77777777" w:rsidR="00894617" w:rsidRPr="00E10FD4" w:rsidRDefault="00894617" w:rsidP="00894617">
      <w:pPr>
        <w:pStyle w:val="ListParagraph"/>
        <w:numPr>
          <w:ilvl w:val="0"/>
          <w:numId w:val="11"/>
        </w:numPr>
        <w:spacing w:after="160" w:line="259" w:lineRule="auto"/>
        <w:rPr>
          <w:rFonts w:cs="Times New Roman"/>
          <w:szCs w:val="24"/>
        </w:rPr>
      </w:pPr>
      <w:r w:rsidRPr="00E10FD4">
        <w:rPr>
          <w:rFonts w:cs="Times New Roman"/>
          <w:szCs w:val="24"/>
        </w:rPr>
        <w:t>Continued to collaborate with MassHealth and other entities to acquire data for population-based measures related to Massachusetts uninsurance rate</w:t>
      </w:r>
    </w:p>
    <w:p w14:paraId="68AE8495" w14:textId="695342BE" w:rsidR="00894617" w:rsidRPr="00E10FD4" w:rsidRDefault="00894617" w:rsidP="00894617">
      <w:pPr>
        <w:pStyle w:val="ListParagraph"/>
        <w:numPr>
          <w:ilvl w:val="0"/>
          <w:numId w:val="11"/>
        </w:numPr>
        <w:spacing w:after="160" w:line="259" w:lineRule="auto"/>
        <w:rPr>
          <w:rFonts w:cs="Times New Roman"/>
          <w:szCs w:val="24"/>
        </w:rPr>
      </w:pPr>
      <w:r w:rsidRPr="00E10FD4">
        <w:rPr>
          <w:rFonts w:cs="Times New Roman"/>
          <w:szCs w:val="24"/>
        </w:rPr>
        <w:t xml:space="preserve">Continued communicating with data system </w:t>
      </w:r>
      <w:r w:rsidR="008464CB">
        <w:rPr>
          <w:rFonts w:cs="Times New Roman"/>
          <w:szCs w:val="24"/>
        </w:rPr>
        <w:t xml:space="preserve">and privacy </w:t>
      </w:r>
      <w:r w:rsidRPr="00E10FD4">
        <w:rPr>
          <w:rFonts w:cs="Times New Roman"/>
          <w:szCs w:val="24"/>
        </w:rPr>
        <w:t xml:space="preserve">teams about transferring MH data to UMMS for analyses </w:t>
      </w:r>
    </w:p>
    <w:p w14:paraId="0A214749" w14:textId="77777777" w:rsidR="00894617" w:rsidRPr="00E10FD4" w:rsidRDefault="00894617" w:rsidP="00894617">
      <w:pPr>
        <w:pStyle w:val="ListParagraph"/>
        <w:numPr>
          <w:ilvl w:val="0"/>
          <w:numId w:val="11"/>
        </w:numPr>
        <w:spacing w:after="160" w:line="259" w:lineRule="auto"/>
        <w:rPr>
          <w:rFonts w:cs="Times New Roman"/>
          <w:szCs w:val="24"/>
        </w:rPr>
      </w:pPr>
      <w:r w:rsidRPr="00E10FD4">
        <w:rPr>
          <w:rFonts w:cs="Times New Roman"/>
          <w:szCs w:val="24"/>
        </w:rPr>
        <w:t xml:space="preserve">Continued work on data compilation, analysis, and displays of data for the Massachusetts uninsurance rate and other population-based measures </w:t>
      </w:r>
    </w:p>
    <w:p w14:paraId="39B8785D" w14:textId="77777777" w:rsidR="00894617" w:rsidRPr="00E10FD4" w:rsidRDefault="00894617" w:rsidP="00894617">
      <w:pPr>
        <w:pStyle w:val="ListParagraph"/>
        <w:numPr>
          <w:ilvl w:val="0"/>
          <w:numId w:val="11"/>
        </w:numPr>
        <w:spacing w:after="160" w:line="259" w:lineRule="auto"/>
        <w:rPr>
          <w:rFonts w:cs="Times New Roman"/>
          <w:szCs w:val="24"/>
        </w:rPr>
      </w:pPr>
      <w:r w:rsidRPr="00E10FD4">
        <w:rPr>
          <w:rFonts w:cs="Times New Roman"/>
          <w:szCs w:val="24"/>
        </w:rPr>
        <w:t>Continued work on data compilation, analysis, and displays of data for uncompensated care cost measures</w:t>
      </w:r>
    </w:p>
    <w:p w14:paraId="74EE4E24" w14:textId="77777777" w:rsidR="00894617" w:rsidRPr="00E10FD4" w:rsidRDefault="00894617" w:rsidP="00894617">
      <w:pPr>
        <w:pStyle w:val="ListParagraph"/>
        <w:numPr>
          <w:ilvl w:val="0"/>
          <w:numId w:val="11"/>
        </w:numPr>
        <w:spacing w:after="160" w:line="259" w:lineRule="auto"/>
        <w:rPr>
          <w:rFonts w:cs="Times New Roman"/>
          <w:szCs w:val="24"/>
        </w:rPr>
      </w:pPr>
      <w:r w:rsidRPr="00E10FD4">
        <w:rPr>
          <w:rFonts w:cs="Times New Roman"/>
          <w:szCs w:val="24"/>
        </w:rPr>
        <w:t xml:space="preserve">Continued review of and data compilation from cost reports related to safety-net hospitals </w:t>
      </w:r>
    </w:p>
    <w:p w14:paraId="7538AA6B" w14:textId="77777777" w:rsidR="00894617" w:rsidRPr="00E10FD4" w:rsidRDefault="00894617" w:rsidP="00894617">
      <w:pPr>
        <w:pStyle w:val="ListParagraph"/>
        <w:numPr>
          <w:ilvl w:val="0"/>
          <w:numId w:val="11"/>
        </w:numPr>
        <w:spacing w:after="160" w:line="259" w:lineRule="auto"/>
        <w:rPr>
          <w:rFonts w:cs="Times New Roman"/>
          <w:szCs w:val="24"/>
        </w:rPr>
      </w:pPr>
      <w:r w:rsidRPr="00E10FD4">
        <w:rPr>
          <w:rFonts w:cs="Times New Roman"/>
          <w:szCs w:val="24"/>
        </w:rPr>
        <w:t xml:space="preserve">Continued reviewing and analyzing data for HEDIS based quality measures for Goal 4, in collaboration with DSRIP quantitative evaluation team  </w:t>
      </w:r>
    </w:p>
    <w:p w14:paraId="19EEC814" w14:textId="77777777" w:rsidR="00894617" w:rsidRPr="00E10FD4" w:rsidRDefault="00894617" w:rsidP="00894617">
      <w:pPr>
        <w:pStyle w:val="ListParagraph"/>
        <w:numPr>
          <w:ilvl w:val="0"/>
          <w:numId w:val="11"/>
        </w:numPr>
        <w:spacing w:after="160" w:line="259" w:lineRule="auto"/>
        <w:rPr>
          <w:rFonts w:cs="Times New Roman"/>
          <w:szCs w:val="24"/>
        </w:rPr>
      </w:pPr>
      <w:r w:rsidRPr="00E10FD4">
        <w:rPr>
          <w:rFonts w:cs="Times New Roman"/>
          <w:szCs w:val="24"/>
        </w:rPr>
        <w:t>Continued data analyses for all goals using program data and MassHealth administrative data</w:t>
      </w:r>
    </w:p>
    <w:p w14:paraId="787E6ED2" w14:textId="77777777" w:rsidR="00894617" w:rsidRPr="00E10FD4" w:rsidRDefault="00894617" w:rsidP="00894617">
      <w:pPr>
        <w:pStyle w:val="ListParagraph"/>
        <w:numPr>
          <w:ilvl w:val="0"/>
          <w:numId w:val="11"/>
        </w:numPr>
        <w:spacing w:after="160" w:line="259" w:lineRule="auto"/>
        <w:rPr>
          <w:rFonts w:cs="Times New Roman"/>
          <w:szCs w:val="24"/>
        </w:rPr>
      </w:pPr>
      <w:r w:rsidRPr="00E10FD4">
        <w:rPr>
          <w:rFonts w:cs="Times New Roman"/>
          <w:szCs w:val="24"/>
        </w:rPr>
        <w:t>Continued to refine and finalize the content of goal-specific sections of the interim report, including background, methods, findings, and discussion sections, and to refine and finalize related graphical data displays</w:t>
      </w:r>
    </w:p>
    <w:p w14:paraId="256E5A0A" w14:textId="77777777" w:rsidR="00894617" w:rsidRPr="00E10FD4" w:rsidRDefault="00894617" w:rsidP="00894617">
      <w:pPr>
        <w:pStyle w:val="ListParagraph"/>
        <w:numPr>
          <w:ilvl w:val="0"/>
          <w:numId w:val="11"/>
        </w:numPr>
        <w:spacing w:after="160" w:line="259" w:lineRule="auto"/>
        <w:rPr>
          <w:rFonts w:cs="Times New Roman"/>
          <w:szCs w:val="24"/>
        </w:rPr>
      </w:pPr>
      <w:r w:rsidRPr="00E10FD4">
        <w:rPr>
          <w:rFonts w:cs="Times New Roman"/>
          <w:szCs w:val="24"/>
        </w:rPr>
        <w:t>Solicited feedback from internal, external, and MassHealth program staff reviewers on the content of goal-specific sections of the interim report</w:t>
      </w:r>
    </w:p>
    <w:p w14:paraId="1580ECE7" w14:textId="77777777" w:rsidR="00894617" w:rsidRPr="00E10FD4" w:rsidRDefault="00894617" w:rsidP="00894617">
      <w:pPr>
        <w:pStyle w:val="ListParagraph"/>
        <w:numPr>
          <w:ilvl w:val="0"/>
          <w:numId w:val="11"/>
        </w:numPr>
        <w:spacing w:after="160" w:line="259" w:lineRule="auto"/>
        <w:rPr>
          <w:rFonts w:cs="Times New Roman"/>
          <w:szCs w:val="24"/>
        </w:rPr>
      </w:pPr>
      <w:r w:rsidRPr="00E10FD4">
        <w:rPr>
          <w:rFonts w:cs="Times New Roman"/>
          <w:szCs w:val="24"/>
        </w:rPr>
        <w:t xml:space="preserve">Reviewed and addressed feedback from internal, external, and MassHealth program staff reviewers on the content of goal-specific sections of the interim report  </w:t>
      </w:r>
    </w:p>
    <w:p w14:paraId="0E0D2766" w14:textId="77777777" w:rsidR="00894617" w:rsidRPr="00E10FD4" w:rsidRDefault="00894617" w:rsidP="00894617">
      <w:pPr>
        <w:pStyle w:val="ListParagraph"/>
        <w:numPr>
          <w:ilvl w:val="0"/>
          <w:numId w:val="11"/>
        </w:numPr>
        <w:spacing w:after="160" w:line="259" w:lineRule="auto"/>
        <w:rPr>
          <w:rFonts w:cs="Times New Roman"/>
          <w:szCs w:val="24"/>
        </w:rPr>
      </w:pPr>
      <w:r w:rsidRPr="00E10FD4">
        <w:rPr>
          <w:rFonts w:cs="Times New Roman"/>
          <w:szCs w:val="24"/>
        </w:rPr>
        <w:t>Continued to refine an interim report outline and refine related activities</w:t>
      </w:r>
    </w:p>
    <w:p w14:paraId="29AD207D" w14:textId="77777777" w:rsidR="00894617" w:rsidRPr="00E10FD4" w:rsidRDefault="00894617" w:rsidP="00894617">
      <w:pPr>
        <w:pStyle w:val="ListParagraph"/>
        <w:numPr>
          <w:ilvl w:val="0"/>
          <w:numId w:val="11"/>
        </w:numPr>
        <w:spacing w:after="160" w:line="259" w:lineRule="auto"/>
        <w:rPr>
          <w:rFonts w:cs="Times New Roman"/>
          <w:szCs w:val="24"/>
        </w:rPr>
      </w:pPr>
      <w:r w:rsidRPr="00E10FD4">
        <w:rPr>
          <w:rFonts w:cs="Times New Roman"/>
          <w:szCs w:val="24"/>
        </w:rPr>
        <w:t xml:space="preserve">Continued to produce the integrated Goals 1-7 interim report, contributing to summary sections and appendices </w:t>
      </w:r>
    </w:p>
    <w:p w14:paraId="71C42A3B" w14:textId="590A9554" w:rsidR="00894617" w:rsidRPr="00E10FD4" w:rsidRDefault="00894617" w:rsidP="00894617">
      <w:pPr>
        <w:pStyle w:val="ListParagraph"/>
        <w:numPr>
          <w:ilvl w:val="0"/>
          <w:numId w:val="11"/>
        </w:numPr>
        <w:spacing w:after="160" w:line="259" w:lineRule="auto"/>
        <w:rPr>
          <w:rFonts w:cs="Times New Roman"/>
          <w:szCs w:val="24"/>
        </w:rPr>
      </w:pPr>
      <w:r w:rsidRPr="00E10FD4">
        <w:rPr>
          <w:rFonts w:cs="Times New Roman"/>
          <w:szCs w:val="24"/>
        </w:rPr>
        <w:t xml:space="preserve">Continued to support MassHealth with activities related to </w:t>
      </w:r>
      <w:r w:rsidR="008464CB">
        <w:rPr>
          <w:rFonts w:cs="Times New Roman"/>
          <w:szCs w:val="24"/>
        </w:rPr>
        <w:t xml:space="preserve">evaluation of 1115 </w:t>
      </w:r>
      <w:r w:rsidRPr="00E10FD4">
        <w:rPr>
          <w:rFonts w:cs="Times New Roman"/>
          <w:szCs w:val="24"/>
        </w:rPr>
        <w:t xml:space="preserve">amendments </w:t>
      </w:r>
      <w:r w:rsidR="008464CB">
        <w:rPr>
          <w:rFonts w:cs="Times New Roman"/>
          <w:szCs w:val="24"/>
        </w:rPr>
        <w:t xml:space="preserve">and </w:t>
      </w:r>
      <w:r w:rsidR="00E4667C">
        <w:rPr>
          <w:rFonts w:cs="Times New Roman"/>
          <w:szCs w:val="24"/>
        </w:rPr>
        <w:t xml:space="preserve">the </w:t>
      </w:r>
      <w:r w:rsidR="008464CB">
        <w:rPr>
          <w:rFonts w:cs="Times New Roman"/>
          <w:szCs w:val="24"/>
        </w:rPr>
        <w:t>Emergency 1115 as well as the</w:t>
      </w:r>
      <w:r w:rsidRPr="00E10FD4">
        <w:rPr>
          <w:rFonts w:cs="Times New Roman"/>
          <w:szCs w:val="24"/>
        </w:rPr>
        <w:t xml:space="preserve"> upcoming </w:t>
      </w:r>
      <w:r w:rsidR="008464CB">
        <w:rPr>
          <w:rFonts w:cs="Times New Roman"/>
          <w:szCs w:val="24"/>
        </w:rPr>
        <w:t>1115</w:t>
      </w:r>
      <w:r w:rsidRPr="00E10FD4">
        <w:rPr>
          <w:rFonts w:cs="Times New Roman"/>
          <w:szCs w:val="24"/>
        </w:rPr>
        <w:t xml:space="preserve"> extension</w:t>
      </w:r>
    </w:p>
    <w:p w14:paraId="0D951CF0" w14:textId="060FAEA8" w:rsidR="00894617" w:rsidRPr="00E10FD4" w:rsidRDefault="00894617" w:rsidP="00894617">
      <w:pPr>
        <w:pStyle w:val="ListParagraph"/>
        <w:numPr>
          <w:ilvl w:val="0"/>
          <w:numId w:val="11"/>
        </w:numPr>
        <w:spacing w:after="160" w:line="259" w:lineRule="auto"/>
        <w:rPr>
          <w:rFonts w:cs="Times New Roman"/>
          <w:szCs w:val="24"/>
        </w:rPr>
      </w:pPr>
      <w:r w:rsidRPr="00E10FD4">
        <w:rPr>
          <w:rFonts w:cs="Times New Roman"/>
          <w:szCs w:val="24"/>
        </w:rPr>
        <w:t xml:space="preserve">Continued to receive and capture updates from MassHealth about potential new </w:t>
      </w:r>
      <w:r w:rsidR="008464CB">
        <w:rPr>
          <w:rFonts w:cs="Times New Roman"/>
          <w:szCs w:val="24"/>
        </w:rPr>
        <w:t>1115</w:t>
      </w:r>
      <w:r w:rsidR="008464CB" w:rsidRPr="00E10FD4">
        <w:rPr>
          <w:rFonts w:cs="Times New Roman"/>
          <w:szCs w:val="24"/>
        </w:rPr>
        <w:t xml:space="preserve"> </w:t>
      </w:r>
      <w:r w:rsidRPr="00E10FD4">
        <w:rPr>
          <w:rFonts w:cs="Times New Roman"/>
          <w:szCs w:val="24"/>
        </w:rPr>
        <w:t>amendments</w:t>
      </w:r>
    </w:p>
    <w:p w14:paraId="2C83CE46" w14:textId="77777777" w:rsidR="00894617" w:rsidRPr="000E5562" w:rsidRDefault="00894617" w:rsidP="00894617">
      <w:pPr>
        <w:pStyle w:val="ListParagraph"/>
        <w:numPr>
          <w:ilvl w:val="0"/>
          <w:numId w:val="11"/>
        </w:numPr>
        <w:spacing w:after="160" w:line="259" w:lineRule="auto"/>
        <w:rPr>
          <w:rFonts w:cs="Times New Roman"/>
          <w:szCs w:val="24"/>
        </w:rPr>
      </w:pPr>
      <w:r w:rsidRPr="00E10FD4">
        <w:rPr>
          <w:rFonts w:cs="Times New Roman"/>
          <w:szCs w:val="24"/>
        </w:rPr>
        <w:t>Continued regular monthly meetings with MassHealth</w:t>
      </w:r>
    </w:p>
    <w:p w14:paraId="578D17EA" w14:textId="77777777" w:rsidR="00894617" w:rsidRPr="00857AA8" w:rsidRDefault="00894617" w:rsidP="00894617">
      <w:pPr>
        <w:pStyle w:val="ListParagraph"/>
        <w:spacing w:after="160" w:line="259" w:lineRule="auto"/>
        <w:ind w:left="1080"/>
        <w:rPr>
          <w:rFonts w:cs="Times New Roman"/>
          <w:szCs w:val="24"/>
        </w:rPr>
      </w:pPr>
      <w:r w:rsidRPr="00857AA8">
        <w:rPr>
          <w:rFonts w:cs="Times New Roman"/>
          <w:szCs w:val="24"/>
        </w:rPr>
        <w:t xml:space="preserve"> </w:t>
      </w:r>
    </w:p>
    <w:p w14:paraId="5ADB4698" w14:textId="77777777" w:rsidR="00894617" w:rsidRPr="00857AA8" w:rsidRDefault="00894617" w:rsidP="00894617">
      <w:pPr>
        <w:pStyle w:val="ListParagraph"/>
        <w:numPr>
          <w:ilvl w:val="0"/>
          <w:numId w:val="10"/>
        </w:numPr>
        <w:spacing w:after="160" w:line="259" w:lineRule="auto"/>
        <w:rPr>
          <w:rFonts w:cs="Times New Roman"/>
          <w:szCs w:val="24"/>
        </w:rPr>
      </w:pPr>
      <w:r w:rsidRPr="00857AA8">
        <w:rPr>
          <w:rFonts w:cs="Times New Roman"/>
          <w:szCs w:val="24"/>
          <w:u w:val="single"/>
        </w:rPr>
        <w:t xml:space="preserve">Goal 5 – Expanding Substance Use Disorder (SUD) services: </w:t>
      </w:r>
    </w:p>
    <w:p w14:paraId="29302636" w14:textId="77777777" w:rsidR="00894617" w:rsidRPr="00857AA8" w:rsidRDefault="00894617" w:rsidP="00894617">
      <w:pPr>
        <w:ind w:left="360"/>
        <w:rPr>
          <w:rFonts w:cs="Times New Roman"/>
          <w:b/>
          <w:szCs w:val="24"/>
        </w:rPr>
      </w:pPr>
      <w:r w:rsidRPr="00857AA8">
        <w:rPr>
          <w:rFonts w:cs="Times New Roman"/>
          <w:b/>
          <w:szCs w:val="24"/>
        </w:rPr>
        <w:t>Activities Completed in this Quarter</w:t>
      </w:r>
    </w:p>
    <w:p w14:paraId="3736BC29" w14:textId="77777777" w:rsidR="00894617" w:rsidRPr="002B1EC1" w:rsidRDefault="00894617" w:rsidP="00894617">
      <w:pPr>
        <w:pStyle w:val="ListParagraph"/>
        <w:numPr>
          <w:ilvl w:val="0"/>
          <w:numId w:val="13"/>
        </w:numPr>
        <w:spacing w:after="160" w:line="259" w:lineRule="auto"/>
        <w:rPr>
          <w:rFonts w:cs="Times New Roman"/>
          <w:szCs w:val="24"/>
        </w:rPr>
      </w:pPr>
      <w:r w:rsidRPr="002B1EC1">
        <w:rPr>
          <w:rFonts w:cs="Times New Roman"/>
          <w:szCs w:val="24"/>
        </w:rPr>
        <w:t>Revised draft interim report for submission to CMS</w:t>
      </w:r>
    </w:p>
    <w:p w14:paraId="49DD42DE" w14:textId="77777777" w:rsidR="00894617" w:rsidRPr="000E5562" w:rsidRDefault="00894617" w:rsidP="00894617">
      <w:pPr>
        <w:pStyle w:val="ListParagraph"/>
        <w:numPr>
          <w:ilvl w:val="0"/>
          <w:numId w:val="13"/>
        </w:numPr>
        <w:spacing w:after="160" w:line="259" w:lineRule="auto"/>
        <w:rPr>
          <w:rFonts w:cs="Times New Roman"/>
          <w:b/>
          <w:szCs w:val="24"/>
        </w:rPr>
      </w:pPr>
      <w:r w:rsidRPr="000E5562">
        <w:rPr>
          <w:rFonts w:cs="Times New Roman"/>
          <w:szCs w:val="24"/>
        </w:rPr>
        <w:t>Met with MassHealth SUD program contacts regularly to ensure objectives of Goal 5 evaluation are being met</w:t>
      </w:r>
    </w:p>
    <w:p w14:paraId="485B0D8C" w14:textId="22AC0F2B" w:rsidR="00894617" w:rsidRDefault="00894617" w:rsidP="00894617">
      <w:pPr>
        <w:pStyle w:val="ListParagraph"/>
        <w:spacing w:after="160" w:line="259" w:lineRule="auto"/>
        <w:ind w:left="1080"/>
        <w:rPr>
          <w:rFonts w:cs="Times New Roman"/>
          <w:b/>
          <w:szCs w:val="24"/>
        </w:rPr>
      </w:pPr>
    </w:p>
    <w:p w14:paraId="682397F6" w14:textId="4C79B5F3" w:rsidR="00894617" w:rsidRDefault="00894617" w:rsidP="00894617">
      <w:pPr>
        <w:widowControl w:val="0"/>
        <w:autoSpaceDE w:val="0"/>
        <w:autoSpaceDN w:val="0"/>
        <w:spacing w:before="100" w:beforeAutospacing="1" w:after="100" w:afterAutospacing="1"/>
        <w:rPr>
          <w:rFonts w:eastAsia="Times New Roman" w:cs="Times New Roman"/>
          <w:bCs/>
          <w:iCs/>
          <w:szCs w:val="24"/>
          <w:u w:val="single"/>
        </w:rPr>
      </w:pPr>
      <w:r w:rsidRPr="004B161F">
        <w:rPr>
          <w:rFonts w:eastAsia="Times New Roman" w:cs="Times New Roman"/>
          <w:bCs/>
          <w:iCs/>
          <w:szCs w:val="24"/>
          <w:u w:val="single"/>
        </w:rPr>
        <w:t>Annual Summary</w:t>
      </w:r>
    </w:p>
    <w:p w14:paraId="3889ABFB" w14:textId="77777777" w:rsidR="00894617" w:rsidRPr="00CA3909" w:rsidRDefault="00894617" w:rsidP="00894617">
      <w:pPr>
        <w:widowControl w:val="0"/>
        <w:autoSpaceDE w:val="0"/>
        <w:autoSpaceDN w:val="0"/>
        <w:spacing w:before="100" w:beforeAutospacing="1" w:after="100" w:afterAutospacing="1"/>
        <w:rPr>
          <w:rFonts w:eastAsia="Times New Roman" w:cs="Times New Roman"/>
          <w:bCs/>
          <w:iCs/>
          <w:szCs w:val="24"/>
        </w:rPr>
      </w:pPr>
      <w:r w:rsidRPr="00CA3909">
        <w:rPr>
          <w:rFonts w:eastAsia="Times New Roman" w:cs="Times New Roman"/>
          <w:bCs/>
          <w:iCs/>
          <w:szCs w:val="24"/>
        </w:rPr>
        <w:t>Significant FY21 activities included completing acquisition and analyses of data for the Independent Evaluation Interim Evaluation (IEIR), reviewing, refining, and updating summaries of relevant literature and policy updates, developing initial drafts of the IEIR, and soliciting feedback from internal reviewers, external scientific advisors, and MassHealth program staff reviewers on the content of goal-specific sections of the interim report. In addition, UMMS continued preparation for the second wave of ACO and CP KIIs, reviewing documents and updating KII protocols, outreach documents, and interview guides. UMMS continues to hold recurring meetings with MassHealth to coordinate work-streams and deliverables, communicate updates with potential impact on the evaluation, and ensure access to data required.</w:t>
      </w:r>
    </w:p>
    <w:p w14:paraId="1497A071" w14:textId="7AA3C3F0" w:rsidR="00894617" w:rsidRPr="00857AA8" w:rsidRDefault="00894617" w:rsidP="00894617">
      <w:pPr>
        <w:rPr>
          <w:rFonts w:cs="Times New Roman"/>
          <w:szCs w:val="24"/>
          <w:u w:val="single"/>
        </w:rPr>
      </w:pPr>
      <w:r w:rsidRPr="00857AA8">
        <w:rPr>
          <w:rFonts w:cs="Times New Roman"/>
          <w:szCs w:val="24"/>
          <w:u w:val="single"/>
        </w:rPr>
        <w:t>During Quarter 1 of FY2</w:t>
      </w:r>
      <w:r w:rsidR="00BF6B04">
        <w:rPr>
          <w:rFonts w:cs="Times New Roman"/>
          <w:szCs w:val="24"/>
          <w:u w:val="single"/>
        </w:rPr>
        <w:t>1</w:t>
      </w:r>
      <w:r w:rsidRPr="00857AA8">
        <w:rPr>
          <w:rFonts w:cs="Times New Roman"/>
          <w:szCs w:val="24"/>
          <w:u w:val="single"/>
        </w:rPr>
        <w:t xml:space="preserve">: </w:t>
      </w:r>
    </w:p>
    <w:p w14:paraId="17F2C3E1" w14:textId="77777777" w:rsidR="00894617" w:rsidRPr="009B212D" w:rsidRDefault="00894617" w:rsidP="00894617">
      <w:pPr>
        <w:pStyle w:val="ListParagraph"/>
        <w:numPr>
          <w:ilvl w:val="0"/>
          <w:numId w:val="45"/>
        </w:numPr>
        <w:tabs>
          <w:tab w:val="left" w:pos="1080"/>
        </w:tabs>
        <w:spacing w:after="160" w:line="256" w:lineRule="auto"/>
        <w:rPr>
          <w:rFonts w:cs="Times New Roman"/>
          <w:szCs w:val="24"/>
        </w:rPr>
      </w:pPr>
      <w:r w:rsidRPr="009B212D">
        <w:rPr>
          <w:rFonts w:cs="Times New Roman"/>
          <w:szCs w:val="24"/>
        </w:rPr>
        <w:t>Completion of MassHealth leadership staff KIIs</w:t>
      </w:r>
    </w:p>
    <w:p w14:paraId="57514463" w14:textId="77777777" w:rsidR="00894617" w:rsidRPr="009B212D" w:rsidRDefault="00894617" w:rsidP="00894617">
      <w:pPr>
        <w:pStyle w:val="ListParagraph"/>
        <w:numPr>
          <w:ilvl w:val="0"/>
          <w:numId w:val="45"/>
        </w:numPr>
        <w:tabs>
          <w:tab w:val="left" w:pos="1080"/>
        </w:tabs>
        <w:spacing w:after="160" w:line="256" w:lineRule="auto"/>
        <w:rPr>
          <w:rFonts w:cs="Times New Roman"/>
          <w:szCs w:val="24"/>
        </w:rPr>
      </w:pPr>
      <w:r w:rsidRPr="009B212D">
        <w:rPr>
          <w:rFonts w:cs="Times New Roman"/>
          <w:szCs w:val="24"/>
        </w:rPr>
        <w:t>Completed preliminary analyses to examine opioid overdoses in Massachusetts relative to comparison states using CDC Wonder data</w:t>
      </w:r>
    </w:p>
    <w:p w14:paraId="63B965E6" w14:textId="77777777" w:rsidR="00894617" w:rsidRPr="009B212D" w:rsidRDefault="00894617" w:rsidP="00894617">
      <w:pPr>
        <w:pStyle w:val="ListParagraph"/>
        <w:numPr>
          <w:ilvl w:val="0"/>
          <w:numId w:val="45"/>
        </w:numPr>
        <w:tabs>
          <w:tab w:val="left" w:pos="1080"/>
        </w:tabs>
        <w:spacing w:after="160" w:line="256" w:lineRule="auto"/>
        <w:rPr>
          <w:rFonts w:cs="Times New Roman"/>
          <w:szCs w:val="24"/>
        </w:rPr>
      </w:pPr>
      <w:r w:rsidRPr="009B212D">
        <w:rPr>
          <w:rFonts w:cs="Times New Roman"/>
          <w:szCs w:val="24"/>
        </w:rPr>
        <w:t>Launched ACO Provider Survey (phase 2) and CP Staff Survey</w:t>
      </w:r>
    </w:p>
    <w:p w14:paraId="5A8723E3" w14:textId="77777777" w:rsidR="00894617" w:rsidRPr="009B212D" w:rsidRDefault="00894617" w:rsidP="00894617">
      <w:pPr>
        <w:pStyle w:val="ListParagraph"/>
        <w:numPr>
          <w:ilvl w:val="0"/>
          <w:numId w:val="45"/>
        </w:numPr>
        <w:tabs>
          <w:tab w:val="left" w:pos="1080"/>
        </w:tabs>
        <w:spacing w:after="160" w:line="256" w:lineRule="auto"/>
        <w:rPr>
          <w:rFonts w:cs="Times New Roman"/>
          <w:szCs w:val="24"/>
        </w:rPr>
      </w:pPr>
      <w:r w:rsidRPr="009B212D">
        <w:rPr>
          <w:rFonts w:cs="Times New Roman"/>
          <w:szCs w:val="24"/>
        </w:rPr>
        <w:t>Conducted analyses for hybrid quality measures and member experience surveys</w:t>
      </w:r>
    </w:p>
    <w:p w14:paraId="0D78948F" w14:textId="77777777" w:rsidR="00894617" w:rsidRPr="009B212D" w:rsidRDefault="00894617" w:rsidP="00894617">
      <w:pPr>
        <w:pStyle w:val="ListParagraph"/>
        <w:numPr>
          <w:ilvl w:val="0"/>
          <w:numId w:val="45"/>
        </w:numPr>
        <w:tabs>
          <w:tab w:val="left" w:pos="1080"/>
        </w:tabs>
        <w:spacing w:after="160" w:line="256" w:lineRule="auto"/>
        <w:rPr>
          <w:rFonts w:cs="Times New Roman"/>
          <w:szCs w:val="24"/>
        </w:rPr>
      </w:pPr>
      <w:r w:rsidRPr="009B212D">
        <w:rPr>
          <w:rFonts w:cs="Times New Roman"/>
          <w:szCs w:val="24"/>
        </w:rPr>
        <w:t>Continued analyzing ACO and CP KII and member experience interview data</w:t>
      </w:r>
    </w:p>
    <w:p w14:paraId="65E7E44D" w14:textId="77777777" w:rsidR="00894617" w:rsidRPr="009B212D" w:rsidRDefault="00894617" w:rsidP="00894617">
      <w:pPr>
        <w:pStyle w:val="ListParagraph"/>
        <w:numPr>
          <w:ilvl w:val="0"/>
          <w:numId w:val="45"/>
        </w:numPr>
        <w:tabs>
          <w:tab w:val="left" w:pos="1080"/>
        </w:tabs>
        <w:spacing w:after="160" w:line="256" w:lineRule="auto"/>
        <w:rPr>
          <w:rFonts w:cs="Times New Roman"/>
          <w:szCs w:val="24"/>
        </w:rPr>
      </w:pPr>
      <w:r w:rsidRPr="009B212D">
        <w:rPr>
          <w:rFonts w:cs="Times New Roman"/>
          <w:szCs w:val="24"/>
        </w:rPr>
        <w:t xml:space="preserve">Continued coding and analyzing measures relying on MassHealth administrative claims and encounter data for calendar years 2015-2019 </w:t>
      </w:r>
    </w:p>
    <w:p w14:paraId="0C2E3A36" w14:textId="77777777" w:rsidR="00894617" w:rsidRPr="009B212D" w:rsidRDefault="00894617" w:rsidP="00894617">
      <w:pPr>
        <w:pStyle w:val="ListParagraph"/>
        <w:numPr>
          <w:ilvl w:val="0"/>
          <w:numId w:val="45"/>
        </w:numPr>
        <w:tabs>
          <w:tab w:val="left" w:pos="1080"/>
        </w:tabs>
        <w:spacing w:after="160" w:line="256" w:lineRule="auto"/>
        <w:rPr>
          <w:rFonts w:cs="Times New Roman"/>
          <w:szCs w:val="24"/>
        </w:rPr>
      </w:pPr>
      <w:r w:rsidRPr="009B212D">
        <w:rPr>
          <w:rFonts w:cs="Times New Roman"/>
          <w:szCs w:val="24"/>
        </w:rPr>
        <w:t xml:space="preserve">Developed summaries of relevant literature and policy updates </w:t>
      </w:r>
    </w:p>
    <w:p w14:paraId="647BF418" w14:textId="77777777" w:rsidR="00894617" w:rsidRPr="009B212D" w:rsidRDefault="00894617" w:rsidP="00894617">
      <w:pPr>
        <w:pStyle w:val="ListParagraph"/>
        <w:numPr>
          <w:ilvl w:val="0"/>
          <w:numId w:val="45"/>
        </w:numPr>
        <w:tabs>
          <w:tab w:val="left" w:pos="1080"/>
        </w:tabs>
        <w:spacing w:after="160" w:line="256" w:lineRule="auto"/>
        <w:rPr>
          <w:rFonts w:cs="Times New Roman"/>
          <w:szCs w:val="24"/>
        </w:rPr>
      </w:pPr>
      <w:r w:rsidRPr="009B212D">
        <w:rPr>
          <w:rFonts w:cs="Times New Roman"/>
          <w:szCs w:val="24"/>
        </w:rPr>
        <w:t xml:space="preserve">Continued work on data compilation, analysis, and visualizations for the uninsurance rate and other population-based measures in Massachusetts and comparison states </w:t>
      </w:r>
    </w:p>
    <w:p w14:paraId="02502BB1" w14:textId="77777777" w:rsidR="00894617" w:rsidRPr="009B212D" w:rsidRDefault="00894617" w:rsidP="00894617">
      <w:pPr>
        <w:pStyle w:val="ListParagraph"/>
        <w:numPr>
          <w:ilvl w:val="0"/>
          <w:numId w:val="45"/>
        </w:numPr>
        <w:tabs>
          <w:tab w:val="left" w:pos="1080"/>
        </w:tabs>
        <w:spacing w:after="160" w:line="256" w:lineRule="auto"/>
        <w:rPr>
          <w:rFonts w:cs="Times New Roman"/>
          <w:szCs w:val="24"/>
        </w:rPr>
      </w:pPr>
      <w:r w:rsidRPr="009B212D">
        <w:rPr>
          <w:rFonts w:cs="Times New Roman"/>
          <w:szCs w:val="24"/>
        </w:rPr>
        <w:t xml:space="preserve">Continued conducting Massachusetts Medicaid churning analysis  </w:t>
      </w:r>
    </w:p>
    <w:p w14:paraId="58A8D926" w14:textId="77777777" w:rsidR="00894617" w:rsidRPr="009B212D" w:rsidRDefault="00894617" w:rsidP="00894617">
      <w:pPr>
        <w:pStyle w:val="ListParagraph"/>
        <w:numPr>
          <w:ilvl w:val="0"/>
          <w:numId w:val="45"/>
        </w:numPr>
        <w:tabs>
          <w:tab w:val="left" w:pos="1080"/>
        </w:tabs>
        <w:spacing w:after="160" w:line="256" w:lineRule="auto"/>
        <w:rPr>
          <w:rFonts w:cs="Times New Roman"/>
          <w:szCs w:val="24"/>
        </w:rPr>
      </w:pPr>
      <w:r w:rsidRPr="009B212D">
        <w:rPr>
          <w:rFonts w:cs="Times New Roman"/>
          <w:szCs w:val="24"/>
        </w:rPr>
        <w:t>Continued work on data compilation, analysis, and visualizations for uncompensated care cost measures</w:t>
      </w:r>
    </w:p>
    <w:p w14:paraId="609F7B52" w14:textId="77777777" w:rsidR="00894617" w:rsidRPr="00857AA8" w:rsidRDefault="00894617" w:rsidP="00894617">
      <w:pPr>
        <w:pStyle w:val="ListParagraph"/>
        <w:numPr>
          <w:ilvl w:val="0"/>
          <w:numId w:val="45"/>
        </w:numPr>
        <w:tabs>
          <w:tab w:val="left" w:pos="1080"/>
        </w:tabs>
        <w:spacing w:after="160" w:line="256" w:lineRule="auto"/>
        <w:rPr>
          <w:rFonts w:cs="Times New Roman"/>
          <w:szCs w:val="24"/>
        </w:rPr>
      </w:pPr>
      <w:r w:rsidRPr="009B212D">
        <w:rPr>
          <w:rFonts w:cs="Times New Roman"/>
          <w:szCs w:val="24"/>
        </w:rPr>
        <w:t>Continued review of cost reports related to safety-net hospitals</w:t>
      </w:r>
    </w:p>
    <w:p w14:paraId="614AD493" w14:textId="6E06B07D" w:rsidR="00894617" w:rsidRPr="00857AA8" w:rsidRDefault="00894617" w:rsidP="00894617">
      <w:pPr>
        <w:rPr>
          <w:rFonts w:cs="Times New Roman"/>
          <w:szCs w:val="24"/>
          <w:u w:val="single"/>
        </w:rPr>
      </w:pPr>
      <w:r w:rsidRPr="00857AA8">
        <w:rPr>
          <w:rFonts w:cs="Times New Roman"/>
          <w:szCs w:val="24"/>
          <w:u w:val="single"/>
        </w:rPr>
        <w:t>During Quarter 2 of FY2</w:t>
      </w:r>
      <w:r w:rsidR="00BF6B04">
        <w:rPr>
          <w:rFonts w:cs="Times New Roman"/>
          <w:szCs w:val="24"/>
          <w:u w:val="single"/>
        </w:rPr>
        <w:t>1</w:t>
      </w:r>
      <w:r w:rsidRPr="00857AA8">
        <w:rPr>
          <w:rFonts w:cs="Times New Roman"/>
          <w:szCs w:val="24"/>
          <w:u w:val="single"/>
        </w:rPr>
        <w:t xml:space="preserve">: </w:t>
      </w:r>
    </w:p>
    <w:p w14:paraId="0EC9F8CD" w14:textId="77777777" w:rsidR="00894617" w:rsidRPr="002A5089" w:rsidRDefault="00894617" w:rsidP="00894617">
      <w:pPr>
        <w:pStyle w:val="ListParagraph"/>
        <w:numPr>
          <w:ilvl w:val="0"/>
          <w:numId w:val="46"/>
        </w:numPr>
        <w:spacing w:after="160" w:line="254" w:lineRule="auto"/>
        <w:rPr>
          <w:rFonts w:cs="Times New Roman"/>
          <w:szCs w:val="24"/>
        </w:rPr>
      </w:pPr>
      <w:r w:rsidRPr="002A5089">
        <w:rPr>
          <w:rFonts w:cs="Times New Roman"/>
          <w:szCs w:val="24"/>
        </w:rPr>
        <w:t>Began preparing the draft interim report for both DSRIP and non-DSRIP components (all seven goals)</w:t>
      </w:r>
    </w:p>
    <w:p w14:paraId="755A8B70" w14:textId="77777777" w:rsidR="00894617" w:rsidRPr="002A5089" w:rsidRDefault="00894617" w:rsidP="00894617">
      <w:pPr>
        <w:pStyle w:val="ListParagraph"/>
        <w:numPr>
          <w:ilvl w:val="0"/>
          <w:numId w:val="46"/>
        </w:numPr>
        <w:spacing w:after="160" w:line="254" w:lineRule="auto"/>
        <w:rPr>
          <w:rFonts w:cs="Times New Roman"/>
          <w:szCs w:val="24"/>
        </w:rPr>
      </w:pPr>
      <w:r w:rsidRPr="002A5089">
        <w:rPr>
          <w:rFonts w:cs="Times New Roman"/>
          <w:szCs w:val="24"/>
        </w:rPr>
        <w:t>Completed analyses of ACO and CP KII and member experience interview data</w:t>
      </w:r>
    </w:p>
    <w:p w14:paraId="2DA44605" w14:textId="77777777" w:rsidR="00894617" w:rsidRPr="002A5089" w:rsidRDefault="00894617" w:rsidP="00894617">
      <w:pPr>
        <w:pStyle w:val="ListParagraph"/>
        <w:numPr>
          <w:ilvl w:val="0"/>
          <w:numId w:val="46"/>
        </w:numPr>
        <w:spacing w:after="160" w:line="254" w:lineRule="auto"/>
        <w:rPr>
          <w:rFonts w:cs="Times New Roman"/>
          <w:szCs w:val="24"/>
        </w:rPr>
      </w:pPr>
      <w:r w:rsidRPr="002A5089">
        <w:rPr>
          <w:rFonts w:cs="Times New Roman"/>
          <w:szCs w:val="24"/>
        </w:rPr>
        <w:t>Completion of ACO and CP case studies and initiation of analysis</w:t>
      </w:r>
    </w:p>
    <w:p w14:paraId="121EEAE3" w14:textId="77777777" w:rsidR="00894617" w:rsidRPr="002A5089" w:rsidRDefault="00894617" w:rsidP="00894617">
      <w:pPr>
        <w:pStyle w:val="ListParagraph"/>
        <w:numPr>
          <w:ilvl w:val="0"/>
          <w:numId w:val="46"/>
        </w:numPr>
        <w:spacing w:after="160" w:line="254" w:lineRule="auto"/>
        <w:rPr>
          <w:rFonts w:cs="Times New Roman"/>
          <w:szCs w:val="24"/>
        </w:rPr>
      </w:pPr>
      <w:r w:rsidRPr="002A5089">
        <w:rPr>
          <w:rFonts w:cs="Times New Roman"/>
          <w:szCs w:val="24"/>
        </w:rPr>
        <w:t xml:space="preserve">Completion of ACO Provider Survey (phase 2) and CP staff survey fieldwork </w:t>
      </w:r>
    </w:p>
    <w:p w14:paraId="4725BB5D" w14:textId="77777777" w:rsidR="00894617" w:rsidRPr="002A5089" w:rsidRDefault="00894617" w:rsidP="00894617">
      <w:pPr>
        <w:pStyle w:val="ListParagraph"/>
        <w:numPr>
          <w:ilvl w:val="0"/>
          <w:numId w:val="46"/>
        </w:numPr>
        <w:spacing w:after="160" w:line="254" w:lineRule="auto"/>
        <w:rPr>
          <w:rFonts w:cs="Times New Roman"/>
          <w:szCs w:val="24"/>
        </w:rPr>
      </w:pPr>
      <w:r w:rsidRPr="002A5089">
        <w:rPr>
          <w:rFonts w:cs="Times New Roman"/>
          <w:szCs w:val="24"/>
        </w:rPr>
        <w:t xml:space="preserve">Completed Massachusetts Medicaid churning analysis  </w:t>
      </w:r>
    </w:p>
    <w:p w14:paraId="0D91C1C5" w14:textId="77777777" w:rsidR="00894617" w:rsidRPr="002A5089" w:rsidRDefault="00894617" w:rsidP="00894617">
      <w:pPr>
        <w:pStyle w:val="ListParagraph"/>
        <w:numPr>
          <w:ilvl w:val="0"/>
          <w:numId w:val="46"/>
        </w:numPr>
        <w:spacing w:after="160" w:line="254" w:lineRule="auto"/>
        <w:rPr>
          <w:rFonts w:cs="Times New Roman"/>
          <w:szCs w:val="24"/>
        </w:rPr>
      </w:pPr>
      <w:r w:rsidRPr="002A5089">
        <w:rPr>
          <w:rFonts w:cs="Times New Roman"/>
          <w:szCs w:val="24"/>
        </w:rPr>
        <w:t>Continued coding and analyzing measures relying on MassHealth administrative claims and encounter data for calendar years 2015-2019</w:t>
      </w:r>
    </w:p>
    <w:p w14:paraId="2BC35405" w14:textId="77777777" w:rsidR="00894617" w:rsidRPr="002A5089" w:rsidRDefault="00894617" w:rsidP="00894617">
      <w:pPr>
        <w:pStyle w:val="ListParagraph"/>
        <w:numPr>
          <w:ilvl w:val="0"/>
          <w:numId w:val="46"/>
        </w:numPr>
        <w:spacing w:after="160" w:line="254" w:lineRule="auto"/>
        <w:rPr>
          <w:rFonts w:cs="Times New Roman"/>
          <w:szCs w:val="24"/>
        </w:rPr>
      </w:pPr>
      <w:r w:rsidRPr="002A5089">
        <w:rPr>
          <w:rFonts w:cs="Times New Roman"/>
          <w:szCs w:val="24"/>
        </w:rPr>
        <w:t>Continued analyzing hybrid quality measures and member experience surveys</w:t>
      </w:r>
    </w:p>
    <w:p w14:paraId="7F7B1928" w14:textId="77777777" w:rsidR="00894617" w:rsidRPr="002A5089" w:rsidRDefault="00894617" w:rsidP="00894617">
      <w:pPr>
        <w:pStyle w:val="ListParagraph"/>
        <w:numPr>
          <w:ilvl w:val="0"/>
          <w:numId w:val="46"/>
        </w:numPr>
        <w:spacing w:after="160" w:line="254" w:lineRule="auto"/>
        <w:rPr>
          <w:rFonts w:cs="Times New Roman"/>
          <w:szCs w:val="24"/>
        </w:rPr>
      </w:pPr>
      <w:r w:rsidRPr="002A5089">
        <w:rPr>
          <w:rFonts w:cs="Times New Roman"/>
          <w:szCs w:val="24"/>
        </w:rPr>
        <w:t xml:space="preserve">Initiated analysis of ACO financial performance for 2018 based on MassHealth reconciliation reports    </w:t>
      </w:r>
    </w:p>
    <w:p w14:paraId="30810F77" w14:textId="77777777" w:rsidR="00894617" w:rsidRPr="002A5089" w:rsidRDefault="00894617" w:rsidP="00894617">
      <w:pPr>
        <w:pStyle w:val="ListParagraph"/>
        <w:numPr>
          <w:ilvl w:val="0"/>
          <w:numId w:val="46"/>
        </w:numPr>
        <w:spacing w:after="160" w:line="254" w:lineRule="auto"/>
        <w:rPr>
          <w:rFonts w:cs="Times New Roman"/>
          <w:szCs w:val="24"/>
        </w:rPr>
      </w:pPr>
      <w:r w:rsidRPr="002A5089">
        <w:rPr>
          <w:rFonts w:cs="Times New Roman"/>
          <w:szCs w:val="24"/>
        </w:rPr>
        <w:t xml:space="preserve">Continued to refine and update summaries of relevant literature and policy updates, including cost reports related to safety-net hospitals </w:t>
      </w:r>
    </w:p>
    <w:p w14:paraId="623B0C7D" w14:textId="77777777" w:rsidR="00894617" w:rsidRPr="002A5089" w:rsidRDefault="00894617" w:rsidP="00894617">
      <w:pPr>
        <w:pStyle w:val="ListParagraph"/>
        <w:numPr>
          <w:ilvl w:val="0"/>
          <w:numId w:val="46"/>
        </w:numPr>
        <w:spacing w:after="160" w:line="254" w:lineRule="auto"/>
        <w:rPr>
          <w:rFonts w:cs="Times New Roman"/>
          <w:szCs w:val="24"/>
        </w:rPr>
      </w:pPr>
      <w:r w:rsidRPr="002A5089">
        <w:rPr>
          <w:rFonts w:cs="Times New Roman"/>
          <w:szCs w:val="24"/>
        </w:rPr>
        <w:t xml:space="preserve">Continued work on data compilation, analysis, and visualizations for the uninsurance rate and other population-based measures in Massachusetts and comparison states, and for the uncompensated care cost measures </w:t>
      </w:r>
    </w:p>
    <w:p w14:paraId="0E5B0376" w14:textId="77777777" w:rsidR="00894617" w:rsidRPr="00857AA8" w:rsidRDefault="00894617" w:rsidP="00894617">
      <w:pPr>
        <w:pStyle w:val="ListParagraph"/>
        <w:numPr>
          <w:ilvl w:val="0"/>
          <w:numId w:val="46"/>
        </w:numPr>
        <w:spacing w:after="160" w:line="254" w:lineRule="auto"/>
        <w:rPr>
          <w:rFonts w:cs="Times New Roman"/>
          <w:szCs w:val="24"/>
        </w:rPr>
      </w:pPr>
      <w:r w:rsidRPr="002A5089">
        <w:rPr>
          <w:rFonts w:cs="Times New Roman"/>
          <w:szCs w:val="24"/>
        </w:rPr>
        <w:t>Continued collecting and analyzing the data for Student Health Insurance Program premium assistance waiver</w:t>
      </w:r>
    </w:p>
    <w:p w14:paraId="54A0767F" w14:textId="4BA699EC" w:rsidR="00894617" w:rsidRPr="00857AA8" w:rsidRDefault="00894617" w:rsidP="00894617">
      <w:pPr>
        <w:rPr>
          <w:rFonts w:cs="Times New Roman"/>
          <w:szCs w:val="24"/>
          <w:u w:val="single"/>
        </w:rPr>
      </w:pPr>
      <w:r w:rsidRPr="00857AA8">
        <w:rPr>
          <w:rFonts w:cs="Times New Roman"/>
          <w:szCs w:val="24"/>
          <w:u w:val="single"/>
        </w:rPr>
        <w:t>During Quarter 3 of FY2</w:t>
      </w:r>
      <w:r w:rsidR="00BF6B04">
        <w:rPr>
          <w:rFonts w:cs="Times New Roman"/>
          <w:szCs w:val="24"/>
          <w:u w:val="single"/>
        </w:rPr>
        <w:t>1</w:t>
      </w:r>
      <w:r w:rsidRPr="00857AA8">
        <w:rPr>
          <w:rFonts w:cs="Times New Roman"/>
          <w:szCs w:val="24"/>
          <w:u w:val="single"/>
        </w:rPr>
        <w:t>:</w:t>
      </w:r>
    </w:p>
    <w:p w14:paraId="2AEEBB8E" w14:textId="77777777" w:rsidR="00894617" w:rsidRPr="00721BD5" w:rsidRDefault="00894617" w:rsidP="00894617">
      <w:pPr>
        <w:pStyle w:val="ListParagraph"/>
        <w:numPr>
          <w:ilvl w:val="0"/>
          <w:numId w:val="46"/>
        </w:numPr>
        <w:spacing w:after="160" w:line="256" w:lineRule="auto"/>
        <w:rPr>
          <w:rFonts w:cs="Times New Roman"/>
          <w:szCs w:val="24"/>
        </w:rPr>
      </w:pPr>
      <w:r w:rsidRPr="00721BD5">
        <w:rPr>
          <w:rFonts w:cs="Times New Roman"/>
          <w:szCs w:val="24"/>
        </w:rPr>
        <w:t>Continued preparing the draft interim report for DSRIP and non-DSRIP components (all seven goals)</w:t>
      </w:r>
    </w:p>
    <w:p w14:paraId="239E1320" w14:textId="77777777" w:rsidR="00894617" w:rsidRPr="00721BD5" w:rsidRDefault="00894617" w:rsidP="00894617">
      <w:pPr>
        <w:pStyle w:val="ListParagraph"/>
        <w:numPr>
          <w:ilvl w:val="0"/>
          <w:numId w:val="46"/>
        </w:numPr>
        <w:spacing w:after="160" w:line="256" w:lineRule="auto"/>
        <w:rPr>
          <w:rFonts w:cs="Times New Roman"/>
          <w:szCs w:val="24"/>
        </w:rPr>
      </w:pPr>
      <w:r w:rsidRPr="00721BD5">
        <w:rPr>
          <w:rFonts w:cs="Times New Roman"/>
          <w:szCs w:val="24"/>
        </w:rPr>
        <w:t>Continued analyzing data from the MassHealth KIIs, ACO, and CP case studies and incorporated initial results in the Interim Report</w:t>
      </w:r>
    </w:p>
    <w:p w14:paraId="0250729E" w14:textId="77777777" w:rsidR="00894617" w:rsidRPr="00721BD5" w:rsidRDefault="00894617" w:rsidP="00894617">
      <w:pPr>
        <w:pStyle w:val="ListParagraph"/>
        <w:numPr>
          <w:ilvl w:val="0"/>
          <w:numId w:val="46"/>
        </w:numPr>
        <w:spacing w:after="160" w:line="256" w:lineRule="auto"/>
        <w:rPr>
          <w:rFonts w:cs="Times New Roman"/>
          <w:szCs w:val="24"/>
        </w:rPr>
      </w:pPr>
      <w:r w:rsidRPr="00721BD5">
        <w:rPr>
          <w:rFonts w:cs="Times New Roman"/>
          <w:szCs w:val="24"/>
        </w:rPr>
        <w:t>Initiated analysis of the ACO Provider Survey and CP Staff Survey and incorporated initial results in the Interim Report</w:t>
      </w:r>
    </w:p>
    <w:p w14:paraId="6349CF85" w14:textId="77777777" w:rsidR="00894617" w:rsidRPr="00721BD5" w:rsidRDefault="00894617" w:rsidP="00894617">
      <w:pPr>
        <w:pStyle w:val="ListParagraph"/>
        <w:numPr>
          <w:ilvl w:val="0"/>
          <w:numId w:val="46"/>
        </w:numPr>
        <w:spacing w:after="160" w:line="256" w:lineRule="auto"/>
        <w:rPr>
          <w:rFonts w:cs="Times New Roman"/>
          <w:szCs w:val="24"/>
        </w:rPr>
      </w:pPr>
      <w:r w:rsidRPr="00721BD5">
        <w:rPr>
          <w:rFonts w:cs="Times New Roman"/>
          <w:szCs w:val="24"/>
        </w:rPr>
        <w:t>Began updating the ACO and CP KII materials for the next wave of interviews</w:t>
      </w:r>
    </w:p>
    <w:p w14:paraId="21AAFD08" w14:textId="77777777" w:rsidR="00894617" w:rsidRPr="00721BD5" w:rsidRDefault="00894617" w:rsidP="00894617">
      <w:pPr>
        <w:pStyle w:val="ListParagraph"/>
        <w:numPr>
          <w:ilvl w:val="0"/>
          <w:numId w:val="46"/>
        </w:numPr>
        <w:spacing w:after="160" w:line="256" w:lineRule="auto"/>
        <w:rPr>
          <w:rFonts w:cs="Times New Roman"/>
          <w:szCs w:val="24"/>
        </w:rPr>
      </w:pPr>
      <w:r w:rsidRPr="00721BD5">
        <w:rPr>
          <w:rFonts w:cs="Times New Roman"/>
          <w:szCs w:val="24"/>
        </w:rPr>
        <w:t>Continued coding and analyzing measures relying on MassHealth administrative claims and encounter data for calendar years 2015-2019</w:t>
      </w:r>
    </w:p>
    <w:p w14:paraId="37B9F2F9" w14:textId="77777777" w:rsidR="00894617" w:rsidRPr="00721BD5" w:rsidRDefault="00894617" w:rsidP="00894617">
      <w:pPr>
        <w:pStyle w:val="ListParagraph"/>
        <w:numPr>
          <w:ilvl w:val="0"/>
          <w:numId w:val="46"/>
        </w:numPr>
        <w:spacing w:after="160" w:line="256" w:lineRule="auto"/>
        <w:rPr>
          <w:rFonts w:cs="Times New Roman"/>
          <w:szCs w:val="24"/>
        </w:rPr>
      </w:pPr>
      <w:r w:rsidRPr="00721BD5">
        <w:rPr>
          <w:rFonts w:cs="Times New Roman"/>
          <w:szCs w:val="24"/>
        </w:rPr>
        <w:t>Continued analyzing hybrid quality measures and member experience surveys</w:t>
      </w:r>
    </w:p>
    <w:p w14:paraId="73AB16D7" w14:textId="77777777" w:rsidR="00894617" w:rsidRPr="00721BD5" w:rsidRDefault="00894617" w:rsidP="00894617">
      <w:pPr>
        <w:pStyle w:val="ListParagraph"/>
        <w:numPr>
          <w:ilvl w:val="0"/>
          <w:numId w:val="46"/>
        </w:numPr>
        <w:spacing w:after="160" w:line="256" w:lineRule="auto"/>
        <w:rPr>
          <w:rFonts w:cs="Times New Roman"/>
          <w:szCs w:val="24"/>
        </w:rPr>
      </w:pPr>
      <w:r w:rsidRPr="00721BD5">
        <w:rPr>
          <w:rFonts w:cs="Times New Roman"/>
          <w:szCs w:val="24"/>
        </w:rPr>
        <w:t>Analyzed ACO financial performance for 2018 based on MassHealth reconciliation reports</w:t>
      </w:r>
    </w:p>
    <w:p w14:paraId="059834E3" w14:textId="77777777" w:rsidR="00894617" w:rsidRPr="00721BD5" w:rsidRDefault="00894617" w:rsidP="00894617">
      <w:pPr>
        <w:pStyle w:val="ListParagraph"/>
        <w:numPr>
          <w:ilvl w:val="0"/>
          <w:numId w:val="46"/>
        </w:numPr>
        <w:spacing w:after="160" w:line="256" w:lineRule="auto"/>
        <w:rPr>
          <w:rFonts w:cs="Times New Roman"/>
          <w:szCs w:val="24"/>
        </w:rPr>
      </w:pPr>
      <w:r w:rsidRPr="00721BD5">
        <w:rPr>
          <w:rFonts w:cs="Times New Roman"/>
          <w:szCs w:val="24"/>
        </w:rPr>
        <w:t>Analyzed preliminary data on the Flexible Services Program and summarized findings for the interim report</w:t>
      </w:r>
    </w:p>
    <w:p w14:paraId="3B31A8D4" w14:textId="77777777" w:rsidR="00894617" w:rsidRPr="00721BD5" w:rsidRDefault="00894617" w:rsidP="00894617">
      <w:pPr>
        <w:pStyle w:val="ListParagraph"/>
        <w:numPr>
          <w:ilvl w:val="0"/>
          <w:numId w:val="46"/>
        </w:numPr>
        <w:spacing w:after="160" w:line="256" w:lineRule="auto"/>
        <w:rPr>
          <w:rFonts w:cs="Times New Roman"/>
          <w:szCs w:val="24"/>
        </w:rPr>
      </w:pPr>
      <w:r w:rsidRPr="00721BD5">
        <w:rPr>
          <w:rFonts w:cs="Times New Roman"/>
          <w:szCs w:val="24"/>
        </w:rPr>
        <w:t>Continued to refine and update summaries of relevant literature and policy developments, including cost reports related to safety-net hospitals</w:t>
      </w:r>
    </w:p>
    <w:p w14:paraId="7B26A7FA" w14:textId="7445FB4C" w:rsidR="00894617" w:rsidRPr="00721BD5" w:rsidRDefault="00894617" w:rsidP="00894617">
      <w:pPr>
        <w:pStyle w:val="ListParagraph"/>
        <w:numPr>
          <w:ilvl w:val="0"/>
          <w:numId w:val="46"/>
        </w:numPr>
        <w:spacing w:after="160" w:line="256" w:lineRule="auto"/>
        <w:rPr>
          <w:rFonts w:cs="Times New Roman"/>
          <w:szCs w:val="24"/>
        </w:rPr>
      </w:pPr>
      <w:r w:rsidRPr="00721BD5">
        <w:rPr>
          <w:rFonts w:cs="Times New Roman"/>
          <w:szCs w:val="24"/>
        </w:rPr>
        <w:t xml:space="preserve">Continued work on data compilation, analysis, and visualizations for the uninsurance rate and other population-based measures in Massachusetts and comparison states, and for the uncompensated care cost measures </w:t>
      </w:r>
    </w:p>
    <w:p w14:paraId="15070F4B" w14:textId="77777777" w:rsidR="00894617" w:rsidRPr="00721BD5" w:rsidRDefault="00894617" w:rsidP="00894617">
      <w:pPr>
        <w:pStyle w:val="ListParagraph"/>
        <w:numPr>
          <w:ilvl w:val="0"/>
          <w:numId w:val="46"/>
        </w:numPr>
        <w:spacing w:after="160" w:line="256" w:lineRule="auto"/>
        <w:rPr>
          <w:rFonts w:cs="Times New Roman"/>
          <w:szCs w:val="24"/>
        </w:rPr>
      </w:pPr>
      <w:r w:rsidRPr="00721BD5">
        <w:rPr>
          <w:rFonts w:cs="Times New Roman"/>
          <w:szCs w:val="24"/>
        </w:rPr>
        <w:t>Continued coordinating with MassHealth to facilitate availability and transfer of data needed for the evaluation</w:t>
      </w:r>
    </w:p>
    <w:p w14:paraId="5A97ACEA" w14:textId="0774207C" w:rsidR="00894617" w:rsidRPr="00E37158" w:rsidRDefault="00894617" w:rsidP="00A26A9E">
      <w:pPr>
        <w:pStyle w:val="ListParagraph"/>
        <w:numPr>
          <w:ilvl w:val="0"/>
          <w:numId w:val="46"/>
        </w:numPr>
        <w:spacing w:after="160" w:line="256" w:lineRule="auto"/>
        <w:rPr>
          <w:rFonts w:cs="Times New Roman"/>
          <w:szCs w:val="24"/>
        </w:rPr>
      </w:pPr>
      <w:r w:rsidRPr="00E37158">
        <w:rPr>
          <w:rFonts w:cs="Times New Roman"/>
          <w:szCs w:val="24"/>
        </w:rPr>
        <w:t>Continued collecting and analyzing the data for Student Health Insurance Program premium assistance waiver under Goal 7</w:t>
      </w:r>
    </w:p>
    <w:p w14:paraId="36BE678F" w14:textId="77777777" w:rsidR="00BC0AF4" w:rsidRPr="00F10407" w:rsidRDefault="00BC0AF4" w:rsidP="00EB3D07">
      <w:pPr>
        <w:pStyle w:val="Heading2"/>
      </w:pPr>
      <w:r w:rsidRPr="00F10407">
        <w:t>Enclosures/Attachments</w:t>
      </w:r>
    </w:p>
    <w:p w14:paraId="4197A0CF" w14:textId="77777777" w:rsidR="00BC0AF4" w:rsidRPr="00F10407" w:rsidRDefault="006312BA" w:rsidP="00A97855">
      <w:pPr>
        <w:widowControl w:val="0"/>
        <w:autoSpaceDE w:val="0"/>
        <w:autoSpaceDN w:val="0"/>
        <w:spacing w:before="100" w:beforeAutospacing="1" w:after="100" w:afterAutospacing="1"/>
        <w:rPr>
          <w:rFonts w:eastAsia="Times New Roman" w:cs="Times New Roman"/>
          <w:szCs w:val="24"/>
        </w:rPr>
      </w:pPr>
      <w:r w:rsidRPr="00F10407">
        <w:rPr>
          <w:rFonts w:eastAsia="Times New Roman" w:cs="Times New Roman"/>
          <w:szCs w:val="24"/>
        </w:rPr>
        <w:t>In addition to this narrative report, we are submitting:</w:t>
      </w:r>
    </w:p>
    <w:p w14:paraId="2731B03A" w14:textId="0A8146E3" w:rsidR="00F53008" w:rsidRDefault="00F53008" w:rsidP="00A97855">
      <w:pPr>
        <w:pStyle w:val="ListParagraph"/>
        <w:widowControl w:val="0"/>
        <w:numPr>
          <w:ilvl w:val="0"/>
          <w:numId w:val="3"/>
        </w:numPr>
        <w:autoSpaceDE w:val="0"/>
        <w:autoSpaceDN w:val="0"/>
        <w:spacing w:before="100" w:beforeAutospacing="1" w:after="100" w:afterAutospacing="1"/>
        <w:rPr>
          <w:rFonts w:eastAsia="Times New Roman" w:cs="Times New Roman"/>
          <w:szCs w:val="24"/>
        </w:rPr>
      </w:pPr>
      <w:r w:rsidRPr="00020AFD">
        <w:rPr>
          <w:rFonts w:eastAsia="Times New Roman" w:cs="Times New Roman"/>
          <w:szCs w:val="24"/>
        </w:rPr>
        <w:t>Budget Neutrality Workbook</w:t>
      </w:r>
      <w:r>
        <w:rPr>
          <w:rFonts w:eastAsia="Times New Roman" w:cs="Times New Roman"/>
          <w:szCs w:val="24"/>
        </w:rPr>
        <w:t xml:space="preserve"> </w:t>
      </w:r>
    </w:p>
    <w:p w14:paraId="61F8EF62" w14:textId="77777777" w:rsidR="00020AFD" w:rsidRDefault="00BC0AF4" w:rsidP="00EB3D07">
      <w:pPr>
        <w:pStyle w:val="Heading2"/>
      </w:pPr>
      <w:bookmarkStart w:id="11" w:name="State_Contact(s)"/>
      <w:bookmarkEnd w:id="11"/>
      <w:r w:rsidRPr="00F10407">
        <w:t>State Contact(s)</w:t>
      </w:r>
    </w:p>
    <w:p w14:paraId="4167D7D0" w14:textId="41C1DE62" w:rsidR="00020AFD" w:rsidRDefault="006A52C6" w:rsidP="002C262C">
      <w:pPr>
        <w:spacing w:after="0"/>
      </w:pPr>
      <w:r>
        <w:t>Alison Kirchgasser</w:t>
      </w:r>
    </w:p>
    <w:p w14:paraId="4033A3B4" w14:textId="68338E8B" w:rsidR="00D4549A" w:rsidRPr="00F10407" w:rsidRDefault="006A52C6" w:rsidP="002C262C">
      <w:pPr>
        <w:spacing w:after="0"/>
      </w:pPr>
      <w:r>
        <w:t>Deputy Policy Director for Federal Policy</w:t>
      </w:r>
    </w:p>
    <w:p w14:paraId="181C15FF" w14:textId="77777777" w:rsidR="00D4549A" w:rsidRPr="00F10407" w:rsidRDefault="00D4549A" w:rsidP="002C262C">
      <w:pPr>
        <w:spacing w:after="0"/>
        <w:rPr>
          <w:rFonts w:cs="Times New Roman"/>
          <w:szCs w:val="24"/>
        </w:rPr>
      </w:pPr>
      <w:r w:rsidRPr="00F10407">
        <w:rPr>
          <w:rFonts w:cs="Times New Roman"/>
          <w:szCs w:val="24"/>
        </w:rPr>
        <w:t>Executive Office of Health and Human Services</w:t>
      </w:r>
    </w:p>
    <w:p w14:paraId="088496CE" w14:textId="77777777" w:rsidR="00D4549A" w:rsidRPr="00F10407" w:rsidRDefault="00D4549A" w:rsidP="002C262C">
      <w:pPr>
        <w:spacing w:after="0"/>
        <w:rPr>
          <w:rFonts w:cs="Times New Roman"/>
          <w:szCs w:val="24"/>
        </w:rPr>
      </w:pPr>
      <w:r w:rsidRPr="00F10407">
        <w:rPr>
          <w:rFonts w:cs="Times New Roman"/>
          <w:szCs w:val="24"/>
        </w:rPr>
        <w:t>One Ashburton Place, 11</w:t>
      </w:r>
      <w:r w:rsidRPr="00F10407">
        <w:rPr>
          <w:rFonts w:cs="Times New Roman"/>
          <w:szCs w:val="24"/>
          <w:vertAlign w:val="superscript"/>
        </w:rPr>
        <w:t>th</w:t>
      </w:r>
      <w:r w:rsidRPr="00F10407">
        <w:rPr>
          <w:rFonts w:cs="Times New Roman"/>
          <w:szCs w:val="24"/>
        </w:rPr>
        <w:t xml:space="preserve"> floor</w:t>
      </w:r>
    </w:p>
    <w:p w14:paraId="619A1508" w14:textId="77777777" w:rsidR="00D4549A" w:rsidRDefault="00D4549A" w:rsidP="002C262C">
      <w:pPr>
        <w:spacing w:after="0"/>
        <w:rPr>
          <w:rFonts w:cs="Times New Roman"/>
          <w:szCs w:val="24"/>
        </w:rPr>
      </w:pPr>
      <w:r w:rsidRPr="00F10407">
        <w:rPr>
          <w:rFonts w:cs="Times New Roman"/>
          <w:szCs w:val="24"/>
        </w:rPr>
        <w:t>Boston, MA 02108</w:t>
      </w:r>
    </w:p>
    <w:p w14:paraId="76B8B488" w14:textId="409E5B7E" w:rsidR="00EF7A7A" w:rsidRDefault="002065C2" w:rsidP="002C262C">
      <w:pPr>
        <w:spacing w:after="0"/>
        <w:rPr>
          <w:rFonts w:cs="Times New Roman"/>
          <w:szCs w:val="24"/>
        </w:rPr>
      </w:pPr>
      <w:hyperlink r:id="rId25" w:history="1">
        <w:r w:rsidR="006A52C6" w:rsidRPr="00666002">
          <w:rPr>
            <w:rStyle w:val="Hyperlink"/>
            <w:rFonts w:cs="Times New Roman"/>
            <w:szCs w:val="24"/>
          </w:rPr>
          <w:t>Alison.Kirchgasser@mass.gov</w:t>
        </w:r>
      </w:hyperlink>
      <w:r w:rsidR="006A52C6">
        <w:rPr>
          <w:rFonts w:cs="Times New Roman"/>
          <w:szCs w:val="24"/>
        </w:rPr>
        <w:tab/>
      </w:r>
    </w:p>
    <w:p w14:paraId="1628D0E9" w14:textId="77777777" w:rsidR="00E3134B" w:rsidRPr="00F10407" w:rsidRDefault="00E3134B" w:rsidP="002C262C">
      <w:pPr>
        <w:spacing w:after="0"/>
        <w:rPr>
          <w:rFonts w:cs="Times New Roman"/>
          <w:szCs w:val="24"/>
        </w:rPr>
      </w:pPr>
    </w:p>
    <w:p w14:paraId="6F25B696" w14:textId="6A85F32B" w:rsidR="0025043A" w:rsidRPr="00F10407" w:rsidRDefault="00BC0AF4" w:rsidP="002C262C">
      <w:pPr>
        <w:pStyle w:val="Heading2"/>
      </w:pPr>
      <w:bookmarkStart w:id="12" w:name="Date_Submitted_to_CMS"/>
      <w:bookmarkEnd w:id="12"/>
      <w:r w:rsidRPr="00F10407">
        <w:t>Date Submitted to CMS</w:t>
      </w:r>
    </w:p>
    <w:p w14:paraId="1CF3FE0A" w14:textId="68D36B70" w:rsidR="00EF7A7A" w:rsidRPr="00F10407" w:rsidRDefault="00E77AC4" w:rsidP="002C262C">
      <w:r>
        <w:t>September</w:t>
      </w:r>
      <w:r w:rsidR="00472BEE">
        <w:t xml:space="preserve"> 3</w:t>
      </w:r>
      <w:r>
        <w:t>0</w:t>
      </w:r>
      <w:r w:rsidR="00EF7A7A">
        <w:t>, 202</w:t>
      </w:r>
      <w:r w:rsidR="006A52C6">
        <w:t>1</w:t>
      </w:r>
    </w:p>
    <w:sectPr w:rsidR="00EF7A7A" w:rsidRPr="00F10407" w:rsidSect="00BC0AF4">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11635" w14:textId="77777777" w:rsidR="006F009B" w:rsidRDefault="006F009B" w:rsidP="00F8023E">
      <w:pPr>
        <w:spacing w:after="0" w:line="240" w:lineRule="auto"/>
      </w:pPr>
      <w:r>
        <w:separator/>
      </w:r>
    </w:p>
  </w:endnote>
  <w:endnote w:type="continuationSeparator" w:id="0">
    <w:p w14:paraId="40925461" w14:textId="77777777" w:rsidR="006F009B" w:rsidRDefault="006F009B" w:rsidP="00F80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2420172"/>
      <w:docPartObj>
        <w:docPartGallery w:val="Page Numbers (Bottom of Page)"/>
        <w:docPartUnique/>
      </w:docPartObj>
    </w:sdtPr>
    <w:sdtEndPr>
      <w:rPr>
        <w:rFonts w:cs="Times New Roman"/>
        <w:noProof/>
        <w:szCs w:val="24"/>
      </w:rPr>
    </w:sdtEndPr>
    <w:sdtContent>
      <w:p w14:paraId="12D7375A" w14:textId="77777777" w:rsidR="006478E9" w:rsidRPr="009C2CA7" w:rsidRDefault="006478E9">
        <w:pPr>
          <w:pStyle w:val="Footer"/>
          <w:jc w:val="right"/>
          <w:rPr>
            <w:rFonts w:cs="Times New Roman"/>
            <w:szCs w:val="24"/>
          </w:rPr>
        </w:pPr>
        <w:r>
          <w:rPr>
            <w:rFonts w:asciiTheme="minorHAnsi" w:hAnsiTheme="minorHAnsi"/>
            <w:sz w:val="22"/>
          </w:rPr>
          <w:fldChar w:fldCharType="begin"/>
        </w:r>
        <w:r>
          <w:instrText xml:space="preserve"> PAGE   \* MERGEFORMAT </w:instrText>
        </w:r>
        <w:r>
          <w:rPr>
            <w:rFonts w:asciiTheme="minorHAnsi" w:hAnsiTheme="minorHAnsi"/>
            <w:sz w:val="22"/>
          </w:rPr>
          <w:fldChar w:fldCharType="separate"/>
        </w:r>
        <w:r w:rsidR="007A1C35" w:rsidRPr="007A1C35">
          <w:rPr>
            <w:rFonts w:cs="Times New Roman"/>
            <w:noProof/>
            <w:szCs w:val="24"/>
          </w:rPr>
          <w:t>35</w:t>
        </w:r>
        <w:r>
          <w:rPr>
            <w:rFonts w:cs="Times New Roman"/>
            <w:noProof/>
            <w:szCs w:val="24"/>
          </w:rPr>
          <w:fldChar w:fldCharType="end"/>
        </w:r>
      </w:p>
    </w:sdtContent>
  </w:sdt>
  <w:p w14:paraId="65733C54" w14:textId="77777777" w:rsidR="006478E9" w:rsidRDefault="00647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1FB88" w14:textId="77777777" w:rsidR="006F009B" w:rsidRDefault="006F009B" w:rsidP="00F8023E">
      <w:pPr>
        <w:spacing w:after="0" w:line="240" w:lineRule="auto"/>
      </w:pPr>
      <w:r>
        <w:separator/>
      </w:r>
    </w:p>
  </w:footnote>
  <w:footnote w:type="continuationSeparator" w:id="0">
    <w:p w14:paraId="7DBA6346" w14:textId="77777777" w:rsidR="006F009B" w:rsidRDefault="006F009B" w:rsidP="00F8023E">
      <w:pPr>
        <w:spacing w:after="0" w:line="240" w:lineRule="auto"/>
      </w:pPr>
      <w:r>
        <w:continuationSeparator/>
      </w:r>
    </w:p>
  </w:footnote>
  <w:footnote w:id="1">
    <w:p w14:paraId="05F283B0" w14:textId="77777777" w:rsidR="000A19C6" w:rsidRPr="00630C31" w:rsidRDefault="000A19C6" w:rsidP="000A19C6">
      <w:pPr>
        <w:pStyle w:val="FootnoteText"/>
        <w:rPr>
          <w:rFonts w:cs="Times New Roman"/>
        </w:rPr>
      </w:pPr>
      <w:r w:rsidRPr="00630C31">
        <w:rPr>
          <w:rFonts w:cs="Times New Roman"/>
        </w:rPr>
        <w:footnoteRef/>
      </w:r>
      <w:r w:rsidRPr="00630C31">
        <w:rPr>
          <w:rFonts w:cs="Times New Roman"/>
        </w:rPr>
        <w:t xml:space="preserve"> Massachusetts’ COVID-19 phased vaccine distribution plan was developed with the goals of protecting the most vulnerable, maintaining health care system capacity, and addressing inequities in health care access and COVID-19 burden. Phase 2 was in place during the period between February 1 and April 18, 2021, and included the 75+ and 65+ populations, consecutively, as well as workers in certain categories and people with certain medical conditions.</w:t>
      </w:r>
    </w:p>
  </w:footnote>
  <w:footnote w:id="2">
    <w:p w14:paraId="1E0C5B87" w14:textId="77777777" w:rsidR="00DC3DA6" w:rsidRDefault="00DC3DA6" w:rsidP="00DC3DA6">
      <w:pPr>
        <w:pStyle w:val="FootnoteText"/>
      </w:pPr>
      <w:r>
        <w:rPr>
          <w:rStyle w:val="FootnoteReference"/>
        </w:rPr>
        <w:footnoteRef/>
      </w:r>
      <w:r>
        <w:t xml:space="preserve"> The numerator (i.e., ACO members) includes all ACO model types (A, B, and C),</w:t>
      </w:r>
      <w:r w:rsidRPr="00A10103">
        <w:t xml:space="preserve"> as well as MCO enrollees covered by APMs that are not ACOs.</w:t>
      </w:r>
    </w:p>
  </w:footnote>
  <w:footnote w:id="3">
    <w:p w14:paraId="5B200649" w14:textId="77777777" w:rsidR="00DC3DA6" w:rsidRDefault="00DC3DA6" w:rsidP="00DC3DA6">
      <w:pPr>
        <w:pStyle w:val="FootnoteText"/>
      </w:pPr>
      <w:r>
        <w:rPr>
          <w:rStyle w:val="FootnoteReference"/>
        </w:rPr>
        <w:footnoteRef/>
      </w:r>
      <w:r>
        <w:t xml:space="preserve"> The denominator (i.e., ACO-eligible members) includes all ACO enrollees (Model A, B, C) as well as members enrolled in the PCC Plan, our traditional MCO program, and a subset of FFS members </w:t>
      </w:r>
      <w:r>
        <w:rPr>
          <w:rFonts w:eastAsia="Times New Roman"/>
        </w:rPr>
        <w:t>who are managed care-eligible but not enrolled. This includes Department of Children and Family (DCF) children and others who are eligible for managed care but either between plans or not subject to mandatory enrollment.</w:t>
      </w:r>
    </w:p>
  </w:footnote>
  <w:footnote w:id="4">
    <w:p w14:paraId="769DF9DB" w14:textId="77777777" w:rsidR="00DC3DA6" w:rsidRDefault="00DC3DA6" w:rsidP="00DC3DA6">
      <w:pPr>
        <w:pStyle w:val="FootnoteText"/>
      </w:pPr>
      <w:r>
        <w:rPr>
          <w:rStyle w:val="FootnoteReference"/>
        </w:rPr>
        <w:footnoteRef/>
      </w:r>
      <w:r>
        <w:t xml:space="preserve"> The traditional MCO program has a quality measure slate and an option to implement a performance incentive withhold on capitation rates.  As of present day, MassHealth has not implemented the performance incentive withhold.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6051E"/>
    <w:multiLevelType w:val="hybridMultilevel"/>
    <w:tmpl w:val="21E6C8A4"/>
    <w:lvl w:ilvl="0" w:tplc="B4DC087A">
      <w:start w:val="11"/>
      <w:numFmt w:val="upperRoman"/>
      <w:lvlText w:val="%1."/>
      <w:lvlJc w:val="left"/>
      <w:pPr>
        <w:ind w:left="839" w:hanging="720"/>
      </w:pPr>
      <w:rPr>
        <w:b/>
        <w:bCs/>
        <w:spacing w:val="-2"/>
        <w:w w:val="98"/>
      </w:rPr>
    </w:lvl>
    <w:lvl w:ilvl="1" w:tplc="7D98B6E8">
      <w:start w:val="1"/>
      <w:numFmt w:val="upperLetter"/>
      <w:lvlText w:val="%2."/>
      <w:lvlJc w:val="left"/>
      <w:pPr>
        <w:ind w:left="768" w:hanging="293"/>
      </w:pPr>
      <w:rPr>
        <w:rFonts w:ascii="Times New Roman" w:eastAsia="Times New Roman" w:hAnsi="Times New Roman" w:cs="Times New Roman" w:hint="default"/>
        <w:b/>
        <w:bCs/>
        <w:spacing w:val="-4"/>
        <w:w w:val="98"/>
        <w:sz w:val="24"/>
        <w:szCs w:val="24"/>
      </w:rPr>
    </w:lvl>
    <w:lvl w:ilvl="2" w:tplc="94E0F874">
      <w:start w:val="1"/>
      <w:numFmt w:val="decimal"/>
      <w:lvlText w:val="%3."/>
      <w:lvlJc w:val="left"/>
      <w:pPr>
        <w:ind w:left="929" w:hanging="360"/>
      </w:pPr>
      <w:rPr>
        <w:rFonts w:ascii="Times New Roman" w:eastAsia="Times New Roman" w:hAnsi="Times New Roman" w:cs="Times New Roman" w:hint="default"/>
        <w:spacing w:val="-1"/>
        <w:w w:val="98"/>
        <w:sz w:val="24"/>
        <w:szCs w:val="24"/>
      </w:rPr>
    </w:lvl>
    <w:lvl w:ilvl="3" w:tplc="140C69AC">
      <w:numFmt w:val="bullet"/>
      <w:lvlText w:val="•"/>
      <w:lvlJc w:val="left"/>
      <w:pPr>
        <w:ind w:left="2132" w:hanging="360"/>
      </w:pPr>
    </w:lvl>
    <w:lvl w:ilvl="4" w:tplc="6338D0C4">
      <w:numFmt w:val="bullet"/>
      <w:lvlText w:val="•"/>
      <w:lvlJc w:val="left"/>
      <w:pPr>
        <w:ind w:left="3345" w:hanging="360"/>
      </w:pPr>
    </w:lvl>
    <w:lvl w:ilvl="5" w:tplc="969697E0">
      <w:numFmt w:val="bullet"/>
      <w:lvlText w:val="•"/>
      <w:lvlJc w:val="left"/>
      <w:pPr>
        <w:ind w:left="4557" w:hanging="360"/>
      </w:pPr>
    </w:lvl>
    <w:lvl w:ilvl="6" w:tplc="10BEC1D2">
      <w:numFmt w:val="bullet"/>
      <w:lvlText w:val="•"/>
      <w:lvlJc w:val="left"/>
      <w:pPr>
        <w:ind w:left="5770" w:hanging="360"/>
      </w:pPr>
    </w:lvl>
    <w:lvl w:ilvl="7" w:tplc="2E526142">
      <w:numFmt w:val="bullet"/>
      <w:lvlText w:val="•"/>
      <w:lvlJc w:val="left"/>
      <w:pPr>
        <w:ind w:left="6982" w:hanging="360"/>
      </w:pPr>
    </w:lvl>
    <w:lvl w:ilvl="8" w:tplc="A288A48E">
      <w:numFmt w:val="bullet"/>
      <w:lvlText w:val="•"/>
      <w:lvlJc w:val="left"/>
      <w:pPr>
        <w:ind w:left="8195" w:hanging="360"/>
      </w:pPr>
    </w:lvl>
  </w:abstractNum>
  <w:abstractNum w:abstractNumId="1" w15:restartNumberingAfterBreak="0">
    <w:nsid w:val="0175138D"/>
    <w:multiLevelType w:val="hybridMultilevel"/>
    <w:tmpl w:val="97C0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82127"/>
    <w:multiLevelType w:val="hybridMultilevel"/>
    <w:tmpl w:val="25B8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50B18"/>
    <w:multiLevelType w:val="hybridMultilevel"/>
    <w:tmpl w:val="82487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D6FB6"/>
    <w:multiLevelType w:val="hybridMultilevel"/>
    <w:tmpl w:val="C5EC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C4857"/>
    <w:multiLevelType w:val="hybridMultilevel"/>
    <w:tmpl w:val="E0084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66570"/>
    <w:multiLevelType w:val="hybridMultilevel"/>
    <w:tmpl w:val="8FFE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35D88"/>
    <w:multiLevelType w:val="hybridMultilevel"/>
    <w:tmpl w:val="606807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FE407E"/>
    <w:multiLevelType w:val="hybridMultilevel"/>
    <w:tmpl w:val="D18C6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5077D6"/>
    <w:multiLevelType w:val="multilevel"/>
    <w:tmpl w:val="2702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B25833"/>
    <w:multiLevelType w:val="hybridMultilevel"/>
    <w:tmpl w:val="C482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4C7C84"/>
    <w:multiLevelType w:val="hybridMultilevel"/>
    <w:tmpl w:val="53FE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C11980"/>
    <w:multiLevelType w:val="hybridMultilevel"/>
    <w:tmpl w:val="8A766B9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1DE806D4"/>
    <w:multiLevelType w:val="multilevel"/>
    <w:tmpl w:val="484603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586F16"/>
    <w:multiLevelType w:val="hybridMultilevel"/>
    <w:tmpl w:val="CCC64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F5B98"/>
    <w:multiLevelType w:val="hybridMultilevel"/>
    <w:tmpl w:val="7A78B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20457B"/>
    <w:multiLevelType w:val="hybridMultilevel"/>
    <w:tmpl w:val="8416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B33650"/>
    <w:multiLevelType w:val="hybridMultilevel"/>
    <w:tmpl w:val="9ECA3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3A7FCC"/>
    <w:multiLevelType w:val="hybridMultilevel"/>
    <w:tmpl w:val="2FC28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6207B8"/>
    <w:multiLevelType w:val="hybridMultilevel"/>
    <w:tmpl w:val="BA389F5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2C185694"/>
    <w:multiLevelType w:val="hybridMultilevel"/>
    <w:tmpl w:val="80BE8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503AAC"/>
    <w:multiLevelType w:val="hybridMultilevel"/>
    <w:tmpl w:val="0792D646"/>
    <w:lvl w:ilvl="0" w:tplc="5C5460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7D15B8"/>
    <w:multiLevelType w:val="hybridMultilevel"/>
    <w:tmpl w:val="F3FCB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645147"/>
    <w:multiLevelType w:val="hybridMultilevel"/>
    <w:tmpl w:val="922AB7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43F191C"/>
    <w:multiLevelType w:val="hybridMultilevel"/>
    <w:tmpl w:val="0D28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1A54C3"/>
    <w:multiLevelType w:val="hybridMultilevel"/>
    <w:tmpl w:val="E3024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94E2B63"/>
    <w:multiLevelType w:val="hybridMultilevel"/>
    <w:tmpl w:val="754C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8316E5"/>
    <w:multiLevelType w:val="hybridMultilevel"/>
    <w:tmpl w:val="15B8A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1D208C"/>
    <w:multiLevelType w:val="hybridMultilevel"/>
    <w:tmpl w:val="C6C4C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484F66"/>
    <w:multiLevelType w:val="hybridMultilevel"/>
    <w:tmpl w:val="A9AA4D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CC22FE"/>
    <w:multiLevelType w:val="hybridMultilevel"/>
    <w:tmpl w:val="82D24D52"/>
    <w:lvl w:ilvl="0" w:tplc="211EDBC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66214F"/>
    <w:multiLevelType w:val="hybridMultilevel"/>
    <w:tmpl w:val="054E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4376DD"/>
    <w:multiLevelType w:val="hybridMultilevel"/>
    <w:tmpl w:val="BA3C0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D81D18"/>
    <w:multiLevelType w:val="hybridMultilevel"/>
    <w:tmpl w:val="BB66D6B8"/>
    <w:lvl w:ilvl="0" w:tplc="D6D41110">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1C0F85"/>
    <w:multiLevelType w:val="hybridMultilevel"/>
    <w:tmpl w:val="17624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137F1A"/>
    <w:multiLevelType w:val="hybridMultilevel"/>
    <w:tmpl w:val="A32A2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0B2432"/>
    <w:multiLevelType w:val="hybridMultilevel"/>
    <w:tmpl w:val="9A567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40" w:hanging="5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1D4A84"/>
    <w:multiLevelType w:val="hybridMultilevel"/>
    <w:tmpl w:val="F4948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0B2AC8"/>
    <w:multiLevelType w:val="hybridMultilevel"/>
    <w:tmpl w:val="DFA8DCF2"/>
    <w:lvl w:ilvl="0" w:tplc="211EDBC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893E9E"/>
    <w:multiLevelType w:val="hybridMultilevel"/>
    <w:tmpl w:val="FF6C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0656F9"/>
    <w:multiLevelType w:val="hybridMultilevel"/>
    <w:tmpl w:val="B8286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4C54DB"/>
    <w:multiLevelType w:val="hybridMultilevel"/>
    <w:tmpl w:val="316C4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27C23A6"/>
    <w:multiLevelType w:val="hybridMultilevel"/>
    <w:tmpl w:val="5A9C8024"/>
    <w:lvl w:ilvl="0" w:tplc="04090001">
      <w:start w:val="1"/>
      <w:numFmt w:val="bullet"/>
      <w:lvlText w:val=""/>
      <w:lvlJc w:val="left"/>
      <w:pPr>
        <w:ind w:left="720" w:hanging="360"/>
      </w:pPr>
      <w:rPr>
        <w:rFonts w:ascii="Symbol" w:hAnsi="Symbol" w:hint="default"/>
      </w:rPr>
    </w:lvl>
    <w:lvl w:ilvl="1" w:tplc="0284C7D2">
      <w:start w:val="2020"/>
      <w:numFmt w:val="bullet"/>
      <w:lvlText w:val="·"/>
      <w:lvlJc w:val="left"/>
      <w:pPr>
        <w:ind w:left="1640" w:hanging="5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DA2AB5"/>
    <w:multiLevelType w:val="hybridMultilevel"/>
    <w:tmpl w:val="428A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F1EC5"/>
    <w:multiLevelType w:val="hybridMultilevel"/>
    <w:tmpl w:val="573063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660A9C"/>
    <w:multiLevelType w:val="hybridMultilevel"/>
    <w:tmpl w:val="86C0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D755EB"/>
    <w:multiLevelType w:val="hybridMultilevel"/>
    <w:tmpl w:val="DA5EECE0"/>
    <w:lvl w:ilvl="0" w:tplc="62609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F3766B"/>
    <w:multiLevelType w:val="hybridMultilevel"/>
    <w:tmpl w:val="7DB88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0960A2"/>
    <w:multiLevelType w:val="hybridMultilevel"/>
    <w:tmpl w:val="DC3EC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220A71"/>
    <w:multiLevelType w:val="hybridMultilevel"/>
    <w:tmpl w:val="61D4823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5F9237D9"/>
    <w:multiLevelType w:val="hybridMultilevel"/>
    <w:tmpl w:val="580A0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1A0059A"/>
    <w:multiLevelType w:val="hybridMultilevel"/>
    <w:tmpl w:val="47560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BD48E2"/>
    <w:multiLevelType w:val="hybridMultilevel"/>
    <w:tmpl w:val="7D442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166491"/>
    <w:multiLevelType w:val="hybridMultilevel"/>
    <w:tmpl w:val="DC2C1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F1A0DD3"/>
    <w:multiLevelType w:val="hybridMultilevel"/>
    <w:tmpl w:val="3092B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EA27D8"/>
    <w:multiLevelType w:val="multilevel"/>
    <w:tmpl w:val="60F62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9C38B9"/>
    <w:multiLevelType w:val="hybridMultilevel"/>
    <w:tmpl w:val="BC74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AD3952"/>
    <w:multiLevelType w:val="hybridMultilevel"/>
    <w:tmpl w:val="78A492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928430A"/>
    <w:multiLevelType w:val="multilevel"/>
    <w:tmpl w:val="53DCA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DB7AC5"/>
    <w:multiLevelType w:val="hybridMultilevel"/>
    <w:tmpl w:val="6470A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9C1A49"/>
    <w:multiLevelType w:val="hybridMultilevel"/>
    <w:tmpl w:val="228A8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14"/>
  </w:num>
  <w:num w:numId="3">
    <w:abstractNumId w:val="1"/>
  </w:num>
  <w:num w:numId="4">
    <w:abstractNumId w:val="26"/>
  </w:num>
  <w:num w:numId="5">
    <w:abstractNumId w:val="33"/>
  </w:num>
  <w:num w:numId="6">
    <w:abstractNumId w:val="13"/>
  </w:num>
  <w:num w:numId="7">
    <w:abstractNumId w:val="3"/>
  </w:num>
  <w:num w:numId="8">
    <w:abstractNumId w:val="21"/>
  </w:num>
  <w:num w:numId="9">
    <w:abstractNumId w:val="44"/>
  </w:num>
  <w:num w:numId="10">
    <w:abstractNumId w:val="7"/>
  </w:num>
  <w:num w:numId="11">
    <w:abstractNumId w:val="53"/>
  </w:num>
  <w:num w:numId="12">
    <w:abstractNumId w:val="29"/>
  </w:num>
  <w:num w:numId="13">
    <w:abstractNumId w:val="27"/>
  </w:num>
  <w:num w:numId="14">
    <w:abstractNumId w:val="28"/>
  </w:num>
  <w:num w:numId="15">
    <w:abstractNumId w:val="50"/>
  </w:num>
  <w:num w:numId="16">
    <w:abstractNumId w:val="15"/>
  </w:num>
  <w:num w:numId="17">
    <w:abstractNumId w:val="23"/>
  </w:num>
  <w:num w:numId="18">
    <w:abstractNumId w:val="6"/>
  </w:num>
  <w:num w:numId="19">
    <w:abstractNumId w:val="59"/>
  </w:num>
  <w:num w:numId="20">
    <w:abstractNumId w:val="42"/>
  </w:num>
  <w:num w:numId="21">
    <w:abstractNumId w:val="10"/>
  </w:num>
  <w:num w:numId="22">
    <w:abstractNumId w:val="39"/>
  </w:num>
  <w:num w:numId="23">
    <w:abstractNumId w:val="46"/>
  </w:num>
  <w:num w:numId="24">
    <w:abstractNumId w:val="36"/>
  </w:num>
  <w:num w:numId="25">
    <w:abstractNumId w:val="9"/>
  </w:num>
  <w:num w:numId="26">
    <w:abstractNumId w:val="32"/>
  </w:num>
  <w:num w:numId="27">
    <w:abstractNumId w:val="48"/>
  </w:num>
  <w:num w:numId="28">
    <w:abstractNumId w:val="40"/>
  </w:num>
  <w:num w:numId="29">
    <w:abstractNumId w:val="11"/>
  </w:num>
  <w:num w:numId="30">
    <w:abstractNumId w:val="2"/>
  </w:num>
  <w:num w:numId="31">
    <w:abstractNumId w:val="12"/>
  </w:num>
  <w:num w:numId="32">
    <w:abstractNumId w:val="45"/>
  </w:num>
  <w:num w:numId="33">
    <w:abstractNumId w:val="19"/>
  </w:num>
  <w:num w:numId="34">
    <w:abstractNumId w:val="51"/>
  </w:num>
  <w:num w:numId="35">
    <w:abstractNumId w:val="5"/>
  </w:num>
  <w:num w:numId="36">
    <w:abstractNumId w:val="24"/>
  </w:num>
  <w:num w:numId="37">
    <w:abstractNumId w:val="47"/>
  </w:num>
  <w:num w:numId="38">
    <w:abstractNumId w:val="54"/>
  </w:num>
  <w:num w:numId="39">
    <w:abstractNumId w:val="20"/>
  </w:num>
  <w:num w:numId="40">
    <w:abstractNumId w:val="8"/>
  </w:num>
  <w:num w:numId="41">
    <w:abstractNumId w:val="37"/>
  </w:num>
  <w:num w:numId="42">
    <w:abstractNumId w:val="17"/>
  </w:num>
  <w:num w:numId="43">
    <w:abstractNumId w:val="52"/>
  </w:num>
  <w:num w:numId="44">
    <w:abstractNumId w:val="16"/>
  </w:num>
  <w:num w:numId="45">
    <w:abstractNumId w:val="25"/>
  </w:num>
  <w:num w:numId="46">
    <w:abstractNumId w:val="22"/>
  </w:num>
  <w:num w:numId="47">
    <w:abstractNumId w:val="34"/>
  </w:num>
  <w:num w:numId="48">
    <w:abstractNumId w:val="31"/>
  </w:num>
  <w:num w:numId="49">
    <w:abstractNumId w:val="30"/>
  </w:num>
  <w:num w:numId="50">
    <w:abstractNumId w:val="4"/>
  </w:num>
  <w:num w:numId="51">
    <w:abstractNumId w:val="18"/>
  </w:num>
  <w:num w:numId="52">
    <w:abstractNumId w:val="56"/>
  </w:num>
  <w:num w:numId="53">
    <w:abstractNumId w:val="38"/>
  </w:num>
  <w:num w:numId="54">
    <w:abstractNumId w:val="49"/>
  </w:num>
  <w:num w:numId="55">
    <w:abstractNumId w:val="60"/>
  </w:num>
  <w:num w:numId="56">
    <w:abstractNumId w:val="57"/>
  </w:num>
  <w:num w:numId="57">
    <w:abstractNumId w:val="43"/>
  </w:num>
  <w:num w:numId="58">
    <w:abstractNumId w:val="41"/>
  </w:num>
  <w:num w:numId="59">
    <w:abstractNumId w:val="42"/>
  </w:num>
  <w:num w:numId="60">
    <w:abstractNumId w:val="35"/>
  </w:num>
  <w:num w:numId="61">
    <w:abstractNumId w:val="58"/>
  </w:num>
  <w:num w:numId="62">
    <w:abstractNumId w:val="5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F4"/>
    <w:rsid w:val="00007AEF"/>
    <w:rsid w:val="00007C4E"/>
    <w:rsid w:val="00010058"/>
    <w:rsid w:val="00015993"/>
    <w:rsid w:val="00016ABF"/>
    <w:rsid w:val="0001784F"/>
    <w:rsid w:val="00020912"/>
    <w:rsid w:val="00020AFD"/>
    <w:rsid w:val="00025117"/>
    <w:rsid w:val="00027232"/>
    <w:rsid w:val="000355BC"/>
    <w:rsid w:val="00040FCE"/>
    <w:rsid w:val="00041DF2"/>
    <w:rsid w:val="00041EE3"/>
    <w:rsid w:val="000456F2"/>
    <w:rsid w:val="00046C4C"/>
    <w:rsid w:val="000507AE"/>
    <w:rsid w:val="000568D2"/>
    <w:rsid w:val="000570EA"/>
    <w:rsid w:val="00057FB2"/>
    <w:rsid w:val="000600F8"/>
    <w:rsid w:val="000665CD"/>
    <w:rsid w:val="00077E0D"/>
    <w:rsid w:val="00080F20"/>
    <w:rsid w:val="000836C2"/>
    <w:rsid w:val="00085674"/>
    <w:rsid w:val="000859D3"/>
    <w:rsid w:val="00095D67"/>
    <w:rsid w:val="00096028"/>
    <w:rsid w:val="000A0173"/>
    <w:rsid w:val="000A0C74"/>
    <w:rsid w:val="000A19C6"/>
    <w:rsid w:val="000A2610"/>
    <w:rsid w:val="000A2A20"/>
    <w:rsid w:val="000A4B1A"/>
    <w:rsid w:val="000A6B82"/>
    <w:rsid w:val="000B6BDA"/>
    <w:rsid w:val="000B74F6"/>
    <w:rsid w:val="000B7AE3"/>
    <w:rsid w:val="000C1C99"/>
    <w:rsid w:val="000C2074"/>
    <w:rsid w:val="000C3A32"/>
    <w:rsid w:val="000C563C"/>
    <w:rsid w:val="000C5A86"/>
    <w:rsid w:val="000D179E"/>
    <w:rsid w:val="000D3C92"/>
    <w:rsid w:val="000D6C92"/>
    <w:rsid w:val="000E27B8"/>
    <w:rsid w:val="000E5924"/>
    <w:rsid w:val="000E5DDC"/>
    <w:rsid w:val="000F090B"/>
    <w:rsid w:val="000F13F6"/>
    <w:rsid w:val="000F4D96"/>
    <w:rsid w:val="00100178"/>
    <w:rsid w:val="00100ABD"/>
    <w:rsid w:val="00103428"/>
    <w:rsid w:val="00105E19"/>
    <w:rsid w:val="00106061"/>
    <w:rsid w:val="00106134"/>
    <w:rsid w:val="00107964"/>
    <w:rsid w:val="00110AFD"/>
    <w:rsid w:val="0011451C"/>
    <w:rsid w:val="00114E59"/>
    <w:rsid w:val="00124810"/>
    <w:rsid w:val="0012496D"/>
    <w:rsid w:val="00124EBB"/>
    <w:rsid w:val="0012679A"/>
    <w:rsid w:val="001353EC"/>
    <w:rsid w:val="0014040C"/>
    <w:rsid w:val="00142491"/>
    <w:rsid w:val="0014554B"/>
    <w:rsid w:val="0015131A"/>
    <w:rsid w:val="00152184"/>
    <w:rsid w:val="0015357B"/>
    <w:rsid w:val="00153668"/>
    <w:rsid w:val="00154CDF"/>
    <w:rsid w:val="00155D85"/>
    <w:rsid w:val="00161956"/>
    <w:rsid w:val="001641E8"/>
    <w:rsid w:val="00165A67"/>
    <w:rsid w:val="00166081"/>
    <w:rsid w:val="00166816"/>
    <w:rsid w:val="001750DD"/>
    <w:rsid w:val="00175DA0"/>
    <w:rsid w:val="0017783C"/>
    <w:rsid w:val="00181BE5"/>
    <w:rsid w:val="00187509"/>
    <w:rsid w:val="00195332"/>
    <w:rsid w:val="00196161"/>
    <w:rsid w:val="001A240D"/>
    <w:rsid w:val="001A252F"/>
    <w:rsid w:val="001A65C1"/>
    <w:rsid w:val="001B7BC6"/>
    <w:rsid w:val="001C764F"/>
    <w:rsid w:val="001D4C4D"/>
    <w:rsid w:val="001D672E"/>
    <w:rsid w:val="001D7612"/>
    <w:rsid w:val="001E0450"/>
    <w:rsid w:val="001E3BAF"/>
    <w:rsid w:val="001E400B"/>
    <w:rsid w:val="001E6000"/>
    <w:rsid w:val="001E7612"/>
    <w:rsid w:val="001F6BB2"/>
    <w:rsid w:val="00201A8F"/>
    <w:rsid w:val="0020441C"/>
    <w:rsid w:val="0020485A"/>
    <w:rsid w:val="002065C2"/>
    <w:rsid w:val="0020758A"/>
    <w:rsid w:val="00207746"/>
    <w:rsid w:val="0020788D"/>
    <w:rsid w:val="00207BA3"/>
    <w:rsid w:val="002100F9"/>
    <w:rsid w:val="002142F2"/>
    <w:rsid w:val="00217850"/>
    <w:rsid w:val="00221475"/>
    <w:rsid w:val="002233DC"/>
    <w:rsid w:val="00234F70"/>
    <w:rsid w:val="00241C58"/>
    <w:rsid w:val="002429E4"/>
    <w:rsid w:val="002455FB"/>
    <w:rsid w:val="002457B4"/>
    <w:rsid w:val="0025043A"/>
    <w:rsid w:val="0025373E"/>
    <w:rsid w:val="002620A0"/>
    <w:rsid w:val="00262DEF"/>
    <w:rsid w:val="00267AAE"/>
    <w:rsid w:val="00274891"/>
    <w:rsid w:val="00282B7C"/>
    <w:rsid w:val="00282F2A"/>
    <w:rsid w:val="00284C35"/>
    <w:rsid w:val="00290BAF"/>
    <w:rsid w:val="00291713"/>
    <w:rsid w:val="002930E9"/>
    <w:rsid w:val="00294C0A"/>
    <w:rsid w:val="00297DB3"/>
    <w:rsid w:val="002B0347"/>
    <w:rsid w:val="002B11D0"/>
    <w:rsid w:val="002B5B18"/>
    <w:rsid w:val="002B5EAA"/>
    <w:rsid w:val="002C13D5"/>
    <w:rsid w:val="002C262C"/>
    <w:rsid w:val="002C3114"/>
    <w:rsid w:val="002C3218"/>
    <w:rsid w:val="002C3320"/>
    <w:rsid w:val="002D03A6"/>
    <w:rsid w:val="002D1537"/>
    <w:rsid w:val="002D1CEE"/>
    <w:rsid w:val="002D30F4"/>
    <w:rsid w:val="002D3BE1"/>
    <w:rsid w:val="002E0A1D"/>
    <w:rsid w:val="002E26C1"/>
    <w:rsid w:val="002E2BE4"/>
    <w:rsid w:val="002E45A6"/>
    <w:rsid w:val="002F2ABD"/>
    <w:rsid w:val="002F6590"/>
    <w:rsid w:val="00306205"/>
    <w:rsid w:val="00312744"/>
    <w:rsid w:val="00314535"/>
    <w:rsid w:val="003168BB"/>
    <w:rsid w:val="00322D2D"/>
    <w:rsid w:val="00340D81"/>
    <w:rsid w:val="00342432"/>
    <w:rsid w:val="0034366F"/>
    <w:rsid w:val="003508A9"/>
    <w:rsid w:val="00350F0D"/>
    <w:rsid w:val="00354259"/>
    <w:rsid w:val="003546C5"/>
    <w:rsid w:val="003609A9"/>
    <w:rsid w:val="00361D20"/>
    <w:rsid w:val="00362622"/>
    <w:rsid w:val="00362FC2"/>
    <w:rsid w:val="00363320"/>
    <w:rsid w:val="0036355D"/>
    <w:rsid w:val="00366324"/>
    <w:rsid w:val="00371ECD"/>
    <w:rsid w:val="00375381"/>
    <w:rsid w:val="00375A4E"/>
    <w:rsid w:val="003839F4"/>
    <w:rsid w:val="0039477F"/>
    <w:rsid w:val="00394B54"/>
    <w:rsid w:val="00397A09"/>
    <w:rsid w:val="003A3E88"/>
    <w:rsid w:val="003B4BB0"/>
    <w:rsid w:val="003B6C50"/>
    <w:rsid w:val="003B6FA4"/>
    <w:rsid w:val="003C02DC"/>
    <w:rsid w:val="003C23A4"/>
    <w:rsid w:val="003C7876"/>
    <w:rsid w:val="003D0CC4"/>
    <w:rsid w:val="003D1833"/>
    <w:rsid w:val="003D5CC2"/>
    <w:rsid w:val="003D77A8"/>
    <w:rsid w:val="003D780B"/>
    <w:rsid w:val="003E5290"/>
    <w:rsid w:val="003F036C"/>
    <w:rsid w:val="003F59AA"/>
    <w:rsid w:val="003F5B93"/>
    <w:rsid w:val="00404453"/>
    <w:rsid w:val="00406196"/>
    <w:rsid w:val="00406ED1"/>
    <w:rsid w:val="00411A5D"/>
    <w:rsid w:val="0041276D"/>
    <w:rsid w:val="00412868"/>
    <w:rsid w:val="0041366B"/>
    <w:rsid w:val="00416026"/>
    <w:rsid w:val="00420F41"/>
    <w:rsid w:val="00421E49"/>
    <w:rsid w:val="00423A19"/>
    <w:rsid w:val="00424220"/>
    <w:rsid w:val="00424702"/>
    <w:rsid w:val="004253E7"/>
    <w:rsid w:val="00425C93"/>
    <w:rsid w:val="004265F2"/>
    <w:rsid w:val="004277F8"/>
    <w:rsid w:val="0043212C"/>
    <w:rsid w:val="00432CE2"/>
    <w:rsid w:val="00434184"/>
    <w:rsid w:val="00436A97"/>
    <w:rsid w:val="00436E53"/>
    <w:rsid w:val="004414BB"/>
    <w:rsid w:val="00441B18"/>
    <w:rsid w:val="004420D3"/>
    <w:rsid w:val="00452C89"/>
    <w:rsid w:val="00454170"/>
    <w:rsid w:val="0046147E"/>
    <w:rsid w:val="00465018"/>
    <w:rsid w:val="00467B95"/>
    <w:rsid w:val="00472BEE"/>
    <w:rsid w:val="00472D33"/>
    <w:rsid w:val="0047495E"/>
    <w:rsid w:val="004810FB"/>
    <w:rsid w:val="00490A6F"/>
    <w:rsid w:val="00490E4A"/>
    <w:rsid w:val="0049465E"/>
    <w:rsid w:val="00495C3F"/>
    <w:rsid w:val="004A6937"/>
    <w:rsid w:val="004B066A"/>
    <w:rsid w:val="004B2353"/>
    <w:rsid w:val="004B2D96"/>
    <w:rsid w:val="004B31AA"/>
    <w:rsid w:val="004C053D"/>
    <w:rsid w:val="004C1D87"/>
    <w:rsid w:val="004C4F12"/>
    <w:rsid w:val="004D30AA"/>
    <w:rsid w:val="004D36C8"/>
    <w:rsid w:val="004D602D"/>
    <w:rsid w:val="004D684C"/>
    <w:rsid w:val="004D7F72"/>
    <w:rsid w:val="004E0357"/>
    <w:rsid w:val="004E6045"/>
    <w:rsid w:val="004F1849"/>
    <w:rsid w:val="00507C72"/>
    <w:rsid w:val="00512493"/>
    <w:rsid w:val="00512FCE"/>
    <w:rsid w:val="00515A88"/>
    <w:rsid w:val="005177D0"/>
    <w:rsid w:val="00521C06"/>
    <w:rsid w:val="00527017"/>
    <w:rsid w:val="005318E3"/>
    <w:rsid w:val="00532160"/>
    <w:rsid w:val="0053458E"/>
    <w:rsid w:val="0054702B"/>
    <w:rsid w:val="00550AB2"/>
    <w:rsid w:val="00554619"/>
    <w:rsid w:val="005555E2"/>
    <w:rsid w:val="00566066"/>
    <w:rsid w:val="005708E6"/>
    <w:rsid w:val="0057706A"/>
    <w:rsid w:val="0058402A"/>
    <w:rsid w:val="005855F9"/>
    <w:rsid w:val="00592158"/>
    <w:rsid w:val="00593FBE"/>
    <w:rsid w:val="00596921"/>
    <w:rsid w:val="00596DF8"/>
    <w:rsid w:val="00596E9F"/>
    <w:rsid w:val="005A1B56"/>
    <w:rsid w:val="005A7C99"/>
    <w:rsid w:val="005C1D26"/>
    <w:rsid w:val="005C76F6"/>
    <w:rsid w:val="005D16A3"/>
    <w:rsid w:val="005D2118"/>
    <w:rsid w:val="005D3EB6"/>
    <w:rsid w:val="005D4F96"/>
    <w:rsid w:val="005E1FDC"/>
    <w:rsid w:val="005E3B0A"/>
    <w:rsid w:val="005F0C06"/>
    <w:rsid w:val="006007AB"/>
    <w:rsid w:val="00600846"/>
    <w:rsid w:val="0060102A"/>
    <w:rsid w:val="00601170"/>
    <w:rsid w:val="00602949"/>
    <w:rsid w:val="00603453"/>
    <w:rsid w:val="0060707B"/>
    <w:rsid w:val="0061135F"/>
    <w:rsid w:val="006129E6"/>
    <w:rsid w:val="00614C5F"/>
    <w:rsid w:val="00620054"/>
    <w:rsid w:val="00627075"/>
    <w:rsid w:val="006312BA"/>
    <w:rsid w:val="0063164C"/>
    <w:rsid w:val="00631C86"/>
    <w:rsid w:val="00632F7F"/>
    <w:rsid w:val="0063446B"/>
    <w:rsid w:val="006371F6"/>
    <w:rsid w:val="00643FDE"/>
    <w:rsid w:val="0064567B"/>
    <w:rsid w:val="006478E9"/>
    <w:rsid w:val="00650549"/>
    <w:rsid w:val="006515B4"/>
    <w:rsid w:val="00652CEF"/>
    <w:rsid w:val="00653ED7"/>
    <w:rsid w:val="00657817"/>
    <w:rsid w:val="00657B90"/>
    <w:rsid w:val="006606BE"/>
    <w:rsid w:val="0066338D"/>
    <w:rsid w:val="00664147"/>
    <w:rsid w:val="006641AA"/>
    <w:rsid w:val="00666E49"/>
    <w:rsid w:val="00667FDD"/>
    <w:rsid w:val="00671978"/>
    <w:rsid w:val="00673DDF"/>
    <w:rsid w:val="0067458A"/>
    <w:rsid w:val="00681D26"/>
    <w:rsid w:val="00681F5A"/>
    <w:rsid w:val="00682462"/>
    <w:rsid w:val="00692CFF"/>
    <w:rsid w:val="006930EE"/>
    <w:rsid w:val="00693CF3"/>
    <w:rsid w:val="00693EB0"/>
    <w:rsid w:val="006A52C6"/>
    <w:rsid w:val="006B3F55"/>
    <w:rsid w:val="006B5119"/>
    <w:rsid w:val="006B5626"/>
    <w:rsid w:val="006B6E24"/>
    <w:rsid w:val="006C19E5"/>
    <w:rsid w:val="006C1B7C"/>
    <w:rsid w:val="006C1DB3"/>
    <w:rsid w:val="006C5BE8"/>
    <w:rsid w:val="006C5D37"/>
    <w:rsid w:val="006C6459"/>
    <w:rsid w:val="006C6D13"/>
    <w:rsid w:val="006C7037"/>
    <w:rsid w:val="006C7171"/>
    <w:rsid w:val="006D0BCD"/>
    <w:rsid w:val="006D1E7B"/>
    <w:rsid w:val="006D27AF"/>
    <w:rsid w:val="006D34A3"/>
    <w:rsid w:val="006E21C3"/>
    <w:rsid w:val="006E2A55"/>
    <w:rsid w:val="006E2E99"/>
    <w:rsid w:val="006E3871"/>
    <w:rsid w:val="006E5D73"/>
    <w:rsid w:val="006E628D"/>
    <w:rsid w:val="006E71CA"/>
    <w:rsid w:val="006E7DCC"/>
    <w:rsid w:val="006F009B"/>
    <w:rsid w:val="006F7932"/>
    <w:rsid w:val="00701DED"/>
    <w:rsid w:val="00702D9D"/>
    <w:rsid w:val="00704FBD"/>
    <w:rsid w:val="00706AB4"/>
    <w:rsid w:val="00711160"/>
    <w:rsid w:val="00712C1B"/>
    <w:rsid w:val="00712C40"/>
    <w:rsid w:val="00712CF2"/>
    <w:rsid w:val="00716A9D"/>
    <w:rsid w:val="00724D0F"/>
    <w:rsid w:val="0072737C"/>
    <w:rsid w:val="00727E62"/>
    <w:rsid w:val="0073016B"/>
    <w:rsid w:val="00730E60"/>
    <w:rsid w:val="00731C71"/>
    <w:rsid w:val="00735DC7"/>
    <w:rsid w:val="007461C8"/>
    <w:rsid w:val="0075122B"/>
    <w:rsid w:val="00751EB1"/>
    <w:rsid w:val="0075462D"/>
    <w:rsid w:val="007606A2"/>
    <w:rsid w:val="00760A5B"/>
    <w:rsid w:val="00764C84"/>
    <w:rsid w:val="00773E69"/>
    <w:rsid w:val="007814D1"/>
    <w:rsid w:val="007815A4"/>
    <w:rsid w:val="00787018"/>
    <w:rsid w:val="007904B2"/>
    <w:rsid w:val="00797B25"/>
    <w:rsid w:val="007A1C35"/>
    <w:rsid w:val="007A417D"/>
    <w:rsid w:val="007B1201"/>
    <w:rsid w:val="007C226C"/>
    <w:rsid w:val="007C299A"/>
    <w:rsid w:val="007C2CE5"/>
    <w:rsid w:val="007C333E"/>
    <w:rsid w:val="007C7261"/>
    <w:rsid w:val="007D30C9"/>
    <w:rsid w:val="007D4E67"/>
    <w:rsid w:val="007E023C"/>
    <w:rsid w:val="007E4426"/>
    <w:rsid w:val="007F0E3A"/>
    <w:rsid w:val="007F0FCC"/>
    <w:rsid w:val="007F11A1"/>
    <w:rsid w:val="007F174B"/>
    <w:rsid w:val="007F1F0A"/>
    <w:rsid w:val="007F2FF6"/>
    <w:rsid w:val="007F31CE"/>
    <w:rsid w:val="00801667"/>
    <w:rsid w:val="00801B0A"/>
    <w:rsid w:val="00802742"/>
    <w:rsid w:val="008039A9"/>
    <w:rsid w:val="008103A2"/>
    <w:rsid w:val="00811490"/>
    <w:rsid w:val="0081210B"/>
    <w:rsid w:val="008143D6"/>
    <w:rsid w:val="0082483E"/>
    <w:rsid w:val="0083136E"/>
    <w:rsid w:val="00832BAD"/>
    <w:rsid w:val="00833214"/>
    <w:rsid w:val="00834DF3"/>
    <w:rsid w:val="008350E0"/>
    <w:rsid w:val="008355E7"/>
    <w:rsid w:val="00837355"/>
    <w:rsid w:val="00840D68"/>
    <w:rsid w:val="008411BD"/>
    <w:rsid w:val="008414D3"/>
    <w:rsid w:val="00841C47"/>
    <w:rsid w:val="00843D91"/>
    <w:rsid w:val="008464CB"/>
    <w:rsid w:val="008465EE"/>
    <w:rsid w:val="008473AF"/>
    <w:rsid w:val="00850BB5"/>
    <w:rsid w:val="00854C06"/>
    <w:rsid w:val="00854CF8"/>
    <w:rsid w:val="00855706"/>
    <w:rsid w:val="00856471"/>
    <w:rsid w:val="00857470"/>
    <w:rsid w:val="00863BB7"/>
    <w:rsid w:val="008653C7"/>
    <w:rsid w:val="00867FC3"/>
    <w:rsid w:val="0087027E"/>
    <w:rsid w:val="00871A6C"/>
    <w:rsid w:val="00886143"/>
    <w:rsid w:val="008871F3"/>
    <w:rsid w:val="00890C66"/>
    <w:rsid w:val="00893916"/>
    <w:rsid w:val="00894617"/>
    <w:rsid w:val="00897960"/>
    <w:rsid w:val="008A10F5"/>
    <w:rsid w:val="008A4D56"/>
    <w:rsid w:val="008A5B6B"/>
    <w:rsid w:val="008A6E8A"/>
    <w:rsid w:val="008B16CA"/>
    <w:rsid w:val="008C19B7"/>
    <w:rsid w:val="008C1BD4"/>
    <w:rsid w:val="008C335B"/>
    <w:rsid w:val="008D3E86"/>
    <w:rsid w:val="008D4840"/>
    <w:rsid w:val="008D5DD8"/>
    <w:rsid w:val="008D7E68"/>
    <w:rsid w:val="008E07C2"/>
    <w:rsid w:val="008E25BC"/>
    <w:rsid w:val="008E576B"/>
    <w:rsid w:val="008E6378"/>
    <w:rsid w:val="008F28C5"/>
    <w:rsid w:val="008F32A0"/>
    <w:rsid w:val="008F5847"/>
    <w:rsid w:val="008F6C16"/>
    <w:rsid w:val="00900CB9"/>
    <w:rsid w:val="00903F02"/>
    <w:rsid w:val="00903FAC"/>
    <w:rsid w:val="00904A2F"/>
    <w:rsid w:val="00906BF8"/>
    <w:rsid w:val="00907456"/>
    <w:rsid w:val="00910559"/>
    <w:rsid w:val="00912AF8"/>
    <w:rsid w:val="00913F34"/>
    <w:rsid w:val="00915F0B"/>
    <w:rsid w:val="0092112A"/>
    <w:rsid w:val="00921396"/>
    <w:rsid w:val="00923A3A"/>
    <w:rsid w:val="00931405"/>
    <w:rsid w:val="009337D1"/>
    <w:rsid w:val="009354F9"/>
    <w:rsid w:val="00940869"/>
    <w:rsid w:val="0094564F"/>
    <w:rsid w:val="00945667"/>
    <w:rsid w:val="00946495"/>
    <w:rsid w:val="00950063"/>
    <w:rsid w:val="00950DDA"/>
    <w:rsid w:val="00961FEA"/>
    <w:rsid w:val="00962EEC"/>
    <w:rsid w:val="00966353"/>
    <w:rsid w:val="009720FB"/>
    <w:rsid w:val="00982201"/>
    <w:rsid w:val="009855F8"/>
    <w:rsid w:val="00986389"/>
    <w:rsid w:val="00991627"/>
    <w:rsid w:val="00992F9A"/>
    <w:rsid w:val="00993CAB"/>
    <w:rsid w:val="00994D21"/>
    <w:rsid w:val="009A123D"/>
    <w:rsid w:val="009A377F"/>
    <w:rsid w:val="009A4689"/>
    <w:rsid w:val="009A5CEE"/>
    <w:rsid w:val="009B1EF4"/>
    <w:rsid w:val="009B455A"/>
    <w:rsid w:val="009B4EF2"/>
    <w:rsid w:val="009B549A"/>
    <w:rsid w:val="009C0E33"/>
    <w:rsid w:val="009C2CA7"/>
    <w:rsid w:val="009D5EDC"/>
    <w:rsid w:val="009D6854"/>
    <w:rsid w:val="009D687B"/>
    <w:rsid w:val="009E017E"/>
    <w:rsid w:val="009E405A"/>
    <w:rsid w:val="009E4FEC"/>
    <w:rsid w:val="009E5C45"/>
    <w:rsid w:val="009F2A8E"/>
    <w:rsid w:val="009F4735"/>
    <w:rsid w:val="00A02314"/>
    <w:rsid w:val="00A047CB"/>
    <w:rsid w:val="00A05580"/>
    <w:rsid w:val="00A132DE"/>
    <w:rsid w:val="00A1378C"/>
    <w:rsid w:val="00A15FA4"/>
    <w:rsid w:val="00A21F89"/>
    <w:rsid w:val="00A22666"/>
    <w:rsid w:val="00A259C1"/>
    <w:rsid w:val="00A26B29"/>
    <w:rsid w:val="00A26CA3"/>
    <w:rsid w:val="00A27B15"/>
    <w:rsid w:val="00A35730"/>
    <w:rsid w:val="00A371DE"/>
    <w:rsid w:val="00A3778A"/>
    <w:rsid w:val="00A42252"/>
    <w:rsid w:val="00A42714"/>
    <w:rsid w:val="00A43713"/>
    <w:rsid w:val="00A44154"/>
    <w:rsid w:val="00A51491"/>
    <w:rsid w:val="00A5197B"/>
    <w:rsid w:val="00A54366"/>
    <w:rsid w:val="00A60C54"/>
    <w:rsid w:val="00A62D03"/>
    <w:rsid w:val="00A6540D"/>
    <w:rsid w:val="00A665D8"/>
    <w:rsid w:val="00A703CE"/>
    <w:rsid w:val="00A7229A"/>
    <w:rsid w:val="00A746B1"/>
    <w:rsid w:val="00A775FF"/>
    <w:rsid w:val="00A77FCD"/>
    <w:rsid w:val="00A81555"/>
    <w:rsid w:val="00A84B8E"/>
    <w:rsid w:val="00A85D69"/>
    <w:rsid w:val="00A86404"/>
    <w:rsid w:val="00A90905"/>
    <w:rsid w:val="00A90D4B"/>
    <w:rsid w:val="00A944ED"/>
    <w:rsid w:val="00A97855"/>
    <w:rsid w:val="00A97F31"/>
    <w:rsid w:val="00AA5825"/>
    <w:rsid w:val="00AA6D0C"/>
    <w:rsid w:val="00AB0D70"/>
    <w:rsid w:val="00AB1CC2"/>
    <w:rsid w:val="00AB4241"/>
    <w:rsid w:val="00AC454A"/>
    <w:rsid w:val="00AC4E32"/>
    <w:rsid w:val="00AD5941"/>
    <w:rsid w:val="00AD7940"/>
    <w:rsid w:val="00AE21F5"/>
    <w:rsid w:val="00AE3C2C"/>
    <w:rsid w:val="00AE7187"/>
    <w:rsid w:val="00AF05F2"/>
    <w:rsid w:val="00AF63DA"/>
    <w:rsid w:val="00B03674"/>
    <w:rsid w:val="00B113B4"/>
    <w:rsid w:val="00B1302C"/>
    <w:rsid w:val="00B1762A"/>
    <w:rsid w:val="00B201E5"/>
    <w:rsid w:val="00B23BB3"/>
    <w:rsid w:val="00B253E4"/>
    <w:rsid w:val="00B31F0D"/>
    <w:rsid w:val="00B335F8"/>
    <w:rsid w:val="00B33F15"/>
    <w:rsid w:val="00B33FE6"/>
    <w:rsid w:val="00B3433B"/>
    <w:rsid w:val="00B34989"/>
    <w:rsid w:val="00B35C2A"/>
    <w:rsid w:val="00B4195C"/>
    <w:rsid w:val="00B4470C"/>
    <w:rsid w:val="00B60092"/>
    <w:rsid w:val="00B618AD"/>
    <w:rsid w:val="00B63C59"/>
    <w:rsid w:val="00B66079"/>
    <w:rsid w:val="00B732CE"/>
    <w:rsid w:val="00B91A6F"/>
    <w:rsid w:val="00B9309D"/>
    <w:rsid w:val="00B94008"/>
    <w:rsid w:val="00B94B2D"/>
    <w:rsid w:val="00B94CDB"/>
    <w:rsid w:val="00B95002"/>
    <w:rsid w:val="00BA0AF8"/>
    <w:rsid w:val="00BA0E23"/>
    <w:rsid w:val="00BB0378"/>
    <w:rsid w:val="00BB1342"/>
    <w:rsid w:val="00BB6A63"/>
    <w:rsid w:val="00BC0AF4"/>
    <w:rsid w:val="00BC29C8"/>
    <w:rsid w:val="00BC5438"/>
    <w:rsid w:val="00BC658C"/>
    <w:rsid w:val="00BC70C1"/>
    <w:rsid w:val="00BD1E1E"/>
    <w:rsid w:val="00BD40D1"/>
    <w:rsid w:val="00BD5B3B"/>
    <w:rsid w:val="00BE0271"/>
    <w:rsid w:val="00BE551F"/>
    <w:rsid w:val="00BE6D44"/>
    <w:rsid w:val="00BE70A0"/>
    <w:rsid w:val="00BF22B7"/>
    <w:rsid w:val="00BF5B51"/>
    <w:rsid w:val="00BF5F3A"/>
    <w:rsid w:val="00BF6B04"/>
    <w:rsid w:val="00C00948"/>
    <w:rsid w:val="00C06658"/>
    <w:rsid w:val="00C074E6"/>
    <w:rsid w:val="00C11B28"/>
    <w:rsid w:val="00C21143"/>
    <w:rsid w:val="00C22482"/>
    <w:rsid w:val="00C25D20"/>
    <w:rsid w:val="00C27F89"/>
    <w:rsid w:val="00C31286"/>
    <w:rsid w:val="00C31322"/>
    <w:rsid w:val="00C315C4"/>
    <w:rsid w:val="00C315F6"/>
    <w:rsid w:val="00C321A6"/>
    <w:rsid w:val="00C37EEF"/>
    <w:rsid w:val="00C44718"/>
    <w:rsid w:val="00C46BD7"/>
    <w:rsid w:val="00C50C15"/>
    <w:rsid w:val="00C522B3"/>
    <w:rsid w:val="00C660B4"/>
    <w:rsid w:val="00C678C0"/>
    <w:rsid w:val="00C705D1"/>
    <w:rsid w:val="00C712FF"/>
    <w:rsid w:val="00C7230B"/>
    <w:rsid w:val="00C73740"/>
    <w:rsid w:val="00C94EF6"/>
    <w:rsid w:val="00C95356"/>
    <w:rsid w:val="00C95689"/>
    <w:rsid w:val="00CA2403"/>
    <w:rsid w:val="00CA39C8"/>
    <w:rsid w:val="00CA4231"/>
    <w:rsid w:val="00CB2C55"/>
    <w:rsid w:val="00CB5286"/>
    <w:rsid w:val="00CB5C63"/>
    <w:rsid w:val="00CB7223"/>
    <w:rsid w:val="00CC17DF"/>
    <w:rsid w:val="00CC54B0"/>
    <w:rsid w:val="00CD0A05"/>
    <w:rsid w:val="00CD2D05"/>
    <w:rsid w:val="00CD40C7"/>
    <w:rsid w:val="00CE46A2"/>
    <w:rsid w:val="00CE7BA5"/>
    <w:rsid w:val="00CF2793"/>
    <w:rsid w:val="00CF3767"/>
    <w:rsid w:val="00CF3EBC"/>
    <w:rsid w:val="00CF498C"/>
    <w:rsid w:val="00CF62A0"/>
    <w:rsid w:val="00D01557"/>
    <w:rsid w:val="00D0203A"/>
    <w:rsid w:val="00D11005"/>
    <w:rsid w:val="00D11671"/>
    <w:rsid w:val="00D11BF5"/>
    <w:rsid w:val="00D17DB3"/>
    <w:rsid w:val="00D214A5"/>
    <w:rsid w:val="00D21C16"/>
    <w:rsid w:val="00D274A0"/>
    <w:rsid w:val="00D3466B"/>
    <w:rsid w:val="00D35877"/>
    <w:rsid w:val="00D363C9"/>
    <w:rsid w:val="00D40D79"/>
    <w:rsid w:val="00D42799"/>
    <w:rsid w:val="00D42C2F"/>
    <w:rsid w:val="00D4549A"/>
    <w:rsid w:val="00D47E31"/>
    <w:rsid w:val="00D54CB1"/>
    <w:rsid w:val="00D5566F"/>
    <w:rsid w:val="00D55A50"/>
    <w:rsid w:val="00D57C57"/>
    <w:rsid w:val="00D61209"/>
    <w:rsid w:val="00D743B2"/>
    <w:rsid w:val="00D833EA"/>
    <w:rsid w:val="00D852D7"/>
    <w:rsid w:val="00D923D9"/>
    <w:rsid w:val="00D92F2A"/>
    <w:rsid w:val="00D94A19"/>
    <w:rsid w:val="00DA18EE"/>
    <w:rsid w:val="00DA1DE7"/>
    <w:rsid w:val="00DA21B2"/>
    <w:rsid w:val="00DA60D3"/>
    <w:rsid w:val="00DB78BD"/>
    <w:rsid w:val="00DC0BA2"/>
    <w:rsid w:val="00DC2280"/>
    <w:rsid w:val="00DC3DA6"/>
    <w:rsid w:val="00DC6A48"/>
    <w:rsid w:val="00DC7973"/>
    <w:rsid w:val="00DD665D"/>
    <w:rsid w:val="00DE201A"/>
    <w:rsid w:val="00DE7EA2"/>
    <w:rsid w:val="00DF4A7E"/>
    <w:rsid w:val="00DF6A51"/>
    <w:rsid w:val="00DF7F0C"/>
    <w:rsid w:val="00E027B3"/>
    <w:rsid w:val="00E02EDA"/>
    <w:rsid w:val="00E03553"/>
    <w:rsid w:val="00E038C6"/>
    <w:rsid w:val="00E05600"/>
    <w:rsid w:val="00E06A6F"/>
    <w:rsid w:val="00E1226F"/>
    <w:rsid w:val="00E20FDE"/>
    <w:rsid w:val="00E3134B"/>
    <w:rsid w:val="00E31BF5"/>
    <w:rsid w:val="00E37158"/>
    <w:rsid w:val="00E40475"/>
    <w:rsid w:val="00E423F8"/>
    <w:rsid w:val="00E4460A"/>
    <w:rsid w:val="00E4667C"/>
    <w:rsid w:val="00E6001D"/>
    <w:rsid w:val="00E62FCF"/>
    <w:rsid w:val="00E676A2"/>
    <w:rsid w:val="00E70272"/>
    <w:rsid w:val="00E72CE1"/>
    <w:rsid w:val="00E74D2B"/>
    <w:rsid w:val="00E753CA"/>
    <w:rsid w:val="00E7652C"/>
    <w:rsid w:val="00E77AC4"/>
    <w:rsid w:val="00E818C7"/>
    <w:rsid w:val="00E82B06"/>
    <w:rsid w:val="00E8657B"/>
    <w:rsid w:val="00E901D5"/>
    <w:rsid w:val="00E91BDC"/>
    <w:rsid w:val="00E941EE"/>
    <w:rsid w:val="00E94E1D"/>
    <w:rsid w:val="00E96B2C"/>
    <w:rsid w:val="00E97779"/>
    <w:rsid w:val="00EA21CD"/>
    <w:rsid w:val="00EA5C3D"/>
    <w:rsid w:val="00EA6396"/>
    <w:rsid w:val="00EA77B5"/>
    <w:rsid w:val="00EB3D07"/>
    <w:rsid w:val="00EC1D3D"/>
    <w:rsid w:val="00EC350C"/>
    <w:rsid w:val="00EC6F9D"/>
    <w:rsid w:val="00ED7C09"/>
    <w:rsid w:val="00EE3D50"/>
    <w:rsid w:val="00EE4688"/>
    <w:rsid w:val="00EE759F"/>
    <w:rsid w:val="00EF4074"/>
    <w:rsid w:val="00EF7A7A"/>
    <w:rsid w:val="00F00529"/>
    <w:rsid w:val="00F039DD"/>
    <w:rsid w:val="00F050FD"/>
    <w:rsid w:val="00F07491"/>
    <w:rsid w:val="00F10407"/>
    <w:rsid w:val="00F13A56"/>
    <w:rsid w:val="00F17CB0"/>
    <w:rsid w:val="00F212B3"/>
    <w:rsid w:val="00F24AE8"/>
    <w:rsid w:val="00F2644D"/>
    <w:rsid w:val="00F31AC8"/>
    <w:rsid w:val="00F3307B"/>
    <w:rsid w:val="00F35C4B"/>
    <w:rsid w:val="00F36334"/>
    <w:rsid w:val="00F37A8A"/>
    <w:rsid w:val="00F42AFE"/>
    <w:rsid w:val="00F43FA0"/>
    <w:rsid w:val="00F442CB"/>
    <w:rsid w:val="00F45236"/>
    <w:rsid w:val="00F53008"/>
    <w:rsid w:val="00F5418F"/>
    <w:rsid w:val="00F54FE3"/>
    <w:rsid w:val="00F63FB4"/>
    <w:rsid w:val="00F7345F"/>
    <w:rsid w:val="00F747A4"/>
    <w:rsid w:val="00F749CA"/>
    <w:rsid w:val="00F8023E"/>
    <w:rsid w:val="00F811CF"/>
    <w:rsid w:val="00F81C69"/>
    <w:rsid w:val="00F8544E"/>
    <w:rsid w:val="00F85F2B"/>
    <w:rsid w:val="00F92456"/>
    <w:rsid w:val="00F93A59"/>
    <w:rsid w:val="00F94220"/>
    <w:rsid w:val="00FB5BE2"/>
    <w:rsid w:val="00FC2D77"/>
    <w:rsid w:val="00FC3E42"/>
    <w:rsid w:val="00FC440A"/>
    <w:rsid w:val="00FD7B2B"/>
    <w:rsid w:val="00FF1EC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9624A"/>
  <w15:docId w15:val="{C2B4A917-996B-1645-A029-8884A778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667"/>
    <w:rPr>
      <w:rFonts w:ascii="Times New Roman" w:hAnsi="Times New Roman"/>
      <w:sz w:val="24"/>
    </w:rPr>
  </w:style>
  <w:style w:type="paragraph" w:styleId="Heading1">
    <w:name w:val="heading 1"/>
    <w:basedOn w:val="Normal"/>
    <w:link w:val="Heading1Char"/>
    <w:uiPriority w:val="1"/>
    <w:qFormat/>
    <w:rsid w:val="00124EBB"/>
    <w:pPr>
      <w:widowControl w:val="0"/>
      <w:autoSpaceDE w:val="0"/>
      <w:autoSpaceDN w:val="0"/>
      <w:spacing w:after="0" w:line="240" w:lineRule="auto"/>
      <w:ind w:left="203"/>
      <w:outlineLvl w:val="0"/>
    </w:pPr>
    <w:rPr>
      <w:rFonts w:eastAsia="Times New Roman" w:cs="Times New Roman"/>
      <w:bCs/>
      <w:szCs w:val="24"/>
    </w:rPr>
  </w:style>
  <w:style w:type="paragraph" w:styleId="Heading2">
    <w:name w:val="heading 2"/>
    <w:basedOn w:val="Normal"/>
    <w:next w:val="Normal"/>
    <w:link w:val="Heading2Char"/>
    <w:uiPriority w:val="9"/>
    <w:unhideWhenUsed/>
    <w:qFormat/>
    <w:rsid w:val="00124EBB"/>
    <w:pPr>
      <w:keepNext/>
      <w:keepLines/>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945667"/>
    <w:pPr>
      <w:keepNext/>
      <w:keepLines/>
      <w:spacing w:before="40" w:after="0"/>
      <w:outlineLvl w:val="2"/>
    </w:pPr>
    <w:rPr>
      <w:rFonts w:eastAsiaTheme="majorEastAsia"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7E62"/>
    <w:rPr>
      <w:sz w:val="16"/>
      <w:szCs w:val="16"/>
    </w:rPr>
  </w:style>
  <w:style w:type="paragraph" w:styleId="CommentText">
    <w:name w:val="annotation text"/>
    <w:basedOn w:val="Normal"/>
    <w:link w:val="CommentTextChar"/>
    <w:uiPriority w:val="99"/>
    <w:semiHidden/>
    <w:unhideWhenUsed/>
    <w:rsid w:val="00727E62"/>
    <w:pPr>
      <w:spacing w:line="240" w:lineRule="auto"/>
    </w:pPr>
    <w:rPr>
      <w:sz w:val="20"/>
      <w:szCs w:val="20"/>
    </w:rPr>
  </w:style>
  <w:style w:type="character" w:customStyle="1" w:styleId="CommentTextChar">
    <w:name w:val="Comment Text Char"/>
    <w:basedOn w:val="DefaultParagraphFont"/>
    <w:link w:val="CommentText"/>
    <w:uiPriority w:val="99"/>
    <w:semiHidden/>
    <w:rsid w:val="00727E62"/>
    <w:rPr>
      <w:sz w:val="20"/>
      <w:szCs w:val="20"/>
    </w:rPr>
  </w:style>
  <w:style w:type="paragraph" w:styleId="CommentSubject">
    <w:name w:val="annotation subject"/>
    <w:basedOn w:val="CommentText"/>
    <w:next w:val="CommentText"/>
    <w:link w:val="CommentSubjectChar"/>
    <w:uiPriority w:val="99"/>
    <w:semiHidden/>
    <w:unhideWhenUsed/>
    <w:rsid w:val="00727E62"/>
    <w:rPr>
      <w:b/>
      <w:bCs/>
    </w:rPr>
  </w:style>
  <w:style w:type="character" w:customStyle="1" w:styleId="CommentSubjectChar">
    <w:name w:val="Comment Subject Char"/>
    <w:basedOn w:val="CommentTextChar"/>
    <w:link w:val="CommentSubject"/>
    <w:uiPriority w:val="99"/>
    <w:semiHidden/>
    <w:rsid w:val="00727E62"/>
    <w:rPr>
      <w:b/>
      <w:bCs/>
      <w:sz w:val="20"/>
      <w:szCs w:val="20"/>
    </w:rPr>
  </w:style>
  <w:style w:type="paragraph" w:styleId="BalloonText">
    <w:name w:val="Balloon Text"/>
    <w:basedOn w:val="Normal"/>
    <w:link w:val="BalloonTextChar"/>
    <w:uiPriority w:val="99"/>
    <w:semiHidden/>
    <w:unhideWhenUsed/>
    <w:rsid w:val="00727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E62"/>
    <w:rPr>
      <w:rFonts w:ascii="Tahoma" w:hAnsi="Tahoma" w:cs="Tahoma"/>
      <w:sz w:val="16"/>
      <w:szCs w:val="16"/>
    </w:rPr>
  </w:style>
  <w:style w:type="paragraph" w:styleId="ListParagraph">
    <w:name w:val="List Paragraph"/>
    <w:aliases w:val="Bullet List"/>
    <w:basedOn w:val="Normal"/>
    <w:link w:val="ListParagraphChar"/>
    <w:uiPriority w:val="34"/>
    <w:qFormat/>
    <w:rsid w:val="00727E62"/>
    <w:pPr>
      <w:ind w:left="720"/>
      <w:contextualSpacing/>
    </w:pPr>
  </w:style>
  <w:style w:type="paragraph" w:styleId="Header">
    <w:name w:val="header"/>
    <w:basedOn w:val="Normal"/>
    <w:link w:val="HeaderChar"/>
    <w:uiPriority w:val="99"/>
    <w:unhideWhenUsed/>
    <w:rsid w:val="00F80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23E"/>
  </w:style>
  <w:style w:type="paragraph" w:styleId="Footer">
    <w:name w:val="footer"/>
    <w:basedOn w:val="Normal"/>
    <w:link w:val="FooterChar"/>
    <w:uiPriority w:val="99"/>
    <w:unhideWhenUsed/>
    <w:rsid w:val="00F80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23E"/>
  </w:style>
  <w:style w:type="character" w:styleId="Hyperlink">
    <w:name w:val="Hyperlink"/>
    <w:basedOn w:val="DefaultParagraphFont"/>
    <w:uiPriority w:val="99"/>
    <w:unhideWhenUsed/>
    <w:rsid w:val="00CF62A0"/>
    <w:rPr>
      <w:color w:val="0000FF" w:themeColor="hyperlink"/>
      <w:u w:val="single"/>
    </w:rPr>
  </w:style>
  <w:style w:type="paragraph" w:styleId="NormalWeb">
    <w:name w:val="Normal (Web)"/>
    <w:basedOn w:val="Normal"/>
    <w:uiPriority w:val="99"/>
    <w:unhideWhenUsed/>
    <w:rsid w:val="00D214A5"/>
    <w:pPr>
      <w:spacing w:after="0" w:line="240" w:lineRule="auto"/>
    </w:pPr>
    <w:rPr>
      <w:rFonts w:eastAsia="Calibri" w:cs="Times New Roman"/>
      <w:szCs w:val="24"/>
    </w:rPr>
  </w:style>
  <w:style w:type="paragraph" w:customStyle="1" w:styleId="Default">
    <w:name w:val="Default"/>
    <w:rsid w:val="00490A6F"/>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7814D1"/>
    <w:pPr>
      <w:spacing w:after="0" w:line="240" w:lineRule="auto"/>
    </w:pPr>
  </w:style>
  <w:style w:type="paragraph" w:styleId="FootnoteText">
    <w:name w:val="footnote text"/>
    <w:basedOn w:val="Normal"/>
    <w:link w:val="FootnoteTextChar"/>
    <w:uiPriority w:val="99"/>
    <w:semiHidden/>
    <w:unhideWhenUsed/>
    <w:rsid w:val="00CF27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2793"/>
    <w:rPr>
      <w:sz w:val="20"/>
      <w:szCs w:val="20"/>
    </w:rPr>
  </w:style>
  <w:style w:type="character" w:styleId="FootnoteReference">
    <w:name w:val="footnote reference"/>
    <w:basedOn w:val="DefaultParagraphFont"/>
    <w:uiPriority w:val="99"/>
    <w:unhideWhenUsed/>
    <w:rsid w:val="00CF2793"/>
    <w:rPr>
      <w:vertAlign w:val="superscript"/>
    </w:rPr>
  </w:style>
  <w:style w:type="character" w:styleId="FollowedHyperlink">
    <w:name w:val="FollowedHyperlink"/>
    <w:basedOn w:val="DefaultParagraphFont"/>
    <w:uiPriority w:val="99"/>
    <w:semiHidden/>
    <w:unhideWhenUsed/>
    <w:rsid w:val="00CD40C7"/>
    <w:rPr>
      <w:color w:val="800080" w:themeColor="followedHyperlink"/>
      <w:u w:val="single"/>
    </w:rPr>
  </w:style>
  <w:style w:type="character" w:customStyle="1" w:styleId="ListParagraphChar">
    <w:name w:val="List Paragraph Char"/>
    <w:aliases w:val="Bullet List Char"/>
    <w:basedOn w:val="DefaultParagraphFont"/>
    <w:link w:val="ListParagraph"/>
    <w:uiPriority w:val="34"/>
    <w:locked/>
    <w:rsid w:val="00C31322"/>
  </w:style>
  <w:style w:type="character" w:customStyle="1" w:styleId="Heading1Char">
    <w:name w:val="Heading 1 Char"/>
    <w:basedOn w:val="DefaultParagraphFont"/>
    <w:link w:val="Heading1"/>
    <w:uiPriority w:val="1"/>
    <w:rsid w:val="00124EBB"/>
    <w:rPr>
      <w:rFonts w:ascii="Times New Roman" w:eastAsia="Times New Roman" w:hAnsi="Times New Roman" w:cs="Times New Roman"/>
      <w:bCs/>
      <w:sz w:val="24"/>
      <w:szCs w:val="24"/>
    </w:rPr>
  </w:style>
  <w:style w:type="paragraph" w:styleId="BodyText">
    <w:name w:val="Body Text"/>
    <w:basedOn w:val="Normal"/>
    <w:link w:val="BodyTextChar"/>
    <w:uiPriority w:val="1"/>
    <w:qFormat/>
    <w:rsid w:val="008350E0"/>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8350E0"/>
    <w:rPr>
      <w:rFonts w:ascii="Times New Roman" w:eastAsia="Times New Roman" w:hAnsi="Times New Roman" w:cs="Times New Roman"/>
      <w:sz w:val="24"/>
      <w:szCs w:val="24"/>
    </w:rPr>
  </w:style>
  <w:style w:type="paragraph" w:styleId="NoSpacing">
    <w:name w:val="No Spacing"/>
    <w:uiPriority w:val="1"/>
    <w:qFormat/>
    <w:rsid w:val="00E8657B"/>
    <w:pPr>
      <w:spacing w:after="0" w:line="240" w:lineRule="auto"/>
    </w:pPr>
  </w:style>
  <w:style w:type="paragraph" w:customStyle="1" w:styleId="xmsonormal">
    <w:name w:val="x_msonormal"/>
    <w:basedOn w:val="Normal"/>
    <w:rsid w:val="00DC3DA6"/>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A52C6"/>
    <w:rPr>
      <w:color w:val="605E5C"/>
      <w:shd w:val="clear" w:color="auto" w:fill="E1DFDD"/>
    </w:rPr>
  </w:style>
  <w:style w:type="character" w:customStyle="1" w:styleId="normaltextrun">
    <w:name w:val="normaltextrun"/>
    <w:basedOn w:val="DefaultParagraphFont"/>
    <w:rsid w:val="000C1C99"/>
  </w:style>
  <w:style w:type="character" w:customStyle="1" w:styleId="eop">
    <w:name w:val="eop"/>
    <w:basedOn w:val="DefaultParagraphFont"/>
    <w:rsid w:val="000C1C99"/>
  </w:style>
  <w:style w:type="character" w:styleId="Strong">
    <w:name w:val="Strong"/>
    <w:basedOn w:val="DefaultParagraphFont"/>
    <w:uiPriority w:val="22"/>
    <w:qFormat/>
    <w:rsid w:val="000C1C99"/>
    <w:rPr>
      <w:b/>
      <w:bCs/>
    </w:rPr>
  </w:style>
  <w:style w:type="table" w:styleId="TableGrid">
    <w:name w:val="Table Grid"/>
    <w:basedOn w:val="TableNormal"/>
    <w:uiPriority w:val="39"/>
    <w:rsid w:val="009B549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24EBB"/>
    <w:rPr>
      <w:rFonts w:ascii="Times New Roman" w:eastAsiaTheme="majorEastAsia" w:hAnsi="Times New Roman" w:cstheme="majorBidi"/>
      <w:b/>
      <w:sz w:val="24"/>
      <w:szCs w:val="26"/>
      <w:u w:val="single"/>
    </w:rPr>
  </w:style>
  <w:style w:type="character" w:customStyle="1" w:styleId="Heading3Char">
    <w:name w:val="Heading 3 Char"/>
    <w:basedOn w:val="DefaultParagraphFont"/>
    <w:link w:val="Heading3"/>
    <w:uiPriority w:val="9"/>
    <w:rsid w:val="00945667"/>
    <w:rPr>
      <w:rFonts w:ascii="Times New Roman" w:eastAsiaTheme="majorEastAsia" w:hAnsi="Times New Roman" w:cstheme="majorBid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82903">
      <w:bodyDiv w:val="1"/>
      <w:marLeft w:val="0"/>
      <w:marRight w:val="0"/>
      <w:marTop w:val="0"/>
      <w:marBottom w:val="0"/>
      <w:divBdr>
        <w:top w:val="none" w:sz="0" w:space="0" w:color="auto"/>
        <w:left w:val="none" w:sz="0" w:space="0" w:color="auto"/>
        <w:bottom w:val="none" w:sz="0" w:space="0" w:color="auto"/>
        <w:right w:val="none" w:sz="0" w:space="0" w:color="auto"/>
      </w:divBdr>
    </w:div>
    <w:div w:id="62683708">
      <w:bodyDiv w:val="1"/>
      <w:marLeft w:val="0"/>
      <w:marRight w:val="0"/>
      <w:marTop w:val="0"/>
      <w:marBottom w:val="0"/>
      <w:divBdr>
        <w:top w:val="none" w:sz="0" w:space="0" w:color="auto"/>
        <w:left w:val="none" w:sz="0" w:space="0" w:color="auto"/>
        <w:bottom w:val="none" w:sz="0" w:space="0" w:color="auto"/>
        <w:right w:val="none" w:sz="0" w:space="0" w:color="auto"/>
      </w:divBdr>
    </w:div>
    <w:div w:id="113670126">
      <w:bodyDiv w:val="1"/>
      <w:marLeft w:val="0"/>
      <w:marRight w:val="0"/>
      <w:marTop w:val="0"/>
      <w:marBottom w:val="0"/>
      <w:divBdr>
        <w:top w:val="none" w:sz="0" w:space="0" w:color="auto"/>
        <w:left w:val="none" w:sz="0" w:space="0" w:color="auto"/>
        <w:bottom w:val="none" w:sz="0" w:space="0" w:color="auto"/>
        <w:right w:val="none" w:sz="0" w:space="0" w:color="auto"/>
      </w:divBdr>
    </w:div>
    <w:div w:id="291522268">
      <w:bodyDiv w:val="1"/>
      <w:marLeft w:val="0"/>
      <w:marRight w:val="0"/>
      <w:marTop w:val="0"/>
      <w:marBottom w:val="0"/>
      <w:divBdr>
        <w:top w:val="none" w:sz="0" w:space="0" w:color="auto"/>
        <w:left w:val="none" w:sz="0" w:space="0" w:color="auto"/>
        <w:bottom w:val="none" w:sz="0" w:space="0" w:color="auto"/>
        <w:right w:val="none" w:sz="0" w:space="0" w:color="auto"/>
      </w:divBdr>
    </w:div>
    <w:div w:id="333384002">
      <w:bodyDiv w:val="1"/>
      <w:marLeft w:val="0"/>
      <w:marRight w:val="0"/>
      <w:marTop w:val="0"/>
      <w:marBottom w:val="0"/>
      <w:divBdr>
        <w:top w:val="none" w:sz="0" w:space="0" w:color="auto"/>
        <w:left w:val="none" w:sz="0" w:space="0" w:color="auto"/>
        <w:bottom w:val="none" w:sz="0" w:space="0" w:color="auto"/>
        <w:right w:val="none" w:sz="0" w:space="0" w:color="auto"/>
      </w:divBdr>
    </w:div>
    <w:div w:id="336618021">
      <w:bodyDiv w:val="1"/>
      <w:marLeft w:val="0"/>
      <w:marRight w:val="0"/>
      <w:marTop w:val="0"/>
      <w:marBottom w:val="0"/>
      <w:divBdr>
        <w:top w:val="none" w:sz="0" w:space="0" w:color="auto"/>
        <w:left w:val="none" w:sz="0" w:space="0" w:color="auto"/>
        <w:bottom w:val="none" w:sz="0" w:space="0" w:color="auto"/>
        <w:right w:val="none" w:sz="0" w:space="0" w:color="auto"/>
      </w:divBdr>
    </w:div>
    <w:div w:id="355930387">
      <w:bodyDiv w:val="1"/>
      <w:marLeft w:val="0"/>
      <w:marRight w:val="0"/>
      <w:marTop w:val="0"/>
      <w:marBottom w:val="0"/>
      <w:divBdr>
        <w:top w:val="none" w:sz="0" w:space="0" w:color="auto"/>
        <w:left w:val="none" w:sz="0" w:space="0" w:color="auto"/>
        <w:bottom w:val="none" w:sz="0" w:space="0" w:color="auto"/>
        <w:right w:val="none" w:sz="0" w:space="0" w:color="auto"/>
      </w:divBdr>
    </w:div>
    <w:div w:id="363556347">
      <w:bodyDiv w:val="1"/>
      <w:marLeft w:val="0"/>
      <w:marRight w:val="0"/>
      <w:marTop w:val="0"/>
      <w:marBottom w:val="0"/>
      <w:divBdr>
        <w:top w:val="none" w:sz="0" w:space="0" w:color="auto"/>
        <w:left w:val="none" w:sz="0" w:space="0" w:color="auto"/>
        <w:bottom w:val="none" w:sz="0" w:space="0" w:color="auto"/>
        <w:right w:val="none" w:sz="0" w:space="0" w:color="auto"/>
      </w:divBdr>
    </w:div>
    <w:div w:id="377165608">
      <w:bodyDiv w:val="1"/>
      <w:marLeft w:val="0"/>
      <w:marRight w:val="0"/>
      <w:marTop w:val="0"/>
      <w:marBottom w:val="0"/>
      <w:divBdr>
        <w:top w:val="none" w:sz="0" w:space="0" w:color="auto"/>
        <w:left w:val="none" w:sz="0" w:space="0" w:color="auto"/>
        <w:bottom w:val="none" w:sz="0" w:space="0" w:color="auto"/>
        <w:right w:val="none" w:sz="0" w:space="0" w:color="auto"/>
      </w:divBdr>
    </w:div>
    <w:div w:id="474176419">
      <w:bodyDiv w:val="1"/>
      <w:marLeft w:val="0"/>
      <w:marRight w:val="0"/>
      <w:marTop w:val="0"/>
      <w:marBottom w:val="0"/>
      <w:divBdr>
        <w:top w:val="none" w:sz="0" w:space="0" w:color="auto"/>
        <w:left w:val="none" w:sz="0" w:space="0" w:color="auto"/>
        <w:bottom w:val="none" w:sz="0" w:space="0" w:color="auto"/>
        <w:right w:val="none" w:sz="0" w:space="0" w:color="auto"/>
      </w:divBdr>
    </w:div>
    <w:div w:id="488207530">
      <w:bodyDiv w:val="1"/>
      <w:marLeft w:val="0"/>
      <w:marRight w:val="0"/>
      <w:marTop w:val="0"/>
      <w:marBottom w:val="0"/>
      <w:divBdr>
        <w:top w:val="none" w:sz="0" w:space="0" w:color="auto"/>
        <w:left w:val="none" w:sz="0" w:space="0" w:color="auto"/>
        <w:bottom w:val="none" w:sz="0" w:space="0" w:color="auto"/>
        <w:right w:val="none" w:sz="0" w:space="0" w:color="auto"/>
      </w:divBdr>
      <w:divsChild>
        <w:div w:id="384984063">
          <w:marLeft w:val="0"/>
          <w:marRight w:val="0"/>
          <w:marTop w:val="0"/>
          <w:marBottom w:val="0"/>
          <w:divBdr>
            <w:top w:val="none" w:sz="0" w:space="0" w:color="auto"/>
            <w:left w:val="none" w:sz="0" w:space="0" w:color="auto"/>
            <w:bottom w:val="none" w:sz="0" w:space="0" w:color="auto"/>
            <w:right w:val="none" w:sz="0" w:space="0" w:color="auto"/>
          </w:divBdr>
        </w:div>
        <w:div w:id="1120951263">
          <w:marLeft w:val="0"/>
          <w:marRight w:val="0"/>
          <w:marTop w:val="0"/>
          <w:marBottom w:val="0"/>
          <w:divBdr>
            <w:top w:val="none" w:sz="0" w:space="0" w:color="auto"/>
            <w:left w:val="none" w:sz="0" w:space="0" w:color="auto"/>
            <w:bottom w:val="none" w:sz="0" w:space="0" w:color="auto"/>
            <w:right w:val="none" w:sz="0" w:space="0" w:color="auto"/>
          </w:divBdr>
        </w:div>
        <w:div w:id="374893793">
          <w:marLeft w:val="0"/>
          <w:marRight w:val="0"/>
          <w:marTop w:val="0"/>
          <w:marBottom w:val="0"/>
          <w:divBdr>
            <w:top w:val="none" w:sz="0" w:space="0" w:color="auto"/>
            <w:left w:val="none" w:sz="0" w:space="0" w:color="auto"/>
            <w:bottom w:val="none" w:sz="0" w:space="0" w:color="auto"/>
            <w:right w:val="none" w:sz="0" w:space="0" w:color="auto"/>
          </w:divBdr>
        </w:div>
      </w:divsChild>
    </w:div>
    <w:div w:id="568806832">
      <w:bodyDiv w:val="1"/>
      <w:marLeft w:val="0"/>
      <w:marRight w:val="0"/>
      <w:marTop w:val="0"/>
      <w:marBottom w:val="0"/>
      <w:divBdr>
        <w:top w:val="none" w:sz="0" w:space="0" w:color="auto"/>
        <w:left w:val="none" w:sz="0" w:space="0" w:color="auto"/>
        <w:bottom w:val="none" w:sz="0" w:space="0" w:color="auto"/>
        <w:right w:val="none" w:sz="0" w:space="0" w:color="auto"/>
      </w:divBdr>
    </w:div>
    <w:div w:id="595213305">
      <w:bodyDiv w:val="1"/>
      <w:marLeft w:val="0"/>
      <w:marRight w:val="0"/>
      <w:marTop w:val="0"/>
      <w:marBottom w:val="0"/>
      <w:divBdr>
        <w:top w:val="none" w:sz="0" w:space="0" w:color="auto"/>
        <w:left w:val="none" w:sz="0" w:space="0" w:color="auto"/>
        <w:bottom w:val="none" w:sz="0" w:space="0" w:color="auto"/>
        <w:right w:val="none" w:sz="0" w:space="0" w:color="auto"/>
      </w:divBdr>
    </w:div>
    <w:div w:id="655380735">
      <w:bodyDiv w:val="1"/>
      <w:marLeft w:val="0"/>
      <w:marRight w:val="0"/>
      <w:marTop w:val="0"/>
      <w:marBottom w:val="0"/>
      <w:divBdr>
        <w:top w:val="none" w:sz="0" w:space="0" w:color="auto"/>
        <w:left w:val="none" w:sz="0" w:space="0" w:color="auto"/>
        <w:bottom w:val="none" w:sz="0" w:space="0" w:color="auto"/>
        <w:right w:val="none" w:sz="0" w:space="0" w:color="auto"/>
      </w:divBdr>
    </w:div>
    <w:div w:id="695236740">
      <w:bodyDiv w:val="1"/>
      <w:marLeft w:val="0"/>
      <w:marRight w:val="0"/>
      <w:marTop w:val="0"/>
      <w:marBottom w:val="0"/>
      <w:divBdr>
        <w:top w:val="none" w:sz="0" w:space="0" w:color="auto"/>
        <w:left w:val="none" w:sz="0" w:space="0" w:color="auto"/>
        <w:bottom w:val="none" w:sz="0" w:space="0" w:color="auto"/>
        <w:right w:val="none" w:sz="0" w:space="0" w:color="auto"/>
      </w:divBdr>
    </w:div>
    <w:div w:id="834806465">
      <w:bodyDiv w:val="1"/>
      <w:marLeft w:val="0"/>
      <w:marRight w:val="0"/>
      <w:marTop w:val="0"/>
      <w:marBottom w:val="0"/>
      <w:divBdr>
        <w:top w:val="none" w:sz="0" w:space="0" w:color="auto"/>
        <w:left w:val="none" w:sz="0" w:space="0" w:color="auto"/>
        <w:bottom w:val="none" w:sz="0" w:space="0" w:color="auto"/>
        <w:right w:val="none" w:sz="0" w:space="0" w:color="auto"/>
      </w:divBdr>
    </w:div>
    <w:div w:id="847796436">
      <w:bodyDiv w:val="1"/>
      <w:marLeft w:val="0"/>
      <w:marRight w:val="0"/>
      <w:marTop w:val="0"/>
      <w:marBottom w:val="0"/>
      <w:divBdr>
        <w:top w:val="none" w:sz="0" w:space="0" w:color="auto"/>
        <w:left w:val="none" w:sz="0" w:space="0" w:color="auto"/>
        <w:bottom w:val="none" w:sz="0" w:space="0" w:color="auto"/>
        <w:right w:val="none" w:sz="0" w:space="0" w:color="auto"/>
      </w:divBdr>
    </w:div>
    <w:div w:id="872889423">
      <w:bodyDiv w:val="1"/>
      <w:marLeft w:val="0"/>
      <w:marRight w:val="0"/>
      <w:marTop w:val="0"/>
      <w:marBottom w:val="0"/>
      <w:divBdr>
        <w:top w:val="none" w:sz="0" w:space="0" w:color="auto"/>
        <w:left w:val="none" w:sz="0" w:space="0" w:color="auto"/>
        <w:bottom w:val="none" w:sz="0" w:space="0" w:color="auto"/>
        <w:right w:val="none" w:sz="0" w:space="0" w:color="auto"/>
      </w:divBdr>
    </w:div>
    <w:div w:id="902570872">
      <w:bodyDiv w:val="1"/>
      <w:marLeft w:val="0"/>
      <w:marRight w:val="0"/>
      <w:marTop w:val="0"/>
      <w:marBottom w:val="0"/>
      <w:divBdr>
        <w:top w:val="none" w:sz="0" w:space="0" w:color="auto"/>
        <w:left w:val="none" w:sz="0" w:space="0" w:color="auto"/>
        <w:bottom w:val="none" w:sz="0" w:space="0" w:color="auto"/>
        <w:right w:val="none" w:sz="0" w:space="0" w:color="auto"/>
      </w:divBdr>
    </w:div>
    <w:div w:id="1010985557">
      <w:bodyDiv w:val="1"/>
      <w:marLeft w:val="0"/>
      <w:marRight w:val="0"/>
      <w:marTop w:val="0"/>
      <w:marBottom w:val="0"/>
      <w:divBdr>
        <w:top w:val="none" w:sz="0" w:space="0" w:color="auto"/>
        <w:left w:val="none" w:sz="0" w:space="0" w:color="auto"/>
        <w:bottom w:val="none" w:sz="0" w:space="0" w:color="auto"/>
        <w:right w:val="none" w:sz="0" w:space="0" w:color="auto"/>
      </w:divBdr>
    </w:div>
    <w:div w:id="1054423261">
      <w:bodyDiv w:val="1"/>
      <w:marLeft w:val="0"/>
      <w:marRight w:val="0"/>
      <w:marTop w:val="0"/>
      <w:marBottom w:val="0"/>
      <w:divBdr>
        <w:top w:val="none" w:sz="0" w:space="0" w:color="auto"/>
        <w:left w:val="none" w:sz="0" w:space="0" w:color="auto"/>
        <w:bottom w:val="none" w:sz="0" w:space="0" w:color="auto"/>
        <w:right w:val="none" w:sz="0" w:space="0" w:color="auto"/>
      </w:divBdr>
    </w:div>
    <w:div w:id="1134180462">
      <w:bodyDiv w:val="1"/>
      <w:marLeft w:val="0"/>
      <w:marRight w:val="0"/>
      <w:marTop w:val="0"/>
      <w:marBottom w:val="0"/>
      <w:divBdr>
        <w:top w:val="none" w:sz="0" w:space="0" w:color="auto"/>
        <w:left w:val="none" w:sz="0" w:space="0" w:color="auto"/>
        <w:bottom w:val="none" w:sz="0" w:space="0" w:color="auto"/>
        <w:right w:val="none" w:sz="0" w:space="0" w:color="auto"/>
      </w:divBdr>
    </w:div>
    <w:div w:id="1157309031">
      <w:bodyDiv w:val="1"/>
      <w:marLeft w:val="0"/>
      <w:marRight w:val="0"/>
      <w:marTop w:val="0"/>
      <w:marBottom w:val="0"/>
      <w:divBdr>
        <w:top w:val="none" w:sz="0" w:space="0" w:color="auto"/>
        <w:left w:val="none" w:sz="0" w:space="0" w:color="auto"/>
        <w:bottom w:val="none" w:sz="0" w:space="0" w:color="auto"/>
        <w:right w:val="none" w:sz="0" w:space="0" w:color="auto"/>
      </w:divBdr>
    </w:div>
    <w:div w:id="1160468249">
      <w:bodyDiv w:val="1"/>
      <w:marLeft w:val="0"/>
      <w:marRight w:val="0"/>
      <w:marTop w:val="0"/>
      <w:marBottom w:val="0"/>
      <w:divBdr>
        <w:top w:val="none" w:sz="0" w:space="0" w:color="auto"/>
        <w:left w:val="none" w:sz="0" w:space="0" w:color="auto"/>
        <w:bottom w:val="none" w:sz="0" w:space="0" w:color="auto"/>
        <w:right w:val="none" w:sz="0" w:space="0" w:color="auto"/>
      </w:divBdr>
    </w:div>
    <w:div w:id="1178276623">
      <w:bodyDiv w:val="1"/>
      <w:marLeft w:val="0"/>
      <w:marRight w:val="0"/>
      <w:marTop w:val="0"/>
      <w:marBottom w:val="0"/>
      <w:divBdr>
        <w:top w:val="none" w:sz="0" w:space="0" w:color="auto"/>
        <w:left w:val="none" w:sz="0" w:space="0" w:color="auto"/>
        <w:bottom w:val="none" w:sz="0" w:space="0" w:color="auto"/>
        <w:right w:val="none" w:sz="0" w:space="0" w:color="auto"/>
      </w:divBdr>
    </w:div>
    <w:div w:id="1186214023">
      <w:bodyDiv w:val="1"/>
      <w:marLeft w:val="0"/>
      <w:marRight w:val="0"/>
      <w:marTop w:val="0"/>
      <w:marBottom w:val="0"/>
      <w:divBdr>
        <w:top w:val="none" w:sz="0" w:space="0" w:color="auto"/>
        <w:left w:val="none" w:sz="0" w:space="0" w:color="auto"/>
        <w:bottom w:val="none" w:sz="0" w:space="0" w:color="auto"/>
        <w:right w:val="none" w:sz="0" w:space="0" w:color="auto"/>
      </w:divBdr>
    </w:div>
    <w:div w:id="1188904098">
      <w:bodyDiv w:val="1"/>
      <w:marLeft w:val="0"/>
      <w:marRight w:val="0"/>
      <w:marTop w:val="0"/>
      <w:marBottom w:val="0"/>
      <w:divBdr>
        <w:top w:val="none" w:sz="0" w:space="0" w:color="auto"/>
        <w:left w:val="none" w:sz="0" w:space="0" w:color="auto"/>
        <w:bottom w:val="none" w:sz="0" w:space="0" w:color="auto"/>
        <w:right w:val="none" w:sz="0" w:space="0" w:color="auto"/>
      </w:divBdr>
      <w:divsChild>
        <w:div w:id="829373080">
          <w:marLeft w:val="0"/>
          <w:marRight w:val="0"/>
          <w:marTop w:val="0"/>
          <w:marBottom w:val="0"/>
          <w:divBdr>
            <w:top w:val="none" w:sz="0" w:space="0" w:color="auto"/>
            <w:left w:val="none" w:sz="0" w:space="0" w:color="auto"/>
            <w:bottom w:val="none" w:sz="0" w:space="0" w:color="auto"/>
            <w:right w:val="none" w:sz="0" w:space="0" w:color="auto"/>
          </w:divBdr>
        </w:div>
        <w:div w:id="1925915974">
          <w:marLeft w:val="0"/>
          <w:marRight w:val="0"/>
          <w:marTop w:val="0"/>
          <w:marBottom w:val="0"/>
          <w:divBdr>
            <w:top w:val="none" w:sz="0" w:space="0" w:color="auto"/>
            <w:left w:val="none" w:sz="0" w:space="0" w:color="auto"/>
            <w:bottom w:val="none" w:sz="0" w:space="0" w:color="auto"/>
            <w:right w:val="none" w:sz="0" w:space="0" w:color="auto"/>
          </w:divBdr>
        </w:div>
        <w:div w:id="578516404">
          <w:marLeft w:val="0"/>
          <w:marRight w:val="0"/>
          <w:marTop w:val="0"/>
          <w:marBottom w:val="0"/>
          <w:divBdr>
            <w:top w:val="none" w:sz="0" w:space="0" w:color="auto"/>
            <w:left w:val="none" w:sz="0" w:space="0" w:color="auto"/>
            <w:bottom w:val="none" w:sz="0" w:space="0" w:color="auto"/>
            <w:right w:val="none" w:sz="0" w:space="0" w:color="auto"/>
          </w:divBdr>
        </w:div>
        <w:div w:id="802965981">
          <w:marLeft w:val="0"/>
          <w:marRight w:val="0"/>
          <w:marTop w:val="0"/>
          <w:marBottom w:val="0"/>
          <w:divBdr>
            <w:top w:val="none" w:sz="0" w:space="0" w:color="auto"/>
            <w:left w:val="none" w:sz="0" w:space="0" w:color="auto"/>
            <w:bottom w:val="none" w:sz="0" w:space="0" w:color="auto"/>
            <w:right w:val="none" w:sz="0" w:space="0" w:color="auto"/>
          </w:divBdr>
        </w:div>
        <w:div w:id="1265921822">
          <w:marLeft w:val="0"/>
          <w:marRight w:val="0"/>
          <w:marTop w:val="0"/>
          <w:marBottom w:val="0"/>
          <w:divBdr>
            <w:top w:val="none" w:sz="0" w:space="0" w:color="auto"/>
            <w:left w:val="none" w:sz="0" w:space="0" w:color="auto"/>
            <w:bottom w:val="none" w:sz="0" w:space="0" w:color="auto"/>
            <w:right w:val="none" w:sz="0" w:space="0" w:color="auto"/>
          </w:divBdr>
        </w:div>
        <w:div w:id="198014454">
          <w:marLeft w:val="0"/>
          <w:marRight w:val="0"/>
          <w:marTop w:val="0"/>
          <w:marBottom w:val="0"/>
          <w:divBdr>
            <w:top w:val="none" w:sz="0" w:space="0" w:color="auto"/>
            <w:left w:val="none" w:sz="0" w:space="0" w:color="auto"/>
            <w:bottom w:val="none" w:sz="0" w:space="0" w:color="auto"/>
            <w:right w:val="none" w:sz="0" w:space="0" w:color="auto"/>
          </w:divBdr>
        </w:div>
        <w:div w:id="39525824">
          <w:marLeft w:val="0"/>
          <w:marRight w:val="0"/>
          <w:marTop w:val="0"/>
          <w:marBottom w:val="0"/>
          <w:divBdr>
            <w:top w:val="none" w:sz="0" w:space="0" w:color="auto"/>
            <w:left w:val="none" w:sz="0" w:space="0" w:color="auto"/>
            <w:bottom w:val="none" w:sz="0" w:space="0" w:color="auto"/>
            <w:right w:val="none" w:sz="0" w:space="0" w:color="auto"/>
          </w:divBdr>
        </w:div>
        <w:div w:id="1432434872">
          <w:marLeft w:val="0"/>
          <w:marRight w:val="0"/>
          <w:marTop w:val="0"/>
          <w:marBottom w:val="0"/>
          <w:divBdr>
            <w:top w:val="none" w:sz="0" w:space="0" w:color="auto"/>
            <w:left w:val="none" w:sz="0" w:space="0" w:color="auto"/>
            <w:bottom w:val="none" w:sz="0" w:space="0" w:color="auto"/>
            <w:right w:val="none" w:sz="0" w:space="0" w:color="auto"/>
          </w:divBdr>
        </w:div>
        <w:div w:id="110058879">
          <w:marLeft w:val="0"/>
          <w:marRight w:val="0"/>
          <w:marTop w:val="0"/>
          <w:marBottom w:val="0"/>
          <w:divBdr>
            <w:top w:val="none" w:sz="0" w:space="0" w:color="auto"/>
            <w:left w:val="none" w:sz="0" w:space="0" w:color="auto"/>
            <w:bottom w:val="none" w:sz="0" w:space="0" w:color="auto"/>
            <w:right w:val="none" w:sz="0" w:space="0" w:color="auto"/>
          </w:divBdr>
        </w:div>
        <w:div w:id="2112123467">
          <w:marLeft w:val="0"/>
          <w:marRight w:val="0"/>
          <w:marTop w:val="0"/>
          <w:marBottom w:val="0"/>
          <w:divBdr>
            <w:top w:val="none" w:sz="0" w:space="0" w:color="auto"/>
            <w:left w:val="none" w:sz="0" w:space="0" w:color="auto"/>
            <w:bottom w:val="none" w:sz="0" w:space="0" w:color="auto"/>
            <w:right w:val="none" w:sz="0" w:space="0" w:color="auto"/>
          </w:divBdr>
        </w:div>
      </w:divsChild>
    </w:div>
    <w:div w:id="1210268632">
      <w:bodyDiv w:val="1"/>
      <w:marLeft w:val="0"/>
      <w:marRight w:val="0"/>
      <w:marTop w:val="0"/>
      <w:marBottom w:val="0"/>
      <w:divBdr>
        <w:top w:val="none" w:sz="0" w:space="0" w:color="auto"/>
        <w:left w:val="none" w:sz="0" w:space="0" w:color="auto"/>
        <w:bottom w:val="none" w:sz="0" w:space="0" w:color="auto"/>
        <w:right w:val="none" w:sz="0" w:space="0" w:color="auto"/>
      </w:divBdr>
    </w:div>
    <w:div w:id="1259220623">
      <w:bodyDiv w:val="1"/>
      <w:marLeft w:val="0"/>
      <w:marRight w:val="0"/>
      <w:marTop w:val="0"/>
      <w:marBottom w:val="0"/>
      <w:divBdr>
        <w:top w:val="none" w:sz="0" w:space="0" w:color="auto"/>
        <w:left w:val="none" w:sz="0" w:space="0" w:color="auto"/>
        <w:bottom w:val="none" w:sz="0" w:space="0" w:color="auto"/>
        <w:right w:val="none" w:sz="0" w:space="0" w:color="auto"/>
      </w:divBdr>
    </w:div>
    <w:div w:id="1355883078">
      <w:bodyDiv w:val="1"/>
      <w:marLeft w:val="0"/>
      <w:marRight w:val="0"/>
      <w:marTop w:val="0"/>
      <w:marBottom w:val="0"/>
      <w:divBdr>
        <w:top w:val="none" w:sz="0" w:space="0" w:color="auto"/>
        <w:left w:val="none" w:sz="0" w:space="0" w:color="auto"/>
        <w:bottom w:val="none" w:sz="0" w:space="0" w:color="auto"/>
        <w:right w:val="none" w:sz="0" w:space="0" w:color="auto"/>
      </w:divBdr>
    </w:div>
    <w:div w:id="1491286465">
      <w:bodyDiv w:val="1"/>
      <w:marLeft w:val="0"/>
      <w:marRight w:val="0"/>
      <w:marTop w:val="0"/>
      <w:marBottom w:val="0"/>
      <w:divBdr>
        <w:top w:val="none" w:sz="0" w:space="0" w:color="auto"/>
        <w:left w:val="none" w:sz="0" w:space="0" w:color="auto"/>
        <w:bottom w:val="none" w:sz="0" w:space="0" w:color="auto"/>
        <w:right w:val="none" w:sz="0" w:space="0" w:color="auto"/>
      </w:divBdr>
    </w:div>
    <w:div w:id="1665619171">
      <w:bodyDiv w:val="1"/>
      <w:marLeft w:val="0"/>
      <w:marRight w:val="0"/>
      <w:marTop w:val="0"/>
      <w:marBottom w:val="0"/>
      <w:divBdr>
        <w:top w:val="none" w:sz="0" w:space="0" w:color="auto"/>
        <w:left w:val="none" w:sz="0" w:space="0" w:color="auto"/>
        <w:bottom w:val="none" w:sz="0" w:space="0" w:color="auto"/>
        <w:right w:val="none" w:sz="0" w:space="0" w:color="auto"/>
      </w:divBdr>
    </w:div>
    <w:div w:id="168598017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813325585">
      <w:bodyDiv w:val="1"/>
      <w:marLeft w:val="0"/>
      <w:marRight w:val="0"/>
      <w:marTop w:val="0"/>
      <w:marBottom w:val="0"/>
      <w:divBdr>
        <w:top w:val="none" w:sz="0" w:space="0" w:color="auto"/>
        <w:left w:val="none" w:sz="0" w:space="0" w:color="auto"/>
        <w:bottom w:val="none" w:sz="0" w:space="0" w:color="auto"/>
        <w:right w:val="none" w:sz="0" w:space="0" w:color="auto"/>
      </w:divBdr>
    </w:div>
    <w:div w:id="1849054244">
      <w:bodyDiv w:val="1"/>
      <w:marLeft w:val="0"/>
      <w:marRight w:val="0"/>
      <w:marTop w:val="0"/>
      <w:marBottom w:val="0"/>
      <w:divBdr>
        <w:top w:val="none" w:sz="0" w:space="0" w:color="auto"/>
        <w:left w:val="none" w:sz="0" w:space="0" w:color="auto"/>
        <w:bottom w:val="none" w:sz="0" w:space="0" w:color="auto"/>
        <w:right w:val="none" w:sz="0" w:space="0" w:color="auto"/>
      </w:divBdr>
    </w:div>
    <w:div w:id="1945460635">
      <w:bodyDiv w:val="1"/>
      <w:marLeft w:val="0"/>
      <w:marRight w:val="0"/>
      <w:marTop w:val="0"/>
      <w:marBottom w:val="0"/>
      <w:divBdr>
        <w:top w:val="none" w:sz="0" w:space="0" w:color="auto"/>
        <w:left w:val="none" w:sz="0" w:space="0" w:color="auto"/>
        <w:bottom w:val="none" w:sz="0" w:space="0" w:color="auto"/>
        <w:right w:val="none" w:sz="0" w:space="0" w:color="auto"/>
      </w:divBdr>
    </w:div>
    <w:div w:id="1980071509">
      <w:bodyDiv w:val="1"/>
      <w:marLeft w:val="0"/>
      <w:marRight w:val="0"/>
      <w:marTop w:val="0"/>
      <w:marBottom w:val="0"/>
      <w:divBdr>
        <w:top w:val="none" w:sz="0" w:space="0" w:color="auto"/>
        <w:left w:val="none" w:sz="0" w:space="0" w:color="auto"/>
        <w:bottom w:val="none" w:sz="0" w:space="0" w:color="auto"/>
        <w:right w:val="none" w:sz="0" w:space="0" w:color="auto"/>
      </w:divBdr>
    </w:div>
    <w:div w:id="2064020563">
      <w:bodyDiv w:val="1"/>
      <w:marLeft w:val="0"/>
      <w:marRight w:val="0"/>
      <w:marTop w:val="0"/>
      <w:marBottom w:val="0"/>
      <w:divBdr>
        <w:top w:val="none" w:sz="0" w:space="0" w:color="auto"/>
        <w:left w:val="none" w:sz="0" w:space="0" w:color="auto"/>
        <w:bottom w:val="none" w:sz="0" w:space="0" w:color="auto"/>
        <w:right w:val="none" w:sz="0" w:space="0" w:color="auto"/>
      </w:divBdr>
    </w:div>
    <w:div w:id="2084907668">
      <w:bodyDiv w:val="1"/>
      <w:marLeft w:val="0"/>
      <w:marRight w:val="0"/>
      <w:marTop w:val="0"/>
      <w:marBottom w:val="0"/>
      <w:divBdr>
        <w:top w:val="none" w:sz="0" w:space="0" w:color="auto"/>
        <w:left w:val="none" w:sz="0" w:space="0" w:color="auto"/>
        <w:bottom w:val="none" w:sz="0" w:space="0" w:color="auto"/>
        <w:right w:val="none" w:sz="0" w:space="0" w:color="auto"/>
      </w:divBdr>
    </w:div>
    <w:div w:id="2092847104">
      <w:bodyDiv w:val="1"/>
      <w:marLeft w:val="0"/>
      <w:marRight w:val="0"/>
      <w:marTop w:val="0"/>
      <w:marBottom w:val="0"/>
      <w:divBdr>
        <w:top w:val="none" w:sz="0" w:space="0" w:color="auto"/>
        <w:left w:val="none" w:sz="0" w:space="0" w:color="auto"/>
        <w:bottom w:val="none" w:sz="0" w:space="0" w:color="auto"/>
        <w:right w:val="none" w:sz="0" w:space="0" w:color="auto"/>
      </w:divBdr>
      <w:divsChild>
        <w:div w:id="572740933">
          <w:marLeft w:val="0"/>
          <w:marRight w:val="0"/>
          <w:marTop w:val="0"/>
          <w:marBottom w:val="0"/>
          <w:divBdr>
            <w:top w:val="none" w:sz="0" w:space="0" w:color="auto"/>
            <w:left w:val="none" w:sz="0" w:space="0" w:color="auto"/>
            <w:bottom w:val="none" w:sz="0" w:space="0" w:color="auto"/>
            <w:right w:val="none" w:sz="0" w:space="0" w:color="auto"/>
          </w:divBdr>
        </w:div>
        <w:div w:id="1502112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healthchoices.com/home" TargetMode="External"/><Relationship Id="rId13" Type="http://schemas.openxmlformats.org/officeDocument/2006/relationships/hyperlink" Target="https://www.mass.gov/doc/managed-care-entity-bulletin-60-updated-masshealth-telehealth-policy-0/download" TargetMode="External"/><Relationship Id="rId18" Type="http://schemas.openxmlformats.org/officeDocument/2006/relationships/hyperlink" Target="https://www.mass.gov/doc/managed-care-entity-bulletin-46-updated-masshealth-telehealth-policy-0/download"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ass.gov/doc/all-provider-bulletin-319-coverage-and-reimbursement-policy-updates-for-services-related-to-covid-19-after-the-termination-of-the-state-of-emergency-0/download" TargetMode="External"/><Relationship Id="rId7" Type="http://schemas.openxmlformats.org/officeDocument/2006/relationships/endnotes" Target="endnotes.xml"/><Relationship Id="rId12" Type="http://schemas.openxmlformats.org/officeDocument/2006/relationships/hyperlink" Target="https://www.mass.gov/doc/managed-care-entity-bulletin-62-update-to-authorized-providers-and-payment-for-coronavirus-disease-2019-covid-19-vaccine-administration-0/download" TargetMode="External"/><Relationship Id="rId17" Type="http://schemas.openxmlformats.org/officeDocument/2006/relationships/hyperlink" Target="https://www.mass.gov/doc/all-provider-bulletin-318-update-about-monoclonal-antibody-treatment-for-coronavirus-disease-2019-covid-19-0/download" TargetMode="External"/><Relationship Id="rId25" Type="http://schemas.openxmlformats.org/officeDocument/2006/relationships/hyperlink" Target="mailto:Alison.Kirchgasser@mass.gov" TargetMode="External"/><Relationship Id="rId2" Type="http://schemas.openxmlformats.org/officeDocument/2006/relationships/numbering" Target="numbering.xml"/><Relationship Id="rId16" Type="http://schemas.openxmlformats.org/officeDocument/2006/relationships/hyperlink" Target="https://www.mass.gov/doc/all-provider-bulletin-319-coverage-and-reimbursement-policy-updates-for-services-related-to-covid-19-after-the-termination-of-the-state-of-emergency-0/download" TargetMode="External"/><Relationship Id="rId20" Type="http://schemas.openxmlformats.org/officeDocument/2006/relationships/hyperlink" Target="https://www.mass.gov/doc/all-provider-bulletin-319-coverage-and-reimbursement-policy-updates-for-services-related-to-covid-19-after-the-termination-of-the-state-of-emergency-0/downlo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all-provider-bulletin-315-change-in-pharmacy-copay-and-premium-policies-4/download" TargetMode="External"/><Relationship Id="rId24" Type="http://schemas.openxmlformats.org/officeDocument/2006/relationships/hyperlink" Target="https://www.mass.gov/info-details/masshealth-quality-reports-and-resources" TargetMode="External"/><Relationship Id="rId5" Type="http://schemas.openxmlformats.org/officeDocument/2006/relationships/webSettings" Target="webSettings.xml"/><Relationship Id="rId15" Type="http://schemas.openxmlformats.org/officeDocument/2006/relationships/hyperlink" Target="https://www.mass.gov/doc/all-provider-bulletin-319-coverage-and-reimbursement-policy-updates-for-services-related-to-covid-19-after-the-termination-of-the-state-of-emergency-0/download" TargetMode="External"/><Relationship Id="rId23" Type="http://schemas.openxmlformats.org/officeDocument/2006/relationships/hyperlink" Target="https://www.mass.gov/doc/managed-care-plan-quality-performance-2020-0/download" TargetMode="External"/><Relationship Id="rId28" Type="http://schemas.openxmlformats.org/officeDocument/2006/relationships/theme" Target="theme/theme1.xml"/><Relationship Id="rId10" Type="http://schemas.openxmlformats.org/officeDocument/2006/relationships/hyperlink" Target="https://www.mass.gov/info-details/masshealth-coronavirus-disease-2019-covid-19-providers" TargetMode="External"/><Relationship Id="rId19" Type="http://schemas.openxmlformats.org/officeDocument/2006/relationships/hyperlink" Target="https://www.mass.gov/doc/managed-care-entity-bulletin-50-coverage-and-payment-for-coronavirus-disease-2019-covid-19-0/download" TargetMode="External"/><Relationship Id="rId4" Type="http://schemas.openxmlformats.org/officeDocument/2006/relationships/settings" Target="settings.xml"/><Relationship Id="rId9" Type="http://schemas.openxmlformats.org/officeDocument/2006/relationships/hyperlink" Target="https://www.mass.gov/info-details/masshealth-coronavirus-disease-2019-covid-19-providers" TargetMode="External"/><Relationship Id="rId14" Type="http://schemas.openxmlformats.org/officeDocument/2006/relationships/hyperlink" Target="https://www.mass.gov/doc/managed-care-entity-bulletin-63-masshealth-rate-floor-enhancements-for-acute-treatment-services-clinical-stabilization-services-and-residential-rehabilitation-services-0/download" TargetMode="External"/><Relationship Id="rId22" Type="http://schemas.openxmlformats.org/officeDocument/2006/relationships/hyperlink" Target="https://www.mass.gov/lists/2021-masshealth-provider-bulletin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8F514-1C22-4171-B8A9-ACEC5031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11568</Words>
  <Characters>81097</Characters>
  <Application>Microsoft Office Word</Application>
  <DocSecurity>4</DocSecurity>
  <Lines>5406</Lines>
  <Paragraphs>3088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KCK</dc:creator>
  <cp:lastModifiedBy>Lam, Vivian (EHS)</cp:lastModifiedBy>
  <cp:revision>2</cp:revision>
  <cp:lastPrinted>2019-11-19T20:59:00Z</cp:lastPrinted>
  <dcterms:created xsi:type="dcterms:W3CDTF">2022-05-12T12:30:00Z</dcterms:created>
  <dcterms:modified xsi:type="dcterms:W3CDTF">2022-05-12T12:30:00Z</dcterms:modified>
</cp:coreProperties>
</file>