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24D8" w:rsidRDefault="000A1951">
      <w:bookmarkStart w:id="0" w:name="_GoBack"/>
      <w:bookmarkEnd w:id="0"/>
      <w:r>
        <w:t xml:space="preserve">    </w:t>
      </w: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NormalWeb"/>
              <w:jc w:val="right"/>
            </w:pPr>
            <w:r>
              <w:rPr>
                <w:b/>
                <w:bCs/>
                <w:noProof/>
              </w:rPr>
              <w:drawing>
                <wp:inline distT="0" distB="0" distL="0" distR="0" wp14:anchorId="3DA65283" wp14:editId="30B8517E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1624D8" w:rsidRDefault="000A1951" w:rsidP="00742841">
            <w:pPr>
              <w:ind w:left="0"/>
            </w:pPr>
            <w:r>
              <w:rPr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1624D8"/>
        </w:tc>
      </w:tr>
      <w:tr w:rsidR="001624D8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5DDE" w:rsidRDefault="006C5DDE" w:rsidP="006C5DDE">
            <w:pPr>
              <w:pStyle w:val="FieldLabel"/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24D8" w:rsidRDefault="001624D8">
            <w:pPr>
              <w:pStyle w:val="FieldText"/>
            </w:pPr>
          </w:p>
        </w:tc>
      </w:tr>
      <w:tr w:rsidR="006C5DDE" w:rsidRPr="008C1F82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:rsidR="006C5DDE" w:rsidRPr="008C1F82" w:rsidRDefault="006C5DDE" w:rsidP="00B97F75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6C5DDE" w:rsidRPr="008C1F82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 xml:space="preserve">September 12, 2018 – </w:t>
            </w:r>
            <w:r w:rsidR="0049704E">
              <w:rPr>
                <w:rFonts w:ascii="Times New Roman" w:hAnsi="Times New Roman"/>
                <w:sz w:val="24"/>
                <w:szCs w:val="24"/>
              </w:rPr>
              <w:t>final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5DDE" w:rsidRPr="008C1F82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</w:p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 xml:space="preserve">Absent </w:t>
            </w:r>
          </w:p>
          <w:p w:rsidR="006C5DDE" w:rsidRPr="008C1F82" w:rsidRDefault="006C5DDE" w:rsidP="00B97F75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F8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Dr. Burstein (chair), Dr. Beltran, P. Brennan, Dr. Cohen, Dr. Dyer, D. Faunce,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  Dr. Geller, Dr. Old, </w:t>
            </w:r>
            <w:r w:rsidRPr="008C1F82">
              <w:rPr>
                <w:rFonts w:ascii="Times New Roman" w:hAnsi="Times New Roman"/>
                <w:sz w:val="24"/>
                <w:szCs w:val="24"/>
              </w:rPr>
              <w:t xml:space="preserve">Dr. Restuccia, Dr. </w:t>
            </w: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Tennyson and Dr. Tollefsen. 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P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   S. Gaughan, Dr. </w:t>
            </w:r>
            <w:r w:rsidRPr="008C1F82">
              <w:rPr>
                <w:rFonts w:ascii="Times New Roman" w:hAnsi="Times New Roman"/>
                <w:sz w:val="24"/>
                <w:szCs w:val="24"/>
              </w:rPr>
              <w:t>Walker</w:t>
            </w: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1F82">
              <w:rPr>
                <w:rFonts w:ascii="Times New Roman" w:hAnsi="Times New Roman"/>
                <w:sz w:val="24"/>
                <w:szCs w:val="24"/>
              </w:rPr>
              <w:t>and Dr. Walter</w:t>
            </w: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. 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8C1F82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C5DDE" w:rsidRPr="008C1F82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624D8" w:rsidRDefault="001624D8">
      <w:pPr>
        <w:widowControl w:val="0"/>
        <w:ind w:left="0"/>
      </w:pPr>
    </w:p>
    <w:p w:rsidR="001624D8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>
        <w:t xml:space="preserve">0 </w:t>
      </w:r>
      <w:r w:rsidR="000A1951">
        <w:t>Agenda</w:t>
      </w:r>
      <w:bookmarkEnd w:id="1"/>
    </w:p>
    <w:p w:rsidR="001624D8" w:rsidRDefault="001624D8">
      <w:pPr>
        <w:ind w:left="0"/>
      </w:pPr>
    </w:p>
    <w:p w:rsidR="00742841" w:rsidRPr="008C1F82" w:rsidRDefault="00742841" w:rsidP="00742841">
      <w:pPr>
        <w:pStyle w:val="TOC1"/>
        <w:rPr>
          <w:noProof/>
        </w:rPr>
      </w:pPr>
      <w:r w:rsidRPr="008C1F82">
        <w:fldChar w:fldCharType="begin"/>
      </w:r>
      <w:r w:rsidRPr="008C1F82">
        <w:instrText xml:space="preserve"> TOC \o "1-2" \h \z \u </w:instrText>
      </w:r>
      <w:r w:rsidRPr="008C1F82">
        <w:fldChar w:fldCharType="separate"/>
      </w:r>
      <w:hyperlink w:anchor="_Toc208315781" w:history="1">
        <w:r w:rsidRPr="008C1F82">
          <w:rPr>
            <w:rStyle w:val="Hyperlink"/>
            <w:noProof/>
          </w:rPr>
          <w:t>1.0 Agenda</w:t>
        </w:r>
        <w:r w:rsidRPr="008C1F82">
          <w:rPr>
            <w:noProof/>
            <w:webHidden/>
          </w:rPr>
          <w:tab/>
        </w:r>
      </w:hyperlink>
      <w:r w:rsidR="00C7137B">
        <w:rPr>
          <w:noProof/>
        </w:rPr>
        <w:t>1</w:t>
      </w:r>
    </w:p>
    <w:p w:rsidR="00742841" w:rsidRPr="008C1F82" w:rsidRDefault="008F7AF7" w:rsidP="00742841">
      <w:pPr>
        <w:pStyle w:val="TOC1"/>
        <w:rPr>
          <w:noProof/>
        </w:rPr>
      </w:pPr>
      <w:hyperlink w:anchor="_Toc208315782" w:history="1">
        <w:r w:rsidR="00742841" w:rsidRPr="008C1F82">
          <w:rPr>
            <w:rStyle w:val="Hyperlink"/>
            <w:noProof/>
          </w:rPr>
          <w:t>2.0 Call to Order</w:t>
        </w:r>
        <w:r w:rsidR="00742841" w:rsidRPr="008C1F82">
          <w:rPr>
            <w:noProof/>
            <w:webHidden/>
          </w:rPr>
          <w:tab/>
        </w:r>
        <w:r w:rsidR="00C7137B">
          <w:rPr>
            <w:noProof/>
            <w:webHidden/>
          </w:rPr>
          <w:t>1</w:t>
        </w:r>
      </w:hyperlink>
    </w:p>
    <w:p w:rsidR="00742841" w:rsidRPr="008C1F82" w:rsidRDefault="008F7AF7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8C1F82">
          <w:rPr>
            <w:rStyle w:val="Hyperlink"/>
            <w:noProof/>
          </w:rPr>
          <w:t>3.0 Motions</w:t>
        </w:r>
        <w:r w:rsidR="00742841" w:rsidRPr="008C1F82">
          <w:rPr>
            <w:noProof/>
            <w:webHidden/>
          </w:rPr>
          <w:tab/>
        </w:r>
      </w:hyperlink>
      <w:r w:rsidR="00742841" w:rsidRPr="00742841">
        <w:rPr>
          <w:rStyle w:val="Hyperlink"/>
          <w:noProof/>
          <w:color w:val="auto"/>
          <w:u w:val="none"/>
        </w:rPr>
        <w:t>1-2</w:t>
      </w:r>
    </w:p>
    <w:p w:rsidR="00742841" w:rsidRPr="008C1F82" w:rsidRDefault="00742841" w:rsidP="00742841">
      <w:pPr>
        <w:ind w:left="0"/>
      </w:pPr>
      <w:r w:rsidRPr="008C1F82">
        <w:t>4.0 Action Items……………………………………………………………………………....….. 2</w:t>
      </w:r>
    </w:p>
    <w:p w:rsidR="00742841" w:rsidRPr="008C1F82" w:rsidRDefault="00742841" w:rsidP="00742841">
      <w:pPr>
        <w:ind w:left="0" w:right="-90"/>
      </w:pPr>
      <w:r w:rsidRPr="008C1F82">
        <w:t>Old Business……………………………………………………....…………………….……........</w:t>
      </w:r>
      <w:r>
        <w:t>3</w:t>
      </w:r>
    </w:p>
    <w:p w:rsidR="00742841" w:rsidRPr="008C1F82" w:rsidRDefault="00742841" w:rsidP="00742841">
      <w:pPr>
        <w:ind w:left="0" w:right="-90"/>
        <w:rPr>
          <w:noProof/>
        </w:rPr>
      </w:pPr>
      <w:r w:rsidRPr="008C1F82">
        <w:t>New Business…………………………………………………………………..…....…......…....</w:t>
      </w:r>
      <w:r>
        <w:t>3</w:t>
      </w:r>
      <w:r w:rsidRPr="008C1F82">
        <w:t>-4</w:t>
      </w:r>
    </w:p>
    <w:p w:rsidR="00742841" w:rsidRPr="00742841" w:rsidRDefault="008F7AF7" w:rsidP="00742841">
      <w:pPr>
        <w:pStyle w:val="TOC1"/>
        <w:rPr>
          <w:noProof/>
        </w:rPr>
      </w:pPr>
      <w:hyperlink w:anchor="_Toc208315788" w:history="1">
        <w:r w:rsidR="00742841" w:rsidRPr="008C1F82">
          <w:rPr>
            <w:rStyle w:val="Hyperlink"/>
            <w:noProof/>
          </w:rPr>
          <w:t>Next Meeting</w:t>
        </w:r>
        <w:r w:rsidR="00742841" w:rsidRPr="008C1F82">
          <w:rPr>
            <w:noProof/>
            <w:webHidden/>
          </w:rPr>
          <w:tab/>
        </w:r>
      </w:hyperlink>
      <w:r w:rsidR="00742841" w:rsidRPr="00742841">
        <w:rPr>
          <w:rStyle w:val="Hyperlink"/>
          <w:noProof/>
          <w:color w:val="auto"/>
          <w:u w:val="none"/>
        </w:rPr>
        <w:t>4</w:t>
      </w:r>
    </w:p>
    <w:p w:rsidR="00742841" w:rsidRDefault="00742841" w:rsidP="00742841">
      <w:pPr>
        <w:ind w:left="0"/>
      </w:pPr>
      <w:r w:rsidRPr="008C1F82">
        <w:fldChar w:fldCharType="end"/>
      </w:r>
    </w:p>
    <w:p w:rsidR="001624D8" w:rsidRDefault="000A1951">
      <w:pPr>
        <w:ind w:left="0"/>
      </w:pPr>
      <w:r>
        <w:t>Review of email distributed articles. ET insertion may not be needed.  Dr. Geller is retiring-Certificate of Appreciation to Dr. Geller.</w:t>
      </w:r>
    </w:p>
    <w:p w:rsidR="001624D8" w:rsidRDefault="001624D8">
      <w:pPr>
        <w:ind w:left="0"/>
      </w:pPr>
    </w:p>
    <w:p w:rsidR="001624D8" w:rsidRDefault="000A1951">
      <w:pPr>
        <w:pStyle w:val="Heading1"/>
        <w:numPr>
          <w:ilvl w:val="0"/>
          <w:numId w:val="2"/>
        </w:numPr>
      </w:pPr>
      <w:bookmarkStart w:id="2" w:name="_Toc1"/>
      <w:r>
        <w:rPr>
          <w:rFonts w:eastAsia="Arial Unicode MS" w:cs="Arial Unicode MS"/>
        </w:rPr>
        <w:t>Call to Order</w:t>
      </w:r>
      <w:bookmarkEnd w:id="2"/>
    </w:p>
    <w:p w:rsidR="001624D8" w:rsidRDefault="000A1951">
      <w:pPr>
        <w:ind w:left="0"/>
      </w:pPr>
      <w:r>
        <w:t xml:space="preserve">Dr. Jon Burstein called to order the September meeting of the Emergency Medical Care Advisory Board’s Medical Services Committee at 10:13 am on September 12, 2018 at the at the </w:t>
      </w:r>
      <w:r>
        <w:rPr>
          <w:color w:val="141414"/>
          <w:u w:color="141414"/>
        </w:rPr>
        <w:t>University of Massachusetts Medical School, Albert Sherman Center, Room AS6-3072, 55 Lake Avenue North, S2-343, Worcester, MA 01655</w:t>
      </w:r>
      <w:r>
        <w:t>.</w:t>
      </w:r>
    </w:p>
    <w:p w:rsidR="001624D8" w:rsidRDefault="001624D8">
      <w:pPr>
        <w:pStyle w:val="Heading1"/>
      </w:pPr>
    </w:p>
    <w:p w:rsidR="001624D8" w:rsidRDefault="000A1951">
      <w:pPr>
        <w:pStyle w:val="Heading1"/>
      </w:pPr>
      <w:bookmarkStart w:id="3" w:name="_Toc2"/>
      <w:r>
        <w:rPr>
          <w:rFonts w:eastAsia="Arial Unicode MS" w:cs="Arial Unicode MS"/>
        </w:rPr>
        <w:t>3.0 Motions</w:t>
      </w:r>
      <w:bookmarkEnd w:id="3"/>
    </w:p>
    <w:p w:rsidR="001624D8" w:rsidRDefault="000A1951">
      <w:pPr>
        <w:ind w:left="0"/>
      </w:pPr>
      <w:r>
        <w:t>The following table lists the motions made during the meeting.</w:t>
      </w:r>
    </w:p>
    <w:p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tabs>
                <w:tab w:val="left" w:pos="8730"/>
              </w:tabs>
              <w:ind w:left="0"/>
            </w:pPr>
            <w:r>
              <w:rPr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</w:pPr>
            <w:r>
              <w:rPr>
                <w:b/>
                <w:bCs/>
                <w:color w:val="FFFFFF"/>
                <w:u w:color="FFFFFF"/>
              </w:rPr>
              <w:t>Result</w:t>
            </w:r>
            <w:r>
              <w:rPr>
                <w:b/>
                <w:bCs/>
                <w:color w:val="FFFFFF"/>
                <w:u w:color="FFFFFF"/>
              </w:rPr>
              <w:tab/>
            </w:r>
          </w:p>
        </w:tc>
      </w:tr>
      <w:tr w:rsidR="001624D8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</w:pPr>
            <w:r>
              <w:rPr>
                <w:b/>
                <w:bCs/>
              </w:rPr>
              <w:t xml:space="preserve">Motion: </w:t>
            </w:r>
            <w:r>
              <w:t xml:space="preserve">by Dr. Dyer to accept the June minutes. Seconded by Dr. Old.     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624D8" w:rsidRDefault="000A1951">
            <w:pPr>
              <w:pStyle w:val="NoSpacing"/>
              <w:ind w:left="60"/>
            </w:pPr>
            <w:r>
              <w:rPr>
                <w:b/>
                <w:bCs/>
              </w:rPr>
              <w:t xml:space="preserve">Approved - </w:t>
            </w:r>
            <w:r>
              <w:t xml:space="preserve">unanimous vote. </w:t>
            </w:r>
          </w:p>
        </w:tc>
      </w:tr>
    </w:tbl>
    <w:p w:rsidR="0074284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4"/>
        <w:gridCol w:w="179"/>
        <w:gridCol w:w="3982"/>
        <w:gridCol w:w="180"/>
        <w:gridCol w:w="293"/>
      </w:tblGrid>
      <w:tr w:rsidR="001624D8" w:rsidTr="006C5DDE">
        <w:trPr>
          <w:trHeight w:val="300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tabs>
                <w:tab w:val="left" w:pos="8730"/>
              </w:tabs>
              <w:ind w:left="0"/>
            </w:pPr>
            <w:r>
              <w:rPr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</w:pPr>
            <w:r>
              <w:rPr>
                <w:b/>
                <w:bCs/>
                <w:color w:val="FFFFFF"/>
                <w:u w:color="FFFFFF"/>
              </w:rPr>
              <w:t>Result</w:t>
            </w:r>
            <w:r>
              <w:rPr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Tr="006C5DDE">
        <w:trPr>
          <w:trHeight w:val="873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ind w:left="0"/>
            </w:pPr>
            <w:r>
              <w:rPr>
                <w:b/>
                <w:bCs/>
              </w:rPr>
              <w:t xml:space="preserve"> Motion:</w:t>
            </w:r>
            <w:r>
              <w:t xml:space="preserve"> by Dr. Geller to approve continuation of    </w:t>
            </w:r>
          </w:p>
          <w:p w:rsidR="001624D8" w:rsidRDefault="000A1951">
            <w:pPr>
              <w:ind w:left="0"/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MAI</w:t>
            </w:r>
            <w:r>
              <w:rPr>
                <w:b/>
                <w:bCs/>
              </w:rPr>
              <w:t xml:space="preserve"> </w:t>
            </w:r>
            <w:r>
              <w:t xml:space="preserve">special project for 2 years.                       </w:t>
            </w:r>
          </w:p>
          <w:p w:rsidR="001624D8" w:rsidRDefault="000A1951">
            <w:pPr>
              <w:ind w:left="0"/>
            </w:pPr>
            <w:r>
              <w:t xml:space="preserve"> Seconded by Dr. Old.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MediumShading1-Accent21"/>
              <w:ind w:left="0"/>
            </w:pPr>
            <w:r>
              <w:t xml:space="preserve"> </w:t>
            </w:r>
            <w:r>
              <w:rPr>
                <w:b/>
                <w:bCs/>
              </w:rPr>
              <w:t>Approved</w:t>
            </w:r>
            <w:r>
              <w:t xml:space="preserve"> – unanimous vote.</w:t>
            </w:r>
          </w:p>
        </w:tc>
      </w:tr>
      <w:tr w:rsidR="001624D8" w:rsidTr="006C5DDE">
        <w:trPr>
          <w:gridAfter w:val="1"/>
          <w:wAfter w:w="293" w:type="dxa"/>
          <w:trHeight w:val="30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t>Result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1624D8"/>
        </w:tc>
      </w:tr>
      <w:tr w:rsidR="001624D8" w:rsidTr="006C5DDE">
        <w:trPr>
          <w:gridAfter w:val="1"/>
          <w:wAfter w:w="293" w:type="dxa"/>
          <w:trHeight w:val="141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ListParagraph"/>
              <w:ind w:left="0"/>
            </w:pPr>
            <w:r>
              <w:rPr>
                <w:b/>
                <w:bCs/>
              </w:rPr>
              <w:t>Motion</w:t>
            </w:r>
            <w:r>
              <w:t xml:space="preserve">: by Dr. Cohen to require IFT training every 2 years using region IIs base  </w:t>
            </w:r>
          </w:p>
          <w:p w:rsidR="001624D8" w:rsidRDefault="000A1951">
            <w:pPr>
              <w:ind w:left="0"/>
            </w:pPr>
            <w:proofErr w:type="gramStart"/>
            <w:r>
              <w:t>curriculum</w:t>
            </w:r>
            <w:proofErr w:type="gramEnd"/>
            <w:r>
              <w:t xml:space="preserve"> and to include in-person didactic sessions.  </w:t>
            </w:r>
          </w:p>
          <w:p w:rsidR="001624D8" w:rsidRDefault="000A1951">
            <w:pPr>
              <w:ind w:left="0"/>
            </w:pPr>
            <w:r>
              <w:t>Seconded by Dr. Old.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MediumShading1-Accent21"/>
              <w:tabs>
                <w:tab w:val="left" w:pos="162"/>
              </w:tabs>
              <w:ind w:left="0"/>
            </w:pPr>
            <w:r>
              <w:rPr>
                <w:b/>
                <w:bCs/>
              </w:rPr>
              <w:t xml:space="preserve"> Approved</w:t>
            </w:r>
            <w:r>
              <w:t xml:space="preserve"> – unanimous vote.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1624D8"/>
        </w:tc>
      </w:tr>
    </w:tbl>
    <w:p w:rsidR="0074284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42841" w:rsidTr="00B97F75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841" w:rsidRDefault="00742841" w:rsidP="00B97F75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841" w:rsidRDefault="00742841" w:rsidP="00B97F75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Tr="006C5DDE">
        <w:trPr>
          <w:trHeight w:val="87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841" w:rsidRDefault="00742841" w:rsidP="00742841">
            <w:pPr>
              <w:pStyle w:val="ListParagraph"/>
              <w:ind w:left="0"/>
            </w:pPr>
            <w:r>
              <w:rPr>
                <w:b/>
                <w:bCs/>
              </w:rPr>
              <w:t>Motion:</w:t>
            </w:r>
            <w:r>
              <w:t xml:space="preserve"> by Dr. Geller to table the CQI for critical procedures discussion. </w:t>
            </w:r>
          </w:p>
          <w:p w:rsidR="00742841" w:rsidRDefault="00742841" w:rsidP="00742841">
            <w:pPr>
              <w:tabs>
                <w:tab w:val="left" w:pos="1170"/>
                <w:tab w:val="left" w:pos="1410"/>
                <w:tab w:val="left" w:pos="1440"/>
              </w:tabs>
              <w:ind w:left="0"/>
            </w:pPr>
            <w:r>
              <w:t>Seconded Paul Brennan.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841" w:rsidRDefault="00742841" w:rsidP="00B97F75">
            <w:pPr>
              <w:pStyle w:val="NoSpacing"/>
              <w:ind w:left="0"/>
            </w:pPr>
            <w:r>
              <w:rPr>
                <w:b/>
                <w:bCs/>
              </w:rPr>
              <w:t>Approved</w:t>
            </w:r>
            <w:r>
              <w:t xml:space="preserve"> – unanimous vote.</w:t>
            </w:r>
          </w:p>
        </w:tc>
      </w:tr>
    </w:tbl>
    <w:p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1624D8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ind w:left="0"/>
            </w:pPr>
            <w:r>
              <w:rPr>
                <w:b/>
                <w:bCs/>
                <w:color w:val="FFFFFF"/>
                <w:u w:color="FFFFFF"/>
              </w:rPr>
              <w:t>Result</w:t>
            </w:r>
          </w:p>
        </w:tc>
      </w:tr>
      <w:tr w:rsidR="001624D8" w:rsidTr="006C5DDE">
        <w:trPr>
          <w:trHeight w:val="105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ListParagraph"/>
              <w:ind w:left="0"/>
            </w:pPr>
            <w:r>
              <w:rPr>
                <w:b/>
                <w:bCs/>
              </w:rPr>
              <w:t>Motion</w:t>
            </w:r>
            <w:r>
              <w:t xml:space="preserve">: by Dr. Dyer to add the proposed flow sheet to the current protocol after Heart Centers approve.               </w:t>
            </w:r>
          </w:p>
          <w:p w:rsidR="001624D8" w:rsidRDefault="000A1951">
            <w:pPr>
              <w:tabs>
                <w:tab w:val="left" w:pos="1170"/>
                <w:tab w:val="left" w:pos="1410"/>
                <w:tab w:val="left" w:pos="1440"/>
              </w:tabs>
              <w:ind w:left="0"/>
            </w:pPr>
            <w:r>
              <w:t>Seconded by Dr. Geller.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pStyle w:val="NoSpacing"/>
              <w:ind w:left="0"/>
            </w:pPr>
            <w:r>
              <w:rPr>
                <w:b/>
                <w:bCs/>
              </w:rPr>
              <w:t>Approved</w:t>
            </w:r>
            <w:r>
              <w:t xml:space="preserve"> – unanimous vote.</w:t>
            </w:r>
          </w:p>
        </w:tc>
      </w:tr>
    </w:tbl>
    <w:p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</w:p>
    <w:p w:rsidR="001624D8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  <w:r>
        <w:rPr>
          <w:b/>
          <w:bCs/>
        </w:rPr>
        <w:t>4.0Action Items</w:t>
      </w:r>
    </w:p>
    <w:p w:rsidR="001624D8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  <w: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1624D8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</w:pPr>
            <w:r>
              <w:rPr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</w:pPr>
            <w:r>
              <w:rPr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>
        <w:trPr>
          <w:trHeight w:val="60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</w:pPr>
            <w:r>
              <w:rPr>
                <w:kern w:val="1"/>
              </w:rPr>
              <w:t xml:space="preserve">POLST-honoring out of state forms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4D8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</w:pPr>
            <w:r>
              <w:rPr>
                <w:kern w:val="1"/>
              </w:rPr>
              <w:t>DPH-OEMS to contact legislative representative.</w:t>
            </w:r>
          </w:p>
        </w:tc>
      </w:tr>
    </w:tbl>
    <w:p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b/>
          <w:bCs/>
        </w:rPr>
      </w:pPr>
    </w:p>
    <w:p w:rsidR="001624D8" w:rsidRDefault="006C5DDE" w:rsidP="006C5DDE">
      <w:pPr>
        <w:pStyle w:val="BodyA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1951">
        <w:rPr>
          <w:sz w:val="24"/>
          <w:szCs w:val="24"/>
        </w:rPr>
        <w:t>Agenda</w:t>
      </w:r>
    </w:p>
    <w:p w:rsidR="001624D8" w:rsidRDefault="000A1951">
      <w:pPr>
        <w:pStyle w:val="BodyA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Acceptance of Minutes: June 8, 2018 meeting. </w:t>
      </w:r>
    </w:p>
    <w:p w:rsidR="001624D8" w:rsidRDefault="000A1951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Motion: </w:t>
      </w:r>
      <w:r>
        <w:rPr>
          <w:sz w:val="24"/>
          <w:szCs w:val="24"/>
        </w:rPr>
        <w:t>by Dr. Dyer to accept the June minutes. Seconded by Dr. Old.</w:t>
      </w:r>
      <w:r>
        <w:rPr>
          <w:b/>
          <w:bCs/>
          <w:sz w:val="24"/>
          <w:szCs w:val="24"/>
        </w:rPr>
        <w:t xml:space="preserve"> </w:t>
      </w:r>
    </w:p>
    <w:p w:rsidR="001624D8" w:rsidRDefault="000A1951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sz w:val="24"/>
          <w:szCs w:val="24"/>
        </w:rPr>
      </w:pPr>
      <w:r>
        <w:rPr>
          <w:b/>
          <w:bCs/>
          <w:sz w:val="24"/>
          <w:szCs w:val="24"/>
        </w:rPr>
        <w:t>Approved</w:t>
      </w:r>
      <w:r>
        <w:rPr>
          <w:sz w:val="24"/>
          <w:szCs w:val="24"/>
        </w:rPr>
        <w:t xml:space="preserve"> – unanimous vote.   </w:t>
      </w:r>
    </w:p>
    <w:p w:rsidR="001624D8" w:rsidRDefault="000A1951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1624D8" w:rsidRDefault="000A1951">
      <w:pPr>
        <w:pStyle w:val="BodyA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OEMS Update-Mark Miller-MIH approved by Public health Council, Regulations promulgated. Webinars ongoing. Reminder that Community MIH requires no fee.  Services must work with the towns, cities, local boards and/or AHMDs to determine the proposed plan. Possible programs might be immunizations, fall prevention.  New staff -one inspector/compliance investigator and 3 MIH personnel.</w:t>
      </w:r>
    </w:p>
    <w:p w:rsidR="001624D8" w:rsidRDefault="001624D8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rPr>
          <w:sz w:val="24"/>
          <w:szCs w:val="24"/>
        </w:rPr>
      </w:pPr>
    </w:p>
    <w:p w:rsidR="001624D8" w:rsidRDefault="000A1951">
      <w:pPr>
        <w:pStyle w:val="BodyTextIndent"/>
        <w:numPr>
          <w:ilvl w:val="0"/>
          <w:numId w:val="6"/>
        </w:numPr>
        <w:spacing w:after="0"/>
      </w:pPr>
      <w:r>
        <w:t xml:space="preserve">Old Business </w:t>
      </w:r>
    </w:p>
    <w:p w:rsidR="001624D8" w:rsidRDefault="000A1951">
      <w:pPr>
        <w:pStyle w:val="ListParagraph"/>
        <w:tabs>
          <w:tab w:val="left" w:pos="288"/>
          <w:tab w:val="left" w:pos="720"/>
          <w:tab w:val="left" w:pos="1440"/>
        </w:tabs>
        <w:ind w:left="0"/>
      </w:pPr>
      <w:r>
        <w:tab/>
        <w:t xml:space="preserve">      </w:t>
      </w:r>
      <w:proofErr w:type="gramStart"/>
      <w:r>
        <w:t>a.MAI special project data.</w:t>
      </w:r>
      <w:proofErr w:type="gramEnd"/>
      <w:r>
        <w:t xml:space="preserve">  </w:t>
      </w:r>
      <w:proofErr w:type="gramStart"/>
      <w:r>
        <w:t>Discussion and vote.</w:t>
      </w:r>
      <w:proofErr w:type="gramEnd"/>
    </w:p>
    <w:p w:rsidR="001624D8" w:rsidRDefault="000A1951">
      <w:pPr>
        <w:pStyle w:val="ListParagraph"/>
        <w:tabs>
          <w:tab w:val="left" w:pos="288"/>
          <w:tab w:val="left" w:pos="720"/>
          <w:tab w:val="left" w:pos="1440"/>
        </w:tabs>
        <w:ind w:left="810" w:hanging="720"/>
      </w:pPr>
      <w:r>
        <w:t xml:space="preserve">            Dr. Restuccia presented UTD data for the MAI project.  4 Services are approved for this project-BEMS, Lawrence General Paramedic, Lowell General Paramedic and Umass Memorial.  In 2016 there were 1383 intubation attempts with 1261 intubations (91% success rate).  In 2017 there were 1581 attempts with 1460 intubations (92% success rate).  Failed intubation patients were managed with LMA or bag-valve mask.  </w:t>
      </w:r>
    </w:p>
    <w:p w:rsidR="001624D8" w:rsidRDefault="000A1951">
      <w:pPr>
        <w:tabs>
          <w:tab w:val="left" w:pos="270"/>
          <w:tab w:val="left" w:pos="360"/>
          <w:tab w:val="left" w:pos="1440"/>
        </w:tabs>
        <w:ind w:left="432" w:hanging="432"/>
      </w:pPr>
      <w:r>
        <w:rPr>
          <w:b/>
          <w:bCs/>
        </w:rPr>
        <w:t xml:space="preserve">             Motion</w:t>
      </w:r>
      <w:r>
        <w:t xml:space="preserve">: by Dr. Geller to approve continuation of the MAI special project for 2 years.                      </w:t>
      </w:r>
    </w:p>
    <w:p w:rsidR="001624D8" w:rsidRDefault="00742841">
      <w:pPr>
        <w:tabs>
          <w:tab w:val="left" w:pos="270"/>
          <w:tab w:val="left" w:pos="360"/>
          <w:tab w:val="left" w:pos="1440"/>
        </w:tabs>
        <w:ind w:left="432" w:hanging="432"/>
      </w:pPr>
      <w:r>
        <w:rPr>
          <w:b/>
          <w:bCs/>
        </w:rPr>
        <w:t xml:space="preserve">           </w:t>
      </w:r>
      <w:r w:rsidR="000A1951">
        <w:rPr>
          <w:b/>
          <w:bCs/>
        </w:rPr>
        <w:t xml:space="preserve">  </w:t>
      </w:r>
      <w:proofErr w:type="gramStart"/>
      <w:r w:rsidR="000A1951">
        <w:t>Seconded by Dr. Old.</w:t>
      </w:r>
      <w:proofErr w:type="gramEnd"/>
      <w:r w:rsidR="000A1951">
        <w:t xml:space="preserve"> </w:t>
      </w:r>
      <w:r w:rsidR="000A1951">
        <w:tab/>
      </w:r>
      <w:r w:rsidR="000A1951">
        <w:rPr>
          <w:b/>
          <w:bCs/>
        </w:rPr>
        <w:t>Approved</w:t>
      </w:r>
      <w:r w:rsidR="000A1951">
        <w:t xml:space="preserve"> – unanimous vote.</w:t>
      </w:r>
    </w:p>
    <w:p w:rsidR="001624D8" w:rsidRDefault="001624D8">
      <w:pPr>
        <w:pStyle w:val="BodyAA"/>
        <w:tabs>
          <w:tab w:val="clear" w:pos="288"/>
          <w:tab w:val="clear" w:pos="720"/>
          <w:tab w:val="left" w:pos="1383"/>
          <w:tab w:val="left" w:pos="1410"/>
          <w:tab w:val="left" w:pos="1440"/>
        </w:tabs>
        <w:ind w:left="1358"/>
        <w:rPr>
          <w:sz w:val="24"/>
          <w:szCs w:val="24"/>
        </w:rPr>
      </w:pPr>
    </w:p>
    <w:p w:rsidR="001624D8" w:rsidRDefault="000A1951">
      <w:pPr>
        <w:pStyle w:val="BodyA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New Business</w:t>
      </w:r>
    </w:p>
    <w:p w:rsidR="001624D8" w:rsidRDefault="000A1951">
      <w:pPr>
        <w:pStyle w:val="ListParagraph"/>
        <w:numPr>
          <w:ilvl w:val="1"/>
          <w:numId w:val="9"/>
        </w:numPr>
      </w:pPr>
      <w:r>
        <w:t>Articles on epi and intubation in arrest.  Informational.</w:t>
      </w:r>
    </w:p>
    <w:p w:rsidR="001624D8" w:rsidRDefault="001624D8">
      <w:pPr>
        <w:pStyle w:val="ListParagraph"/>
        <w:ind w:left="36" w:hanging="36"/>
      </w:pPr>
    </w:p>
    <w:p w:rsidR="001624D8" w:rsidRDefault="000A1951">
      <w:pPr>
        <w:pStyle w:val="ListParagraph"/>
        <w:numPr>
          <w:ilvl w:val="1"/>
          <w:numId w:val="10"/>
        </w:numPr>
      </w:pPr>
      <w:r>
        <w:t xml:space="preserve"> Statutory privilege in peer review.  Discussion. When doing peer review as an agency  </w:t>
      </w:r>
    </w:p>
    <w:p w:rsidR="001624D8" w:rsidRDefault="000A1951">
      <w:pPr>
        <w:pStyle w:val="ListParagraph"/>
        <w:tabs>
          <w:tab w:val="left" w:pos="810"/>
        </w:tabs>
        <w:ind w:left="810"/>
      </w:pPr>
      <w:r>
        <w:t xml:space="preserve"> </w:t>
      </w:r>
      <w:proofErr w:type="gramStart"/>
      <w:r>
        <w:t>the</w:t>
      </w:r>
      <w:proofErr w:type="gramEnd"/>
      <w:r>
        <w:t xml:space="preserve"> discussion may be subject to subpoena.  To change this would require a legislative  </w:t>
      </w:r>
    </w:p>
    <w:p w:rsidR="001624D8" w:rsidRDefault="000A1951">
      <w:pPr>
        <w:pStyle w:val="ListParagraph"/>
        <w:tabs>
          <w:tab w:val="left" w:pos="810"/>
        </w:tabs>
        <w:ind w:left="810"/>
      </w:pPr>
      <w:r>
        <w:t xml:space="preserve"> </w:t>
      </w:r>
      <w:proofErr w:type="gramStart"/>
      <w:r>
        <w:t>change</w:t>
      </w:r>
      <w:proofErr w:type="gramEnd"/>
      <w:r>
        <w:t xml:space="preserve">, could request a legal opinion of the Office of General Council. </w:t>
      </w:r>
    </w:p>
    <w:p w:rsidR="001624D8" w:rsidRDefault="001624D8">
      <w:pPr>
        <w:pStyle w:val="ListParagraph"/>
        <w:tabs>
          <w:tab w:val="left" w:pos="810"/>
        </w:tabs>
        <w:ind w:left="810"/>
      </w:pPr>
    </w:p>
    <w:p w:rsidR="001624D8" w:rsidRDefault="000A1951">
      <w:pPr>
        <w:pStyle w:val="ListParagraph"/>
        <w:numPr>
          <w:ilvl w:val="1"/>
          <w:numId w:val="11"/>
        </w:numPr>
      </w:pPr>
      <w:r>
        <w:t xml:space="preserve"> Termination of resuscitation.  Discussion. The protocols must be followed.  Medical   </w:t>
      </w:r>
    </w:p>
    <w:p w:rsidR="001624D8" w:rsidRDefault="000A1951">
      <w:pPr>
        <w:pStyle w:val="ListParagraph"/>
        <w:ind w:left="810"/>
      </w:pPr>
      <w:r>
        <w:t xml:space="preserve"> Control cannot order termination of resuscitation unless a Comfort Care, MOLST form  </w:t>
      </w:r>
    </w:p>
    <w:p w:rsidR="001624D8" w:rsidRDefault="000A1951">
      <w:pPr>
        <w:pStyle w:val="ListParagraph"/>
        <w:ind w:left="810"/>
      </w:pPr>
      <w:r>
        <w:t xml:space="preserve"> </w:t>
      </w:r>
      <w:proofErr w:type="gramStart"/>
      <w:r>
        <w:t>or</w:t>
      </w:r>
      <w:proofErr w:type="gramEnd"/>
      <w:r>
        <w:t xml:space="preserve"> criteria from Protocol 7.7 Withholding and Cessation of Resuscitation are met.  The  </w:t>
      </w:r>
    </w:p>
    <w:p w:rsidR="001624D8" w:rsidRDefault="000A1951">
      <w:pPr>
        <w:pStyle w:val="ListParagraph"/>
        <w:ind w:left="810"/>
      </w:pPr>
      <w:r>
        <w:t xml:space="preserve"> </w:t>
      </w:r>
      <w:proofErr w:type="gramStart"/>
      <w:r>
        <w:t>prehospital</w:t>
      </w:r>
      <w:proofErr w:type="gramEnd"/>
      <w:r>
        <w:t xml:space="preserve"> resuscitative efforts need to continue until the patient has been received at  </w:t>
      </w:r>
    </w:p>
    <w:p w:rsidR="001624D8" w:rsidRDefault="000A1951">
      <w:pPr>
        <w:pStyle w:val="ListParagraph"/>
        <w:ind w:left="810"/>
      </w:pPr>
      <w:r>
        <w:t xml:space="preserve"> </w:t>
      </w:r>
      <w:proofErr w:type="gramStart"/>
      <w:r>
        <w:t>the</w:t>
      </w:r>
      <w:proofErr w:type="gramEnd"/>
      <w:r>
        <w:t xml:space="preserve"> hospital.  A question was raised of how can EMS honor out of state POLST forms?  </w:t>
      </w:r>
    </w:p>
    <w:p w:rsidR="001624D8" w:rsidRDefault="000A1951">
      <w:pPr>
        <w:pStyle w:val="ListParagraph"/>
        <w:tabs>
          <w:tab w:val="left" w:pos="900"/>
        </w:tabs>
        <w:ind w:left="810"/>
      </w:pPr>
      <w:r>
        <w:t xml:space="preserve"> </w:t>
      </w:r>
      <w:proofErr w:type="gramStart"/>
      <w:r>
        <w:t>The Department to follow up with the Legislative representative.</w:t>
      </w:r>
      <w:proofErr w:type="gramEnd"/>
    </w:p>
    <w:p w:rsidR="001624D8" w:rsidRDefault="001624D8">
      <w:pPr>
        <w:pStyle w:val="ListParagraph"/>
      </w:pPr>
    </w:p>
    <w:p w:rsidR="001624D8" w:rsidRDefault="001624D8">
      <w:pPr>
        <w:pStyle w:val="ListParagraph"/>
      </w:pPr>
    </w:p>
    <w:p w:rsidR="001624D8" w:rsidRDefault="000A1951">
      <w:pPr>
        <w:pStyle w:val="ListParagraph"/>
        <w:numPr>
          <w:ilvl w:val="1"/>
          <w:numId w:val="12"/>
        </w:numPr>
      </w:pPr>
      <w:r>
        <w:t xml:space="preserve">Membership of the committee.  New EMSC rep &amp; replacement for one retiring MD   </w:t>
      </w:r>
    </w:p>
    <w:p w:rsidR="001624D8" w:rsidRDefault="000A1951">
      <w:pPr>
        <w:pStyle w:val="ListParagraph"/>
        <w:ind w:left="630"/>
      </w:pPr>
      <w:r>
        <w:t xml:space="preserve">    </w:t>
      </w:r>
      <w:proofErr w:type="gramStart"/>
      <w:r>
        <w:t>member</w:t>
      </w:r>
      <w:proofErr w:type="gramEnd"/>
      <w:r>
        <w:t xml:space="preserve">. </w:t>
      </w:r>
      <w:proofErr w:type="gramStart"/>
      <w:r>
        <w:t>Discussion and vote.</w:t>
      </w:r>
      <w:proofErr w:type="gramEnd"/>
      <w:r>
        <w:t xml:space="preserve"> Dr. Bivens, Dr. Darnobid, Dr. Krendel and </w:t>
      </w:r>
    </w:p>
    <w:p w:rsidR="001624D8" w:rsidRDefault="000A1951">
      <w:pPr>
        <w:pStyle w:val="ListParagraph"/>
        <w:ind w:left="630"/>
      </w:pPr>
      <w:r>
        <w:t xml:space="preserve">    Dr. Schoenfeld submitted letters of intent. Ballots distributed.  3 way tie among the 3  </w:t>
      </w:r>
    </w:p>
    <w:p w:rsidR="001624D8" w:rsidRDefault="000A1951">
      <w:pPr>
        <w:pStyle w:val="ListParagraph"/>
        <w:ind w:left="630"/>
      </w:pPr>
      <w:r>
        <w:t xml:space="preserve">    </w:t>
      </w:r>
      <w:proofErr w:type="gramStart"/>
      <w:r>
        <w:t>candidates</w:t>
      </w:r>
      <w:proofErr w:type="gramEnd"/>
      <w:r>
        <w:t xml:space="preserve"> attending.  Dr. Burstein to interview the candidates and determine who will  </w:t>
      </w:r>
    </w:p>
    <w:p w:rsidR="001624D8" w:rsidRDefault="000A1951">
      <w:pPr>
        <w:pStyle w:val="ListParagraph"/>
        <w:ind w:left="630"/>
      </w:pPr>
      <w:r>
        <w:t xml:space="preserve">    </w:t>
      </w:r>
      <w:proofErr w:type="gramStart"/>
      <w:r>
        <w:t>fill</w:t>
      </w:r>
      <w:proofErr w:type="gramEnd"/>
      <w:r>
        <w:t xml:space="preserve"> the MSC  position. </w:t>
      </w:r>
    </w:p>
    <w:p w:rsidR="001624D8" w:rsidRDefault="001624D8">
      <w:pPr>
        <w:pStyle w:val="ListParagraph"/>
        <w:ind w:left="0"/>
      </w:pPr>
    </w:p>
    <w:p w:rsidR="001624D8" w:rsidRDefault="001624D8">
      <w:pPr>
        <w:pStyle w:val="ListParagraph"/>
        <w:ind w:left="0"/>
      </w:pPr>
    </w:p>
    <w:p w:rsidR="001624D8" w:rsidRDefault="000A1951">
      <w:pPr>
        <w:pStyle w:val="ListParagraph"/>
        <w:numPr>
          <w:ilvl w:val="1"/>
          <w:numId w:val="13"/>
        </w:numPr>
      </w:pPr>
      <w:r>
        <w:t>IFT educational package from Region 2 for possible adoption.  Discussion and vote.</w:t>
      </w:r>
    </w:p>
    <w:p w:rsidR="001624D8" w:rsidRDefault="000A1951">
      <w:pPr>
        <w:pStyle w:val="ListParagraph"/>
        <w:ind w:left="630"/>
      </w:pPr>
      <w:r>
        <w:t xml:space="preserve"> </w:t>
      </w:r>
      <w:r>
        <w:rPr>
          <w:b/>
          <w:bCs/>
        </w:rPr>
        <w:tab/>
        <w:t>Motion</w:t>
      </w:r>
      <w:r>
        <w:t xml:space="preserve">: by Dr. Cohen to require IFT training every 2 years using region IIs base  </w:t>
      </w:r>
    </w:p>
    <w:p w:rsidR="001624D8" w:rsidRDefault="000A1951">
      <w:pPr>
        <w:pStyle w:val="ListParagraph"/>
        <w:ind w:left="630"/>
      </w:pPr>
      <w:r>
        <w:rPr>
          <w:b/>
          <w:bCs/>
        </w:rPr>
        <w:t xml:space="preserve">    </w:t>
      </w:r>
      <w:proofErr w:type="gramStart"/>
      <w:r>
        <w:t>Curriculum and in-person didactic sessions.</w:t>
      </w:r>
      <w:proofErr w:type="gramEnd"/>
      <w:r>
        <w:t xml:space="preserve"> </w:t>
      </w:r>
      <w:proofErr w:type="gramStart"/>
      <w:r>
        <w:t>Seconded by Dr. Old.</w:t>
      </w:r>
      <w:proofErr w:type="gramEnd"/>
      <w:r>
        <w:t xml:space="preserve"> Discussion-remove  </w:t>
      </w:r>
    </w:p>
    <w:p w:rsidR="00742841" w:rsidRDefault="000A1951">
      <w:pPr>
        <w:pStyle w:val="ListParagraph"/>
        <w:ind w:left="630"/>
      </w:pPr>
      <w:r>
        <w:t xml:space="preserve">    </w:t>
      </w:r>
      <w:proofErr w:type="gramStart"/>
      <w:r>
        <w:t>the</w:t>
      </w:r>
      <w:proofErr w:type="gramEnd"/>
      <w:r>
        <w:t xml:space="preserve"> time frame 7-9 hours or 8 hours. Can training be done in 4-2 hour sessions-</w:t>
      </w:r>
      <w:proofErr w:type="gramStart"/>
      <w:r>
        <w:t>yes.</w:t>
      </w:r>
      <w:proofErr w:type="gramEnd"/>
      <w:r>
        <w:t xml:space="preserve"> </w:t>
      </w:r>
    </w:p>
    <w:p w:rsidR="001624D8" w:rsidRDefault="00742841">
      <w:pPr>
        <w:pStyle w:val="ListParagraph"/>
        <w:ind w:left="630"/>
      </w:pPr>
      <w:r>
        <w:t xml:space="preserve">    </w:t>
      </w:r>
      <w:r w:rsidR="000A1951">
        <w:t xml:space="preserve">Dr. Tollefsen recommends a minimum of 8 hours training as a  </w:t>
      </w:r>
    </w:p>
    <w:p w:rsidR="001624D8" w:rsidRDefault="000A1951">
      <w:pPr>
        <w:pStyle w:val="ListParagraph"/>
        <w:ind w:left="630"/>
      </w:pPr>
      <w:r>
        <w:t xml:space="preserve">    </w:t>
      </w:r>
      <w:proofErr w:type="gramStart"/>
      <w:r>
        <w:t>friendly</w:t>
      </w:r>
      <w:proofErr w:type="gramEnd"/>
      <w:r>
        <w:t xml:space="preserve"> amendment. The Outline document was live edited to read:</w:t>
      </w:r>
    </w:p>
    <w:p w:rsidR="001624D8" w:rsidRDefault="000A1951">
      <w:pPr>
        <w:pStyle w:val="ListParagraph"/>
        <w:ind w:left="630" w:firstLine="234"/>
      </w:pPr>
      <w:r>
        <w:t>-Methods: amended to read teaching and Practical Demonstration.</w:t>
      </w:r>
    </w:p>
    <w:p w:rsidR="001624D8" w:rsidRDefault="000A1951">
      <w:pPr>
        <w:pStyle w:val="ListParagraph"/>
        <w:ind w:left="630" w:firstLine="234"/>
      </w:pPr>
      <w:r>
        <w:t>-Length: minimum 8 hours</w:t>
      </w:r>
    </w:p>
    <w:p w:rsidR="001624D8" w:rsidRDefault="000A1951">
      <w:pPr>
        <w:pStyle w:val="ListParagraph"/>
        <w:ind w:left="630" w:firstLine="234"/>
      </w:pPr>
      <w:r>
        <w:t>-Faculty: approved by AHMD</w:t>
      </w:r>
    </w:p>
    <w:p w:rsidR="001624D8" w:rsidRDefault="000A1951">
      <w:pPr>
        <w:pStyle w:val="ListParagraph"/>
        <w:ind w:left="630" w:firstLine="234"/>
      </w:pPr>
      <w:r>
        <w:t>-References: STPs all other references removed</w:t>
      </w:r>
    </w:p>
    <w:p w:rsidR="001624D8" w:rsidRDefault="000A1951">
      <w:pPr>
        <w:pStyle w:val="ListParagraph"/>
        <w:ind w:left="630" w:firstLine="234"/>
      </w:pPr>
      <w:r>
        <w:t>-Assessment section: removed</w:t>
      </w:r>
    </w:p>
    <w:p w:rsidR="001624D8" w:rsidRDefault="000A1951">
      <w:pPr>
        <w:pStyle w:val="ListParagraph"/>
        <w:ind w:left="630" w:firstLine="234"/>
      </w:pPr>
      <w:r>
        <w:t>-To remove slide requirement and time allotments</w:t>
      </w:r>
    </w:p>
    <w:p w:rsidR="001624D8" w:rsidRDefault="000A1951">
      <w:pPr>
        <w:pStyle w:val="ListParagraph"/>
        <w:ind w:left="630" w:firstLine="234"/>
      </w:pPr>
      <w:r>
        <w:t>Dr. Tennyson moved to vote to accept with changes discussed.</w:t>
      </w:r>
    </w:p>
    <w:p w:rsidR="001624D8" w:rsidRDefault="000A1951">
      <w:pPr>
        <w:pStyle w:val="ListParagraph"/>
        <w:ind w:left="630" w:firstLine="234"/>
      </w:pPr>
      <w:r>
        <w:rPr>
          <w:b/>
          <w:bCs/>
        </w:rPr>
        <w:t>Approved</w:t>
      </w:r>
      <w:r>
        <w:t xml:space="preserve"> – unanimous vote.</w:t>
      </w:r>
    </w:p>
    <w:p w:rsidR="00742841" w:rsidRDefault="00742841">
      <w:pPr>
        <w:pStyle w:val="ListParagraph"/>
        <w:ind w:hanging="180"/>
      </w:pPr>
    </w:p>
    <w:p w:rsidR="001624D8" w:rsidRDefault="000A1951" w:rsidP="00C7137B">
      <w:pPr>
        <w:pStyle w:val="ListParagraph"/>
        <w:tabs>
          <w:tab w:val="left" w:pos="540"/>
          <w:tab w:val="left" w:pos="720"/>
        </w:tabs>
        <w:ind w:left="0"/>
      </w:pPr>
      <w:r>
        <w:t xml:space="preserve">           f. Atrial fibrillation 3.2 – diltiazem for HR &lt;150 as paramedic S/O? </w:t>
      </w:r>
      <w:proofErr w:type="gramStart"/>
      <w:r>
        <w:t>Discussion and vote.</w:t>
      </w:r>
      <w:proofErr w:type="gramEnd"/>
    </w:p>
    <w:p w:rsidR="001624D8" w:rsidRDefault="000A1951">
      <w:pPr>
        <w:pStyle w:val="ListParagraph"/>
        <w:ind w:left="900" w:hanging="180"/>
      </w:pPr>
      <w:r>
        <w:t xml:space="preserve">  Should the heart rate requirement be lowered?  </w:t>
      </w:r>
      <w:proofErr w:type="gramStart"/>
      <w:r>
        <w:t>Some patients uncomfortable at 120.</w:t>
      </w:r>
      <w:proofErr w:type="gramEnd"/>
      <w:r>
        <w:t xml:space="preserve">  </w:t>
      </w:r>
      <w:proofErr w:type="gramStart"/>
      <w:r>
        <w:t>he</w:t>
      </w:r>
      <w:proofErr w:type="gramEnd"/>
      <w:r>
        <w:t xml:space="preserve"> protocol does have the option to call Medical Control for Heart Rate less than 150 and patient stable but symptomatic. No Motion made.</w:t>
      </w:r>
    </w:p>
    <w:p w:rsidR="001624D8" w:rsidRDefault="001624D8">
      <w:pPr>
        <w:pStyle w:val="ListParagraph"/>
        <w:ind w:left="0"/>
      </w:pPr>
    </w:p>
    <w:p w:rsidR="001624D8" w:rsidRDefault="000A1951">
      <w:pPr>
        <w:pStyle w:val="ListParagraph"/>
        <w:ind w:left="0"/>
      </w:pPr>
      <w:r>
        <w:t xml:space="preserve">          </w:t>
      </w:r>
      <w:proofErr w:type="gramStart"/>
      <w:r>
        <w:t>g. 100</w:t>
      </w:r>
      <w:proofErr w:type="gramEnd"/>
      <w:r>
        <w:t xml:space="preserve">% QA for critical procedures (which?)?  </w:t>
      </w:r>
      <w:proofErr w:type="gramStart"/>
      <w:r>
        <w:t>Discussion and vote.</w:t>
      </w:r>
      <w:proofErr w:type="gramEnd"/>
      <w:r>
        <w:t xml:space="preserve"> There is a requirement  </w:t>
      </w:r>
    </w:p>
    <w:p w:rsidR="001624D8" w:rsidRDefault="000A1951">
      <w:pPr>
        <w:pStyle w:val="ListParagraph"/>
        <w:ind w:left="0"/>
      </w:pPr>
      <w:r>
        <w:t xml:space="preserve">              </w:t>
      </w:r>
      <w:proofErr w:type="gramStart"/>
      <w:r>
        <w:t>for</w:t>
      </w:r>
      <w:proofErr w:type="gramEnd"/>
      <w:r>
        <w:t xml:space="preserve"> all services to do CQI. The types of high acuity low incidence procedures that should  </w:t>
      </w:r>
    </w:p>
    <w:p w:rsidR="001624D8" w:rsidRDefault="000A1951">
      <w:pPr>
        <w:pStyle w:val="ListParagraph"/>
        <w:ind w:left="0"/>
      </w:pPr>
      <w:r>
        <w:t xml:space="preserve">              </w:t>
      </w:r>
      <w:proofErr w:type="gramStart"/>
      <w:r>
        <w:t>receive</w:t>
      </w:r>
      <w:proofErr w:type="gramEnd"/>
      <w:r>
        <w:t xml:space="preserve"> 100% CQI have never been defined. Recommendations for all crics, all cardiac  </w:t>
      </w:r>
    </w:p>
    <w:p w:rsidR="001624D8" w:rsidRDefault="000A1951">
      <w:pPr>
        <w:pStyle w:val="ListParagraph"/>
        <w:ind w:left="0"/>
      </w:pPr>
      <w:r>
        <w:t xml:space="preserve">              </w:t>
      </w:r>
      <w:proofErr w:type="gramStart"/>
      <w:r>
        <w:t>arrests</w:t>
      </w:r>
      <w:proofErr w:type="gramEnd"/>
      <w:r>
        <w:t xml:space="preserve"> and needle decompression.  Does the Affiliation Agreement with the hospital  </w:t>
      </w:r>
    </w:p>
    <w:p w:rsidR="001624D8" w:rsidRDefault="000A1951">
      <w:pPr>
        <w:pStyle w:val="ListParagraph"/>
        <w:ind w:left="0"/>
      </w:pPr>
      <w:r>
        <w:t xml:space="preserve">              </w:t>
      </w:r>
      <w:proofErr w:type="gramStart"/>
      <w:r>
        <w:t>define</w:t>
      </w:r>
      <w:proofErr w:type="gramEnd"/>
      <w:r>
        <w:t xml:space="preserve"> which procedures/ events must be reviewed?  Compliance has not noted any     </w:t>
      </w:r>
      <w:r>
        <w:tab/>
      </w:r>
      <w:r>
        <w:tab/>
        <w:t>problems from SIRs with hi acuity-</w:t>
      </w:r>
      <w:proofErr w:type="gramStart"/>
      <w:r>
        <w:t>low  occurrence</w:t>
      </w:r>
      <w:proofErr w:type="gramEnd"/>
      <w:r>
        <w:t xml:space="preserve"> procedures. </w:t>
      </w:r>
    </w:p>
    <w:p w:rsidR="001624D8" w:rsidRDefault="000A1951">
      <w:pPr>
        <w:pStyle w:val="ListParagraph"/>
      </w:pPr>
      <w:r>
        <w:t xml:space="preserve">  </w:t>
      </w:r>
      <w:r>
        <w:rPr>
          <w:b/>
          <w:bCs/>
        </w:rPr>
        <w:t>Motion:</w:t>
      </w:r>
      <w:r>
        <w:t xml:space="preserve"> by Dr. Geller to table this CQI for critical procedures discussion. </w:t>
      </w:r>
    </w:p>
    <w:p w:rsidR="001624D8" w:rsidRDefault="000A1951">
      <w:pPr>
        <w:pStyle w:val="ListParagraph"/>
      </w:pPr>
      <w:r>
        <w:t xml:space="preserve">  </w:t>
      </w:r>
      <w:proofErr w:type="gramStart"/>
      <w:r>
        <w:t>Seconded Paul Brennan.</w:t>
      </w:r>
      <w:proofErr w:type="gramEnd"/>
      <w:r>
        <w:t xml:space="preserve"> </w:t>
      </w:r>
      <w:r>
        <w:rPr>
          <w:b/>
          <w:bCs/>
        </w:rPr>
        <w:t>Approved</w:t>
      </w:r>
      <w:r>
        <w:t xml:space="preserve"> – unanimous vote.</w:t>
      </w:r>
    </w:p>
    <w:p w:rsidR="001624D8" w:rsidRDefault="001624D8">
      <w:pPr>
        <w:pStyle w:val="ListParagraph"/>
        <w:ind w:left="630"/>
      </w:pPr>
    </w:p>
    <w:p w:rsidR="001624D8" w:rsidRDefault="001624D8">
      <w:pPr>
        <w:pStyle w:val="ListParagraph"/>
        <w:ind w:left="630"/>
      </w:pPr>
    </w:p>
    <w:p w:rsidR="001624D8" w:rsidRDefault="000A1951">
      <w:pPr>
        <w:pStyle w:val="ListParagraph"/>
        <w:numPr>
          <w:ilvl w:val="1"/>
          <w:numId w:val="13"/>
        </w:numPr>
      </w:pPr>
      <w:r>
        <w:t>LVAD protocol update.  Discussion and vote.</w:t>
      </w:r>
    </w:p>
    <w:p w:rsidR="001624D8" w:rsidRDefault="000A1951">
      <w:pPr>
        <w:pStyle w:val="ListParagraph"/>
        <w:ind w:left="630"/>
      </w:pPr>
      <w:r>
        <w:t xml:space="preserve">    Dr. Ryan of BEMS presented as guest.  The proposed flow sheet –reviewed- has    </w:t>
      </w:r>
      <w:r>
        <w:tab/>
      </w:r>
      <w:r>
        <w:tab/>
        <w:t xml:space="preserve">language on </w:t>
      </w:r>
      <w:proofErr w:type="gramStart"/>
      <w:r>
        <w:t>when  and</w:t>
      </w:r>
      <w:proofErr w:type="gramEnd"/>
      <w:r>
        <w:t xml:space="preserve"> how  to troubleshoot the VAD.  The flow chart is  </w:t>
      </w:r>
    </w:p>
    <w:p w:rsidR="001624D8" w:rsidRDefault="000A1951">
      <w:pPr>
        <w:pStyle w:val="ListParagraph"/>
        <w:ind w:left="630"/>
      </w:pPr>
      <w:r>
        <w:t xml:space="preserve">     </w:t>
      </w:r>
      <w:proofErr w:type="gramStart"/>
      <w:r>
        <w:t>intended</w:t>
      </w:r>
      <w:proofErr w:type="gramEnd"/>
      <w:r>
        <w:t xml:space="preserve"> to offer additional information, not replace the current protocol. Assessment  </w:t>
      </w:r>
    </w:p>
    <w:p w:rsidR="001624D8" w:rsidRDefault="000A1951">
      <w:pPr>
        <w:pStyle w:val="ListParagraph"/>
        <w:ind w:left="630"/>
      </w:pPr>
      <w:r>
        <w:t xml:space="preserve">     </w:t>
      </w:r>
      <w:proofErr w:type="gramStart"/>
      <w:r>
        <w:t>tips</w:t>
      </w:r>
      <w:proofErr w:type="gramEnd"/>
      <w:r>
        <w:t xml:space="preserve"> are in the protocol.</w:t>
      </w:r>
    </w:p>
    <w:p w:rsidR="001624D8" w:rsidRDefault="000A1951">
      <w:pPr>
        <w:pStyle w:val="ListParagraph"/>
        <w:ind w:left="630"/>
      </w:pPr>
      <w:r>
        <w:t xml:space="preserve">    </w:t>
      </w:r>
      <w:r>
        <w:rPr>
          <w:b/>
          <w:bCs/>
        </w:rPr>
        <w:t>Motion</w:t>
      </w:r>
      <w:r>
        <w:t xml:space="preserve">: by Dr. Dyer to add the proposed flow sheet to the current protocol after Heart  </w:t>
      </w:r>
    </w:p>
    <w:p w:rsidR="001624D8" w:rsidRDefault="000A1951">
      <w:pPr>
        <w:pStyle w:val="ListParagraph"/>
        <w:ind w:left="630"/>
      </w:pPr>
      <w:r>
        <w:rPr>
          <w:b/>
          <w:bCs/>
        </w:rPr>
        <w:t xml:space="preserve">    </w:t>
      </w:r>
      <w:r>
        <w:t xml:space="preserve">Centers approve.                  </w:t>
      </w:r>
    </w:p>
    <w:p w:rsidR="001624D8" w:rsidRDefault="000A1951">
      <w:pPr>
        <w:pStyle w:val="ListParagraph"/>
        <w:ind w:left="630"/>
      </w:pPr>
      <w:r>
        <w:t xml:space="preserve">    </w:t>
      </w:r>
      <w:proofErr w:type="gramStart"/>
      <w:r>
        <w:t>Seconded by Dr. Geller.</w:t>
      </w:r>
      <w:proofErr w:type="gramEnd"/>
      <w:r>
        <w:t xml:space="preserve"> </w:t>
      </w:r>
      <w:r>
        <w:rPr>
          <w:b/>
          <w:bCs/>
        </w:rPr>
        <w:t>Approved</w:t>
      </w:r>
      <w:r>
        <w:t xml:space="preserve"> – unanimous vote.</w:t>
      </w:r>
    </w:p>
    <w:p w:rsidR="001624D8" w:rsidRDefault="001624D8">
      <w:pPr>
        <w:pStyle w:val="ListParagraph"/>
      </w:pPr>
    </w:p>
    <w:p w:rsidR="001624D8" w:rsidRDefault="000A1951">
      <w:pPr>
        <w:pStyle w:val="ListParagraph"/>
        <w:numPr>
          <w:ilvl w:val="1"/>
          <w:numId w:val="14"/>
        </w:numPr>
      </w:pPr>
      <w:r>
        <w:t>Future direction (degree of detail) for cardiac arrest protocol.  Discussion and vote.</w:t>
      </w:r>
    </w:p>
    <w:p w:rsidR="001624D8" w:rsidRDefault="000A1951">
      <w:pPr>
        <w:pStyle w:val="ListParagraph"/>
      </w:pPr>
      <w:r>
        <w:t xml:space="preserve">   The CA protocol will be streamlined in the next protocol based on ILCOR and AHA    </w:t>
      </w:r>
    </w:p>
    <w:p w:rsidR="001624D8" w:rsidRDefault="000A1951">
      <w:pPr>
        <w:pStyle w:val="ListParagraph"/>
        <w:tabs>
          <w:tab w:val="left" w:pos="900"/>
        </w:tabs>
      </w:pPr>
      <w:r>
        <w:t xml:space="preserve">   </w:t>
      </w:r>
      <w:proofErr w:type="gramStart"/>
      <w:r>
        <w:t>recommendations</w:t>
      </w:r>
      <w:proofErr w:type="gramEnd"/>
      <w:r>
        <w:t>.</w:t>
      </w:r>
    </w:p>
    <w:p w:rsidR="001624D8" w:rsidRDefault="001624D8">
      <w:pPr>
        <w:pStyle w:val="ListParagraph"/>
      </w:pPr>
    </w:p>
    <w:p w:rsidR="001624D8" w:rsidRDefault="001624D8">
      <w:pPr>
        <w:pStyle w:val="ListParagraph"/>
      </w:pPr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>Documents utilized at meeting:</w:t>
      </w:r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 xml:space="preserve">-Andersen, L.W., Granfeldt, A. Pragmatic Airway Management in Out of Hospital Cardiac Arrest American Medical Association. </w:t>
      </w:r>
      <w:proofErr w:type="gramStart"/>
      <w:r>
        <w:rPr>
          <w:sz w:val="24"/>
          <w:szCs w:val="24"/>
        </w:rPr>
        <w:t>2018 August 28; 761-2.</w:t>
      </w:r>
      <w:proofErr w:type="gramEnd"/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 xml:space="preserve">-Benger, J. et al. Effect of a Strategy of a Supraglottic Airway Device vs Tracheal Intubation During Out of Hospital Cardiac Arrest on Functional Outcome. </w:t>
      </w:r>
      <w:proofErr w:type="gramStart"/>
      <w:r>
        <w:rPr>
          <w:sz w:val="24"/>
          <w:szCs w:val="24"/>
        </w:rPr>
        <w:t>American Medical Association.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2018 August 28; 779-91.</w:t>
      </w:r>
      <w:proofErr w:type="gramEnd"/>
    </w:p>
    <w:p w:rsidR="001624D8" w:rsidRDefault="000A1951">
      <w:pPr>
        <w:pStyle w:val="BodyAA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-Perkins, G.D., </w:t>
      </w:r>
      <w:proofErr w:type="gramStart"/>
      <w:r>
        <w:rPr>
          <w:sz w:val="24"/>
          <w:szCs w:val="24"/>
          <w:shd w:val="clear" w:color="auto" w:fill="FFFFFF"/>
        </w:rPr>
        <w:t>et</w:t>
      </w:r>
      <w:proofErr w:type="gramEnd"/>
      <w:r>
        <w:rPr>
          <w:sz w:val="24"/>
          <w:szCs w:val="24"/>
          <w:shd w:val="clear" w:color="auto" w:fill="FFFFFF"/>
        </w:rPr>
        <w:t xml:space="preserve">. </w:t>
      </w:r>
      <w:proofErr w:type="gramStart"/>
      <w:r>
        <w:rPr>
          <w:sz w:val="24"/>
          <w:szCs w:val="24"/>
          <w:shd w:val="clear" w:color="auto" w:fill="FFFFFF"/>
        </w:rPr>
        <w:t>al ,</w:t>
      </w:r>
      <w:proofErr w:type="gramEnd"/>
      <w:r>
        <w:rPr>
          <w:sz w:val="24"/>
          <w:szCs w:val="24"/>
          <w:shd w:val="clear" w:color="auto" w:fill="FFFFFF"/>
        </w:rPr>
        <w:t xml:space="preserve"> A Randomized Trial of Epinephrine in Out of Hospital Cardiac Arrest. </w:t>
      </w:r>
    </w:p>
    <w:p w:rsidR="001624D8" w:rsidRDefault="000A1951">
      <w:pPr>
        <w:pStyle w:val="BodyAA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 Engl J Med. 2018 Aug 10</w:t>
      </w:r>
      <w:proofErr w:type="gramStart"/>
      <w:r>
        <w:rPr>
          <w:sz w:val="24"/>
          <w:szCs w:val="24"/>
          <w:shd w:val="clear" w:color="auto" w:fill="FFFFFF"/>
        </w:rPr>
        <w:t>;1</w:t>
      </w:r>
      <w:proofErr w:type="gramEnd"/>
      <w:r>
        <w:rPr>
          <w:sz w:val="24"/>
          <w:szCs w:val="24"/>
          <w:shd w:val="clear" w:color="auto" w:fill="FFFFFF"/>
        </w:rPr>
        <w:t>-11.</w:t>
      </w:r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>-Wang, H., at al. Granfeldt, A. Effect of a Strategy of Initial Laryngeal Tube Insertion vs Endotracheal Intubation on 72-Hour Survival in Adults With Out of Hospital Cardiac Arrest</w:t>
      </w:r>
    </w:p>
    <w:p w:rsidR="001624D8" w:rsidRDefault="000A1951">
      <w:pPr>
        <w:pStyle w:val="BodyAA"/>
        <w:rPr>
          <w:sz w:val="24"/>
          <w:szCs w:val="24"/>
        </w:rPr>
      </w:pPr>
      <w:proofErr w:type="gramStart"/>
      <w:r>
        <w:rPr>
          <w:sz w:val="24"/>
          <w:szCs w:val="24"/>
        </w:rPr>
        <w:t>American Medical Association.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2018 August 28; 761-2.</w:t>
      </w:r>
      <w:proofErr w:type="gramEnd"/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>-MAI PPP</w:t>
      </w:r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>-LVAD PPP</w:t>
      </w:r>
    </w:p>
    <w:p w:rsidR="001624D8" w:rsidRDefault="000A1951">
      <w:pPr>
        <w:pStyle w:val="BodyAA"/>
        <w:rPr>
          <w:sz w:val="24"/>
          <w:szCs w:val="24"/>
        </w:rPr>
      </w:pPr>
      <w:r>
        <w:rPr>
          <w:sz w:val="24"/>
          <w:szCs w:val="24"/>
        </w:rPr>
        <w:t>-protocol 3.2Atrial Fibrillation/Flutter</w:t>
      </w:r>
    </w:p>
    <w:p w:rsidR="001624D8" w:rsidRDefault="000A1951" w:rsidP="00742841">
      <w:pPr>
        <w:pStyle w:val="BodyAA"/>
        <w:tabs>
          <w:tab w:val="clear" w:pos="288"/>
          <w:tab w:val="clear" w:pos="72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 -2018.2 STPs.</w:t>
      </w:r>
    </w:p>
    <w:p w:rsidR="001624D8" w:rsidRDefault="001624D8">
      <w:pPr>
        <w:pStyle w:val="BodyAA"/>
        <w:rPr>
          <w:sz w:val="24"/>
          <w:szCs w:val="24"/>
        </w:rPr>
      </w:pPr>
    </w:p>
    <w:p w:rsidR="001624D8" w:rsidRDefault="001624D8">
      <w:pPr>
        <w:pStyle w:val="BodyAA"/>
        <w:rPr>
          <w:sz w:val="24"/>
          <w:szCs w:val="24"/>
        </w:rPr>
      </w:pPr>
    </w:p>
    <w:p w:rsidR="001624D8" w:rsidRDefault="000A1951">
      <w:pPr>
        <w:pStyle w:val="BodyAA"/>
      </w:pPr>
      <w:r>
        <w:rPr>
          <w:sz w:val="24"/>
          <w:szCs w:val="24"/>
        </w:rPr>
        <w:t>Next Meeting:  October 12, 2018; MEMA in Framingham.</w:t>
      </w:r>
    </w:p>
    <w:sectPr w:rsidR="00162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63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02" w:rsidRDefault="000A1951">
      <w:r>
        <w:separator/>
      </w:r>
    </w:p>
  </w:endnote>
  <w:endnote w:type="continuationSeparator" w:id="0">
    <w:p w:rsidR="00074E02" w:rsidRDefault="000A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F7AF7">
      <w:rPr>
        <w:noProof/>
      </w:rPr>
      <w:t>1</w:t>
    </w:r>
    <w:r>
      <w:fldChar w:fldCharType="end"/>
    </w:r>
    <w:r>
      <w:t xml:space="preserve"> of </w:t>
    </w:r>
    <w:fldSimple w:instr=" NUMPAGES ">
      <w:r w:rsidR="008F7AF7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02" w:rsidRDefault="000A1951">
      <w:r>
        <w:separator/>
      </w:r>
    </w:p>
  </w:footnote>
  <w:footnote w:type="continuationSeparator" w:id="0">
    <w:p w:rsidR="00074E02" w:rsidRDefault="000A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135"/>
    <w:multiLevelType w:val="hybridMultilevel"/>
    <w:tmpl w:val="803025F0"/>
    <w:numStyleLink w:val="ImportedStyle3"/>
  </w:abstractNum>
  <w:abstractNum w:abstractNumId="1">
    <w:nsid w:val="288E133C"/>
    <w:multiLevelType w:val="multilevel"/>
    <w:tmpl w:val="D5468080"/>
    <w:numStyleLink w:val="ImportedStyle1"/>
  </w:abstractNum>
  <w:abstractNum w:abstractNumId="2">
    <w:nsid w:val="47223750"/>
    <w:multiLevelType w:val="hybridMultilevel"/>
    <w:tmpl w:val="803025F0"/>
    <w:styleLink w:val="ImportedStyle3"/>
    <w:lvl w:ilvl="0" w:tplc="B150FF86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C630E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FAAB7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C6EDCA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148EC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07374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10F16E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05A9C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A9E78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5B2468E"/>
    <w:multiLevelType w:val="hybridMultilevel"/>
    <w:tmpl w:val="AE3A93A6"/>
    <w:numStyleLink w:val="ImportedStyle2"/>
  </w:abstractNum>
  <w:abstractNum w:abstractNumId="5">
    <w:nsid w:val="678D4932"/>
    <w:multiLevelType w:val="multilevel"/>
    <w:tmpl w:val="3F586AEC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6892D58"/>
    <w:multiLevelType w:val="hybridMultilevel"/>
    <w:tmpl w:val="AE3A93A6"/>
    <w:styleLink w:val="ImportedStyle2"/>
    <w:lvl w:ilvl="0" w:tplc="D7D6E7E8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2BBC8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E6BE22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A6DA8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609E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A1224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BC43F8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DC58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0FE94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4"/>
    <w:lvlOverride w:ilvl="0">
      <w:lvl w:ilvl="0" w:tplc="4AE4928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62605C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AC3294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3E9BA6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965A68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D0D52C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8637CC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D00D70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03156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4AE49288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62605C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AC3294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3E9BA6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965A68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D0D52C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8637CC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D00D70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03156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0"/>
  </w:num>
  <w:num w:numId="10">
    <w:abstractNumId w:val="0"/>
    <w:lvlOverride w:ilvl="0">
      <w:lvl w:ilvl="0" w:tplc="C5F4C47C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4A03A">
        <w:start w:val="1"/>
        <w:numFmt w:val="lowerLetter"/>
        <w:suff w:val="nothing"/>
        <w:lvlText w:val="%2."/>
        <w:lvlJc w:val="left"/>
        <w:pPr>
          <w:tabs>
            <w:tab w:val="left" w:pos="81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7AA9BA">
        <w:start w:val="1"/>
        <w:numFmt w:val="lowerRoman"/>
        <w:lvlText w:val="%3."/>
        <w:lvlJc w:val="left"/>
        <w:pPr>
          <w:tabs>
            <w:tab w:val="left" w:pos="810"/>
          </w:tabs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E22E">
        <w:start w:val="1"/>
        <w:numFmt w:val="decimal"/>
        <w:suff w:val="nothing"/>
        <w:lvlText w:val="%4."/>
        <w:lvlJc w:val="left"/>
        <w:pPr>
          <w:tabs>
            <w:tab w:val="left" w:pos="810"/>
          </w:tabs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8EAE2">
        <w:start w:val="1"/>
        <w:numFmt w:val="lowerLetter"/>
        <w:suff w:val="nothing"/>
        <w:lvlText w:val="%5."/>
        <w:lvlJc w:val="left"/>
        <w:pPr>
          <w:tabs>
            <w:tab w:val="left" w:pos="810"/>
          </w:tabs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44831C">
        <w:start w:val="1"/>
        <w:numFmt w:val="lowerRoman"/>
        <w:lvlText w:val="%6."/>
        <w:lvlJc w:val="left"/>
        <w:pPr>
          <w:tabs>
            <w:tab w:val="left" w:pos="810"/>
          </w:tabs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F61EBC">
        <w:start w:val="1"/>
        <w:numFmt w:val="decimal"/>
        <w:suff w:val="nothing"/>
        <w:lvlText w:val="%7."/>
        <w:lvlJc w:val="left"/>
        <w:pPr>
          <w:tabs>
            <w:tab w:val="left" w:pos="810"/>
          </w:tabs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AE7156">
        <w:start w:val="1"/>
        <w:numFmt w:val="lowerLetter"/>
        <w:suff w:val="nothing"/>
        <w:lvlText w:val="%8."/>
        <w:lvlJc w:val="left"/>
        <w:pPr>
          <w:tabs>
            <w:tab w:val="left" w:pos="810"/>
          </w:tabs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215DC">
        <w:start w:val="1"/>
        <w:numFmt w:val="lowerRoman"/>
        <w:lvlText w:val="%9."/>
        <w:lvlJc w:val="left"/>
        <w:pPr>
          <w:tabs>
            <w:tab w:val="left" w:pos="810"/>
          </w:tabs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 w:tplc="C5F4C47C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4A03A">
        <w:start w:val="1"/>
        <w:numFmt w:val="lowerLetter"/>
        <w:suff w:val="nothing"/>
        <w:lvlText w:val="%2."/>
        <w:lvlJc w:val="left"/>
        <w:pPr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7AA9BA">
        <w:start w:val="1"/>
        <w:numFmt w:val="lowerRoman"/>
        <w:lvlText w:val="%3."/>
        <w:lvlJc w:val="left"/>
        <w:pPr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E22E">
        <w:start w:val="1"/>
        <w:numFmt w:val="decimal"/>
        <w:suff w:val="nothing"/>
        <w:lvlText w:val="%4."/>
        <w:lvlJc w:val="left"/>
        <w:pPr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8EAE2">
        <w:start w:val="1"/>
        <w:numFmt w:val="lowerLetter"/>
        <w:suff w:val="nothing"/>
        <w:lvlText w:val="%5."/>
        <w:lvlJc w:val="left"/>
        <w:pPr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44831C">
        <w:start w:val="1"/>
        <w:numFmt w:val="lowerRoman"/>
        <w:lvlText w:val="%6."/>
        <w:lvlJc w:val="left"/>
        <w:pPr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F61EBC">
        <w:start w:val="1"/>
        <w:numFmt w:val="decimal"/>
        <w:suff w:val="nothing"/>
        <w:lvlText w:val="%7."/>
        <w:lvlJc w:val="left"/>
        <w:pPr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AE7156">
        <w:start w:val="1"/>
        <w:numFmt w:val="lowerLetter"/>
        <w:suff w:val="nothing"/>
        <w:lvlText w:val="%8."/>
        <w:lvlJc w:val="left"/>
        <w:pPr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215DC">
        <w:start w:val="1"/>
        <w:numFmt w:val="lowerRoman"/>
        <w:lvlText w:val="%9."/>
        <w:lvlJc w:val="left"/>
        <w:pPr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 w:tplc="C5F4C47C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4A03A">
        <w:start w:val="1"/>
        <w:numFmt w:val="lowerLetter"/>
        <w:lvlText w:val="%2."/>
        <w:lvlJc w:val="left"/>
        <w:pPr>
          <w:tabs>
            <w:tab w:val="num" w:pos="864"/>
          </w:tabs>
          <w:ind w:left="234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7AA9BA">
        <w:start w:val="1"/>
        <w:numFmt w:val="lowerRoman"/>
        <w:lvlText w:val="%3."/>
        <w:lvlJc w:val="left"/>
        <w:pPr>
          <w:tabs>
            <w:tab w:val="num" w:pos="1080"/>
          </w:tabs>
          <w:ind w:left="45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E22E">
        <w:start w:val="1"/>
        <w:numFmt w:val="decimal"/>
        <w:lvlText w:val="%4."/>
        <w:lvlJc w:val="left"/>
        <w:pPr>
          <w:tabs>
            <w:tab w:val="num" w:pos="1800"/>
          </w:tabs>
          <w:ind w:left="117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8EAE2">
        <w:start w:val="1"/>
        <w:numFmt w:val="lowerLetter"/>
        <w:lvlText w:val="%5."/>
        <w:lvlJc w:val="left"/>
        <w:pPr>
          <w:tabs>
            <w:tab w:val="num" w:pos="2520"/>
          </w:tabs>
          <w:ind w:left="189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44831C">
        <w:start w:val="1"/>
        <w:numFmt w:val="lowerRoman"/>
        <w:lvlText w:val="%6."/>
        <w:lvlJc w:val="left"/>
        <w:pPr>
          <w:tabs>
            <w:tab w:val="num" w:pos="3240"/>
          </w:tabs>
          <w:ind w:left="261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F61EBC">
        <w:start w:val="1"/>
        <w:numFmt w:val="decimal"/>
        <w:lvlText w:val="%7."/>
        <w:lvlJc w:val="left"/>
        <w:pPr>
          <w:tabs>
            <w:tab w:val="num" w:pos="3960"/>
          </w:tabs>
          <w:ind w:left="333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AE7156">
        <w:start w:val="1"/>
        <w:numFmt w:val="lowerLetter"/>
        <w:lvlText w:val="%8."/>
        <w:lvlJc w:val="left"/>
        <w:pPr>
          <w:tabs>
            <w:tab w:val="num" w:pos="4680"/>
          </w:tabs>
          <w:ind w:left="40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215DC">
        <w:start w:val="1"/>
        <w:numFmt w:val="lowerRoman"/>
        <w:lvlText w:val="%9."/>
        <w:lvlJc w:val="left"/>
        <w:pPr>
          <w:tabs>
            <w:tab w:val="num" w:pos="5400"/>
          </w:tabs>
          <w:ind w:left="477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 w:tplc="C5F4C47C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4A03A">
        <w:start w:val="1"/>
        <w:numFmt w:val="lowerLetter"/>
        <w:lvlText w:val="%2."/>
        <w:lvlJc w:val="left"/>
        <w:pPr>
          <w:tabs>
            <w:tab w:val="num" w:pos="864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7AA9BA">
        <w:start w:val="1"/>
        <w:numFmt w:val="lowerRoman"/>
        <w:lvlText w:val="%3."/>
        <w:lvlJc w:val="left"/>
        <w:pPr>
          <w:tabs>
            <w:tab w:val="num" w:pos="1728"/>
          </w:tabs>
          <w:ind w:left="230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E22E">
        <w:start w:val="1"/>
        <w:numFmt w:val="decimal"/>
        <w:lvlText w:val="%4."/>
        <w:lvlJc w:val="left"/>
        <w:pPr>
          <w:tabs>
            <w:tab w:val="num" w:pos="2592"/>
          </w:tabs>
          <w:ind w:left="316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8EAE2">
        <w:start w:val="1"/>
        <w:numFmt w:val="lowerLetter"/>
        <w:lvlText w:val="%5."/>
        <w:lvlJc w:val="left"/>
        <w:pPr>
          <w:tabs>
            <w:tab w:val="num" w:pos="3024"/>
          </w:tabs>
          <w:ind w:left="360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44831C">
        <w:start w:val="1"/>
        <w:numFmt w:val="lowerRoman"/>
        <w:lvlText w:val="%6."/>
        <w:lvlJc w:val="left"/>
        <w:pPr>
          <w:tabs>
            <w:tab w:val="num" w:pos="3888"/>
          </w:tabs>
          <w:ind w:left="446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F61EBC">
        <w:start w:val="1"/>
        <w:numFmt w:val="decimal"/>
        <w:lvlText w:val="%7."/>
        <w:lvlJc w:val="left"/>
        <w:pPr>
          <w:tabs>
            <w:tab w:val="num" w:pos="4752"/>
          </w:tabs>
          <w:ind w:left="532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AE7156">
        <w:start w:val="1"/>
        <w:numFmt w:val="lowerLetter"/>
        <w:lvlText w:val="%8."/>
        <w:lvlJc w:val="left"/>
        <w:pPr>
          <w:tabs>
            <w:tab w:val="num" w:pos="5184"/>
          </w:tabs>
          <w:ind w:left="576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215DC">
        <w:start w:val="1"/>
        <w:numFmt w:val="lowerRoman"/>
        <w:lvlText w:val="%9."/>
        <w:lvlJc w:val="left"/>
        <w:pPr>
          <w:tabs>
            <w:tab w:val="num" w:pos="6048"/>
          </w:tabs>
          <w:ind w:left="662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 w:tplc="C5F4C47C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4A03A">
        <w:start w:val="1"/>
        <w:numFmt w:val="lowerLetter"/>
        <w:lvlText w:val="%2."/>
        <w:lvlJc w:val="left"/>
        <w:pPr>
          <w:tabs>
            <w:tab w:val="num" w:pos="900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7AA9BA">
        <w:start w:val="1"/>
        <w:numFmt w:val="lowerRoman"/>
        <w:lvlText w:val="%3."/>
        <w:lvlJc w:val="left"/>
        <w:pPr>
          <w:tabs>
            <w:tab w:val="left" w:pos="900"/>
            <w:tab w:val="num" w:pos="1728"/>
          </w:tabs>
          <w:ind w:left="226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E22E">
        <w:start w:val="1"/>
        <w:numFmt w:val="decimal"/>
        <w:lvlText w:val="%4."/>
        <w:lvlJc w:val="left"/>
        <w:pPr>
          <w:tabs>
            <w:tab w:val="left" w:pos="900"/>
            <w:tab w:val="num" w:pos="2592"/>
          </w:tabs>
          <w:ind w:left="313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8EAE2">
        <w:start w:val="1"/>
        <w:numFmt w:val="lowerLetter"/>
        <w:lvlText w:val="%5."/>
        <w:lvlJc w:val="left"/>
        <w:pPr>
          <w:tabs>
            <w:tab w:val="left" w:pos="900"/>
            <w:tab w:val="num" w:pos="3024"/>
          </w:tabs>
          <w:ind w:left="356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44831C">
        <w:start w:val="1"/>
        <w:numFmt w:val="lowerRoman"/>
        <w:lvlText w:val="%6."/>
        <w:lvlJc w:val="left"/>
        <w:pPr>
          <w:tabs>
            <w:tab w:val="left" w:pos="900"/>
            <w:tab w:val="num" w:pos="3888"/>
          </w:tabs>
          <w:ind w:left="442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F61EBC">
        <w:start w:val="1"/>
        <w:numFmt w:val="decimal"/>
        <w:lvlText w:val="%7."/>
        <w:lvlJc w:val="left"/>
        <w:pPr>
          <w:tabs>
            <w:tab w:val="left" w:pos="900"/>
            <w:tab w:val="num" w:pos="4752"/>
          </w:tabs>
          <w:ind w:left="529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AE7156">
        <w:start w:val="1"/>
        <w:numFmt w:val="lowerLetter"/>
        <w:lvlText w:val="%8."/>
        <w:lvlJc w:val="left"/>
        <w:pPr>
          <w:tabs>
            <w:tab w:val="left" w:pos="900"/>
            <w:tab w:val="num" w:pos="5184"/>
          </w:tabs>
          <w:ind w:left="572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215DC">
        <w:start w:val="1"/>
        <w:numFmt w:val="lowerRoman"/>
        <w:lvlText w:val="%9."/>
        <w:lvlJc w:val="left"/>
        <w:pPr>
          <w:tabs>
            <w:tab w:val="left" w:pos="900"/>
            <w:tab w:val="num" w:pos="6048"/>
          </w:tabs>
          <w:ind w:left="658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24D8"/>
    <w:rsid w:val="00074E02"/>
    <w:rsid w:val="000A1951"/>
    <w:rsid w:val="000F6189"/>
    <w:rsid w:val="001624D8"/>
    <w:rsid w:val="0049704E"/>
    <w:rsid w:val="006C5DDE"/>
    <w:rsid w:val="00742841"/>
    <w:rsid w:val="008F7AF7"/>
    <w:rsid w:val="009A3C0B"/>
    <w:rsid w:val="009D6BCC"/>
    <w:rsid w:val="00C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 </cp:lastModifiedBy>
  <cp:revision>9</cp:revision>
  <cp:lastPrinted>2018-10-15T13:26:00Z</cp:lastPrinted>
  <dcterms:created xsi:type="dcterms:W3CDTF">2018-10-09T13:57:00Z</dcterms:created>
  <dcterms:modified xsi:type="dcterms:W3CDTF">2018-10-15T13:27:00Z</dcterms:modified>
</cp:coreProperties>
</file>