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393775" w:rsidRDefault="00875C76">
      <w:pPr>
        <w:rPr>
          <w:rFonts w:ascii="Calibri" w:hAnsi="Calibri" w:cs="Calibri"/>
        </w:rPr>
      </w:pPr>
      <w:r w:rsidRPr="00393775">
        <w:rPr>
          <w:rFonts w:ascii="Calibri" w:hAnsi="Calibri" w:cs="Calibri"/>
          <w:noProof/>
        </w:rPr>
        <mc:AlternateContent>
          <mc:Choice Requires="wps">
            <w:drawing>
              <wp:anchor distT="0" distB="0" distL="114300" distR="114300" simplePos="0" relativeHeight="251658242" behindDoc="0" locked="0" layoutInCell="1" allowOverlap="1" wp14:anchorId="761E0D44" wp14:editId="63870A5F">
                <wp:simplePos x="0" y="0"/>
                <wp:positionH relativeFrom="column">
                  <wp:posOffset>-95250</wp:posOffset>
                </wp:positionH>
                <wp:positionV relativeFrom="paragraph">
                  <wp:posOffset>-730250</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22EFDDC7">
                                  <wp:extent cx="787547" cy="787547"/>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797725" cy="7977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" filled="f" stroked="f" strokeweight=".5pt">
                <v:textbox>
                  <w:txbxContent>
                    <w:p w14:paraId="047FD483" w14:textId="6CE34F2C" w:rsidR="00875C76" w:rsidRDefault="00875C76">
                      <w:r>
                        <w:rPr>
                          <w:noProof/>
                        </w:rPr>
                        <w:drawing>
                          <wp:inline distT="0" distB="0" distL="0" distR="0" wp14:anchorId="676135C1" wp14:editId="22EFDDC7">
                            <wp:extent cx="787547" cy="787547"/>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797725" cy="797725"/>
                                    </a:xfrm>
                                    <a:prstGeom prst="rect">
                                      <a:avLst/>
                                    </a:prstGeom>
                                  </pic:spPr>
                                </pic:pic>
                              </a:graphicData>
                            </a:graphic>
                          </wp:inline>
                        </w:drawing>
                      </w:r>
                    </w:p>
                  </w:txbxContent>
                </v:textbox>
              </v:shape>
            </w:pict>
          </mc:Fallback>
        </mc:AlternateContent>
      </w:r>
      <w:r w:rsidR="001D1179" w:rsidRPr="00393775">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4EEAED4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4EEAED46">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393775">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393775" w:rsidRDefault="00020935" w:rsidP="00020935">
      <w:pPr>
        <w:rPr>
          <w:rFonts w:ascii="Calibri" w:hAnsi="Calibri" w:cs="Calibri"/>
          <w:b/>
          <w:bCs/>
        </w:rPr>
      </w:pPr>
    </w:p>
    <w:p w14:paraId="2452FA9D" w14:textId="458621A8" w:rsidR="00760E4B" w:rsidRPr="00393775" w:rsidRDefault="00760E4B" w:rsidP="00020935">
      <w:pPr>
        <w:rPr>
          <w:rFonts w:ascii="Calibri" w:hAnsi="Calibri" w:cs="Calibri"/>
          <w:b/>
          <w:bCs/>
        </w:rPr>
        <w:sectPr w:rsidR="00760E4B" w:rsidRPr="00393775" w:rsidSect="00940347">
          <w:footerReference w:type="even" r:id="rId13"/>
          <w:footerReference w:type="default" r:id="rId14"/>
          <w:pgSz w:w="12240" w:h="15840"/>
          <w:pgMar w:top="1440" w:right="630" w:bottom="1440" w:left="720" w:header="144" w:footer="432" w:gutter="0"/>
          <w:cols w:space="720"/>
          <w:docGrid w:linePitch="326"/>
        </w:sectPr>
      </w:pPr>
    </w:p>
    <w:p w14:paraId="6C65F18D" w14:textId="77777777" w:rsidR="00B21415" w:rsidRPr="00393775" w:rsidRDefault="00B85CD3" w:rsidP="00B21415">
      <w:pPr>
        <w:shd w:val="clear" w:color="auto" w:fill="FFFFFF"/>
        <w:rPr>
          <w:rFonts w:ascii="Calibri" w:hAnsi="Calibri" w:cs="Calibri"/>
          <w:b/>
          <w:bCs/>
        </w:rPr>
      </w:pPr>
      <w:r w:rsidRPr="00393775">
        <w:rPr>
          <w:rFonts w:ascii="Calibri" w:hAnsi="Calibri" w:cs="Calibri"/>
          <w:b/>
          <w:bCs/>
        </w:rPr>
        <w:t>D</w:t>
      </w:r>
      <w:r w:rsidR="00533A26" w:rsidRPr="00393775">
        <w:rPr>
          <w:rFonts w:ascii="Calibri" w:hAnsi="Calibri" w:cs="Calibri"/>
          <w:b/>
          <w:bCs/>
        </w:rPr>
        <w:t>o</w:t>
      </w:r>
      <w:r w:rsidRPr="00393775">
        <w:rPr>
          <w:rFonts w:ascii="Calibri" w:hAnsi="Calibri" w:cs="Calibri"/>
          <w:b/>
          <w:bCs/>
        </w:rPr>
        <w:t xml:space="preserve"> you </w:t>
      </w:r>
      <w:r w:rsidR="00533A26" w:rsidRPr="00393775">
        <w:rPr>
          <w:rFonts w:ascii="Calibri" w:hAnsi="Calibri" w:cs="Calibri"/>
          <w:b/>
          <w:bCs/>
        </w:rPr>
        <w:t>k</w:t>
      </w:r>
      <w:r w:rsidRPr="00393775">
        <w:rPr>
          <w:rFonts w:ascii="Calibri" w:hAnsi="Calibri" w:cs="Calibri"/>
          <w:b/>
          <w:bCs/>
        </w:rPr>
        <w:t>now</w:t>
      </w:r>
      <w:r w:rsidR="006F461C" w:rsidRPr="00393775">
        <w:rPr>
          <w:rFonts w:ascii="Calibri" w:hAnsi="Calibri" w:cs="Calibri"/>
          <w:b/>
          <w:bCs/>
        </w:rPr>
        <w:t xml:space="preserve"> </w:t>
      </w:r>
      <w:r w:rsidR="00195181" w:rsidRPr="00393775">
        <w:rPr>
          <w:rFonts w:ascii="Calibri" w:hAnsi="Calibri" w:cs="Calibri"/>
          <w:b/>
          <w:bCs/>
        </w:rPr>
        <w:t xml:space="preserve">about </w:t>
      </w:r>
      <w:r w:rsidR="00B21415" w:rsidRPr="00393775">
        <w:rPr>
          <w:rFonts w:ascii="Calibri" w:hAnsi="Calibri" w:cs="Calibri"/>
          <w:b/>
          <w:bCs/>
        </w:rPr>
        <w:t>service coordination</w:t>
      </w:r>
      <w:r w:rsidR="00132A54" w:rsidRPr="00393775">
        <w:rPr>
          <w:rFonts w:ascii="Calibri" w:hAnsi="Calibri" w:cs="Calibri"/>
          <w:b/>
          <w:bCs/>
        </w:rPr>
        <w:t xml:space="preserve"> in Part C </w:t>
      </w:r>
      <w:r w:rsidR="00864F98" w:rsidRPr="00393775">
        <w:rPr>
          <w:rFonts w:ascii="Calibri" w:hAnsi="Calibri" w:cs="Calibri"/>
          <w:b/>
          <w:bCs/>
        </w:rPr>
        <w:t>e</w:t>
      </w:r>
      <w:r w:rsidR="00132A54" w:rsidRPr="00393775">
        <w:rPr>
          <w:rFonts w:ascii="Calibri" w:hAnsi="Calibri" w:cs="Calibri"/>
          <w:b/>
          <w:bCs/>
        </w:rPr>
        <w:t xml:space="preserve">arly </w:t>
      </w:r>
      <w:r w:rsidR="00864F98" w:rsidRPr="00393775">
        <w:rPr>
          <w:rFonts w:ascii="Calibri" w:hAnsi="Calibri" w:cs="Calibri"/>
          <w:b/>
          <w:bCs/>
        </w:rPr>
        <w:t>i</w:t>
      </w:r>
      <w:r w:rsidR="00132A54" w:rsidRPr="00393775">
        <w:rPr>
          <w:rFonts w:ascii="Calibri" w:hAnsi="Calibri" w:cs="Calibri"/>
          <w:b/>
          <w:bCs/>
        </w:rPr>
        <w:t>ntervention</w:t>
      </w:r>
      <w:r w:rsidR="003F6C5D" w:rsidRPr="00393775">
        <w:rPr>
          <w:rFonts w:ascii="Calibri" w:hAnsi="Calibri" w:cs="Calibri"/>
          <w:b/>
          <w:bCs/>
        </w:rPr>
        <w:t xml:space="preserve"> (EI)</w:t>
      </w:r>
      <w:r w:rsidR="00132A54" w:rsidRPr="00393775">
        <w:rPr>
          <w:rFonts w:ascii="Calibri" w:hAnsi="Calibri" w:cs="Calibri"/>
          <w:b/>
          <w:bCs/>
        </w:rPr>
        <w:t>?</w:t>
      </w:r>
    </w:p>
    <w:p w14:paraId="4ED96865" w14:textId="0CF43905" w:rsidR="00132A54" w:rsidRPr="00393775" w:rsidRDefault="00B21415" w:rsidP="00B21415">
      <w:pPr>
        <w:shd w:val="clear" w:color="auto" w:fill="FFFFFF"/>
        <w:rPr>
          <w:rFonts w:ascii="Calibri" w:hAnsi="Calibri" w:cs="Calibri"/>
        </w:rPr>
      </w:pPr>
      <w:r w:rsidRPr="00393775">
        <w:rPr>
          <w:rFonts w:ascii="Calibri" w:hAnsi="Calibri" w:cs="Calibri"/>
        </w:rPr>
        <w:t xml:space="preserve">Service coordination is a foundational component of Part C Early Intervention (EI), designed to help families of infants and toddlers with developmental delays access the services and supports they need. Under the </w:t>
      </w:r>
      <w:hyperlink r:id="rId15" w:history="1">
        <w:r w:rsidRPr="00554858">
          <w:rPr>
            <w:rStyle w:val="Hyperlink"/>
            <w:rFonts w:ascii="Calibri" w:hAnsi="Calibri" w:cs="Calibri"/>
            <w:color w:val="113285" w:themeColor="accent4" w:themeShade="80"/>
          </w:rPr>
          <w:t xml:space="preserve">Individuals with </w:t>
        </w:r>
        <w:r w:rsidRPr="00554858">
          <w:rPr>
            <w:rStyle w:val="Hyperlink"/>
            <w:rFonts w:ascii="Calibri" w:hAnsi="Calibri" w:cs="Calibri"/>
          </w:rPr>
          <w:t>Disabilities</w:t>
        </w:r>
        <w:r w:rsidRPr="00554858">
          <w:rPr>
            <w:rStyle w:val="Hyperlink"/>
            <w:rFonts w:ascii="Calibri" w:hAnsi="Calibri" w:cs="Calibri"/>
            <w:color w:val="113285" w:themeColor="accent4" w:themeShade="80"/>
          </w:rPr>
          <w:t xml:space="preserve"> Education Act</w:t>
        </w:r>
      </w:hyperlink>
      <w:r w:rsidRPr="00393775">
        <w:rPr>
          <w:rFonts w:ascii="Calibri" w:hAnsi="Calibri" w:cs="Calibri"/>
        </w:rPr>
        <w:t xml:space="preserve"> (IDEA) Part C, service coordinators play a vital role in guiding families through the EI process—from referral and evaluation, through Individualized Family Service Plan (IFSP) development, to service delivery and transition. The goal is to ensure that families receive timely, appropriate, and family-centered supports that reflect their unique values and circumstances.</w:t>
      </w:r>
    </w:p>
    <w:p w14:paraId="289F26D4" w14:textId="77777777" w:rsidR="00393775" w:rsidRPr="00393775" w:rsidRDefault="00393775" w:rsidP="00EA00CB">
      <w:pPr>
        <w:rPr>
          <w:rStyle w:val="Strong"/>
          <w:rFonts w:ascii="Calibri" w:hAnsi="Calibri" w:cs="Calibri"/>
          <w:color w:val="000000"/>
        </w:rPr>
      </w:pPr>
    </w:p>
    <w:p w14:paraId="71BC62B6" w14:textId="40C6E2C8" w:rsidR="00393775" w:rsidRPr="00393775" w:rsidRDefault="00132A54" w:rsidP="00EA00CB">
      <w:pPr>
        <w:rPr>
          <w:rFonts w:ascii="Calibri" w:hAnsi="Calibri" w:cs="Calibri"/>
        </w:rPr>
      </w:pPr>
      <w:r w:rsidRPr="00393775">
        <w:rPr>
          <w:rStyle w:val="Strong"/>
          <w:rFonts w:ascii="Calibri" w:hAnsi="Calibri" w:cs="Calibri"/>
          <w:color w:val="000000"/>
        </w:rPr>
        <w:t xml:space="preserve">How </w:t>
      </w:r>
      <w:r w:rsidR="00B21415" w:rsidRPr="00393775">
        <w:rPr>
          <w:rStyle w:val="Strong"/>
          <w:rFonts w:ascii="Calibri" w:hAnsi="Calibri" w:cs="Calibri"/>
          <w:color w:val="000000"/>
        </w:rPr>
        <w:t>do you explain service coordination to EI service (EIS) providers</w:t>
      </w:r>
      <w:r w:rsidRPr="00393775">
        <w:rPr>
          <w:rStyle w:val="Strong"/>
          <w:rFonts w:ascii="Calibri" w:hAnsi="Calibri" w:cs="Calibri"/>
          <w:color w:val="000000"/>
        </w:rPr>
        <w:t>?</w:t>
      </w:r>
      <w:r w:rsidR="00CD69AC" w:rsidRPr="00393775">
        <w:rPr>
          <w:rFonts w:ascii="Calibri" w:hAnsi="Calibri" w:cs="Calibri"/>
          <w:color w:val="000000"/>
        </w:rPr>
        <w:br/>
      </w:r>
      <w:r w:rsidR="00B21415" w:rsidRPr="00393775">
        <w:rPr>
          <w:rFonts w:ascii="Calibri" w:hAnsi="Calibri" w:cs="Calibri"/>
        </w:rPr>
        <w:t xml:space="preserve">To EIS providers, service coordination can be described as both a role and a relationship. It involves serving as a consistent point of contact for families, facilitating communication across disciplines and agencies, and ensuring that services are aligned with the family’s priorities and culture. Service coordinators manage essential timelines, organize team meetings, and support families in making informed decisions. </w:t>
      </w:r>
      <w:r w:rsidR="00393775" w:rsidRPr="00393775">
        <w:rPr>
          <w:rFonts w:ascii="Calibri" w:hAnsi="Calibri" w:cs="Calibri"/>
        </w:rPr>
        <w:t xml:space="preserve">As </w:t>
      </w:r>
      <w:r w:rsidR="00371C7F">
        <w:rPr>
          <w:rFonts w:ascii="Calibri" w:hAnsi="Calibri" w:cs="Calibri"/>
        </w:rPr>
        <w:t xml:space="preserve">a </w:t>
      </w:r>
      <w:r w:rsidR="00393775" w:rsidRPr="00393775">
        <w:rPr>
          <w:rFonts w:ascii="Calibri" w:hAnsi="Calibri" w:cs="Calibri"/>
        </w:rPr>
        <w:t>service coordinator, you are responsible for carrying out specific activities including:</w:t>
      </w:r>
    </w:p>
    <w:p w14:paraId="0602772A" w14:textId="5EE1889E"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Assisting and enabling eligible child/family to receive IFSP services in a timely manner</w:t>
      </w:r>
    </w:p>
    <w:p w14:paraId="5FB21CDC" w14:textId="3EB22DCE"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Coordinating all EI services including evaluations and assessments</w:t>
      </w:r>
    </w:p>
    <w:p w14:paraId="4DFE5C76" w14:textId="6DD0660A"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 xml:space="preserve">Facilitating and participating </w:t>
      </w:r>
      <w:r w:rsidR="003829E8">
        <w:rPr>
          <w:rFonts w:ascii="Calibri" w:hAnsi="Calibri" w:cs="Calibri"/>
        </w:rPr>
        <w:t xml:space="preserve">in </w:t>
      </w:r>
      <w:r w:rsidRPr="00393775">
        <w:rPr>
          <w:rFonts w:ascii="Calibri" w:hAnsi="Calibri" w:cs="Calibri"/>
        </w:rPr>
        <w:t>the development, reviews, and evaluation of the IFSP</w:t>
      </w:r>
    </w:p>
    <w:p w14:paraId="3993B3C9" w14:textId="3B9F1003"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Facilitating the development of a transition plan</w:t>
      </w:r>
    </w:p>
    <w:p w14:paraId="18315A6D" w14:textId="7150A4A6"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Ensuring families are aware of all rights and procedural safeguards available within the EI system</w:t>
      </w:r>
    </w:p>
    <w:p w14:paraId="7464F286" w14:textId="4DC60A8B"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Providing information on available resources</w:t>
      </w:r>
    </w:p>
    <w:p w14:paraId="32E71AF5" w14:textId="3D533B93" w:rsidR="00393775" w:rsidRPr="00393775" w:rsidRDefault="00393775" w:rsidP="00393775">
      <w:pPr>
        <w:pStyle w:val="ListParagraph"/>
        <w:numPr>
          <w:ilvl w:val="0"/>
          <w:numId w:val="38"/>
        </w:numPr>
        <w:rPr>
          <w:rFonts w:ascii="Calibri" w:hAnsi="Calibri" w:cs="Calibri"/>
          <w:b/>
          <w:bCs/>
          <w:color w:val="000000"/>
        </w:rPr>
      </w:pPr>
      <w:r w:rsidRPr="00393775">
        <w:rPr>
          <w:rFonts w:ascii="Calibri" w:hAnsi="Calibri" w:cs="Calibri"/>
        </w:rPr>
        <w:t>Supporting families as needed to access resources</w:t>
      </w:r>
    </w:p>
    <w:p w14:paraId="64743980" w14:textId="1F652D05" w:rsidR="00EA00CB" w:rsidRPr="00393775" w:rsidRDefault="00B21415" w:rsidP="00393775">
      <w:pPr>
        <w:rPr>
          <w:rStyle w:val="Strong"/>
          <w:rFonts w:ascii="Calibri" w:hAnsi="Calibri" w:cs="Calibri"/>
          <w:color w:val="000000"/>
        </w:rPr>
      </w:pPr>
      <w:r w:rsidRPr="00393775">
        <w:rPr>
          <w:rFonts w:ascii="Calibri" w:hAnsi="Calibri" w:cs="Calibri"/>
        </w:rPr>
        <w:t xml:space="preserve">In practice, this means being a knowledgeable guide, a steady advocate, and a trusted collaborator throughout the </w:t>
      </w:r>
      <w:r w:rsidR="003829E8">
        <w:rPr>
          <w:rFonts w:ascii="Calibri" w:hAnsi="Calibri" w:cs="Calibri"/>
        </w:rPr>
        <w:t xml:space="preserve">family’s </w:t>
      </w:r>
      <w:r w:rsidRPr="00393775">
        <w:rPr>
          <w:rFonts w:ascii="Calibri" w:hAnsi="Calibri" w:cs="Calibri"/>
        </w:rPr>
        <w:t>EI journey.</w:t>
      </w:r>
    </w:p>
    <w:p w14:paraId="40809E2C" w14:textId="77777777" w:rsidR="00393775" w:rsidRPr="00393775" w:rsidRDefault="00393775" w:rsidP="00EA00CB">
      <w:pPr>
        <w:rPr>
          <w:rStyle w:val="Strong"/>
          <w:rFonts w:ascii="Calibri" w:hAnsi="Calibri" w:cs="Calibri"/>
          <w:color w:val="000000"/>
        </w:rPr>
      </w:pPr>
    </w:p>
    <w:p w14:paraId="56183296" w14:textId="3D2145D4" w:rsidR="002A2FF7" w:rsidRPr="00393775" w:rsidRDefault="00CD69AC" w:rsidP="00EA00CB">
      <w:pPr>
        <w:rPr>
          <w:rFonts w:ascii="Calibri" w:hAnsi="Calibri" w:cs="Calibri"/>
        </w:rPr>
      </w:pPr>
      <w:r w:rsidRPr="00393775">
        <w:rPr>
          <w:rStyle w:val="Strong"/>
          <w:rFonts w:ascii="Calibri" w:hAnsi="Calibri" w:cs="Calibri"/>
          <w:color w:val="000000"/>
        </w:rPr>
        <w:t xml:space="preserve">How </w:t>
      </w:r>
      <w:r w:rsidR="003E287F" w:rsidRPr="00393775">
        <w:rPr>
          <w:rStyle w:val="Strong"/>
          <w:rFonts w:ascii="Calibri" w:hAnsi="Calibri" w:cs="Calibri"/>
          <w:color w:val="000000"/>
        </w:rPr>
        <w:t>do you explain service coordination to</w:t>
      </w:r>
      <w:r w:rsidRPr="00393775">
        <w:rPr>
          <w:rStyle w:val="Strong"/>
          <w:rFonts w:ascii="Calibri" w:hAnsi="Calibri" w:cs="Calibri"/>
          <w:color w:val="000000"/>
        </w:rPr>
        <w:t xml:space="preserve"> families?</w:t>
      </w:r>
      <w:r w:rsidRPr="00393775">
        <w:rPr>
          <w:rFonts w:ascii="Calibri" w:hAnsi="Calibri" w:cs="Calibri"/>
          <w:color w:val="000000"/>
        </w:rPr>
        <w:br/>
      </w:r>
      <w:r w:rsidR="003E287F" w:rsidRPr="00393775">
        <w:rPr>
          <w:rFonts w:ascii="Calibri" w:hAnsi="Calibri" w:cs="Calibri"/>
        </w:rPr>
        <w:t>When talking to families, service coordination can be explained as having a dedicated partner to help them navigate EI. The service coordinator is there to support the family in understanding their child’s development, connecting with the right services, and coordinating team efforts. They help schedule evaluations, explain options, ensure that services match the family's routines and goals, and provide information about transitions—like moving to preschool special education. In short, service coordinators help families feel supported, heard, and empowered.</w:t>
      </w:r>
    </w:p>
    <w:p w14:paraId="6FD46FA4" w14:textId="77777777" w:rsidR="00EA00CB" w:rsidRPr="00393775" w:rsidRDefault="00EA00CB" w:rsidP="00EA00CB">
      <w:pPr>
        <w:rPr>
          <w:rStyle w:val="Strong"/>
          <w:rFonts w:ascii="Calibri" w:hAnsi="Calibri" w:cs="Calibri"/>
          <w:color w:val="000000"/>
        </w:rPr>
      </w:pPr>
    </w:p>
    <w:p w14:paraId="7E9208DC" w14:textId="207DCA43" w:rsidR="00EA00CB" w:rsidRPr="00393775" w:rsidRDefault="00EA00CB" w:rsidP="003E287F">
      <w:pPr>
        <w:rPr>
          <w:rStyle w:val="Strong"/>
          <w:rFonts w:ascii="Calibri" w:hAnsi="Calibri" w:cs="Calibri"/>
          <w:color w:val="000000"/>
        </w:rPr>
      </w:pPr>
      <w:r w:rsidRPr="00393775">
        <w:rPr>
          <w:rFonts w:ascii="Calibri" w:hAnsi="Calibri" w:cs="Calibri"/>
          <w:b/>
          <w:bCs/>
          <w:noProof/>
          <w:color w:val="000000"/>
        </w:rPr>
        <w:drawing>
          <wp:inline distT="0" distB="0" distL="0" distR="0" wp14:anchorId="14C52D61" wp14:editId="78E0E3F4">
            <wp:extent cx="3227705" cy="2151380"/>
            <wp:effectExtent l="0" t="0" r="0" b="0"/>
            <wp:docPr id="211449961" name="Picture 6" descr="Mother holding baby's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9961" name="Picture 211449961" descr="Mother holding baby's han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27705" cy="2151380"/>
                    </a:xfrm>
                    <a:prstGeom prst="rect">
                      <a:avLst/>
                    </a:prstGeom>
                  </pic:spPr>
                </pic:pic>
              </a:graphicData>
            </a:graphic>
          </wp:inline>
        </w:drawing>
      </w:r>
    </w:p>
    <w:p w14:paraId="7C2B68D2" w14:textId="77777777" w:rsidR="00EA00CB" w:rsidRPr="00393775" w:rsidRDefault="00EA00CB" w:rsidP="003E287F">
      <w:pPr>
        <w:rPr>
          <w:rStyle w:val="Strong"/>
          <w:rFonts w:ascii="Calibri" w:hAnsi="Calibri" w:cs="Calibri"/>
          <w:color w:val="000000"/>
        </w:rPr>
      </w:pPr>
    </w:p>
    <w:p w14:paraId="12A763B0" w14:textId="43CBCAAF" w:rsidR="003E287F" w:rsidRPr="00393775" w:rsidRDefault="003E287F" w:rsidP="003E287F">
      <w:pPr>
        <w:rPr>
          <w:rStyle w:val="Strong"/>
          <w:rFonts w:ascii="Calibri" w:hAnsi="Calibri" w:cs="Calibri"/>
          <w:color w:val="000000"/>
        </w:rPr>
      </w:pPr>
      <w:r w:rsidRPr="00393775">
        <w:rPr>
          <w:rStyle w:val="Strong"/>
          <w:rFonts w:ascii="Calibri" w:hAnsi="Calibri" w:cs="Calibri"/>
          <w:color w:val="000000"/>
        </w:rPr>
        <w:t>How are you incorporating service coordination in your work with families?</w:t>
      </w:r>
    </w:p>
    <w:p w14:paraId="4B0AB49B" w14:textId="77777777" w:rsidR="00EA00CB" w:rsidRPr="00393775" w:rsidRDefault="003E287F" w:rsidP="00EA00CB">
      <w:pPr>
        <w:rPr>
          <w:rFonts w:ascii="Calibri" w:hAnsi="Calibri" w:cs="Calibri"/>
        </w:rPr>
      </w:pPr>
      <w:r w:rsidRPr="00393775">
        <w:rPr>
          <w:rFonts w:ascii="Calibri" w:hAnsi="Calibri" w:cs="Calibri"/>
        </w:rPr>
        <w:t xml:space="preserve">Incorporating service coordination into your daily work means being proactive, responsive, and relational. This includes regularly checking in with families, ensuring they understand the EI process, helping them access resources, and staying informed about their changing needs. It also means </w:t>
      </w:r>
      <w:r w:rsidRPr="00393775">
        <w:rPr>
          <w:rFonts w:ascii="Calibri" w:hAnsi="Calibri" w:cs="Calibri"/>
        </w:rPr>
        <w:lastRenderedPageBreak/>
        <w:t>collaborating closely with other team members, maintaining thorough documentation, and being thoughtful about transitions. Whether you are officially designated as a service coordinator or not, you contribute to coordinated care every time you help a family move forward with clarity and confidence.</w:t>
      </w:r>
    </w:p>
    <w:p w14:paraId="2C40A0A7" w14:textId="77777777" w:rsidR="00393775" w:rsidRPr="00393775" w:rsidRDefault="00393775" w:rsidP="00393775">
      <w:pPr>
        <w:spacing w:before="100" w:beforeAutospacing="1" w:after="100" w:afterAutospacing="1"/>
        <w:rPr>
          <w:rStyle w:val="Strong"/>
          <w:rFonts w:ascii="Calibri" w:hAnsi="Calibri" w:cs="Calibri"/>
          <w:b w:val="0"/>
          <w:bCs w:val="0"/>
        </w:rPr>
      </w:pPr>
      <w:r w:rsidRPr="00393775">
        <w:rPr>
          <w:rStyle w:val="Strong"/>
          <w:rFonts w:ascii="Calibri" w:hAnsi="Calibri" w:cs="Calibri"/>
          <w:color w:val="000000"/>
        </w:rPr>
        <w:t>How is service coordination evaluated in Part C, nationally and in Massachusetts (MA)?</w:t>
      </w:r>
      <w:r w:rsidRPr="00393775">
        <w:rPr>
          <w:rFonts w:ascii="Calibri" w:hAnsi="Calibri" w:cs="Calibri"/>
          <w:color w:val="000000"/>
        </w:rPr>
        <w:br/>
      </w:r>
      <w:r w:rsidRPr="00393775">
        <w:rPr>
          <w:rFonts w:ascii="Calibri" w:hAnsi="Calibri" w:cs="Calibri"/>
        </w:rPr>
        <w:t>Service coordination is evaluated through both compliance indicators and family-centered outcome measures. Programs monitor timelines to ensure services outlined in the IFSP are initiated promptly, and that transition planning is completed within the required timeframe. Family surveys also provide important data, capturing whether families feel they know their rights, can effectively help their child develop and learn, and are able to access the services they need. These data points are used to assess and improve the quality and effectiveness of service coordination efforts across the state.</w:t>
      </w:r>
    </w:p>
    <w:p w14:paraId="2B9D775A" w14:textId="2AE28703" w:rsidR="00FF1DAA" w:rsidRDefault="00CD69AC" w:rsidP="00EA00CB">
      <w:pPr>
        <w:rPr>
          <w:rFonts w:ascii="Calibri" w:hAnsi="Calibri" w:cs="Calibri"/>
        </w:rPr>
      </w:pPr>
      <w:r w:rsidRPr="00393775">
        <w:rPr>
          <w:rStyle w:val="Strong"/>
          <w:rFonts w:ascii="Calibri" w:hAnsi="Calibri" w:cs="Calibri"/>
          <w:color w:val="000000"/>
        </w:rPr>
        <w:t xml:space="preserve">How </w:t>
      </w:r>
      <w:r w:rsidR="003E287F" w:rsidRPr="00393775">
        <w:rPr>
          <w:rStyle w:val="Strong"/>
          <w:rFonts w:ascii="Calibri" w:hAnsi="Calibri" w:cs="Calibri"/>
          <w:color w:val="000000"/>
        </w:rPr>
        <w:t>is service coordination</w:t>
      </w:r>
      <w:r w:rsidRPr="00393775">
        <w:rPr>
          <w:rStyle w:val="Strong"/>
          <w:rFonts w:ascii="Calibri" w:hAnsi="Calibri" w:cs="Calibri"/>
          <w:color w:val="000000"/>
        </w:rPr>
        <w:t xml:space="preserve"> supported in </w:t>
      </w:r>
      <w:r w:rsidR="003F6C5D" w:rsidRPr="00393775">
        <w:rPr>
          <w:rStyle w:val="Strong"/>
          <w:rFonts w:ascii="Calibri" w:hAnsi="Calibri" w:cs="Calibri"/>
          <w:color w:val="000000"/>
        </w:rPr>
        <w:t>EI</w:t>
      </w:r>
      <w:r w:rsidRPr="00393775">
        <w:rPr>
          <w:rStyle w:val="Strong"/>
          <w:rFonts w:ascii="Calibri" w:hAnsi="Calibri" w:cs="Calibri"/>
          <w:color w:val="000000"/>
        </w:rPr>
        <w:t>?</w:t>
      </w:r>
      <w:r w:rsidR="00C94EFD" w:rsidRPr="00393775">
        <w:rPr>
          <w:rFonts w:ascii="Calibri" w:hAnsi="Calibri" w:cs="Calibri"/>
          <w:b/>
          <w:bCs/>
          <w:noProof/>
        </w:rPr>
        <w:t xml:space="preserve"> </w:t>
      </w:r>
      <w:r w:rsidRPr="00393775">
        <w:rPr>
          <w:rFonts w:ascii="Calibri" w:hAnsi="Calibri" w:cs="Calibri"/>
          <w:color w:val="000000"/>
        </w:rPr>
        <w:br/>
      </w:r>
      <w:r w:rsidR="003829E8">
        <w:rPr>
          <w:rFonts w:ascii="Calibri" w:hAnsi="Calibri" w:cs="Calibri"/>
        </w:rPr>
        <w:t>EIS</w:t>
      </w:r>
      <w:r w:rsidR="003E287F" w:rsidRPr="00393775">
        <w:rPr>
          <w:rFonts w:ascii="Calibri" w:hAnsi="Calibri" w:cs="Calibri"/>
        </w:rPr>
        <w:t xml:space="preserve"> programs in Massachusetts support service coordination in a variety of ways. This includes offering ongoing training and reflective supervision, monitoring caseloads to promote manageable workloads, and using data systems to track compliance and service timelines. Additionally, team-based models encourage shared responsibility, ensuring that providers have the resources they need to support families effectively. Policies and best practices emphasize a family-centered approach, reinforcing the critical role service coordination plays in high-quality EI services.</w:t>
      </w:r>
    </w:p>
    <w:p w14:paraId="5A7F61DD" w14:textId="77777777" w:rsidR="003829E8" w:rsidRPr="00393775" w:rsidRDefault="003829E8" w:rsidP="00EA00CB">
      <w:pPr>
        <w:rPr>
          <w:rStyle w:val="Strong"/>
          <w:rFonts w:ascii="Calibri" w:hAnsi="Calibri" w:cs="Calibri"/>
          <w:color w:val="000000"/>
        </w:rPr>
      </w:pPr>
    </w:p>
    <w:p w14:paraId="47E6BF42" w14:textId="77777777" w:rsidR="003829E8" w:rsidRDefault="003829E8" w:rsidP="003E287F">
      <w:pPr>
        <w:rPr>
          <w:rStyle w:val="Strong"/>
          <w:rFonts w:ascii="Calibri" w:hAnsi="Calibri" w:cs="Calibri"/>
          <w:color w:val="000000"/>
        </w:rPr>
      </w:pPr>
    </w:p>
    <w:p w14:paraId="23DC75E4" w14:textId="77777777" w:rsidR="003829E8" w:rsidRDefault="003829E8" w:rsidP="003E287F">
      <w:pPr>
        <w:rPr>
          <w:rStyle w:val="Strong"/>
          <w:rFonts w:ascii="Calibri" w:hAnsi="Calibri" w:cs="Calibri"/>
          <w:color w:val="000000"/>
        </w:rPr>
      </w:pPr>
    </w:p>
    <w:p w14:paraId="29015D2D" w14:textId="77777777" w:rsidR="003829E8" w:rsidRDefault="003829E8" w:rsidP="003E287F">
      <w:pPr>
        <w:rPr>
          <w:rStyle w:val="Strong"/>
          <w:rFonts w:ascii="Calibri" w:hAnsi="Calibri" w:cs="Calibri"/>
          <w:color w:val="000000"/>
        </w:rPr>
      </w:pPr>
    </w:p>
    <w:p w14:paraId="6FED8693" w14:textId="77777777" w:rsidR="003829E8" w:rsidRDefault="003829E8" w:rsidP="003E287F">
      <w:pPr>
        <w:rPr>
          <w:rStyle w:val="Strong"/>
          <w:rFonts w:ascii="Calibri" w:hAnsi="Calibri" w:cs="Calibri"/>
          <w:color w:val="000000"/>
        </w:rPr>
      </w:pPr>
    </w:p>
    <w:p w14:paraId="6EEB3787" w14:textId="34605D71" w:rsidR="003E287F" w:rsidRPr="00393775" w:rsidRDefault="00CD69AC" w:rsidP="003E287F">
      <w:pPr>
        <w:rPr>
          <w:rFonts w:ascii="Calibri" w:hAnsi="Calibri" w:cs="Calibri"/>
          <w:b/>
          <w:bCs/>
          <w:color w:val="000000"/>
        </w:rPr>
      </w:pPr>
      <w:r w:rsidRPr="00393775">
        <w:rPr>
          <w:rStyle w:val="Strong"/>
          <w:rFonts w:ascii="Calibri" w:hAnsi="Calibri" w:cs="Calibri"/>
          <w:color w:val="000000"/>
        </w:rPr>
        <w:t>Reflecting on Your Practice:</w:t>
      </w:r>
      <w:r w:rsidRPr="00393775">
        <w:rPr>
          <w:rFonts w:ascii="Calibri" w:hAnsi="Calibri" w:cs="Calibri"/>
          <w:color w:val="000000"/>
        </w:rPr>
        <w:br/>
        <w:t>As you consider your work with families, take a moment to reflect on the following questions:</w:t>
      </w:r>
    </w:p>
    <w:p w14:paraId="78A5EADE" w14:textId="77777777" w:rsidR="003E287F" w:rsidRPr="00393775" w:rsidRDefault="003E287F" w:rsidP="003E287F">
      <w:pPr>
        <w:pStyle w:val="ListParagraph"/>
        <w:numPr>
          <w:ilvl w:val="0"/>
          <w:numId w:val="36"/>
        </w:numPr>
        <w:rPr>
          <w:rFonts w:ascii="Calibri" w:hAnsi="Calibri" w:cs="Calibri"/>
          <w:b/>
          <w:bCs/>
          <w:color w:val="000000"/>
        </w:rPr>
      </w:pPr>
      <w:r w:rsidRPr="00393775">
        <w:rPr>
          <w:rFonts w:ascii="Calibri" w:hAnsi="Calibri" w:cs="Calibri"/>
        </w:rPr>
        <w:t>How do I build trust with families and support them without overwhelming them?</w:t>
      </w:r>
    </w:p>
    <w:p w14:paraId="6CCCF762" w14:textId="77777777" w:rsidR="003E287F" w:rsidRPr="00393775" w:rsidRDefault="003E287F" w:rsidP="003E287F">
      <w:pPr>
        <w:pStyle w:val="ListParagraph"/>
        <w:numPr>
          <w:ilvl w:val="0"/>
          <w:numId w:val="36"/>
        </w:numPr>
        <w:rPr>
          <w:rFonts w:ascii="Calibri" w:hAnsi="Calibri" w:cs="Calibri"/>
          <w:b/>
          <w:bCs/>
          <w:color w:val="000000"/>
        </w:rPr>
      </w:pPr>
      <w:r w:rsidRPr="00393775">
        <w:rPr>
          <w:rFonts w:ascii="Calibri" w:hAnsi="Calibri" w:cs="Calibri"/>
        </w:rPr>
        <w:t>Am I staying organized and responsive in managing timelines and communication?</w:t>
      </w:r>
    </w:p>
    <w:p w14:paraId="16DF4535" w14:textId="77777777" w:rsidR="003E287F" w:rsidRPr="00393775" w:rsidRDefault="003E287F" w:rsidP="003E287F">
      <w:pPr>
        <w:pStyle w:val="ListParagraph"/>
        <w:numPr>
          <w:ilvl w:val="0"/>
          <w:numId w:val="36"/>
        </w:numPr>
        <w:rPr>
          <w:rFonts w:ascii="Calibri" w:hAnsi="Calibri" w:cs="Calibri"/>
          <w:b/>
          <w:bCs/>
          <w:color w:val="000000"/>
        </w:rPr>
      </w:pPr>
      <w:r w:rsidRPr="00393775">
        <w:rPr>
          <w:rFonts w:ascii="Calibri" w:hAnsi="Calibri" w:cs="Calibri"/>
        </w:rPr>
        <w:t xml:space="preserve">How well am I helping families understand their options and feel confident in their choices? </w:t>
      </w:r>
    </w:p>
    <w:p w14:paraId="1FE07712" w14:textId="0E3B6004" w:rsidR="003E287F" w:rsidRPr="00393775" w:rsidRDefault="003E287F" w:rsidP="003E287F">
      <w:pPr>
        <w:pStyle w:val="ListParagraph"/>
        <w:numPr>
          <w:ilvl w:val="0"/>
          <w:numId w:val="36"/>
        </w:numPr>
        <w:rPr>
          <w:rFonts w:ascii="Calibri" w:hAnsi="Calibri" w:cs="Calibri"/>
          <w:b/>
          <w:bCs/>
          <w:color w:val="000000"/>
        </w:rPr>
      </w:pPr>
      <w:r w:rsidRPr="00393775">
        <w:rPr>
          <w:rFonts w:ascii="Calibri" w:hAnsi="Calibri" w:cs="Calibri"/>
        </w:rPr>
        <w:t>What strategies do I use to collaborate with colleagues and create seamless service delivery?</w:t>
      </w:r>
    </w:p>
    <w:p w14:paraId="4D870CC5" w14:textId="77777777" w:rsidR="00385C31" w:rsidRPr="00393775" w:rsidRDefault="00385C31" w:rsidP="00385C31">
      <w:pPr>
        <w:ind w:left="720"/>
        <w:rPr>
          <w:rFonts w:ascii="Calibri" w:hAnsi="Calibri" w:cs="Calibri"/>
        </w:rPr>
      </w:pPr>
    </w:p>
    <w:p w14:paraId="31B9FA8E" w14:textId="18633E47" w:rsidR="00385C31" w:rsidRPr="00393775" w:rsidRDefault="00385C31" w:rsidP="00385C31">
      <w:pPr>
        <w:ind w:left="360"/>
        <w:rPr>
          <w:rFonts w:ascii="Calibri" w:hAnsi="Calibri" w:cs="Calibri"/>
          <w:b/>
          <w:bCs/>
        </w:rPr>
      </w:pPr>
      <w:r w:rsidRPr="00393775">
        <w:rPr>
          <w:rFonts w:ascii="Calibri" w:hAnsi="Calibri" w:cs="Calibri"/>
          <w:b/>
          <w:bCs/>
        </w:rPr>
        <w:t>Resources:</w:t>
      </w:r>
    </w:p>
    <w:p w14:paraId="60E1DFA3" w14:textId="55214597" w:rsidR="00371C7F" w:rsidRDefault="00554858" w:rsidP="003E287F">
      <w:pPr>
        <w:numPr>
          <w:ilvl w:val="0"/>
          <w:numId w:val="33"/>
        </w:numPr>
        <w:spacing w:before="100" w:beforeAutospacing="1" w:after="100" w:afterAutospacing="1"/>
        <w:rPr>
          <w:rFonts w:ascii="Calibri" w:hAnsi="Calibri" w:cs="Calibri"/>
        </w:rPr>
      </w:pPr>
      <w:hyperlink r:id="rId17" w:history="1">
        <w:r w:rsidR="00371C7F" w:rsidRPr="00554858">
          <w:rPr>
            <w:rStyle w:val="Hyperlink"/>
            <w:rFonts w:ascii="Calibri" w:hAnsi="Calibri" w:cs="Calibri"/>
          </w:rPr>
          <w:t>Division for Early Childhood (DEC)</w:t>
        </w:r>
      </w:hyperlink>
    </w:p>
    <w:p w14:paraId="3F710CC9" w14:textId="5961C178" w:rsidR="003E287F" w:rsidRPr="00371C7F" w:rsidRDefault="00554858" w:rsidP="00371C7F">
      <w:pPr>
        <w:numPr>
          <w:ilvl w:val="0"/>
          <w:numId w:val="33"/>
        </w:numPr>
        <w:spacing w:before="100" w:beforeAutospacing="1" w:after="100" w:afterAutospacing="1"/>
        <w:rPr>
          <w:rFonts w:ascii="Calibri" w:hAnsi="Calibri" w:cs="Calibri"/>
        </w:rPr>
      </w:pPr>
      <w:hyperlink r:id="rId18" w:history="1">
        <w:r w:rsidR="003E287F" w:rsidRPr="00554858">
          <w:rPr>
            <w:rStyle w:val="Hyperlink"/>
            <w:rFonts w:ascii="Calibri" w:hAnsi="Calibri" w:cs="Calibri"/>
          </w:rPr>
          <w:t>Early Childhood Technical Assistance Center (ECTA)</w:t>
        </w:r>
      </w:hyperlink>
      <w:r w:rsidRPr="00371C7F">
        <w:rPr>
          <w:rFonts w:ascii="Calibri" w:hAnsi="Calibri" w:cs="Calibri"/>
        </w:rPr>
        <w:t xml:space="preserve"> </w:t>
      </w:r>
    </w:p>
    <w:p w14:paraId="4BA8FBBA" w14:textId="55EF0B15" w:rsidR="00385C31" w:rsidRDefault="00385C31" w:rsidP="00385C31">
      <w:pPr>
        <w:numPr>
          <w:ilvl w:val="0"/>
          <w:numId w:val="33"/>
        </w:numPr>
        <w:rPr>
          <w:rFonts w:ascii="Calibri" w:hAnsi="Calibri" w:cs="Calibri"/>
        </w:rPr>
      </w:pPr>
      <w:hyperlink r:id="rId19" w:history="1">
        <w:r w:rsidR="00554858">
          <w:rPr>
            <w:rStyle w:val="Hyperlink"/>
            <w:rFonts w:ascii="Calibri" w:hAnsi="Calibri" w:cs="Calibri"/>
            <w:color w:val="113285" w:themeColor="accent4" w:themeShade="80"/>
          </w:rPr>
          <w:t>Individuals with Disabilities Education Act (IDEA)</w:t>
        </w:r>
      </w:hyperlink>
    </w:p>
    <w:p w14:paraId="09670790" w14:textId="0CF529A0" w:rsidR="003829E8" w:rsidRPr="00393775" w:rsidRDefault="00554858" w:rsidP="00385C31">
      <w:pPr>
        <w:numPr>
          <w:ilvl w:val="0"/>
          <w:numId w:val="33"/>
        </w:numPr>
        <w:rPr>
          <w:rFonts w:ascii="Calibri" w:hAnsi="Calibri" w:cs="Calibri"/>
        </w:rPr>
      </w:pPr>
      <w:hyperlink r:id="rId20" w:history="1">
        <w:r w:rsidR="003829E8" w:rsidRPr="00554858">
          <w:rPr>
            <w:rStyle w:val="Hyperlink"/>
            <w:rFonts w:ascii="Calibri" w:hAnsi="Calibri" w:cs="Calibri"/>
          </w:rPr>
          <w:t>Massachusetts Early Intervention Operational Standards (2022)</w:t>
        </w:r>
      </w:hyperlink>
    </w:p>
    <w:p w14:paraId="3F4C937F" w14:textId="32233227" w:rsidR="00917AEB" w:rsidRPr="00393775" w:rsidRDefault="00917AEB" w:rsidP="00CD69AC">
      <w:pPr>
        <w:rPr>
          <w:rFonts w:ascii="Calibri" w:hAnsi="Calibri" w:cs="Calibri"/>
          <w:b/>
          <w:bCs/>
        </w:rPr>
      </w:pPr>
    </w:p>
    <w:p w14:paraId="77FDAE7B" w14:textId="77777777" w:rsidR="00864F98" w:rsidRPr="00393775" w:rsidRDefault="00864F98">
      <w:pPr>
        <w:rPr>
          <w:rFonts w:ascii="Calibri" w:hAnsi="Calibri" w:cs="Calibri"/>
          <w:b/>
          <w:bCs/>
        </w:rPr>
      </w:pPr>
    </w:p>
    <w:p w14:paraId="6906959F" w14:textId="77777777" w:rsidR="00393775" w:rsidRPr="00393775" w:rsidRDefault="00393775">
      <w:pPr>
        <w:rPr>
          <w:rFonts w:ascii="Calibri" w:hAnsi="Calibri" w:cs="Calibri"/>
          <w:b/>
          <w:bCs/>
        </w:rPr>
      </w:pPr>
    </w:p>
    <w:sectPr w:rsidR="00393775" w:rsidRPr="00393775"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6169" w14:textId="77777777" w:rsidR="00960454" w:rsidRDefault="00960454" w:rsidP="00C70A4B">
      <w:r>
        <w:separator/>
      </w:r>
    </w:p>
  </w:endnote>
  <w:endnote w:type="continuationSeparator" w:id="0">
    <w:p w14:paraId="0659312F" w14:textId="77777777" w:rsidR="00960454" w:rsidRDefault="00960454" w:rsidP="00C70A4B">
      <w:r>
        <w:continuationSeparator/>
      </w:r>
    </w:p>
  </w:endnote>
  <w:endnote w:type="continuationNotice" w:id="1">
    <w:p w14:paraId="4240C2B5" w14:textId="77777777" w:rsidR="00960454" w:rsidRDefault="0096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783315"/>
      <w:docPartObj>
        <w:docPartGallery w:val="Page Numbers (Bottom of Page)"/>
        <w:docPartUnique/>
      </w:docPartObj>
    </w:sdtPr>
    <w:sdtContent>
      <w:p w14:paraId="137979B7" w14:textId="2FE54C37" w:rsidR="002F2750" w:rsidRDefault="002F2750" w:rsidP="0037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2537B" w14:textId="77777777" w:rsidR="002F2750" w:rsidRDefault="002F2750" w:rsidP="002F2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111055"/>
      <w:docPartObj>
        <w:docPartGallery w:val="Page Numbers (Bottom of Page)"/>
        <w:docPartUnique/>
      </w:docPartObj>
    </w:sdtPr>
    <w:sdtContent>
      <w:p w14:paraId="5C162755" w14:textId="0137B6DF" w:rsidR="002F2750" w:rsidRDefault="002F2750" w:rsidP="0037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2D66D8" w14:textId="4820A6EC" w:rsidR="00C70A4B" w:rsidRDefault="00C70A4B" w:rsidP="002F2750">
    <w:pPr>
      <w:pStyle w:val="Footer"/>
      <w:ind w:right="360"/>
    </w:pPr>
    <w:r>
      <w:t>Massachusetts Department of Public Health, Early Intervention</w:t>
    </w:r>
    <w:r w:rsidR="00921DD5">
      <w:t xml:space="preserve"> Division </w:t>
    </w:r>
    <w:r>
      <w:ptab w:relativeTo="margin" w:alignment="right" w:leader="none"/>
    </w:r>
    <w:r w:rsidR="00EA00CB">
      <w:t>August</w:t>
    </w:r>
    <w:r w:rsidR="00F46E8C">
      <w:t xml:space="preserve"> 2025</w:t>
    </w:r>
  </w:p>
  <w:p w14:paraId="3AFB01F1" w14:textId="77777777" w:rsidR="00422DB3" w:rsidRDefault="00422DB3"/>
  <w:p w14:paraId="79D19340" w14:textId="77777777" w:rsidR="00EA00CB" w:rsidRDefault="00EA0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9A9E" w14:textId="77777777" w:rsidR="00960454" w:rsidRDefault="00960454" w:rsidP="00C70A4B">
      <w:r>
        <w:separator/>
      </w:r>
    </w:p>
  </w:footnote>
  <w:footnote w:type="continuationSeparator" w:id="0">
    <w:p w14:paraId="69FD2C1F" w14:textId="77777777" w:rsidR="00960454" w:rsidRDefault="00960454" w:rsidP="00C70A4B">
      <w:r>
        <w:continuationSeparator/>
      </w:r>
    </w:p>
  </w:footnote>
  <w:footnote w:type="continuationNotice" w:id="1">
    <w:p w14:paraId="04A51FC5" w14:textId="77777777" w:rsidR="00960454" w:rsidRDefault="009604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2E83"/>
    <w:multiLevelType w:val="multilevel"/>
    <w:tmpl w:val="3BE8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188C"/>
    <w:multiLevelType w:val="hybridMultilevel"/>
    <w:tmpl w:val="F252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143F2"/>
    <w:multiLevelType w:val="multilevel"/>
    <w:tmpl w:val="DD1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43C36"/>
    <w:multiLevelType w:val="multilevel"/>
    <w:tmpl w:val="6D86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C4446"/>
    <w:multiLevelType w:val="hybridMultilevel"/>
    <w:tmpl w:val="E7843C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433B1"/>
    <w:multiLevelType w:val="multilevel"/>
    <w:tmpl w:val="A7C2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470AC"/>
    <w:multiLevelType w:val="multilevel"/>
    <w:tmpl w:val="69EE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2"/>
  </w:num>
  <w:num w:numId="2" w16cid:durableId="290863195">
    <w:abstractNumId w:val="24"/>
  </w:num>
  <w:num w:numId="3" w16cid:durableId="61951486">
    <w:abstractNumId w:val="8"/>
  </w:num>
  <w:num w:numId="4" w16cid:durableId="1050032670">
    <w:abstractNumId w:val="35"/>
  </w:num>
  <w:num w:numId="5" w16cid:durableId="1332178937">
    <w:abstractNumId w:val="26"/>
  </w:num>
  <w:num w:numId="6" w16cid:durableId="278876738">
    <w:abstractNumId w:val="13"/>
  </w:num>
  <w:num w:numId="7" w16cid:durableId="1342125508">
    <w:abstractNumId w:val="7"/>
  </w:num>
  <w:num w:numId="8" w16cid:durableId="926500557">
    <w:abstractNumId w:val="17"/>
  </w:num>
  <w:num w:numId="9" w16cid:durableId="383453369">
    <w:abstractNumId w:val="4"/>
  </w:num>
  <w:num w:numId="10" w16cid:durableId="248580611">
    <w:abstractNumId w:val="30"/>
  </w:num>
  <w:num w:numId="11" w16cid:durableId="1424179401">
    <w:abstractNumId w:val="11"/>
  </w:num>
  <w:num w:numId="12" w16cid:durableId="363019307">
    <w:abstractNumId w:val="31"/>
  </w:num>
  <w:num w:numId="13" w16cid:durableId="1548026944">
    <w:abstractNumId w:val="14"/>
  </w:num>
  <w:num w:numId="14" w16cid:durableId="902371558">
    <w:abstractNumId w:val="6"/>
  </w:num>
  <w:num w:numId="15" w16cid:durableId="1312640334">
    <w:abstractNumId w:val="32"/>
  </w:num>
  <w:num w:numId="16" w16cid:durableId="1399013771">
    <w:abstractNumId w:val="16"/>
  </w:num>
  <w:num w:numId="17" w16cid:durableId="1681083351">
    <w:abstractNumId w:val="23"/>
  </w:num>
  <w:num w:numId="18" w16cid:durableId="335348943">
    <w:abstractNumId w:val="10"/>
  </w:num>
  <w:num w:numId="19" w16cid:durableId="2043167923">
    <w:abstractNumId w:val="27"/>
  </w:num>
  <w:num w:numId="20" w16cid:durableId="1297950124">
    <w:abstractNumId w:val="33"/>
  </w:num>
  <w:num w:numId="21" w16cid:durableId="965624731">
    <w:abstractNumId w:val="22"/>
  </w:num>
  <w:num w:numId="22" w16cid:durableId="1885870334">
    <w:abstractNumId w:val="0"/>
  </w:num>
  <w:num w:numId="23" w16cid:durableId="1621184640">
    <w:abstractNumId w:val="37"/>
  </w:num>
  <w:num w:numId="24" w16cid:durableId="1284771289">
    <w:abstractNumId w:val="3"/>
  </w:num>
  <w:num w:numId="25" w16cid:durableId="1566338768">
    <w:abstractNumId w:val="29"/>
  </w:num>
  <w:num w:numId="26" w16cid:durableId="1190146304">
    <w:abstractNumId w:val="34"/>
  </w:num>
  <w:num w:numId="27" w16cid:durableId="201213855">
    <w:abstractNumId w:val="25"/>
  </w:num>
  <w:num w:numId="28" w16cid:durableId="957685211">
    <w:abstractNumId w:val="2"/>
  </w:num>
  <w:num w:numId="29" w16cid:durableId="1677657452">
    <w:abstractNumId w:val="9"/>
  </w:num>
  <w:num w:numId="30" w16cid:durableId="1207835685">
    <w:abstractNumId w:val="28"/>
  </w:num>
  <w:num w:numId="31" w16cid:durableId="1387144921">
    <w:abstractNumId w:val="18"/>
  </w:num>
  <w:num w:numId="32" w16cid:durableId="1888450499">
    <w:abstractNumId w:val="19"/>
  </w:num>
  <w:num w:numId="33" w16cid:durableId="678581148">
    <w:abstractNumId w:val="21"/>
  </w:num>
  <w:num w:numId="34" w16cid:durableId="899252072">
    <w:abstractNumId w:val="36"/>
  </w:num>
  <w:num w:numId="35" w16cid:durableId="683094761">
    <w:abstractNumId w:val="15"/>
  </w:num>
  <w:num w:numId="36" w16cid:durableId="828257009">
    <w:abstractNumId w:val="5"/>
  </w:num>
  <w:num w:numId="37" w16cid:durableId="3020909">
    <w:abstractNumId w:val="1"/>
  </w:num>
  <w:num w:numId="38" w16cid:durableId="1879274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5B83"/>
    <w:rsid w:val="00017BB5"/>
    <w:rsid w:val="0002016B"/>
    <w:rsid w:val="00020935"/>
    <w:rsid w:val="000216F9"/>
    <w:rsid w:val="00024509"/>
    <w:rsid w:val="00037F30"/>
    <w:rsid w:val="000448CB"/>
    <w:rsid w:val="00045DBA"/>
    <w:rsid w:val="000520E3"/>
    <w:rsid w:val="0005642F"/>
    <w:rsid w:val="000604B8"/>
    <w:rsid w:val="00064C6A"/>
    <w:rsid w:val="00071D93"/>
    <w:rsid w:val="0007295A"/>
    <w:rsid w:val="000730D0"/>
    <w:rsid w:val="0008139F"/>
    <w:rsid w:val="0009093E"/>
    <w:rsid w:val="00091DE6"/>
    <w:rsid w:val="000B0C27"/>
    <w:rsid w:val="000B15A6"/>
    <w:rsid w:val="000C3F43"/>
    <w:rsid w:val="000D18D2"/>
    <w:rsid w:val="000D3907"/>
    <w:rsid w:val="000E05EB"/>
    <w:rsid w:val="000E1A12"/>
    <w:rsid w:val="000E2FAB"/>
    <w:rsid w:val="000E3651"/>
    <w:rsid w:val="000E3B24"/>
    <w:rsid w:val="000F00FC"/>
    <w:rsid w:val="000F3667"/>
    <w:rsid w:val="000F695F"/>
    <w:rsid w:val="00100E2B"/>
    <w:rsid w:val="001052B5"/>
    <w:rsid w:val="001149B1"/>
    <w:rsid w:val="00120025"/>
    <w:rsid w:val="001256A4"/>
    <w:rsid w:val="001326A9"/>
    <w:rsid w:val="0013289E"/>
    <w:rsid w:val="00132A54"/>
    <w:rsid w:val="00132BF8"/>
    <w:rsid w:val="001367C0"/>
    <w:rsid w:val="00137238"/>
    <w:rsid w:val="00141EBF"/>
    <w:rsid w:val="00143049"/>
    <w:rsid w:val="0014527B"/>
    <w:rsid w:val="00146C3C"/>
    <w:rsid w:val="00150034"/>
    <w:rsid w:val="0016395F"/>
    <w:rsid w:val="00164876"/>
    <w:rsid w:val="00180B95"/>
    <w:rsid w:val="001818F2"/>
    <w:rsid w:val="00184B44"/>
    <w:rsid w:val="00184D82"/>
    <w:rsid w:val="00195181"/>
    <w:rsid w:val="00197C06"/>
    <w:rsid w:val="001A0068"/>
    <w:rsid w:val="001A60E9"/>
    <w:rsid w:val="001A6142"/>
    <w:rsid w:val="001A6CC7"/>
    <w:rsid w:val="001A7A11"/>
    <w:rsid w:val="001B35CF"/>
    <w:rsid w:val="001B3D5E"/>
    <w:rsid w:val="001B674F"/>
    <w:rsid w:val="001C1EE8"/>
    <w:rsid w:val="001C297A"/>
    <w:rsid w:val="001C7851"/>
    <w:rsid w:val="001C7C78"/>
    <w:rsid w:val="001D1179"/>
    <w:rsid w:val="001F41AB"/>
    <w:rsid w:val="001F57A1"/>
    <w:rsid w:val="001F5F12"/>
    <w:rsid w:val="00202626"/>
    <w:rsid w:val="00214516"/>
    <w:rsid w:val="00224CE8"/>
    <w:rsid w:val="002261AD"/>
    <w:rsid w:val="0023345D"/>
    <w:rsid w:val="00243F73"/>
    <w:rsid w:val="002467FA"/>
    <w:rsid w:val="00247241"/>
    <w:rsid w:val="00260DCB"/>
    <w:rsid w:val="00265FF7"/>
    <w:rsid w:val="00267073"/>
    <w:rsid w:val="0027563C"/>
    <w:rsid w:val="002775DF"/>
    <w:rsid w:val="00277965"/>
    <w:rsid w:val="002844D0"/>
    <w:rsid w:val="002845EF"/>
    <w:rsid w:val="00287894"/>
    <w:rsid w:val="0029122D"/>
    <w:rsid w:val="002A2FF7"/>
    <w:rsid w:val="002B1188"/>
    <w:rsid w:val="002B3651"/>
    <w:rsid w:val="002B3BB2"/>
    <w:rsid w:val="002B7A79"/>
    <w:rsid w:val="002C2C4B"/>
    <w:rsid w:val="002D0702"/>
    <w:rsid w:val="002D1595"/>
    <w:rsid w:val="002D4588"/>
    <w:rsid w:val="002D5A5C"/>
    <w:rsid w:val="002D67A0"/>
    <w:rsid w:val="002E487C"/>
    <w:rsid w:val="002F2750"/>
    <w:rsid w:val="002F53F2"/>
    <w:rsid w:val="002F6B1F"/>
    <w:rsid w:val="00302E42"/>
    <w:rsid w:val="00306334"/>
    <w:rsid w:val="00310082"/>
    <w:rsid w:val="003118CE"/>
    <w:rsid w:val="003160F7"/>
    <w:rsid w:val="0031769F"/>
    <w:rsid w:val="00333C27"/>
    <w:rsid w:val="00336682"/>
    <w:rsid w:val="00337792"/>
    <w:rsid w:val="00346214"/>
    <w:rsid w:val="00347D8B"/>
    <w:rsid w:val="00354528"/>
    <w:rsid w:val="003559A1"/>
    <w:rsid w:val="003615DD"/>
    <w:rsid w:val="00363AC3"/>
    <w:rsid w:val="0036634D"/>
    <w:rsid w:val="00366D6D"/>
    <w:rsid w:val="0037046D"/>
    <w:rsid w:val="0037169E"/>
    <w:rsid w:val="00371C7F"/>
    <w:rsid w:val="00375292"/>
    <w:rsid w:val="003829E8"/>
    <w:rsid w:val="00382AC4"/>
    <w:rsid w:val="00384082"/>
    <w:rsid w:val="003846FE"/>
    <w:rsid w:val="00385C31"/>
    <w:rsid w:val="00393775"/>
    <w:rsid w:val="003A00D3"/>
    <w:rsid w:val="003A0D2E"/>
    <w:rsid w:val="003A390C"/>
    <w:rsid w:val="003A520C"/>
    <w:rsid w:val="003A7946"/>
    <w:rsid w:val="003B1384"/>
    <w:rsid w:val="003B57E6"/>
    <w:rsid w:val="003B6B8E"/>
    <w:rsid w:val="003C107D"/>
    <w:rsid w:val="003C3684"/>
    <w:rsid w:val="003C4411"/>
    <w:rsid w:val="003C76A3"/>
    <w:rsid w:val="003D3B02"/>
    <w:rsid w:val="003E287F"/>
    <w:rsid w:val="003E5637"/>
    <w:rsid w:val="003E564B"/>
    <w:rsid w:val="003E74BE"/>
    <w:rsid w:val="003F6C5D"/>
    <w:rsid w:val="004002DC"/>
    <w:rsid w:val="004176AB"/>
    <w:rsid w:val="00422B18"/>
    <w:rsid w:val="00422CD5"/>
    <w:rsid w:val="00422DB3"/>
    <w:rsid w:val="0042526F"/>
    <w:rsid w:val="00437B36"/>
    <w:rsid w:val="00451CF7"/>
    <w:rsid w:val="004650A6"/>
    <w:rsid w:val="00466D37"/>
    <w:rsid w:val="004705AC"/>
    <w:rsid w:val="004715D2"/>
    <w:rsid w:val="00472312"/>
    <w:rsid w:val="00472812"/>
    <w:rsid w:val="00472EA1"/>
    <w:rsid w:val="00473567"/>
    <w:rsid w:val="00474364"/>
    <w:rsid w:val="00475DA6"/>
    <w:rsid w:val="0047735C"/>
    <w:rsid w:val="00480690"/>
    <w:rsid w:val="00483DD4"/>
    <w:rsid w:val="00484883"/>
    <w:rsid w:val="00486C0F"/>
    <w:rsid w:val="00487C89"/>
    <w:rsid w:val="004931FB"/>
    <w:rsid w:val="00497E00"/>
    <w:rsid w:val="004A1163"/>
    <w:rsid w:val="004A4BC0"/>
    <w:rsid w:val="004B0307"/>
    <w:rsid w:val="004C2F3F"/>
    <w:rsid w:val="004C5A3D"/>
    <w:rsid w:val="004D05E8"/>
    <w:rsid w:val="004D3326"/>
    <w:rsid w:val="004D63AB"/>
    <w:rsid w:val="004E1255"/>
    <w:rsid w:val="004E12CE"/>
    <w:rsid w:val="004E2F87"/>
    <w:rsid w:val="004F421C"/>
    <w:rsid w:val="004F55C6"/>
    <w:rsid w:val="00510575"/>
    <w:rsid w:val="00510FEE"/>
    <w:rsid w:val="00523C38"/>
    <w:rsid w:val="00524B8F"/>
    <w:rsid w:val="00525C2E"/>
    <w:rsid w:val="005301DF"/>
    <w:rsid w:val="00533A26"/>
    <w:rsid w:val="00533B1E"/>
    <w:rsid w:val="005421D8"/>
    <w:rsid w:val="005477A2"/>
    <w:rsid w:val="005477C9"/>
    <w:rsid w:val="00553975"/>
    <w:rsid w:val="00554858"/>
    <w:rsid w:val="00557B07"/>
    <w:rsid w:val="00557BB2"/>
    <w:rsid w:val="00563295"/>
    <w:rsid w:val="005706C9"/>
    <w:rsid w:val="005708CA"/>
    <w:rsid w:val="00577F2A"/>
    <w:rsid w:val="005857F6"/>
    <w:rsid w:val="00585FB9"/>
    <w:rsid w:val="0059380C"/>
    <w:rsid w:val="005B35D7"/>
    <w:rsid w:val="005B3BBF"/>
    <w:rsid w:val="005B615F"/>
    <w:rsid w:val="005C2C55"/>
    <w:rsid w:val="005E15BA"/>
    <w:rsid w:val="005E2505"/>
    <w:rsid w:val="005E47A2"/>
    <w:rsid w:val="005E4A22"/>
    <w:rsid w:val="005F0605"/>
    <w:rsid w:val="005F5B60"/>
    <w:rsid w:val="00601062"/>
    <w:rsid w:val="00603DFC"/>
    <w:rsid w:val="006044F6"/>
    <w:rsid w:val="006052E7"/>
    <w:rsid w:val="00606488"/>
    <w:rsid w:val="0061234A"/>
    <w:rsid w:val="006137BB"/>
    <w:rsid w:val="00614965"/>
    <w:rsid w:val="006176CE"/>
    <w:rsid w:val="00624F84"/>
    <w:rsid w:val="00640164"/>
    <w:rsid w:val="00641CBA"/>
    <w:rsid w:val="00642594"/>
    <w:rsid w:val="00645FC5"/>
    <w:rsid w:val="006620C6"/>
    <w:rsid w:val="00665ECA"/>
    <w:rsid w:val="00675AF6"/>
    <w:rsid w:val="006863BA"/>
    <w:rsid w:val="006863BC"/>
    <w:rsid w:val="00690671"/>
    <w:rsid w:val="006930C2"/>
    <w:rsid w:val="00693340"/>
    <w:rsid w:val="0069673B"/>
    <w:rsid w:val="00697B09"/>
    <w:rsid w:val="006A0614"/>
    <w:rsid w:val="006A0B1C"/>
    <w:rsid w:val="006A25EA"/>
    <w:rsid w:val="006A72EB"/>
    <w:rsid w:val="006B5FC8"/>
    <w:rsid w:val="006B75D8"/>
    <w:rsid w:val="006C33E0"/>
    <w:rsid w:val="006C673C"/>
    <w:rsid w:val="006D3CB5"/>
    <w:rsid w:val="006D49E7"/>
    <w:rsid w:val="006E1349"/>
    <w:rsid w:val="006E5B11"/>
    <w:rsid w:val="006F337D"/>
    <w:rsid w:val="006F461C"/>
    <w:rsid w:val="00706128"/>
    <w:rsid w:val="007071A8"/>
    <w:rsid w:val="00707C14"/>
    <w:rsid w:val="0071108E"/>
    <w:rsid w:val="007125D0"/>
    <w:rsid w:val="00712FB9"/>
    <w:rsid w:val="00717272"/>
    <w:rsid w:val="00717F28"/>
    <w:rsid w:val="00724089"/>
    <w:rsid w:val="00724D7C"/>
    <w:rsid w:val="007320E8"/>
    <w:rsid w:val="00735262"/>
    <w:rsid w:val="00737247"/>
    <w:rsid w:val="007504F1"/>
    <w:rsid w:val="007553D6"/>
    <w:rsid w:val="007576CA"/>
    <w:rsid w:val="00757BDA"/>
    <w:rsid w:val="00760E4B"/>
    <w:rsid w:val="007632F9"/>
    <w:rsid w:val="007653BB"/>
    <w:rsid w:val="0076640C"/>
    <w:rsid w:val="00767539"/>
    <w:rsid w:val="00767C60"/>
    <w:rsid w:val="00770841"/>
    <w:rsid w:val="00771257"/>
    <w:rsid w:val="00773488"/>
    <w:rsid w:val="00774C26"/>
    <w:rsid w:val="00774E5D"/>
    <w:rsid w:val="00781D27"/>
    <w:rsid w:val="00784612"/>
    <w:rsid w:val="007A0B7D"/>
    <w:rsid w:val="007B0C3D"/>
    <w:rsid w:val="007B1128"/>
    <w:rsid w:val="007B7617"/>
    <w:rsid w:val="007B7F0A"/>
    <w:rsid w:val="007C028E"/>
    <w:rsid w:val="007C3465"/>
    <w:rsid w:val="007D0DD2"/>
    <w:rsid w:val="007D1701"/>
    <w:rsid w:val="007D2CDD"/>
    <w:rsid w:val="007D3100"/>
    <w:rsid w:val="007D5CBF"/>
    <w:rsid w:val="007D7A37"/>
    <w:rsid w:val="007E54FD"/>
    <w:rsid w:val="007E6FEC"/>
    <w:rsid w:val="007F3C13"/>
    <w:rsid w:val="007F4F99"/>
    <w:rsid w:val="007F5F9D"/>
    <w:rsid w:val="008032F0"/>
    <w:rsid w:val="00803D20"/>
    <w:rsid w:val="00806F58"/>
    <w:rsid w:val="00812634"/>
    <w:rsid w:val="00821526"/>
    <w:rsid w:val="0082470D"/>
    <w:rsid w:val="008330C9"/>
    <w:rsid w:val="008339BA"/>
    <w:rsid w:val="00837875"/>
    <w:rsid w:val="00841633"/>
    <w:rsid w:val="008479EE"/>
    <w:rsid w:val="008552AA"/>
    <w:rsid w:val="00857BC3"/>
    <w:rsid w:val="00864F98"/>
    <w:rsid w:val="008716F4"/>
    <w:rsid w:val="00875C76"/>
    <w:rsid w:val="00882362"/>
    <w:rsid w:val="00882A5B"/>
    <w:rsid w:val="008849FA"/>
    <w:rsid w:val="0089368A"/>
    <w:rsid w:val="0089455A"/>
    <w:rsid w:val="008A3A8D"/>
    <w:rsid w:val="008A5E79"/>
    <w:rsid w:val="008A7F17"/>
    <w:rsid w:val="008C2E41"/>
    <w:rsid w:val="008C506D"/>
    <w:rsid w:val="008C7912"/>
    <w:rsid w:val="008D033F"/>
    <w:rsid w:val="008D4898"/>
    <w:rsid w:val="008E143F"/>
    <w:rsid w:val="008E4E81"/>
    <w:rsid w:val="009015B0"/>
    <w:rsid w:val="00902AFB"/>
    <w:rsid w:val="009039FD"/>
    <w:rsid w:val="00912DB4"/>
    <w:rsid w:val="00913F71"/>
    <w:rsid w:val="00917AEB"/>
    <w:rsid w:val="00921DD5"/>
    <w:rsid w:val="00922046"/>
    <w:rsid w:val="00925911"/>
    <w:rsid w:val="0093299A"/>
    <w:rsid w:val="00936917"/>
    <w:rsid w:val="00937E0B"/>
    <w:rsid w:val="00940347"/>
    <w:rsid w:val="009433E4"/>
    <w:rsid w:val="00952F09"/>
    <w:rsid w:val="0095498E"/>
    <w:rsid w:val="00960454"/>
    <w:rsid w:val="009618E4"/>
    <w:rsid w:val="00963C00"/>
    <w:rsid w:val="00977500"/>
    <w:rsid w:val="00982299"/>
    <w:rsid w:val="009870DC"/>
    <w:rsid w:val="009905D6"/>
    <w:rsid w:val="009922A1"/>
    <w:rsid w:val="00992860"/>
    <w:rsid w:val="009A2DF5"/>
    <w:rsid w:val="009A3280"/>
    <w:rsid w:val="009A4479"/>
    <w:rsid w:val="009B1392"/>
    <w:rsid w:val="009B40CD"/>
    <w:rsid w:val="009B4425"/>
    <w:rsid w:val="009B462F"/>
    <w:rsid w:val="009B64AD"/>
    <w:rsid w:val="009B75CD"/>
    <w:rsid w:val="009C57E4"/>
    <w:rsid w:val="009C6415"/>
    <w:rsid w:val="009D0DAA"/>
    <w:rsid w:val="009D1026"/>
    <w:rsid w:val="009D33D3"/>
    <w:rsid w:val="009D3CC3"/>
    <w:rsid w:val="009D78D2"/>
    <w:rsid w:val="009E049D"/>
    <w:rsid w:val="009E1815"/>
    <w:rsid w:val="009E291A"/>
    <w:rsid w:val="009E2E6F"/>
    <w:rsid w:val="009E5206"/>
    <w:rsid w:val="009F47CC"/>
    <w:rsid w:val="009F6005"/>
    <w:rsid w:val="009F6592"/>
    <w:rsid w:val="009F66D0"/>
    <w:rsid w:val="009F6DB3"/>
    <w:rsid w:val="009F7B65"/>
    <w:rsid w:val="00A002A3"/>
    <w:rsid w:val="00A027FD"/>
    <w:rsid w:val="00A02975"/>
    <w:rsid w:val="00A02CE6"/>
    <w:rsid w:val="00A04E59"/>
    <w:rsid w:val="00A16E1B"/>
    <w:rsid w:val="00A172CE"/>
    <w:rsid w:val="00A23311"/>
    <w:rsid w:val="00A25220"/>
    <w:rsid w:val="00A273EF"/>
    <w:rsid w:val="00A32AD1"/>
    <w:rsid w:val="00A41147"/>
    <w:rsid w:val="00A42FC4"/>
    <w:rsid w:val="00A4390E"/>
    <w:rsid w:val="00A43963"/>
    <w:rsid w:val="00A43C88"/>
    <w:rsid w:val="00A50A10"/>
    <w:rsid w:val="00A51AAD"/>
    <w:rsid w:val="00A52896"/>
    <w:rsid w:val="00A57AA6"/>
    <w:rsid w:val="00A60C7D"/>
    <w:rsid w:val="00A66648"/>
    <w:rsid w:val="00A6793E"/>
    <w:rsid w:val="00A67B8E"/>
    <w:rsid w:val="00A758BF"/>
    <w:rsid w:val="00A82709"/>
    <w:rsid w:val="00A82ACA"/>
    <w:rsid w:val="00A83F40"/>
    <w:rsid w:val="00A91A31"/>
    <w:rsid w:val="00AA444B"/>
    <w:rsid w:val="00AA527D"/>
    <w:rsid w:val="00AB0F32"/>
    <w:rsid w:val="00AC057B"/>
    <w:rsid w:val="00AC0C1A"/>
    <w:rsid w:val="00AC5B78"/>
    <w:rsid w:val="00AD30E9"/>
    <w:rsid w:val="00AD323A"/>
    <w:rsid w:val="00AD7CD1"/>
    <w:rsid w:val="00AE4393"/>
    <w:rsid w:val="00AE6CEC"/>
    <w:rsid w:val="00AF5151"/>
    <w:rsid w:val="00B03B40"/>
    <w:rsid w:val="00B14C61"/>
    <w:rsid w:val="00B16288"/>
    <w:rsid w:val="00B174B3"/>
    <w:rsid w:val="00B20458"/>
    <w:rsid w:val="00B21415"/>
    <w:rsid w:val="00B220EC"/>
    <w:rsid w:val="00B2287B"/>
    <w:rsid w:val="00B22887"/>
    <w:rsid w:val="00B27342"/>
    <w:rsid w:val="00B310D7"/>
    <w:rsid w:val="00B31D5F"/>
    <w:rsid w:val="00B32ABC"/>
    <w:rsid w:val="00B331A8"/>
    <w:rsid w:val="00B54066"/>
    <w:rsid w:val="00B56A3A"/>
    <w:rsid w:val="00B60979"/>
    <w:rsid w:val="00B60E6D"/>
    <w:rsid w:val="00B650D8"/>
    <w:rsid w:val="00B67467"/>
    <w:rsid w:val="00B67B40"/>
    <w:rsid w:val="00B746A4"/>
    <w:rsid w:val="00B77C12"/>
    <w:rsid w:val="00B85CD3"/>
    <w:rsid w:val="00B87DA6"/>
    <w:rsid w:val="00B946B0"/>
    <w:rsid w:val="00B95CE3"/>
    <w:rsid w:val="00BB2E88"/>
    <w:rsid w:val="00BC28FF"/>
    <w:rsid w:val="00BC539F"/>
    <w:rsid w:val="00BD0452"/>
    <w:rsid w:val="00BD1619"/>
    <w:rsid w:val="00BD42DE"/>
    <w:rsid w:val="00BD4F97"/>
    <w:rsid w:val="00BD7EBD"/>
    <w:rsid w:val="00BE404F"/>
    <w:rsid w:val="00BE7208"/>
    <w:rsid w:val="00BE781E"/>
    <w:rsid w:val="00BF029C"/>
    <w:rsid w:val="00C00950"/>
    <w:rsid w:val="00C0313A"/>
    <w:rsid w:val="00C06B9A"/>
    <w:rsid w:val="00C20B41"/>
    <w:rsid w:val="00C213EC"/>
    <w:rsid w:val="00C25A41"/>
    <w:rsid w:val="00C33469"/>
    <w:rsid w:val="00C34B35"/>
    <w:rsid w:val="00C3599A"/>
    <w:rsid w:val="00C41E4E"/>
    <w:rsid w:val="00C4430D"/>
    <w:rsid w:val="00C44D07"/>
    <w:rsid w:val="00C47AED"/>
    <w:rsid w:val="00C552A2"/>
    <w:rsid w:val="00C66E73"/>
    <w:rsid w:val="00C70A4B"/>
    <w:rsid w:val="00C72C8D"/>
    <w:rsid w:val="00C87C9B"/>
    <w:rsid w:val="00C94EFD"/>
    <w:rsid w:val="00C9765E"/>
    <w:rsid w:val="00CB29DB"/>
    <w:rsid w:val="00CB74ED"/>
    <w:rsid w:val="00CC42A1"/>
    <w:rsid w:val="00CC665C"/>
    <w:rsid w:val="00CD69AC"/>
    <w:rsid w:val="00CD7DBE"/>
    <w:rsid w:val="00CE6351"/>
    <w:rsid w:val="00CF2EB2"/>
    <w:rsid w:val="00CF3E5C"/>
    <w:rsid w:val="00CF7CF4"/>
    <w:rsid w:val="00D014E1"/>
    <w:rsid w:val="00D0746E"/>
    <w:rsid w:val="00D0749C"/>
    <w:rsid w:val="00D07ECC"/>
    <w:rsid w:val="00D111D9"/>
    <w:rsid w:val="00D13807"/>
    <w:rsid w:val="00D1453D"/>
    <w:rsid w:val="00D21C41"/>
    <w:rsid w:val="00D2340D"/>
    <w:rsid w:val="00D27571"/>
    <w:rsid w:val="00D2763E"/>
    <w:rsid w:val="00D337C3"/>
    <w:rsid w:val="00D3617A"/>
    <w:rsid w:val="00D36F79"/>
    <w:rsid w:val="00D44846"/>
    <w:rsid w:val="00D52AD4"/>
    <w:rsid w:val="00D55BD4"/>
    <w:rsid w:val="00D622F2"/>
    <w:rsid w:val="00D63708"/>
    <w:rsid w:val="00D6433E"/>
    <w:rsid w:val="00D70BC1"/>
    <w:rsid w:val="00D73753"/>
    <w:rsid w:val="00D76415"/>
    <w:rsid w:val="00D76CF6"/>
    <w:rsid w:val="00D863A7"/>
    <w:rsid w:val="00D87BF9"/>
    <w:rsid w:val="00D91712"/>
    <w:rsid w:val="00D92D3D"/>
    <w:rsid w:val="00DA5521"/>
    <w:rsid w:val="00DA5DBD"/>
    <w:rsid w:val="00DA68E4"/>
    <w:rsid w:val="00DB127A"/>
    <w:rsid w:val="00DB2EBD"/>
    <w:rsid w:val="00DB39FB"/>
    <w:rsid w:val="00DB41A1"/>
    <w:rsid w:val="00DB5D47"/>
    <w:rsid w:val="00DC05B0"/>
    <w:rsid w:val="00DC381E"/>
    <w:rsid w:val="00DC4F8B"/>
    <w:rsid w:val="00DD515F"/>
    <w:rsid w:val="00DD74C6"/>
    <w:rsid w:val="00DE1338"/>
    <w:rsid w:val="00DE3D41"/>
    <w:rsid w:val="00DE576B"/>
    <w:rsid w:val="00DE6170"/>
    <w:rsid w:val="00DE6F33"/>
    <w:rsid w:val="00DE7361"/>
    <w:rsid w:val="00DF2ABD"/>
    <w:rsid w:val="00DF4B17"/>
    <w:rsid w:val="00DF5B0A"/>
    <w:rsid w:val="00DF6AEC"/>
    <w:rsid w:val="00DF7875"/>
    <w:rsid w:val="00E00E81"/>
    <w:rsid w:val="00E023B5"/>
    <w:rsid w:val="00E03E62"/>
    <w:rsid w:val="00E05B82"/>
    <w:rsid w:val="00E11A60"/>
    <w:rsid w:val="00E124E1"/>
    <w:rsid w:val="00E17CD0"/>
    <w:rsid w:val="00E23321"/>
    <w:rsid w:val="00E25AF1"/>
    <w:rsid w:val="00E26DFB"/>
    <w:rsid w:val="00E30454"/>
    <w:rsid w:val="00E32173"/>
    <w:rsid w:val="00E33169"/>
    <w:rsid w:val="00E33A93"/>
    <w:rsid w:val="00E414D9"/>
    <w:rsid w:val="00E422A5"/>
    <w:rsid w:val="00E52E6B"/>
    <w:rsid w:val="00E60ABC"/>
    <w:rsid w:val="00E61E24"/>
    <w:rsid w:val="00E6528C"/>
    <w:rsid w:val="00E727AB"/>
    <w:rsid w:val="00E74340"/>
    <w:rsid w:val="00E963C1"/>
    <w:rsid w:val="00EA00CB"/>
    <w:rsid w:val="00EB6E3E"/>
    <w:rsid w:val="00EB7FD9"/>
    <w:rsid w:val="00EC19DF"/>
    <w:rsid w:val="00EC1B25"/>
    <w:rsid w:val="00EC2786"/>
    <w:rsid w:val="00EC6A3E"/>
    <w:rsid w:val="00EC7E5E"/>
    <w:rsid w:val="00ED00A3"/>
    <w:rsid w:val="00ED1C49"/>
    <w:rsid w:val="00ED3ACF"/>
    <w:rsid w:val="00ED6B8B"/>
    <w:rsid w:val="00ED7D21"/>
    <w:rsid w:val="00EE0E8C"/>
    <w:rsid w:val="00EE2509"/>
    <w:rsid w:val="00EE5634"/>
    <w:rsid w:val="00EF1466"/>
    <w:rsid w:val="00EF6910"/>
    <w:rsid w:val="00F01AC2"/>
    <w:rsid w:val="00F05E2C"/>
    <w:rsid w:val="00F10C90"/>
    <w:rsid w:val="00F163A8"/>
    <w:rsid w:val="00F17E1B"/>
    <w:rsid w:val="00F267AF"/>
    <w:rsid w:val="00F270E2"/>
    <w:rsid w:val="00F36014"/>
    <w:rsid w:val="00F42347"/>
    <w:rsid w:val="00F46E8C"/>
    <w:rsid w:val="00F575B0"/>
    <w:rsid w:val="00F576BF"/>
    <w:rsid w:val="00F7274D"/>
    <w:rsid w:val="00F76102"/>
    <w:rsid w:val="00F803CD"/>
    <w:rsid w:val="00F81E4E"/>
    <w:rsid w:val="00F87498"/>
    <w:rsid w:val="00F931D6"/>
    <w:rsid w:val="00F95333"/>
    <w:rsid w:val="00FA0C58"/>
    <w:rsid w:val="00FA11BE"/>
    <w:rsid w:val="00FA1598"/>
    <w:rsid w:val="00FA1911"/>
    <w:rsid w:val="00FA3B74"/>
    <w:rsid w:val="00FA5997"/>
    <w:rsid w:val="00FB1CEA"/>
    <w:rsid w:val="00FC16C8"/>
    <w:rsid w:val="00FC26D8"/>
    <w:rsid w:val="00FC27F7"/>
    <w:rsid w:val="00FC4E74"/>
    <w:rsid w:val="00FC4F7A"/>
    <w:rsid w:val="00FD1B94"/>
    <w:rsid w:val="00FD52B8"/>
    <w:rsid w:val="00FE475A"/>
    <w:rsid w:val="00FF1DAA"/>
    <w:rsid w:val="00FF4453"/>
    <w:rsid w:val="00FF4F7A"/>
    <w:rsid w:val="00FF53D1"/>
    <w:rsid w:val="2697F75F"/>
    <w:rsid w:val="351FC07F"/>
    <w:rsid w:val="6DFECA3D"/>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554858"/>
    <w:rPr>
      <w:color w:val="002060"/>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 w:type="character" w:styleId="PageNumber">
    <w:name w:val="page number"/>
    <w:basedOn w:val="DefaultParagraphFont"/>
    <w:uiPriority w:val="99"/>
    <w:semiHidden/>
    <w:unhideWhenUsed/>
    <w:rsid w:val="002F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454373625">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70521334">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794101576">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tacent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ec-sped.org/servicecoordination"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mass.gov/lists/early-intervention-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ed.gov/idea/" TargetMode="External"/><Relationship Id="rId10" Type="http://schemas.openxmlformats.org/officeDocument/2006/relationships/endnotes" Target="endnotes.xml"/><Relationship Id="rId19" Type="http://schemas.openxmlformats.org/officeDocument/2006/relationships/hyperlink" Target="https://sites.ed.gov/id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6939-6940-418E-910C-E64BCA02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4.xml><?xml version="1.0" encoding="utf-8"?>
<ds:datastoreItem xmlns:ds="http://schemas.openxmlformats.org/officeDocument/2006/customXml" ds:itemID="{B656AFBD-A69E-41E5-842E-6E5C3200EC0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Weekly newsletter</Template>
  <TotalTime>122</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5447</CharactersWithSpaces>
  <SharedDoc>false</SharedDoc>
  <HLinks>
    <vt:vector size="18" baseType="variant">
      <vt:variant>
        <vt:i4>6291567</vt:i4>
      </vt:variant>
      <vt:variant>
        <vt:i4>6</vt:i4>
      </vt:variant>
      <vt:variant>
        <vt:i4>0</vt:i4>
      </vt:variant>
      <vt:variant>
        <vt:i4>5</vt:i4>
      </vt:variant>
      <vt:variant>
        <vt:lpwstr>https://sites.ed.gov/idea/files/Guidance_on_State_General_Supervision_Responsibilities_under_Parts_B_and_C_of_IDEA-07-24-2023.pdf</vt:lpwstr>
      </vt:variant>
      <vt:variant>
        <vt:lpwstr/>
      </vt:variant>
      <vt:variant>
        <vt:i4>8060986</vt:i4>
      </vt:variant>
      <vt:variant>
        <vt:i4>3</vt:i4>
      </vt:variant>
      <vt:variant>
        <vt:i4>0</vt:i4>
      </vt:variant>
      <vt:variant>
        <vt:i4>5</vt:i4>
      </vt:variant>
      <vt:variant>
        <vt:lpwstr>https://www.mass.gov/lists/beyond-bubbles-and-blocks-newsletter</vt:lpwstr>
      </vt:variant>
      <vt:variant>
        <vt:lpwstr/>
      </vt:variant>
      <vt:variant>
        <vt:i4>6619194</vt:i4>
      </vt:variant>
      <vt:variant>
        <vt:i4>0</vt:i4>
      </vt:variant>
      <vt:variant>
        <vt:i4>0</vt:i4>
      </vt:variant>
      <vt:variant>
        <vt:i4>5</vt:i4>
      </vt:variant>
      <vt:variant>
        <vt:lpwstr>https://sites.ed.gov/idea/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9</cp:revision>
  <cp:lastPrinted>2022-05-11T10:50:00Z</cp:lastPrinted>
  <dcterms:created xsi:type="dcterms:W3CDTF">2025-07-09T02:54:00Z</dcterms:created>
  <dcterms:modified xsi:type="dcterms:W3CDTF">2025-08-05T15:46:00Z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