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DDEDE" w14:textId="7D3FA646" w:rsidR="006E66B4" w:rsidRPr="006E66B4" w:rsidRDefault="006E66B4" w:rsidP="006E66B4">
      <w:pPr>
        <w:pStyle w:val="Heading1"/>
        <w:rPr>
          <w:rFonts w:ascii="Arial" w:hAnsi="Arial" w:cs="Arial"/>
          <w:b/>
          <w:bCs/>
          <w:color w:val="auto"/>
        </w:rPr>
      </w:pPr>
      <w:proofErr w:type="spellStart"/>
      <w:r w:rsidRPr="006E66B4">
        <w:rPr>
          <w:rFonts w:ascii="Arial" w:hAnsi="Arial" w:cs="Arial"/>
          <w:b/>
          <w:bCs/>
          <w:color w:val="auto"/>
        </w:rPr>
        <w:t>Servicios</w:t>
      </w:r>
      <w:proofErr w:type="spellEnd"/>
      <w:r w:rsidRPr="006E66B4">
        <w:rPr>
          <w:rFonts w:ascii="Arial" w:hAnsi="Arial" w:cs="Arial"/>
          <w:b/>
          <w:bCs/>
          <w:color w:val="auto"/>
        </w:rPr>
        <w:t xml:space="preserve"> de </w:t>
      </w:r>
      <w:proofErr w:type="spellStart"/>
      <w:r w:rsidRPr="006E66B4">
        <w:rPr>
          <w:rFonts w:ascii="Arial" w:hAnsi="Arial" w:cs="Arial"/>
          <w:b/>
          <w:bCs/>
          <w:color w:val="auto"/>
        </w:rPr>
        <w:t>Transición</w:t>
      </w:r>
      <w:proofErr w:type="spellEnd"/>
      <w:r w:rsidRPr="006E66B4">
        <w:rPr>
          <w:rFonts w:ascii="Arial" w:hAnsi="Arial" w:cs="Arial"/>
          <w:b/>
          <w:bCs/>
          <w:color w:val="auto"/>
        </w:rPr>
        <w:t xml:space="preserve"> Pre-Empleo (Pre-ETS)</w:t>
      </w:r>
    </w:p>
    <w:p w14:paraId="54FBCD67" w14:textId="77777777" w:rsidR="006E66B4" w:rsidRPr="006E66B4" w:rsidRDefault="006E66B4" w:rsidP="006E66B4">
      <w:pPr>
        <w:spacing w:after="0"/>
        <w:rPr>
          <w:rFonts w:ascii="Arial" w:hAnsi="Arial" w:cs="Arial"/>
        </w:rPr>
      </w:pPr>
      <w:r w:rsidRPr="006E66B4">
        <w:rPr>
          <w:rFonts w:ascii="Arial" w:hAnsi="Arial" w:cs="Arial"/>
        </w:rPr>
        <w:t>Una guía para los Servicios de Transición Previa al Empleo (Pre-ETS) de la Comisión para Ciegos de Massachusetts (MCB).</w:t>
      </w:r>
    </w:p>
    <w:p w14:paraId="5D4F7C19" w14:textId="77777777" w:rsidR="006E66B4" w:rsidRDefault="006E66B4" w:rsidP="006E66B4">
      <w:pPr>
        <w:spacing w:after="0"/>
        <w:rPr>
          <w:rFonts w:ascii="Arial" w:hAnsi="Arial" w:cs="Arial"/>
          <w:b/>
          <w:bCs/>
        </w:rPr>
      </w:pPr>
    </w:p>
    <w:p w14:paraId="0FFF2565" w14:textId="5DF6BA21" w:rsidR="006E66B4" w:rsidRDefault="006E66B4" w:rsidP="006E66B4">
      <w:pPr>
        <w:pStyle w:val="Heading2"/>
        <w:rPr>
          <w:rFonts w:ascii="Arial" w:hAnsi="Arial" w:cs="Arial"/>
          <w:b/>
          <w:bCs/>
          <w:color w:val="auto"/>
        </w:rPr>
      </w:pPr>
      <w:r w:rsidRPr="006E66B4">
        <w:rPr>
          <w:rFonts w:ascii="Arial" w:hAnsi="Arial" w:cs="Arial"/>
          <w:b/>
          <w:bCs/>
          <w:color w:val="auto"/>
        </w:rPr>
        <w:t>Introducción</w:t>
      </w:r>
    </w:p>
    <w:p w14:paraId="4A4A4106" w14:textId="77777777" w:rsidR="006E66B4" w:rsidRDefault="006E66B4" w:rsidP="006E66B4">
      <w:pPr>
        <w:spacing w:after="0"/>
        <w:rPr>
          <w:rFonts w:ascii="Arial" w:hAnsi="Arial" w:cs="Arial"/>
        </w:rPr>
      </w:pPr>
      <w:r w:rsidRPr="006E66B4">
        <w:rPr>
          <w:rFonts w:ascii="Arial" w:hAnsi="Arial" w:cs="Arial"/>
        </w:rPr>
        <w:t xml:space="preserve">La </w:t>
      </w:r>
      <w:hyperlink r:id="rId5" w:history="1">
        <w:r w:rsidRPr="006E66B4">
          <w:rPr>
            <w:rStyle w:val="Hyperlink"/>
            <w:rFonts w:ascii="Arial" w:hAnsi="Arial" w:cs="Arial"/>
            <w:b/>
            <w:bCs/>
          </w:rPr>
          <w:t>Ley de Innovación y Oportunidad de la Fuerza Laboral (W.I.O.A.)</w:t>
        </w:r>
      </w:hyperlink>
      <w:r w:rsidRPr="006E66B4">
        <w:rPr>
          <w:rFonts w:ascii="Arial" w:hAnsi="Arial" w:cs="Arial"/>
        </w:rPr>
        <w:t xml:space="preserve"> requiere que las agencias de rehabilitación vocacional reserven al menos el 15% de sus fondos federales para proporcionar Servicios de Transición Pre-Empleo (Pre-ETS) a "estudiantes con discapacidades que son elegibles o potencialmente elegibles para servicios de rehabilitación vocacional". W.I.O.A. define cinco categorías de servicios que los estudiantes elegibles deben recibir para fomentar una mejor preparación para la educación postsecundaria, la vida independiente y el empleo. Las cinco categorías de </w:t>
      </w:r>
      <w:proofErr w:type="gramStart"/>
      <w:r w:rsidRPr="006E66B4">
        <w:rPr>
          <w:rFonts w:ascii="Arial" w:hAnsi="Arial" w:cs="Arial"/>
        </w:rPr>
        <w:t>Pre-ETS</w:t>
      </w:r>
      <w:proofErr w:type="gramEnd"/>
      <w:r w:rsidRPr="006E66B4">
        <w:rPr>
          <w:rFonts w:ascii="Arial" w:hAnsi="Arial" w:cs="Arial"/>
        </w:rPr>
        <w:t xml:space="preserve"> son:</w:t>
      </w:r>
    </w:p>
    <w:p w14:paraId="5384733B" w14:textId="77777777" w:rsidR="006E66B4" w:rsidRPr="006E66B4" w:rsidRDefault="006E66B4" w:rsidP="006E66B4">
      <w:pPr>
        <w:spacing w:after="0"/>
        <w:rPr>
          <w:rFonts w:ascii="Arial" w:hAnsi="Arial" w:cs="Arial"/>
        </w:rPr>
      </w:pPr>
    </w:p>
    <w:p w14:paraId="1DAD58E6" w14:textId="77777777" w:rsidR="006E66B4" w:rsidRPr="006E66B4" w:rsidRDefault="006E66B4" w:rsidP="006E66B4">
      <w:pPr>
        <w:numPr>
          <w:ilvl w:val="0"/>
          <w:numId w:val="1"/>
        </w:numPr>
        <w:spacing w:after="0"/>
        <w:rPr>
          <w:rFonts w:ascii="Arial" w:hAnsi="Arial" w:cs="Arial"/>
        </w:rPr>
      </w:pPr>
      <w:r w:rsidRPr="006E66B4">
        <w:rPr>
          <w:rFonts w:ascii="Arial" w:hAnsi="Arial" w:cs="Arial"/>
        </w:rPr>
        <w:t>Consejería de Exploración de Empleo</w:t>
      </w:r>
    </w:p>
    <w:p w14:paraId="1E38419B" w14:textId="77777777" w:rsidR="006E66B4" w:rsidRPr="006E66B4" w:rsidRDefault="006E66B4" w:rsidP="006E66B4">
      <w:pPr>
        <w:numPr>
          <w:ilvl w:val="0"/>
          <w:numId w:val="1"/>
        </w:numPr>
        <w:spacing w:after="0"/>
        <w:rPr>
          <w:rFonts w:ascii="Arial" w:hAnsi="Arial" w:cs="Arial"/>
        </w:rPr>
      </w:pPr>
      <w:r w:rsidRPr="006E66B4">
        <w:rPr>
          <w:rFonts w:ascii="Arial" w:hAnsi="Arial" w:cs="Arial"/>
        </w:rPr>
        <w:t>Aprendizaje basado en el trabajo</w:t>
      </w:r>
    </w:p>
    <w:p w14:paraId="6F3986D0" w14:textId="77777777" w:rsidR="006E66B4" w:rsidRPr="006E66B4" w:rsidRDefault="006E66B4" w:rsidP="006E66B4">
      <w:pPr>
        <w:numPr>
          <w:ilvl w:val="0"/>
          <w:numId w:val="1"/>
        </w:numPr>
        <w:spacing w:after="0"/>
        <w:rPr>
          <w:rFonts w:ascii="Arial" w:hAnsi="Arial" w:cs="Arial"/>
        </w:rPr>
      </w:pPr>
      <w:r w:rsidRPr="006E66B4">
        <w:rPr>
          <w:rFonts w:ascii="Arial" w:hAnsi="Arial" w:cs="Arial"/>
        </w:rPr>
        <w:t>Consejería sobre Educación Post-Secundaria y Oportunidades de Capacitación</w:t>
      </w:r>
    </w:p>
    <w:p w14:paraId="0CF5B98D" w14:textId="77777777" w:rsidR="006E66B4" w:rsidRPr="006E66B4" w:rsidRDefault="006E66B4" w:rsidP="006E66B4">
      <w:pPr>
        <w:numPr>
          <w:ilvl w:val="0"/>
          <w:numId w:val="1"/>
        </w:numPr>
        <w:spacing w:after="0"/>
        <w:rPr>
          <w:rFonts w:ascii="Arial" w:hAnsi="Arial" w:cs="Arial"/>
        </w:rPr>
      </w:pPr>
      <w:r w:rsidRPr="006E66B4">
        <w:rPr>
          <w:rFonts w:ascii="Arial" w:hAnsi="Arial" w:cs="Arial"/>
        </w:rPr>
        <w:t>Capacitación en preparación para el lugar de trabajo</w:t>
      </w:r>
    </w:p>
    <w:p w14:paraId="49DBFD8F" w14:textId="77777777" w:rsidR="006E66B4" w:rsidRDefault="006E66B4" w:rsidP="006E66B4">
      <w:pPr>
        <w:numPr>
          <w:ilvl w:val="0"/>
          <w:numId w:val="1"/>
        </w:numPr>
        <w:spacing w:after="0"/>
        <w:rPr>
          <w:rFonts w:ascii="Arial" w:hAnsi="Arial" w:cs="Arial"/>
        </w:rPr>
      </w:pPr>
      <w:r w:rsidRPr="006E66B4">
        <w:rPr>
          <w:rFonts w:ascii="Arial" w:hAnsi="Arial" w:cs="Arial"/>
        </w:rPr>
        <w:t>Instrucción en la autodefensa</w:t>
      </w:r>
    </w:p>
    <w:p w14:paraId="51D0B65C" w14:textId="77777777" w:rsidR="006E66B4" w:rsidRPr="006E66B4" w:rsidRDefault="006E66B4" w:rsidP="00892E09">
      <w:pPr>
        <w:spacing w:after="0"/>
        <w:ind w:left="720"/>
        <w:rPr>
          <w:rFonts w:ascii="Arial" w:hAnsi="Arial" w:cs="Arial"/>
        </w:rPr>
      </w:pPr>
    </w:p>
    <w:p w14:paraId="179B3EA7" w14:textId="77777777" w:rsidR="006E66B4" w:rsidRDefault="006E66B4" w:rsidP="006E66B4">
      <w:pPr>
        <w:spacing w:after="0"/>
        <w:rPr>
          <w:rFonts w:ascii="Arial" w:hAnsi="Arial" w:cs="Arial"/>
        </w:rPr>
      </w:pPr>
      <w:r w:rsidRPr="006E66B4">
        <w:rPr>
          <w:rFonts w:ascii="Arial" w:hAnsi="Arial" w:cs="Arial"/>
        </w:rPr>
        <w:t xml:space="preserve">La Comisión para Ciegos de Massachusetts (MCB, por sus siglas en inglés) paga </w:t>
      </w:r>
      <w:proofErr w:type="gramStart"/>
      <w:r w:rsidRPr="006E66B4">
        <w:rPr>
          <w:rFonts w:ascii="Arial" w:hAnsi="Arial" w:cs="Arial"/>
        </w:rPr>
        <w:t>a</w:t>
      </w:r>
      <w:proofErr w:type="gramEnd"/>
      <w:r w:rsidRPr="006E66B4">
        <w:rPr>
          <w:rFonts w:ascii="Arial" w:hAnsi="Arial" w:cs="Arial"/>
        </w:rPr>
        <w:t xml:space="preserve"> organizaciones sin fines de lucro contratadas y socios educativos para que proporcionen Pre-ETS.</w:t>
      </w:r>
    </w:p>
    <w:p w14:paraId="09044D0B" w14:textId="77777777" w:rsidR="006E66B4" w:rsidRPr="006E66B4" w:rsidRDefault="006E66B4" w:rsidP="006E66B4">
      <w:pPr>
        <w:spacing w:after="0"/>
        <w:rPr>
          <w:rFonts w:ascii="Arial" w:hAnsi="Arial" w:cs="Arial"/>
        </w:rPr>
      </w:pPr>
    </w:p>
    <w:p w14:paraId="39BF4F21" w14:textId="77777777" w:rsidR="006E66B4" w:rsidRPr="006E66B4" w:rsidRDefault="006E66B4" w:rsidP="006E66B4">
      <w:pPr>
        <w:spacing w:after="0"/>
        <w:rPr>
          <w:rFonts w:ascii="Arial" w:hAnsi="Arial" w:cs="Arial"/>
        </w:rPr>
      </w:pPr>
      <w:r w:rsidRPr="006E66B4">
        <w:rPr>
          <w:rFonts w:ascii="Arial" w:hAnsi="Arial" w:cs="Arial"/>
        </w:rPr>
        <w:t>Los Pre-ETS están diseñados para aprovechar los servicios de transición que ya se están llevando a cabo dentro de la agencia de educación local. La entrega significativa de Pre-ETS es más efectiva cuando los educadores, las familias y los empleadores están comprometidos y trabajan juntos en nombre del estudiante. Con una colaboración exitosa, el equipo de transición puede abordar las necesidades complejas de los estudiantes y contribuir a las oportunidades para mejorar los resultados postescolares de los niños con discapacidades.</w:t>
      </w:r>
    </w:p>
    <w:p w14:paraId="4770DED9" w14:textId="77777777" w:rsidR="006E66B4" w:rsidRDefault="006E66B4" w:rsidP="006E66B4">
      <w:pPr>
        <w:spacing w:after="0"/>
        <w:rPr>
          <w:rFonts w:ascii="Arial" w:hAnsi="Arial" w:cs="Arial"/>
          <w:b/>
          <w:bCs/>
        </w:rPr>
      </w:pPr>
    </w:p>
    <w:p w14:paraId="68C9B626" w14:textId="788EABB6" w:rsidR="006E66B4" w:rsidRPr="006E66B4" w:rsidRDefault="006E66B4" w:rsidP="006E66B4">
      <w:pPr>
        <w:pStyle w:val="Heading2"/>
        <w:rPr>
          <w:rFonts w:ascii="Arial" w:hAnsi="Arial" w:cs="Arial"/>
          <w:b/>
          <w:bCs/>
          <w:color w:val="auto"/>
        </w:rPr>
      </w:pPr>
      <w:r w:rsidRPr="006E66B4">
        <w:rPr>
          <w:rFonts w:ascii="Arial" w:hAnsi="Arial" w:cs="Arial"/>
          <w:b/>
          <w:bCs/>
          <w:color w:val="auto"/>
        </w:rPr>
        <w:t>Elegibilidad</w:t>
      </w:r>
    </w:p>
    <w:p w14:paraId="2E5BA3F1" w14:textId="550C21D6" w:rsidR="006E66B4" w:rsidRPr="006E66B4" w:rsidRDefault="006E66B4" w:rsidP="00CC4A13">
      <w:pPr>
        <w:numPr>
          <w:ilvl w:val="0"/>
          <w:numId w:val="2"/>
        </w:numPr>
        <w:spacing w:after="0"/>
        <w:rPr>
          <w:rFonts w:ascii="Arial" w:hAnsi="Arial" w:cs="Arial"/>
        </w:rPr>
      </w:pPr>
      <w:r w:rsidRPr="006E66B4">
        <w:rPr>
          <w:rFonts w:ascii="Arial" w:hAnsi="Arial" w:cs="Arial"/>
        </w:rPr>
        <w:t xml:space="preserve">Estudiantes con discapacidad visual de 14 a 21 años (hasta su cumpleaños número 22) que reciben servicios a través de un Plan de Educación Individualizado (IEP) o un Plan de la Sección 504. Los estudiantes pueden ser </w:t>
      </w:r>
      <w:r w:rsidRPr="006E66B4">
        <w:rPr>
          <w:rFonts w:ascii="Arial" w:hAnsi="Arial" w:cs="Arial"/>
        </w:rPr>
        <w:lastRenderedPageBreak/>
        <w:t>elegibles para los servicios de rehabilitación vocacional de MCB o "potencialmente elegibles".</w:t>
      </w:r>
    </w:p>
    <w:p w14:paraId="47319EE2" w14:textId="77777777" w:rsidR="006E66B4" w:rsidRDefault="006E66B4" w:rsidP="006E66B4">
      <w:pPr>
        <w:numPr>
          <w:ilvl w:val="0"/>
          <w:numId w:val="2"/>
        </w:numPr>
        <w:spacing w:after="0"/>
        <w:rPr>
          <w:rFonts w:ascii="Arial" w:hAnsi="Arial" w:cs="Arial"/>
        </w:rPr>
      </w:pPr>
      <w:r w:rsidRPr="006E66B4">
        <w:rPr>
          <w:rFonts w:ascii="Arial" w:hAnsi="Arial" w:cs="Arial"/>
        </w:rPr>
        <w:t xml:space="preserve">Los estudiantes "potencialmente elegibles" están registrados en MCB pero no han solicitado los servicios de rehabilitación vocacional de MCB (y es posible que deseen hacerlo en este momento), así como los estudiantes con discapacidades visuales que no están registrados en MCB y cuya condición médica y pronóstico son indeterminados. El gobierno federal quiere que las agencias proporcionen </w:t>
      </w:r>
      <w:proofErr w:type="gramStart"/>
      <w:r w:rsidRPr="006E66B4">
        <w:rPr>
          <w:rFonts w:ascii="Arial" w:hAnsi="Arial" w:cs="Arial"/>
        </w:rPr>
        <w:t>Pre-ETS</w:t>
      </w:r>
      <w:proofErr w:type="gramEnd"/>
      <w:r w:rsidRPr="006E66B4">
        <w:rPr>
          <w:rFonts w:ascii="Arial" w:hAnsi="Arial" w:cs="Arial"/>
        </w:rPr>
        <w:t xml:space="preserve"> limitados mediante un servicio de proceso de referencia que sea "simple, atractivo y no desalentador".</w:t>
      </w:r>
    </w:p>
    <w:p w14:paraId="67C027B1" w14:textId="77777777" w:rsidR="006E66B4" w:rsidRPr="006E66B4" w:rsidRDefault="006E66B4" w:rsidP="006E66B4">
      <w:pPr>
        <w:spacing w:after="0"/>
        <w:rPr>
          <w:rFonts w:ascii="Arial" w:hAnsi="Arial" w:cs="Arial"/>
        </w:rPr>
      </w:pPr>
    </w:p>
    <w:p w14:paraId="44C1FF80" w14:textId="785F3C06" w:rsidR="006E66B4" w:rsidRPr="006E66B4" w:rsidRDefault="006E66B4" w:rsidP="006E66B4">
      <w:pPr>
        <w:pStyle w:val="Heading2"/>
        <w:rPr>
          <w:rFonts w:ascii="Arial" w:hAnsi="Arial" w:cs="Arial"/>
          <w:b/>
          <w:bCs/>
          <w:color w:val="auto"/>
        </w:rPr>
      </w:pPr>
      <w:r w:rsidRPr="006E66B4">
        <w:rPr>
          <w:rFonts w:ascii="Arial" w:hAnsi="Arial" w:cs="Arial"/>
          <w:b/>
          <w:bCs/>
          <w:color w:val="auto"/>
        </w:rPr>
        <w:t>Programas Pre-ETS</w:t>
      </w:r>
    </w:p>
    <w:p w14:paraId="5D5769B3" w14:textId="77777777" w:rsidR="006E66B4" w:rsidRDefault="006E66B4" w:rsidP="006E66B4">
      <w:pPr>
        <w:spacing w:after="0"/>
        <w:rPr>
          <w:rFonts w:ascii="Arial" w:hAnsi="Arial" w:cs="Arial"/>
        </w:rPr>
      </w:pPr>
      <w:r w:rsidRPr="006E66B4">
        <w:rPr>
          <w:rFonts w:ascii="Arial" w:hAnsi="Arial" w:cs="Arial"/>
        </w:rPr>
        <w:t xml:space="preserve">Los Pre-ETS son mucho más limitados que los servicios disponibles para los estudiantes que han solicitado y han sido considerados elegibles para la rehabilitación vocacional. Sin embargo, se pueden proporcionar una serie de programas diferentes para abordar los cinco </w:t>
      </w:r>
      <w:proofErr w:type="gramStart"/>
      <w:r w:rsidRPr="006E66B4">
        <w:rPr>
          <w:rFonts w:ascii="Arial" w:hAnsi="Arial" w:cs="Arial"/>
        </w:rPr>
        <w:t>Pre-ETS</w:t>
      </w:r>
      <w:proofErr w:type="gramEnd"/>
      <w:r w:rsidRPr="006E66B4">
        <w:rPr>
          <w:rFonts w:ascii="Arial" w:hAnsi="Arial" w:cs="Arial"/>
        </w:rPr>
        <w:t xml:space="preserve"> básicos:</w:t>
      </w:r>
    </w:p>
    <w:p w14:paraId="2C5BC778" w14:textId="77777777" w:rsidR="006E66B4" w:rsidRPr="006E66B4" w:rsidRDefault="006E66B4" w:rsidP="006E66B4">
      <w:pPr>
        <w:spacing w:after="0"/>
        <w:rPr>
          <w:rFonts w:ascii="Arial" w:hAnsi="Arial" w:cs="Arial"/>
        </w:rPr>
      </w:pPr>
    </w:p>
    <w:p w14:paraId="7D7EE44C" w14:textId="77777777" w:rsidR="006E66B4" w:rsidRPr="006E66B4" w:rsidRDefault="006E66B4" w:rsidP="006E66B4">
      <w:pPr>
        <w:numPr>
          <w:ilvl w:val="0"/>
          <w:numId w:val="3"/>
        </w:numPr>
        <w:spacing w:after="0"/>
        <w:rPr>
          <w:rFonts w:ascii="Arial" w:hAnsi="Arial" w:cs="Arial"/>
        </w:rPr>
      </w:pPr>
      <w:r w:rsidRPr="006E66B4">
        <w:rPr>
          <w:rFonts w:ascii="Arial" w:hAnsi="Arial" w:cs="Arial"/>
        </w:rPr>
        <w:t>Consejería de Exploración de Empleo</w:t>
      </w:r>
    </w:p>
    <w:p w14:paraId="08092383" w14:textId="77777777" w:rsidR="006E66B4" w:rsidRPr="006E66B4" w:rsidRDefault="006E66B4" w:rsidP="006E66B4">
      <w:pPr>
        <w:numPr>
          <w:ilvl w:val="0"/>
          <w:numId w:val="3"/>
        </w:numPr>
        <w:spacing w:after="0"/>
        <w:rPr>
          <w:rFonts w:ascii="Arial" w:hAnsi="Arial" w:cs="Arial"/>
        </w:rPr>
      </w:pPr>
      <w:r w:rsidRPr="006E66B4">
        <w:rPr>
          <w:rFonts w:ascii="Arial" w:hAnsi="Arial" w:cs="Arial"/>
        </w:rPr>
        <w:t>Aprendizaje basado en el trabajo</w:t>
      </w:r>
    </w:p>
    <w:p w14:paraId="61A3FB48" w14:textId="77777777" w:rsidR="006E66B4" w:rsidRPr="006E66B4" w:rsidRDefault="006E66B4" w:rsidP="006E66B4">
      <w:pPr>
        <w:numPr>
          <w:ilvl w:val="0"/>
          <w:numId w:val="3"/>
        </w:numPr>
        <w:spacing w:after="0"/>
        <w:rPr>
          <w:rFonts w:ascii="Arial" w:hAnsi="Arial" w:cs="Arial"/>
        </w:rPr>
      </w:pPr>
      <w:r w:rsidRPr="006E66B4">
        <w:rPr>
          <w:rFonts w:ascii="Arial" w:hAnsi="Arial" w:cs="Arial"/>
        </w:rPr>
        <w:t>Consejería sobre Educación Post-Secundaria y Oportunidades de Capacitación</w:t>
      </w:r>
    </w:p>
    <w:p w14:paraId="6AEBD6D0" w14:textId="77777777" w:rsidR="006E66B4" w:rsidRPr="006E66B4" w:rsidRDefault="006E66B4" w:rsidP="006E66B4">
      <w:pPr>
        <w:numPr>
          <w:ilvl w:val="0"/>
          <w:numId w:val="3"/>
        </w:numPr>
        <w:spacing w:after="0"/>
        <w:rPr>
          <w:rFonts w:ascii="Arial" w:hAnsi="Arial" w:cs="Arial"/>
        </w:rPr>
      </w:pPr>
      <w:r w:rsidRPr="006E66B4">
        <w:rPr>
          <w:rFonts w:ascii="Arial" w:hAnsi="Arial" w:cs="Arial"/>
        </w:rPr>
        <w:t>Capacitación en preparación para el lugar de trabajo</w:t>
      </w:r>
    </w:p>
    <w:p w14:paraId="749CEBB6" w14:textId="77777777" w:rsidR="006E66B4" w:rsidRDefault="006E66B4" w:rsidP="006E66B4">
      <w:pPr>
        <w:numPr>
          <w:ilvl w:val="0"/>
          <w:numId w:val="3"/>
        </w:numPr>
        <w:spacing w:after="0"/>
        <w:rPr>
          <w:rFonts w:ascii="Arial" w:hAnsi="Arial" w:cs="Arial"/>
        </w:rPr>
      </w:pPr>
      <w:r w:rsidRPr="006E66B4">
        <w:rPr>
          <w:rFonts w:ascii="Arial" w:hAnsi="Arial" w:cs="Arial"/>
        </w:rPr>
        <w:t>Instrucción en la autodefensa</w:t>
      </w:r>
    </w:p>
    <w:p w14:paraId="1798979F" w14:textId="77777777" w:rsidR="006E66B4" w:rsidRPr="006E66B4" w:rsidRDefault="006E66B4" w:rsidP="006E66B4">
      <w:pPr>
        <w:spacing w:after="0"/>
        <w:ind w:left="720"/>
        <w:rPr>
          <w:rFonts w:ascii="Arial" w:hAnsi="Arial" w:cs="Arial"/>
        </w:rPr>
      </w:pPr>
    </w:p>
    <w:p w14:paraId="1A9330FD" w14:textId="1BCB1149" w:rsidR="006E66B4" w:rsidRPr="006E66B4" w:rsidRDefault="006E66B4" w:rsidP="006E66B4">
      <w:pPr>
        <w:pStyle w:val="Heading3"/>
        <w:rPr>
          <w:rFonts w:ascii="Arial" w:hAnsi="Arial" w:cs="Arial"/>
          <w:b/>
          <w:bCs/>
          <w:color w:val="auto"/>
        </w:rPr>
      </w:pPr>
      <w:r w:rsidRPr="006E66B4">
        <w:rPr>
          <w:rFonts w:ascii="Arial" w:hAnsi="Arial" w:cs="Arial"/>
          <w:b/>
          <w:bCs/>
          <w:color w:val="auto"/>
        </w:rPr>
        <w:t>Consejería de Exploración de Empleo</w:t>
      </w:r>
    </w:p>
    <w:p w14:paraId="4B0EA50C" w14:textId="77777777" w:rsidR="006E66B4" w:rsidRPr="006E66B4" w:rsidRDefault="006E66B4" w:rsidP="006E66B4">
      <w:pPr>
        <w:numPr>
          <w:ilvl w:val="0"/>
          <w:numId w:val="4"/>
        </w:numPr>
        <w:spacing w:after="0"/>
        <w:rPr>
          <w:rFonts w:ascii="Arial" w:hAnsi="Arial" w:cs="Arial"/>
        </w:rPr>
      </w:pPr>
      <w:r w:rsidRPr="006E66B4">
        <w:rPr>
          <w:rFonts w:ascii="Arial" w:hAnsi="Arial" w:cs="Arial"/>
          <w:b/>
          <w:bCs/>
        </w:rPr>
        <w:t>Propósito:</w:t>
      </w:r>
      <w:r w:rsidRPr="006E66B4">
        <w:rPr>
          <w:rFonts w:ascii="Arial" w:hAnsi="Arial" w:cs="Arial"/>
        </w:rPr>
        <w:t xml:space="preserve"> La Consejería de Exploración Laboral está destinada a proporcionar a los estudiantes una variedad de oportunidades para obtener información sobre carreras, las habilidades necesarias para diferentes trabajos y para descubrir intereses profesionales personales.</w:t>
      </w:r>
    </w:p>
    <w:p w14:paraId="0BDE9CD2" w14:textId="77777777" w:rsidR="006E66B4" w:rsidRPr="006E66B4" w:rsidRDefault="006E66B4" w:rsidP="006E66B4">
      <w:pPr>
        <w:numPr>
          <w:ilvl w:val="0"/>
          <w:numId w:val="4"/>
        </w:numPr>
        <w:spacing w:after="0"/>
        <w:rPr>
          <w:rFonts w:ascii="Arial" w:hAnsi="Arial" w:cs="Arial"/>
        </w:rPr>
      </w:pPr>
      <w:r w:rsidRPr="006E66B4">
        <w:rPr>
          <w:rFonts w:ascii="Arial" w:hAnsi="Arial" w:cs="Arial"/>
          <w:b/>
          <w:bCs/>
        </w:rPr>
        <w:t>Ejemplos de actividades:</w:t>
      </w:r>
    </w:p>
    <w:p w14:paraId="7632E77F" w14:textId="77777777" w:rsidR="006E66B4" w:rsidRPr="006E66B4" w:rsidRDefault="006E66B4" w:rsidP="006E66B4">
      <w:pPr>
        <w:numPr>
          <w:ilvl w:val="1"/>
          <w:numId w:val="4"/>
        </w:numPr>
        <w:spacing w:after="0"/>
        <w:rPr>
          <w:rFonts w:ascii="Arial" w:hAnsi="Arial" w:cs="Arial"/>
        </w:rPr>
      </w:pPr>
      <w:r w:rsidRPr="006E66B4">
        <w:rPr>
          <w:rFonts w:ascii="Arial" w:hAnsi="Arial" w:cs="Arial"/>
        </w:rPr>
        <w:t>Con el estudiante, revise el inventario de interés vocacional y los resultados de la evaluación de habilidades</w:t>
      </w:r>
    </w:p>
    <w:p w14:paraId="19E7F0B8" w14:textId="77777777" w:rsidR="006E66B4" w:rsidRPr="006E66B4" w:rsidRDefault="006E66B4" w:rsidP="006E66B4">
      <w:pPr>
        <w:numPr>
          <w:ilvl w:val="1"/>
          <w:numId w:val="4"/>
        </w:numPr>
        <w:spacing w:after="0"/>
        <w:rPr>
          <w:rFonts w:ascii="Arial" w:hAnsi="Arial" w:cs="Arial"/>
        </w:rPr>
      </w:pPr>
      <w:r w:rsidRPr="006E66B4">
        <w:rPr>
          <w:rFonts w:ascii="Arial" w:hAnsi="Arial" w:cs="Arial"/>
        </w:rPr>
        <w:t>Aprenda y explore las trayectorias profesionales utilizando los sistemas de información profesional</w:t>
      </w:r>
    </w:p>
    <w:p w14:paraId="720A86CD" w14:textId="77777777" w:rsidR="006E66B4" w:rsidRPr="006E66B4" w:rsidRDefault="006E66B4" w:rsidP="006E66B4">
      <w:pPr>
        <w:numPr>
          <w:ilvl w:val="1"/>
          <w:numId w:val="4"/>
        </w:numPr>
        <w:spacing w:after="0"/>
        <w:rPr>
          <w:rFonts w:ascii="Arial" w:hAnsi="Arial" w:cs="Arial"/>
        </w:rPr>
      </w:pPr>
      <w:r w:rsidRPr="006E66B4">
        <w:rPr>
          <w:rFonts w:ascii="Arial" w:hAnsi="Arial" w:cs="Arial"/>
        </w:rPr>
        <w:t>Entrevistar a las personas para aprender sobre los trabajos y las habilidades necesarias para tener éxito</w:t>
      </w:r>
    </w:p>
    <w:p w14:paraId="18E25D03" w14:textId="77777777" w:rsidR="006E66B4" w:rsidRPr="006E66B4" w:rsidRDefault="006E66B4" w:rsidP="006E66B4">
      <w:pPr>
        <w:numPr>
          <w:ilvl w:val="1"/>
          <w:numId w:val="4"/>
        </w:numPr>
        <w:spacing w:after="0"/>
        <w:rPr>
          <w:rFonts w:ascii="Arial" w:hAnsi="Arial" w:cs="Arial"/>
        </w:rPr>
      </w:pPr>
      <w:r w:rsidRPr="006E66B4">
        <w:rPr>
          <w:rFonts w:ascii="Arial" w:hAnsi="Arial" w:cs="Arial"/>
        </w:rPr>
        <w:t>Proporcionar información sobre el empleo no tradicional, como el teletrabajo y el trabajo por cuenta propia.</w:t>
      </w:r>
    </w:p>
    <w:p w14:paraId="3F16FD5A" w14:textId="77777777" w:rsidR="006E66B4" w:rsidRPr="006E66B4" w:rsidRDefault="006E66B4" w:rsidP="006E66B4">
      <w:pPr>
        <w:numPr>
          <w:ilvl w:val="1"/>
          <w:numId w:val="4"/>
        </w:numPr>
        <w:spacing w:after="0"/>
        <w:rPr>
          <w:rFonts w:ascii="Arial" w:hAnsi="Arial" w:cs="Arial"/>
        </w:rPr>
      </w:pPr>
      <w:r w:rsidRPr="006E66B4">
        <w:rPr>
          <w:rFonts w:ascii="Arial" w:hAnsi="Arial" w:cs="Arial"/>
        </w:rPr>
        <w:t>Proporcionar información sobre los sectores industriales y las ocupaciones más demandadas</w:t>
      </w:r>
    </w:p>
    <w:p w14:paraId="634EA8EB" w14:textId="77777777" w:rsidR="006E66B4" w:rsidRDefault="006E66B4" w:rsidP="006E66B4">
      <w:pPr>
        <w:spacing w:after="0"/>
        <w:rPr>
          <w:rFonts w:ascii="Arial" w:hAnsi="Arial" w:cs="Arial"/>
          <w:b/>
          <w:bCs/>
        </w:rPr>
      </w:pPr>
    </w:p>
    <w:p w14:paraId="5699D39A" w14:textId="5862D9E9" w:rsidR="006E66B4" w:rsidRDefault="006E66B4" w:rsidP="006E66B4">
      <w:pPr>
        <w:pStyle w:val="Heading3"/>
        <w:rPr>
          <w:rFonts w:ascii="Arial" w:hAnsi="Arial" w:cs="Arial"/>
          <w:b/>
          <w:bCs/>
          <w:color w:val="auto"/>
        </w:rPr>
      </w:pPr>
      <w:r w:rsidRPr="006E66B4">
        <w:rPr>
          <w:rFonts w:ascii="Arial" w:hAnsi="Arial" w:cs="Arial"/>
          <w:b/>
          <w:bCs/>
          <w:color w:val="auto"/>
        </w:rPr>
        <w:t>Aprendizaje basado en el trabajo (WBL)</w:t>
      </w:r>
    </w:p>
    <w:p w14:paraId="6657A56B" w14:textId="77777777" w:rsidR="006E66B4" w:rsidRPr="006E66B4" w:rsidRDefault="006E66B4" w:rsidP="006E66B4">
      <w:pPr>
        <w:numPr>
          <w:ilvl w:val="0"/>
          <w:numId w:val="5"/>
        </w:numPr>
        <w:spacing w:after="0"/>
        <w:rPr>
          <w:rFonts w:ascii="Arial" w:hAnsi="Arial" w:cs="Arial"/>
        </w:rPr>
      </w:pPr>
      <w:r w:rsidRPr="006E66B4">
        <w:rPr>
          <w:rFonts w:ascii="Arial" w:hAnsi="Arial" w:cs="Arial"/>
          <w:b/>
          <w:bCs/>
        </w:rPr>
        <w:t>Propósito:</w:t>
      </w:r>
      <w:r w:rsidRPr="006E66B4">
        <w:rPr>
          <w:rFonts w:ascii="Arial" w:hAnsi="Arial" w:cs="Arial"/>
        </w:rPr>
        <w:t xml:space="preserve"> El Aprendizaje Basado en el Trabajo (WBL, por sus siglas en inglés) es un enfoque educativo o método de instrucción que utiliza los lugares de trabajo comunitarios para proporcionar a los estudiantes el conocimiento y las habilidades que les ayudarán a conectar las experiencias escolares con las actividades laborales de la vida real y las futuras oportunidades profesionales.</w:t>
      </w:r>
    </w:p>
    <w:p w14:paraId="4B71D7FB" w14:textId="77777777" w:rsidR="006E66B4" w:rsidRPr="006E66B4" w:rsidRDefault="006E66B4" w:rsidP="006E66B4">
      <w:pPr>
        <w:numPr>
          <w:ilvl w:val="0"/>
          <w:numId w:val="5"/>
        </w:numPr>
        <w:spacing w:after="0"/>
        <w:rPr>
          <w:rFonts w:ascii="Arial" w:hAnsi="Arial" w:cs="Arial"/>
        </w:rPr>
      </w:pPr>
      <w:r w:rsidRPr="006E66B4">
        <w:rPr>
          <w:rFonts w:ascii="Arial" w:hAnsi="Arial" w:cs="Arial"/>
          <w:b/>
          <w:bCs/>
        </w:rPr>
        <w:t>Ejemplos de actividades:</w:t>
      </w:r>
    </w:p>
    <w:p w14:paraId="6977976A" w14:textId="77777777" w:rsidR="006E66B4" w:rsidRPr="006E66B4" w:rsidRDefault="006E66B4" w:rsidP="006E66B4">
      <w:pPr>
        <w:numPr>
          <w:ilvl w:val="1"/>
          <w:numId w:val="5"/>
        </w:numPr>
        <w:spacing w:after="0"/>
        <w:rPr>
          <w:rFonts w:ascii="Arial" w:hAnsi="Arial" w:cs="Arial"/>
        </w:rPr>
      </w:pPr>
      <w:r w:rsidRPr="006E66B4">
        <w:rPr>
          <w:rFonts w:ascii="Arial" w:hAnsi="Arial" w:cs="Arial"/>
        </w:rPr>
        <w:t>Conecte al estudiante con un mentor de negocios</w:t>
      </w:r>
    </w:p>
    <w:p w14:paraId="2BF8B88B" w14:textId="77777777" w:rsidR="006E66B4" w:rsidRPr="006E66B4" w:rsidRDefault="006E66B4" w:rsidP="006E66B4">
      <w:pPr>
        <w:numPr>
          <w:ilvl w:val="1"/>
          <w:numId w:val="5"/>
        </w:numPr>
        <w:spacing w:after="0"/>
        <w:rPr>
          <w:rFonts w:ascii="Arial" w:hAnsi="Arial" w:cs="Arial"/>
        </w:rPr>
      </w:pPr>
      <w:r w:rsidRPr="006E66B4">
        <w:rPr>
          <w:rFonts w:ascii="Arial" w:hAnsi="Arial" w:cs="Arial"/>
        </w:rPr>
        <w:t>Desarrollar sitios de trabajo alineados con los intereses de los estudiantes</w:t>
      </w:r>
    </w:p>
    <w:p w14:paraId="7FCC69B5" w14:textId="77777777" w:rsidR="006E66B4" w:rsidRPr="006E66B4" w:rsidRDefault="006E66B4" w:rsidP="006E66B4">
      <w:pPr>
        <w:numPr>
          <w:ilvl w:val="1"/>
          <w:numId w:val="5"/>
        </w:numPr>
        <w:spacing w:after="0"/>
        <w:rPr>
          <w:rFonts w:ascii="Arial" w:hAnsi="Arial" w:cs="Arial"/>
        </w:rPr>
      </w:pPr>
      <w:r w:rsidRPr="006E66B4">
        <w:rPr>
          <w:rFonts w:ascii="Arial" w:hAnsi="Arial" w:cs="Arial"/>
        </w:rPr>
        <w:t>Proporcionar oportunidades de voluntariado local para los estudiantes</w:t>
      </w:r>
    </w:p>
    <w:p w14:paraId="60005451" w14:textId="77777777" w:rsidR="006E66B4" w:rsidRPr="006E66B4" w:rsidRDefault="006E66B4" w:rsidP="006E66B4">
      <w:pPr>
        <w:numPr>
          <w:ilvl w:val="1"/>
          <w:numId w:val="5"/>
        </w:numPr>
        <w:spacing w:after="0"/>
        <w:rPr>
          <w:rFonts w:ascii="Arial" w:hAnsi="Arial" w:cs="Arial"/>
        </w:rPr>
      </w:pPr>
      <w:r w:rsidRPr="006E66B4">
        <w:rPr>
          <w:rFonts w:ascii="Arial" w:hAnsi="Arial" w:cs="Arial"/>
        </w:rPr>
        <w:t>Llevar a cabo evaluaciones de aprendizaje basadas en el trabajo del rendimiento de los estudiantes.</w:t>
      </w:r>
    </w:p>
    <w:p w14:paraId="07AF822B" w14:textId="77777777" w:rsidR="006E66B4" w:rsidRPr="006E66B4" w:rsidRDefault="006E66B4" w:rsidP="006E66B4">
      <w:pPr>
        <w:numPr>
          <w:ilvl w:val="1"/>
          <w:numId w:val="5"/>
        </w:numPr>
        <w:spacing w:after="0"/>
        <w:rPr>
          <w:rFonts w:ascii="Arial" w:hAnsi="Arial" w:cs="Arial"/>
        </w:rPr>
      </w:pPr>
      <w:r w:rsidRPr="006E66B4">
        <w:rPr>
          <w:rFonts w:ascii="Arial" w:hAnsi="Arial" w:cs="Arial"/>
        </w:rPr>
        <w:t>Proporcionar oportunidades para pasantías, pasantías (no pasantías registradas o pre-aprendizajes), becas</w:t>
      </w:r>
    </w:p>
    <w:p w14:paraId="7C78BA62" w14:textId="77777777" w:rsidR="006E66B4" w:rsidRDefault="006E66B4" w:rsidP="006E66B4">
      <w:pPr>
        <w:spacing w:after="0"/>
        <w:rPr>
          <w:rFonts w:ascii="Arial" w:hAnsi="Arial" w:cs="Arial"/>
          <w:b/>
          <w:bCs/>
        </w:rPr>
      </w:pPr>
    </w:p>
    <w:p w14:paraId="1BB0C470" w14:textId="12485886" w:rsidR="006E66B4" w:rsidRPr="006E66B4" w:rsidRDefault="006E66B4" w:rsidP="006E66B4">
      <w:pPr>
        <w:pStyle w:val="Heading3"/>
        <w:rPr>
          <w:rFonts w:ascii="Arial" w:hAnsi="Arial" w:cs="Arial"/>
          <w:b/>
          <w:bCs/>
          <w:color w:val="auto"/>
        </w:rPr>
      </w:pPr>
      <w:r w:rsidRPr="006E66B4">
        <w:rPr>
          <w:rFonts w:ascii="Arial" w:hAnsi="Arial" w:cs="Arial"/>
          <w:b/>
          <w:bCs/>
          <w:color w:val="auto"/>
        </w:rPr>
        <w:t>Consejería sobre Educación Post-Secundaria y Oportunidades de Capacitación</w:t>
      </w:r>
    </w:p>
    <w:p w14:paraId="676CC1B2" w14:textId="77777777" w:rsidR="006E66B4" w:rsidRPr="006E66B4" w:rsidRDefault="006E66B4" w:rsidP="006E66B4">
      <w:pPr>
        <w:numPr>
          <w:ilvl w:val="0"/>
          <w:numId w:val="6"/>
        </w:numPr>
        <w:spacing w:after="0"/>
        <w:rPr>
          <w:rFonts w:ascii="Arial" w:hAnsi="Arial" w:cs="Arial"/>
        </w:rPr>
      </w:pPr>
      <w:r w:rsidRPr="006E66B4">
        <w:rPr>
          <w:rFonts w:ascii="Arial" w:hAnsi="Arial" w:cs="Arial"/>
          <w:b/>
          <w:bCs/>
        </w:rPr>
        <w:t>Propósito:</w:t>
      </w:r>
      <w:r w:rsidRPr="006E66B4">
        <w:rPr>
          <w:rFonts w:ascii="Arial" w:hAnsi="Arial" w:cs="Arial"/>
        </w:rPr>
        <w:t xml:space="preserve"> El asesoramiento sobre la educación postsecundaria y las oportunidades de capacitación mejora los resultados laborales y aumenta las oportunidades para que los estudiantes con discapacidades accedan a los empleos del siglo XXI.</w:t>
      </w:r>
    </w:p>
    <w:p w14:paraId="524FAEAB" w14:textId="77777777" w:rsidR="006E66B4" w:rsidRPr="006E66B4" w:rsidRDefault="006E66B4" w:rsidP="006E66B4">
      <w:pPr>
        <w:numPr>
          <w:ilvl w:val="0"/>
          <w:numId w:val="6"/>
        </w:numPr>
        <w:spacing w:after="0"/>
        <w:rPr>
          <w:rFonts w:ascii="Arial" w:hAnsi="Arial" w:cs="Arial"/>
        </w:rPr>
      </w:pPr>
      <w:r w:rsidRPr="006E66B4">
        <w:rPr>
          <w:rFonts w:ascii="Arial" w:hAnsi="Arial" w:cs="Arial"/>
          <w:b/>
          <w:bCs/>
        </w:rPr>
        <w:t>Ejemplos de actividades:</w:t>
      </w:r>
    </w:p>
    <w:p w14:paraId="55ECAA44" w14:textId="77777777" w:rsidR="006E66B4" w:rsidRPr="006E66B4" w:rsidRDefault="006E66B4" w:rsidP="006E66B4">
      <w:pPr>
        <w:numPr>
          <w:ilvl w:val="1"/>
          <w:numId w:val="6"/>
        </w:numPr>
        <w:spacing w:after="0"/>
        <w:rPr>
          <w:rFonts w:ascii="Arial" w:hAnsi="Arial" w:cs="Arial"/>
        </w:rPr>
      </w:pPr>
      <w:r w:rsidRPr="006E66B4">
        <w:rPr>
          <w:rFonts w:ascii="Arial" w:hAnsi="Arial" w:cs="Arial"/>
        </w:rPr>
        <w:t>Primeras experiencias universitarias en la escuela secundaria</w:t>
      </w:r>
    </w:p>
    <w:p w14:paraId="734CCBDD" w14:textId="77777777" w:rsidR="006E66B4" w:rsidRPr="006E66B4" w:rsidRDefault="006E66B4" w:rsidP="006E66B4">
      <w:pPr>
        <w:numPr>
          <w:ilvl w:val="1"/>
          <w:numId w:val="6"/>
        </w:numPr>
        <w:spacing w:after="0"/>
        <w:rPr>
          <w:rFonts w:ascii="Arial" w:hAnsi="Arial" w:cs="Arial"/>
        </w:rPr>
      </w:pPr>
      <w:r w:rsidRPr="006E66B4">
        <w:rPr>
          <w:rFonts w:ascii="Arial" w:hAnsi="Arial" w:cs="Arial"/>
        </w:rPr>
        <w:t>Más información sobre las adaptaciones para los exámenes de ingreso a la universidad</w:t>
      </w:r>
    </w:p>
    <w:p w14:paraId="6435E354" w14:textId="77777777" w:rsidR="006E66B4" w:rsidRPr="006E66B4" w:rsidRDefault="006E66B4" w:rsidP="006E66B4">
      <w:pPr>
        <w:numPr>
          <w:ilvl w:val="1"/>
          <w:numId w:val="6"/>
        </w:numPr>
        <w:spacing w:after="0"/>
        <w:rPr>
          <w:rFonts w:ascii="Arial" w:hAnsi="Arial" w:cs="Arial"/>
        </w:rPr>
      </w:pPr>
      <w:r w:rsidRPr="006E66B4">
        <w:rPr>
          <w:rFonts w:ascii="Arial" w:hAnsi="Arial" w:cs="Arial"/>
        </w:rPr>
        <w:t>Desarrollar "sombras de clase" en las aulas universitarias y de formación profesional</w:t>
      </w:r>
    </w:p>
    <w:p w14:paraId="025F0C13" w14:textId="77777777" w:rsidR="006E66B4" w:rsidRPr="006E66B4" w:rsidRDefault="006E66B4" w:rsidP="006E66B4">
      <w:pPr>
        <w:numPr>
          <w:ilvl w:val="1"/>
          <w:numId w:val="6"/>
        </w:numPr>
        <w:spacing w:after="0"/>
        <w:rPr>
          <w:rFonts w:ascii="Arial" w:hAnsi="Arial" w:cs="Arial"/>
        </w:rPr>
      </w:pPr>
      <w:r w:rsidRPr="006E66B4">
        <w:rPr>
          <w:rFonts w:ascii="Arial" w:hAnsi="Arial" w:cs="Arial"/>
        </w:rPr>
        <w:t>Asesorar a los estudiantes y a los padres o representantes sobre el currículo académico</w:t>
      </w:r>
    </w:p>
    <w:p w14:paraId="135EE05D" w14:textId="77777777" w:rsidR="006E66B4" w:rsidRPr="006E66B4" w:rsidRDefault="006E66B4" w:rsidP="006E66B4">
      <w:pPr>
        <w:numPr>
          <w:ilvl w:val="1"/>
          <w:numId w:val="6"/>
        </w:numPr>
        <w:spacing w:after="0"/>
        <w:rPr>
          <w:rFonts w:ascii="Arial" w:hAnsi="Arial" w:cs="Arial"/>
        </w:rPr>
      </w:pPr>
      <w:r w:rsidRPr="006E66B4">
        <w:rPr>
          <w:rFonts w:ascii="Arial" w:hAnsi="Arial" w:cs="Arial"/>
        </w:rPr>
        <w:t>Proporcionar información sobre los procesos de solicitud y admisión a la universidad</w:t>
      </w:r>
    </w:p>
    <w:p w14:paraId="39D210C0" w14:textId="77777777" w:rsidR="006E66B4" w:rsidRPr="006E66B4" w:rsidRDefault="006E66B4" w:rsidP="006E66B4">
      <w:pPr>
        <w:numPr>
          <w:ilvl w:val="1"/>
          <w:numId w:val="6"/>
        </w:numPr>
        <w:spacing w:after="0"/>
        <w:rPr>
          <w:rFonts w:ascii="Arial" w:hAnsi="Arial" w:cs="Arial"/>
        </w:rPr>
      </w:pPr>
      <w:r w:rsidRPr="006E66B4">
        <w:rPr>
          <w:rFonts w:ascii="Arial" w:hAnsi="Arial" w:cs="Arial"/>
        </w:rPr>
        <w:t>Complete la Solicitud Gratuita de Ayuda Federal para Estudiantes (FAFSA) con el estudiante</w:t>
      </w:r>
    </w:p>
    <w:p w14:paraId="4AD972BC" w14:textId="77777777" w:rsidR="006E66B4" w:rsidRPr="006E66B4" w:rsidRDefault="006E66B4" w:rsidP="006E66B4">
      <w:pPr>
        <w:numPr>
          <w:ilvl w:val="1"/>
          <w:numId w:val="6"/>
        </w:numPr>
        <w:spacing w:after="0"/>
        <w:rPr>
          <w:rFonts w:ascii="Arial" w:hAnsi="Arial" w:cs="Arial"/>
        </w:rPr>
      </w:pPr>
      <w:r w:rsidRPr="006E66B4">
        <w:rPr>
          <w:rFonts w:ascii="Arial" w:hAnsi="Arial" w:cs="Arial"/>
        </w:rPr>
        <w:t>Proporcionar recursos que se puedan utilizar para apoyar el éxito individual de los estudiantes en la educación y la capacitación (es decir, servicios de apoyo para discapacitados)</w:t>
      </w:r>
    </w:p>
    <w:p w14:paraId="519E9985" w14:textId="77777777" w:rsidR="006E66B4" w:rsidRDefault="006E66B4" w:rsidP="006E66B4">
      <w:pPr>
        <w:spacing w:after="0"/>
        <w:rPr>
          <w:rFonts w:ascii="Arial" w:hAnsi="Arial" w:cs="Arial"/>
          <w:b/>
          <w:bCs/>
        </w:rPr>
      </w:pPr>
    </w:p>
    <w:p w14:paraId="2C13D9D0" w14:textId="39D23DEE" w:rsidR="006E66B4" w:rsidRPr="006E66B4" w:rsidRDefault="006E66B4" w:rsidP="006E66B4">
      <w:pPr>
        <w:pStyle w:val="Heading3"/>
        <w:rPr>
          <w:rFonts w:ascii="Arial" w:hAnsi="Arial" w:cs="Arial"/>
          <w:b/>
          <w:bCs/>
          <w:color w:val="auto"/>
        </w:rPr>
      </w:pPr>
      <w:r w:rsidRPr="006E66B4">
        <w:rPr>
          <w:rFonts w:ascii="Arial" w:hAnsi="Arial" w:cs="Arial"/>
          <w:b/>
          <w:bCs/>
          <w:color w:val="auto"/>
        </w:rPr>
        <w:lastRenderedPageBreak/>
        <w:t>Capacitación en preparación para el lugar de trabajo</w:t>
      </w:r>
    </w:p>
    <w:p w14:paraId="1097CE7E" w14:textId="77777777" w:rsidR="006E66B4" w:rsidRPr="006E66B4" w:rsidRDefault="006E66B4" w:rsidP="006E66B4">
      <w:pPr>
        <w:numPr>
          <w:ilvl w:val="0"/>
          <w:numId w:val="7"/>
        </w:numPr>
        <w:spacing w:after="0"/>
        <w:rPr>
          <w:rFonts w:ascii="Arial" w:hAnsi="Arial" w:cs="Arial"/>
        </w:rPr>
      </w:pPr>
      <w:r w:rsidRPr="006E66B4">
        <w:rPr>
          <w:rFonts w:ascii="Arial" w:hAnsi="Arial" w:cs="Arial"/>
          <w:b/>
          <w:bCs/>
        </w:rPr>
        <w:t>Propósito:</w:t>
      </w:r>
      <w:r w:rsidRPr="006E66B4">
        <w:rPr>
          <w:rFonts w:ascii="Arial" w:hAnsi="Arial" w:cs="Arial"/>
        </w:rPr>
        <w:t xml:space="preserve"> Los rasgos de preparación para el lugar de trabajo describen una serie de habilidades que los empleadores esperan de la mayoría de los empleados.</w:t>
      </w:r>
    </w:p>
    <w:p w14:paraId="2AD967A7" w14:textId="77777777" w:rsidR="006E66B4" w:rsidRPr="006E66B4" w:rsidRDefault="006E66B4" w:rsidP="006E66B4">
      <w:pPr>
        <w:numPr>
          <w:ilvl w:val="0"/>
          <w:numId w:val="7"/>
        </w:numPr>
        <w:spacing w:after="0"/>
        <w:rPr>
          <w:rFonts w:ascii="Arial" w:hAnsi="Arial" w:cs="Arial"/>
        </w:rPr>
      </w:pPr>
      <w:r w:rsidRPr="006E66B4">
        <w:rPr>
          <w:rFonts w:ascii="Arial" w:hAnsi="Arial" w:cs="Arial"/>
          <w:b/>
          <w:bCs/>
        </w:rPr>
        <w:t>Ejemplos de actividades:</w:t>
      </w:r>
    </w:p>
    <w:p w14:paraId="716A4E20" w14:textId="77777777" w:rsidR="006E66B4" w:rsidRPr="006E66B4" w:rsidRDefault="006E66B4" w:rsidP="006E66B4">
      <w:pPr>
        <w:numPr>
          <w:ilvl w:val="1"/>
          <w:numId w:val="7"/>
        </w:numPr>
        <w:spacing w:after="0"/>
        <w:rPr>
          <w:rFonts w:ascii="Arial" w:hAnsi="Arial" w:cs="Arial"/>
        </w:rPr>
      </w:pPr>
      <w:r w:rsidRPr="006E66B4">
        <w:rPr>
          <w:rFonts w:ascii="Arial" w:hAnsi="Arial" w:cs="Arial"/>
        </w:rPr>
        <w:t>Identificar y aprender a usar la tecnología de asistencia en el lugar de trabajo</w:t>
      </w:r>
    </w:p>
    <w:p w14:paraId="16442760" w14:textId="77777777" w:rsidR="006E66B4" w:rsidRPr="006E66B4" w:rsidRDefault="006E66B4" w:rsidP="006E66B4">
      <w:pPr>
        <w:numPr>
          <w:ilvl w:val="1"/>
          <w:numId w:val="7"/>
        </w:numPr>
        <w:spacing w:after="0"/>
        <w:rPr>
          <w:rFonts w:ascii="Arial" w:hAnsi="Arial" w:cs="Arial"/>
        </w:rPr>
      </w:pPr>
      <w:r w:rsidRPr="006E66B4">
        <w:rPr>
          <w:rFonts w:ascii="Arial" w:hAnsi="Arial" w:cs="Arial"/>
        </w:rPr>
        <w:t>Reúnase con un consejero de beneficios</w:t>
      </w:r>
    </w:p>
    <w:p w14:paraId="4FA74A31" w14:textId="77777777" w:rsidR="006E66B4" w:rsidRPr="006E66B4" w:rsidRDefault="006E66B4" w:rsidP="006E66B4">
      <w:pPr>
        <w:numPr>
          <w:ilvl w:val="1"/>
          <w:numId w:val="7"/>
        </w:numPr>
        <w:spacing w:after="0"/>
        <w:rPr>
          <w:rFonts w:ascii="Arial" w:hAnsi="Arial" w:cs="Arial"/>
        </w:rPr>
      </w:pPr>
      <w:r w:rsidRPr="006E66B4">
        <w:rPr>
          <w:rFonts w:ascii="Arial" w:hAnsi="Arial" w:cs="Arial"/>
        </w:rPr>
        <w:t>Desarrollar planes de transporte individuales y aprender las habilidades de movilidad necesarias.</w:t>
      </w:r>
    </w:p>
    <w:p w14:paraId="5FD61C1B" w14:textId="77777777" w:rsidR="006E66B4" w:rsidRPr="006E66B4" w:rsidRDefault="006E66B4" w:rsidP="006E66B4">
      <w:pPr>
        <w:numPr>
          <w:ilvl w:val="1"/>
          <w:numId w:val="7"/>
        </w:numPr>
        <w:spacing w:after="0"/>
        <w:rPr>
          <w:rFonts w:ascii="Arial" w:hAnsi="Arial" w:cs="Arial"/>
        </w:rPr>
      </w:pPr>
      <w:r w:rsidRPr="006E66B4">
        <w:rPr>
          <w:rFonts w:ascii="Arial" w:hAnsi="Arial" w:cs="Arial"/>
        </w:rPr>
        <w:t>Proporcionar instrucción/programas de autoevaluación que incluyan los mismos temas que se encuentran en un entorno grupal:</w:t>
      </w:r>
    </w:p>
    <w:p w14:paraId="34011DA3" w14:textId="77777777" w:rsidR="006E66B4" w:rsidRPr="006E66B4" w:rsidRDefault="006E66B4" w:rsidP="006E66B4">
      <w:pPr>
        <w:numPr>
          <w:ilvl w:val="1"/>
          <w:numId w:val="7"/>
        </w:numPr>
        <w:spacing w:after="0"/>
        <w:rPr>
          <w:rFonts w:ascii="Arial" w:hAnsi="Arial" w:cs="Arial"/>
        </w:rPr>
      </w:pPr>
      <w:r w:rsidRPr="006E66B4">
        <w:rPr>
          <w:rFonts w:ascii="Arial" w:hAnsi="Arial" w:cs="Arial"/>
        </w:rPr>
        <w:t>Mantener relaciones saludables</w:t>
      </w:r>
    </w:p>
    <w:p w14:paraId="29DACA49" w14:textId="77777777" w:rsidR="006E66B4" w:rsidRPr="006E66B4" w:rsidRDefault="006E66B4" w:rsidP="006E66B4">
      <w:pPr>
        <w:numPr>
          <w:ilvl w:val="2"/>
          <w:numId w:val="7"/>
        </w:numPr>
        <w:spacing w:after="0"/>
        <w:rPr>
          <w:rFonts w:ascii="Arial" w:hAnsi="Arial" w:cs="Arial"/>
        </w:rPr>
      </w:pPr>
      <w:r w:rsidRPr="006E66B4">
        <w:rPr>
          <w:rFonts w:ascii="Arial" w:hAnsi="Arial" w:cs="Arial"/>
        </w:rPr>
        <w:t>Hábitos de trabajo y estudio</w:t>
      </w:r>
    </w:p>
    <w:p w14:paraId="498F24B7" w14:textId="77777777" w:rsidR="006E66B4" w:rsidRPr="006E66B4" w:rsidRDefault="006E66B4" w:rsidP="006E66B4">
      <w:pPr>
        <w:numPr>
          <w:ilvl w:val="2"/>
          <w:numId w:val="7"/>
        </w:numPr>
        <w:spacing w:after="0"/>
        <w:rPr>
          <w:rFonts w:ascii="Arial" w:hAnsi="Arial" w:cs="Arial"/>
        </w:rPr>
      </w:pPr>
      <w:r w:rsidRPr="006E66B4">
        <w:rPr>
          <w:rFonts w:ascii="Arial" w:hAnsi="Arial" w:cs="Arial"/>
        </w:rPr>
        <w:t>Planificación y establecimiento de objetivos</w:t>
      </w:r>
    </w:p>
    <w:p w14:paraId="1380644A" w14:textId="77777777" w:rsidR="006E66B4" w:rsidRPr="006E66B4" w:rsidRDefault="006E66B4" w:rsidP="006E66B4">
      <w:pPr>
        <w:numPr>
          <w:ilvl w:val="2"/>
          <w:numId w:val="7"/>
        </w:numPr>
        <w:spacing w:after="0"/>
        <w:rPr>
          <w:rFonts w:ascii="Arial" w:hAnsi="Arial" w:cs="Arial"/>
        </w:rPr>
      </w:pPr>
      <w:r w:rsidRPr="006E66B4">
        <w:rPr>
          <w:rFonts w:ascii="Arial" w:hAnsi="Arial" w:cs="Arial"/>
        </w:rPr>
        <w:t>Uso de los recursos de la comunidad</w:t>
      </w:r>
    </w:p>
    <w:p w14:paraId="3F941C43" w14:textId="77777777" w:rsidR="006E66B4" w:rsidRPr="006E66B4" w:rsidRDefault="006E66B4" w:rsidP="006E66B4">
      <w:pPr>
        <w:numPr>
          <w:ilvl w:val="2"/>
          <w:numId w:val="7"/>
        </w:numPr>
        <w:spacing w:after="0"/>
        <w:rPr>
          <w:rFonts w:ascii="Arial" w:hAnsi="Arial" w:cs="Arial"/>
        </w:rPr>
      </w:pPr>
      <w:r w:rsidRPr="006E66B4">
        <w:rPr>
          <w:rFonts w:ascii="Arial" w:hAnsi="Arial" w:cs="Arial"/>
        </w:rPr>
        <w:t>Elaboración de presupuestos y pago de facturas</w:t>
      </w:r>
    </w:p>
    <w:p w14:paraId="300D04B7" w14:textId="77777777" w:rsidR="006E66B4" w:rsidRPr="006E66B4" w:rsidRDefault="006E66B4" w:rsidP="006E66B4">
      <w:pPr>
        <w:numPr>
          <w:ilvl w:val="2"/>
          <w:numId w:val="7"/>
        </w:numPr>
        <w:spacing w:after="0"/>
        <w:rPr>
          <w:rFonts w:ascii="Arial" w:hAnsi="Arial" w:cs="Arial"/>
        </w:rPr>
      </w:pPr>
      <w:r w:rsidRPr="006E66B4">
        <w:rPr>
          <w:rFonts w:ascii="Arial" w:hAnsi="Arial" w:cs="Arial"/>
        </w:rPr>
        <w:t>Informática</w:t>
      </w:r>
    </w:p>
    <w:p w14:paraId="2AD703B2" w14:textId="77777777" w:rsidR="006E66B4" w:rsidRDefault="006E66B4" w:rsidP="006E66B4">
      <w:pPr>
        <w:spacing w:after="0"/>
        <w:rPr>
          <w:rFonts w:ascii="Arial" w:hAnsi="Arial" w:cs="Arial"/>
          <w:b/>
          <w:bCs/>
        </w:rPr>
      </w:pPr>
    </w:p>
    <w:p w14:paraId="380E1BB9" w14:textId="77777777" w:rsidR="006E66B4" w:rsidRPr="006E66B4" w:rsidRDefault="006E66B4" w:rsidP="006E66B4">
      <w:pPr>
        <w:pStyle w:val="Heading3"/>
        <w:rPr>
          <w:rFonts w:ascii="Arial" w:hAnsi="Arial" w:cs="Arial"/>
          <w:b/>
          <w:bCs/>
          <w:color w:val="auto"/>
        </w:rPr>
      </w:pPr>
      <w:r w:rsidRPr="006E66B4">
        <w:rPr>
          <w:rFonts w:ascii="Arial" w:hAnsi="Arial" w:cs="Arial"/>
          <w:b/>
          <w:bCs/>
          <w:color w:val="auto"/>
        </w:rPr>
        <w:t>Instrucción en la autodefensa</w:t>
      </w:r>
    </w:p>
    <w:p w14:paraId="27B069A6" w14:textId="7373AF04" w:rsidR="006E66B4" w:rsidRPr="006E66B4" w:rsidRDefault="006E66B4" w:rsidP="006E66B4">
      <w:pPr>
        <w:pStyle w:val="ListParagraph"/>
        <w:numPr>
          <w:ilvl w:val="0"/>
          <w:numId w:val="11"/>
        </w:numPr>
        <w:spacing w:after="0"/>
        <w:rPr>
          <w:rFonts w:ascii="Arial" w:hAnsi="Arial" w:cs="Arial"/>
          <w:b/>
          <w:bCs/>
        </w:rPr>
      </w:pPr>
      <w:r w:rsidRPr="006E66B4">
        <w:rPr>
          <w:rFonts w:ascii="Arial" w:hAnsi="Arial" w:cs="Arial"/>
          <w:b/>
          <w:bCs/>
        </w:rPr>
        <w:t xml:space="preserve">Propósito: Las </w:t>
      </w:r>
      <w:r w:rsidRPr="006E66B4">
        <w:rPr>
          <w:rFonts w:ascii="Arial" w:hAnsi="Arial" w:cs="Arial"/>
        </w:rPr>
        <w:t xml:space="preserve"> habilidades de autodefensa permitirán a los estudiantes abogar por cualquier servicio de apoyo, incluidas las ayudas auxiliares, los servicios y las adaptaciones que puedan ser necesarios para la capacitación o el empleo.</w:t>
      </w:r>
    </w:p>
    <w:p w14:paraId="35D1D1F5" w14:textId="77777777" w:rsidR="006E66B4" w:rsidRPr="006E66B4" w:rsidRDefault="006E66B4" w:rsidP="006E66B4">
      <w:pPr>
        <w:numPr>
          <w:ilvl w:val="0"/>
          <w:numId w:val="8"/>
        </w:numPr>
        <w:spacing w:after="0"/>
        <w:rPr>
          <w:rFonts w:ascii="Arial" w:hAnsi="Arial" w:cs="Arial"/>
        </w:rPr>
      </w:pPr>
      <w:r w:rsidRPr="006E66B4">
        <w:rPr>
          <w:rFonts w:ascii="Arial" w:hAnsi="Arial" w:cs="Arial"/>
          <w:b/>
          <w:bCs/>
        </w:rPr>
        <w:t>Ejemplos de actividades:</w:t>
      </w:r>
    </w:p>
    <w:p w14:paraId="4D7076E0" w14:textId="77777777" w:rsidR="006E66B4" w:rsidRPr="006E66B4" w:rsidRDefault="006E66B4" w:rsidP="006E66B4">
      <w:pPr>
        <w:numPr>
          <w:ilvl w:val="1"/>
          <w:numId w:val="8"/>
        </w:numPr>
        <w:spacing w:after="0"/>
        <w:rPr>
          <w:rFonts w:ascii="Arial" w:hAnsi="Arial" w:cs="Arial"/>
        </w:rPr>
      </w:pPr>
      <w:r w:rsidRPr="006E66B4">
        <w:rPr>
          <w:rFonts w:ascii="Arial" w:hAnsi="Arial" w:cs="Arial"/>
        </w:rPr>
        <w:t>Discuta con los estudiantes cómo su discapacidad los afecta e identifique estrategias que puedan ayudarlos en la escuela, el trabajo y socialmente.</w:t>
      </w:r>
    </w:p>
    <w:p w14:paraId="6E8D452A" w14:textId="77777777" w:rsidR="006E66B4" w:rsidRPr="006E66B4" w:rsidRDefault="006E66B4" w:rsidP="006E66B4">
      <w:pPr>
        <w:numPr>
          <w:ilvl w:val="1"/>
          <w:numId w:val="8"/>
        </w:numPr>
        <w:spacing w:after="0"/>
        <w:rPr>
          <w:rFonts w:ascii="Arial" w:hAnsi="Arial" w:cs="Arial"/>
        </w:rPr>
      </w:pPr>
      <w:r w:rsidRPr="006E66B4">
        <w:rPr>
          <w:rFonts w:ascii="Arial" w:hAnsi="Arial" w:cs="Arial"/>
        </w:rPr>
        <w:t xml:space="preserve">Ayudar al estudiante </w:t>
      </w:r>
      <w:proofErr w:type="gramStart"/>
      <w:r w:rsidRPr="006E66B4">
        <w:rPr>
          <w:rFonts w:ascii="Arial" w:hAnsi="Arial" w:cs="Arial"/>
        </w:rPr>
        <w:t>a</w:t>
      </w:r>
      <w:proofErr w:type="gramEnd"/>
      <w:r w:rsidRPr="006E66B4">
        <w:rPr>
          <w:rFonts w:ascii="Arial" w:hAnsi="Arial" w:cs="Arial"/>
        </w:rPr>
        <w:t xml:space="preserve"> identificar, documentar y explicar las adaptaciones necesarias.</w:t>
      </w:r>
    </w:p>
    <w:p w14:paraId="3CA35BA3" w14:textId="77777777" w:rsidR="006E66B4" w:rsidRPr="006E66B4" w:rsidRDefault="006E66B4" w:rsidP="006E66B4">
      <w:pPr>
        <w:numPr>
          <w:ilvl w:val="1"/>
          <w:numId w:val="8"/>
        </w:numPr>
        <w:spacing w:after="0"/>
        <w:rPr>
          <w:rFonts w:ascii="Arial" w:hAnsi="Arial" w:cs="Arial"/>
        </w:rPr>
      </w:pPr>
      <w:r w:rsidRPr="006E66B4">
        <w:rPr>
          <w:rFonts w:ascii="Arial" w:hAnsi="Arial" w:cs="Arial"/>
        </w:rPr>
        <w:t>Ayudar al estudiante a desarrollar metas e información para compartir en su IEP</w:t>
      </w:r>
    </w:p>
    <w:p w14:paraId="61FF4DF6" w14:textId="77777777" w:rsidR="006E66B4" w:rsidRPr="006E66B4" w:rsidRDefault="006E66B4" w:rsidP="006E66B4">
      <w:pPr>
        <w:numPr>
          <w:ilvl w:val="1"/>
          <w:numId w:val="8"/>
        </w:numPr>
        <w:spacing w:after="0"/>
        <w:rPr>
          <w:rFonts w:ascii="Arial" w:hAnsi="Arial" w:cs="Arial"/>
        </w:rPr>
      </w:pPr>
      <w:r w:rsidRPr="006E66B4">
        <w:rPr>
          <w:rFonts w:ascii="Arial" w:hAnsi="Arial" w:cs="Arial"/>
        </w:rPr>
        <w:t>Realizar entrevistas informativas</w:t>
      </w:r>
    </w:p>
    <w:p w14:paraId="1A5EB6BA" w14:textId="77777777" w:rsidR="006E66B4" w:rsidRPr="006E66B4" w:rsidRDefault="006E66B4" w:rsidP="006E66B4">
      <w:pPr>
        <w:numPr>
          <w:ilvl w:val="1"/>
          <w:numId w:val="8"/>
        </w:numPr>
        <w:spacing w:after="0"/>
        <w:rPr>
          <w:rFonts w:ascii="Arial" w:hAnsi="Arial" w:cs="Arial"/>
        </w:rPr>
      </w:pPr>
      <w:r w:rsidRPr="006E66B4">
        <w:rPr>
          <w:rFonts w:ascii="Arial" w:hAnsi="Arial" w:cs="Arial"/>
        </w:rPr>
        <w:t>Proporcionar oportunidades para que los estudiantes participen en la tutoría con personas empleadas por empleadores, juntas, asociaciones u organizaciones en entornos comunitarios integrados</w:t>
      </w:r>
    </w:p>
    <w:p w14:paraId="3E94C7AD" w14:textId="77777777" w:rsidR="006E66B4" w:rsidRPr="006E66B4" w:rsidRDefault="006E66B4" w:rsidP="006E66B4">
      <w:pPr>
        <w:numPr>
          <w:ilvl w:val="1"/>
          <w:numId w:val="8"/>
        </w:numPr>
        <w:spacing w:after="0"/>
        <w:rPr>
          <w:rFonts w:ascii="Arial" w:hAnsi="Arial" w:cs="Arial"/>
        </w:rPr>
      </w:pPr>
      <w:r w:rsidRPr="006E66B4">
        <w:rPr>
          <w:rFonts w:ascii="Arial" w:hAnsi="Arial" w:cs="Arial"/>
        </w:rPr>
        <w:t>Proporcionar oportunidades para que los estudiantes participen en actividades de liderazgo juvenil que se ofrecen en entornos educativos o comunitarios.</w:t>
      </w:r>
    </w:p>
    <w:p w14:paraId="60E21B62" w14:textId="77777777" w:rsidR="006E66B4" w:rsidRDefault="006E66B4" w:rsidP="006E66B4">
      <w:pPr>
        <w:spacing w:after="0"/>
        <w:rPr>
          <w:rFonts w:ascii="Arial" w:hAnsi="Arial" w:cs="Arial"/>
          <w:b/>
          <w:bCs/>
        </w:rPr>
      </w:pPr>
    </w:p>
    <w:p w14:paraId="504C15A1" w14:textId="2B330F63" w:rsidR="006E66B4" w:rsidRPr="006E66B4" w:rsidRDefault="006E66B4" w:rsidP="006E66B4">
      <w:pPr>
        <w:pStyle w:val="Heading2"/>
        <w:rPr>
          <w:rFonts w:ascii="Arial" w:hAnsi="Arial" w:cs="Arial"/>
          <w:b/>
          <w:bCs/>
          <w:color w:val="auto"/>
        </w:rPr>
      </w:pPr>
      <w:r w:rsidRPr="006E66B4">
        <w:rPr>
          <w:rFonts w:ascii="Arial" w:hAnsi="Arial" w:cs="Arial"/>
          <w:b/>
          <w:bCs/>
          <w:color w:val="auto"/>
        </w:rPr>
        <w:lastRenderedPageBreak/>
        <w:t>Beneficios para el estudiante</w:t>
      </w:r>
    </w:p>
    <w:p w14:paraId="11E698DC" w14:textId="77777777" w:rsidR="006E66B4" w:rsidRPr="006E66B4" w:rsidRDefault="006E66B4" w:rsidP="006E66B4">
      <w:pPr>
        <w:numPr>
          <w:ilvl w:val="0"/>
          <w:numId w:val="9"/>
        </w:numPr>
        <w:spacing w:after="0"/>
        <w:rPr>
          <w:rFonts w:ascii="Arial" w:hAnsi="Arial" w:cs="Arial"/>
        </w:rPr>
      </w:pPr>
      <w:r w:rsidRPr="006E66B4">
        <w:rPr>
          <w:rFonts w:ascii="Arial" w:hAnsi="Arial" w:cs="Arial"/>
        </w:rPr>
        <w:t>Identificación de los intereses y necesidades profesionales de los estudiantes</w:t>
      </w:r>
    </w:p>
    <w:p w14:paraId="5682DB74" w14:textId="77777777" w:rsidR="006E66B4" w:rsidRPr="006E66B4" w:rsidRDefault="006E66B4" w:rsidP="006E66B4">
      <w:pPr>
        <w:numPr>
          <w:ilvl w:val="0"/>
          <w:numId w:val="9"/>
        </w:numPr>
        <w:spacing w:after="0"/>
        <w:rPr>
          <w:rFonts w:ascii="Arial" w:hAnsi="Arial" w:cs="Arial"/>
        </w:rPr>
      </w:pPr>
      <w:r w:rsidRPr="006E66B4">
        <w:rPr>
          <w:rFonts w:ascii="Arial" w:hAnsi="Arial" w:cs="Arial"/>
        </w:rPr>
        <w:t>Conciencia de la variedad de opciones y del papel de la educación y la formación postsecundarias</w:t>
      </w:r>
    </w:p>
    <w:p w14:paraId="7529DF6F" w14:textId="77777777" w:rsidR="006E66B4" w:rsidRPr="006E66B4" w:rsidRDefault="006E66B4" w:rsidP="006E66B4">
      <w:pPr>
        <w:numPr>
          <w:ilvl w:val="0"/>
          <w:numId w:val="9"/>
        </w:numPr>
        <w:spacing w:after="0"/>
        <w:rPr>
          <w:rFonts w:ascii="Arial" w:hAnsi="Arial" w:cs="Arial"/>
        </w:rPr>
      </w:pPr>
      <w:r w:rsidRPr="006E66B4">
        <w:rPr>
          <w:rFonts w:ascii="Arial" w:hAnsi="Arial" w:cs="Arial"/>
        </w:rPr>
        <w:t>Desarrollo de un plan con objetivos y actividades orientados a resultados</w:t>
      </w:r>
    </w:p>
    <w:p w14:paraId="626D8D8C" w14:textId="77777777" w:rsidR="006E66B4" w:rsidRPr="006E66B4" w:rsidRDefault="006E66B4" w:rsidP="006E66B4">
      <w:pPr>
        <w:numPr>
          <w:ilvl w:val="0"/>
          <w:numId w:val="9"/>
        </w:numPr>
        <w:spacing w:after="0"/>
        <w:rPr>
          <w:rFonts w:ascii="Arial" w:hAnsi="Arial" w:cs="Arial"/>
        </w:rPr>
      </w:pPr>
      <w:r w:rsidRPr="006E66B4">
        <w:rPr>
          <w:rFonts w:ascii="Arial" w:hAnsi="Arial" w:cs="Arial"/>
        </w:rPr>
        <w:t>Conocimiento de la variedad de carreras disponibles y la variedad de trabajos dentro de los campos profesionales</w:t>
      </w:r>
    </w:p>
    <w:p w14:paraId="1FDC272D" w14:textId="77777777" w:rsidR="006E66B4" w:rsidRPr="006E66B4" w:rsidRDefault="006E66B4" w:rsidP="006E66B4">
      <w:pPr>
        <w:numPr>
          <w:ilvl w:val="0"/>
          <w:numId w:val="9"/>
        </w:numPr>
        <w:spacing w:after="0"/>
        <w:rPr>
          <w:rFonts w:ascii="Arial" w:hAnsi="Arial" w:cs="Arial"/>
        </w:rPr>
      </w:pPr>
      <w:r w:rsidRPr="006E66B4">
        <w:rPr>
          <w:rFonts w:ascii="Arial" w:hAnsi="Arial" w:cs="Arial"/>
        </w:rPr>
        <w:t>Ampliar la perspectiva de las habilidades personales para utilizar, reforzar y desarrollar para el trabajo.</w:t>
      </w:r>
    </w:p>
    <w:p w14:paraId="5BD7B1BA" w14:textId="77777777" w:rsidR="006E66B4" w:rsidRPr="006E66B4" w:rsidRDefault="006E66B4" w:rsidP="006E66B4">
      <w:pPr>
        <w:numPr>
          <w:ilvl w:val="0"/>
          <w:numId w:val="9"/>
        </w:numPr>
        <w:spacing w:after="0"/>
        <w:rPr>
          <w:rFonts w:ascii="Arial" w:hAnsi="Arial" w:cs="Arial"/>
        </w:rPr>
      </w:pPr>
      <w:r w:rsidRPr="006E66B4">
        <w:rPr>
          <w:rFonts w:ascii="Arial" w:hAnsi="Arial" w:cs="Arial"/>
        </w:rPr>
        <w:t>Aumento de la comunicación con la familia sobre el progreso y las necesidades del estudiante</w:t>
      </w:r>
    </w:p>
    <w:p w14:paraId="7CCA183D" w14:textId="77777777" w:rsidR="006E66B4" w:rsidRPr="006E66B4" w:rsidRDefault="006E66B4" w:rsidP="006E66B4">
      <w:pPr>
        <w:numPr>
          <w:ilvl w:val="0"/>
          <w:numId w:val="9"/>
        </w:numPr>
        <w:spacing w:after="0"/>
        <w:rPr>
          <w:rFonts w:ascii="Arial" w:hAnsi="Arial" w:cs="Arial"/>
        </w:rPr>
      </w:pPr>
      <w:r w:rsidRPr="006E66B4">
        <w:rPr>
          <w:rFonts w:ascii="Arial" w:hAnsi="Arial" w:cs="Arial"/>
        </w:rPr>
        <w:t>Ampliar la autoconciencia, incluyendo cómo solicitar adaptaciones o servicios y apoyos</w:t>
      </w:r>
    </w:p>
    <w:p w14:paraId="03022239" w14:textId="77777777" w:rsidR="006E66B4" w:rsidRDefault="006E66B4" w:rsidP="006E66B4">
      <w:pPr>
        <w:spacing w:after="0"/>
        <w:rPr>
          <w:rFonts w:ascii="Arial" w:hAnsi="Arial" w:cs="Arial"/>
          <w:b/>
          <w:bCs/>
        </w:rPr>
      </w:pPr>
    </w:p>
    <w:p w14:paraId="7010DD09" w14:textId="4D7B01D5" w:rsidR="006E66B4" w:rsidRPr="006E66B4" w:rsidRDefault="006E66B4" w:rsidP="006E66B4">
      <w:pPr>
        <w:pStyle w:val="Heading2"/>
        <w:rPr>
          <w:rFonts w:ascii="Arial" w:hAnsi="Arial" w:cs="Arial"/>
          <w:b/>
          <w:bCs/>
          <w:color w:val="auto"/>
        </w:rPr>
      </w:pPr>
      <w:r w:rsidRPr="006E66B4">
        <w:rPr>
          <w:rFonts w:ascii="Arial" w:hAnsi="Arial" w:cs="Arial"/>
          <w:b/>
          <w:bCs/>
          <w:color w:val="auto"/>
        </w:rPr>
        <w:t xml:space="preserve">Obtención de </w:t>
      </w:r>
      <w:proofErr w:type="gramStart"/>
      <w:r w:rsidRPr="006E66B4">
        <w:rPr>
          <w:rFonts w:ascii="Arial" w:hAnsi="Arial" w:cs="Arial"/>
          <w:b/>
          <w:bCs/>
          <w:color w:val="auto"/>
        </w:rPr>
        <w:t>Pre-ETS</w:t>
      </w:r>
      <w:proofErr w:type="gramEnd"/>
    </w:p>
    <w:p w14:paraId="51FC8C4B" w14:textId="77777777" w:rsidR="006E66B4" w:rsidRPr="006E66B4" w:rsidRDefault="006E66B4" w:rsidP="006E66B4">
      <w:pPr>
        <w:numPr>
          <w:ilvl w:val="0"/>
          <w:numId w:val="10"/>
        </w:numPr>
        <w:spacing w:after="0"/>
        <w:rPr>
          <w:rFonts w:ascii="Arial" w:hAnsi="Arial" w:cs="Arial"/>
        </w:rPr>
      </w:pPr>
      <w:r w:rsidRPr="006E66B4">
        <w:rPr>
          <w:rFonts w:ascii="Arial" w:hAnsi="Arial" w:cs="Arial"/>
        </w:rPr>
        <w:t xml:space="preserve">Los estudiantes deben comunicarse con su consejero de rehabilitación vocacional si están interesados en un programa Pre-ETS. El consejero puede ayudar con la solicitud, desarrollar </w:t>
      </w:r>
      <w:proofErr w:type="gramStart"/>
      <w:r w:rsidRPr="006E66B4">
        <w:rPr>
          <w:rFonts w:ascii="Arial" w:hAnsi="Arial" w:cs="Arial"/>
        </w:rPr>
        <w:t>un Plan</w:t>
      </w:r>
      <w:proofErr w:type="gramEnd"/>
      <w:r w:rsidRPr="006E66B4">
        <w:rPr>
          <w:rFonts w:ascii="Arial" w:hAnsi="Arial" w:cs="Arial"/>
        </w:rPr>
        <w:t xml:space="preserve"> Individualizado de Empleo (IPE) y autorizar el pago.</w:t>
      </w:r>
    </w:p>
    <w:p w14:paraId="609EF3FC" w14:textId="77777777" w:rsidR="006E66B4" w:rsidRPr="006E66B4" w:rsidRDefault="006E66B4" w:rsidP="006E66B4">
      <w:pPr>
        <w:numPr>
          <w:ilvl w:val="0"/>
          <w:numId w:val="10"/>
        </w:numPr>
        <w:spacing w:after="0"/>
        <w:rPr>
          <w:rFonts w:ascii="Arial" w:hAnsi="Arial" w:cs="Arial"/>
        </w:rPr>
      </w:pPr>
      <w:r w:rsidRPr="006E66B4">
        <w:rPr>
          <w:rFonts w:ascii="Arial" w:hAnsi="Arial" w:cs="Arial"/>
        </w:rPr>
        <w:t xml:space="preserve">Un maestro de estudiantes con discapacidades visuales (TVI, por sus siglas en inglés) u otro personal de la escuela puede referir a un estudiante a MCB enviando un correo electrónico </w:t>
      </w:r>
      <w:hyperlink r:id="rId6" w:history="1">
        <w:r w:rsidRPr="006E66B4">
          <w:rPr>
            <w:rStyle w:val="Hyperlink"/>
            <w:rFonts w:ascii="Arial" w:hAnsi="Arial" w:cs="Arial"/>
            <w:b/>
            <w:bCs/>
          </w:rPr>
          <w:t>a MCBinfo@mass.gov</w:t>
        </w:r>
      </w:hyperlink>
      <w:r w:rsidRPr="006E66B4">
        <w:rPr>
          <w:rFonts w:ascii="Arial" w:hAnsi="Arial" w:cs="Arial"/>
        </w:rPr>
        <w:t>.</w:t>
      </w:r>
    </w:p>
    <w:p w14:paraId="4D02E31D" w14:textId="77777777" w:rsidR="006E66B4" w:rsidRPr="006E66B4" w:rsidRDefault="006E66B4" w:rsidP="006E66B4">
      <w:pPr>
        <w:numPr>
          <w:ilvl w:val="0"/>
          <w:numId w:val="10"/>
        </w:numPr>
        <w:spacing w:after="0"/>
        <w:rPr>
          <w:rFonts w:ascii="Arial" w:hAnsi="Arial" w:cs="Arial"/>
        </w:rPr>
      </w:pPr>
      <w:r w:rsidRPr="006E66B4">
        <w:rPr>
          <w:rFonts w:ascii="Arial" w:hAnsi="Arial" w:cs="Arial"/>
        </w:rPr>
        <w:t>Los estudiantes "potencialmente elegibles" solo pueden recibir servicios que aborden los cinco temas básicos de Pre-ETS. Los estudiantes que han solicitado y han sido considerados elegibles para la rehabilitación vocacional pueden recibir la gama completa de servicios de rehabilitación vocacional, incluida la capacitación universitaria o vocacional, la tecnología de asistencia y la colocación laboral.</w:t>
      </w:r>
    </w:p>
    <w:p w14:paraId="423BB89F" w14:textId="77777777" w:rsidR="006E66B4" w:rsidRPr="006E66B4" w:rsidRDefault="006E66B4" w:rsidP="006E66B4">
      <w:pPr>
        <w:pStyle w:val="Heading2"/>
        <w:rPr>
          <w:rFonts w:ascii="Arial" w:hAnsi="Arial" w:cs="Arial"/>
          <w:b/>
          <w:bCs/>
          <w:color w:val="auto"/>
        </w:rPr>
      </w:pPr>
      <w:r w:rsidRPr="006E66B4">
        <w:rPr>
          <w:rFonts w:ascii="Arial" w:hAnsi="Arial" w:cs="Arial"/>
          <w:b/>
          <w:bCs/>
          <w:color w:val="auto"/>
        </w:rPr>
        <w:t>Proveedores pre-ETS</w:t>
      </w:r>
    </w:p>
    <w:p w14:paraId="5A60280C" w14:textId="77777777" w:rsidR="00892E09" w:rsidRPr="006E66B4" w:rsidRDefault="00892E09" w:rsidP="00892E09">
      <w:pPr>
        <w:pStyle w:val="NormalWeb"/>
        <w:numPr>
          <w:ilvl w:val="0"/>
          <w:numId w:val="11"/>
        </w:numPr>
        <w:spacing w:before="0" w:beforeAutospacing="0" w:after="0" w:afterAutospacing="0"/>
        <w:rPr>
          <w:rFonts w:ascii="Arial" w:hAnsi="Arial" w:cs="Arial"/>
          <w:color w:val="141414"/>
        </w:rPr>
      </w:pPr>
      <w:hyperlink r:id="rId7" w:history="1">
        <w:r w:rsidRPr="006E66B4">
          <w:rPr>
            <w:rStyle w:val="Hyperlink"/>
            <w:rFonts w:ascii="Arial" w:eastAsiaTheme="majorEastAsia" w:hAnsi="Arial" w:cs="Arial"/>
            <w:b/>
            <w:bCs/>
            <w:color w:val="14558F"/>
          </w:rPr>
          <w:t>Adapted Sports New England</w:t>
        </w:r>
      </w:hyperlink>
    </w:p>
    <w:p w14:paraId="35ED3A1D" w14:textId="77777777" w:rsidR="00892E09" w:rsidRPr="006E66B4" w:rsidRDefault="00892E09" w:rsidP="00892E09">
      <w:pPr>
        <w:pStyle w:val="NormalWeb"/>
        <w:numPr>
          <w:ilvl w:val="0"/>
          <w:numId w:val="11"/>
        </w:numPr>
        <w:spacing w:before="0" w:beforeAutospacing="0" w:after="0" w:afterAutospacing="0"/>
        <w:rPr>
          <w:rFonts w:ascii="Arial" w:hAnsi="Arial" w:cs="Arial"/>
          <w:color w:val="141414"/>
        </w:rPr>
      </w:pPr>
      <w:r w:rsidRPr="006E66B4">
        <w:rPr>
          <w:rFonts w:ascii="Arial" w:hAnsi="Arial" w:cs="Arial"/>
          <w:color w:val="141414"/>
        </w:rPr>
        <w:t>Camp HASC</w:t>
      </w:r>
    </w:p>
    <w:p w14:paraId="68DB37A2" w14:textId="77777777" w:rsidR="00892E09" w:rsidRPr="006E66B4" w:rsidRDefault="00892E09" w:rsidP="00892E09">
      <w:pPr>
        <w:pStyle w:val="NormalWeb"/>
        <w:numPr>
          <w:ilvl w:val="0"/>
          <w:numId w:val="11"/>
        </w:numPr>
        <w:spacing w:before="0" w:beforeAutospacing="0" w:after="0" w:afterAutospacing="0"/>
        <w:rPr>
          <w:rFonts w:ascii="Arial" w:hAnsi="Arial" w:cs="Arial"/>
          <w:color w:val="141414"/>
        </w:rPr>
      </w:pPr>
      <w:hyperlink r:id="rId8" w:history="1">
        <w:r w:rsidRPr="006E66B4">
          <w:rPr>
            <w:rStyle w:val="Hyperlink"/>
            <w:rFonts w:ascii="Arial" w:eastAsiaTheme="majorEastAsia" w:hAnsi="Arial" w:cs="Arial"/>
            <w:b/>
            <w:bCs/>
            <w:color w:val="14558F"/>
          </w:rPr>
          <w:t>Lowell Association for the Blind</w:t>
        </w:r>
      </w:hyperlink>
    </w:p>
    <w:p w14:paraId="3CF23E88" w14:textId="77777777" w:rsidR="00892E09" w:rsidRPr="006E66B4" w:rsidRDefault="00892E09" w:rsidP="00892E09">
      <w:pPr>
        <w:pStyle w:val="NormalWeb"/>
        <w:numPr>
          <w:ilvl w:val="0"/>
          <w:numId w:val="11"/>
        </w:numPr>
        <w:spacing w:before="0" w:beforeAutospacing="0" w:after="0" w:afterAutospacing="0"/>
        <w:rPr>
          <w:rFonts w:ascii="Arial" w:hAnsi="Arial" w:cs="Arial"/>
          <w:color w:val="141414"/>
        </w:rPr>
      </w:pPr>
      <w:hyperlink r:id="rId9" w:history="1">
        <w:r w:rsidRPr="006E66B4">
          <w:rPr>
            <w:rStyle w:val="Hyperlink"/>
            <w:rFonts w:ascii="Arial" w:eastAsiaTheme="majorEastAsia" w:hAnsi="Arial" w:cs="Arial"/>
            <w:b/>
            <w:bCs/>
            <w:color w:val="14558F"/>
          </w:rPr>
          <w:t>Partners for Youth with Disabilities</w:t>
        </w:r>
      </w:hyperlink>
    </w:p>
    <w:p w14:paraId="3455CAD6" w14:textId="77777777" w:rsidR="00892E09" w:rsidRPr="006E66B4" w:rsidRDefault="00892E09" w:rsidP="00892E09">
      <w:pPr>
        <w:pStyle w:val="NormalWeb"/>
        <w:numPr>
          <w:ilvl w:val="0"/>
          <w:numId w:val="11"/>
        </w:numPr>
        <w:spacing w:before="0" w:beforeAutospacing="0" w:after="0" w:afterAutospacing="0"/>
        <w:rPr>
          <w:rFonts w:ascii="Arial" w:hAnsi="Arial" w:cs="Arial"/>
          <w:color w:val="141414"/>
        </w:rPr>
      </w:pPr>
      <w:hyperlink r:id="rId10" w:history="1">
        <w:r w:rsidRPr="006E66B4">
          <w:rPr>
            <w:rStyle w:val="Hyperlink"/>
            <w:rFonts w:ascii="Arial" w:eastAsiaTheme="majorEastAsia" w:hAnsi="Arial" w:cs="Arial"/>
            <w:b/>
            <w:bCs/>
            <w:color w:val="14558F"/>
          </w:rPr>
          <w:t>Perkins School for the Blind</w:t>
        </w:r>
      </w:hyperlink>
    </w:p>
    <w:p w14:paraId="5A534F01" w14:textId="77777777" w:rsidR="00892E09" w:rsidRPr="006E66B4" w:rsidRDefault="00892E09" w:rsidP="00892E09">
      <w:pPr>
        <w:pStyle w:val="NormalWeb"/>
        <w:numPr>
          <w:ilvl w:val="0"/>
          <w:numId w:val="11"/>
        </w:numPr>
        <w:spacing w:before="0" w:beforeAutospacing="0" w:after="0" w:afterAutospacing="0"/>
        <w:rPr>
          <w:rFonts w:ascii="Arial" w:hAnsi="Arial" w:cs="Arial"/>
          <w:color w:val="141414"/>
        </w:rPr>
      </w:pPr>
      <w:r w:rsidRPr="006E66B4">
        <w:rPr>
          <w:rFonts w:ascii="Arial" w:hAnsi="Arial" w:cs="Arial"/>
          <w:color w:val="141414"/>
        </w:rPr>
        <w:t>Polus Center for Social and Economic Development</w:t>
      </w:r>
    </w:p>
    <w:p w14:paraId="490ABC58" w14:textId="77777777" w:rsidR="00892E09" w:rsidRPr="006E66B4" w:rsidRDefault="00892E09" w:rsidP="00892E09">
      <w:pPr>
        <w:pStyle w:val="NormalWeb"/>
        <w:numPr>
          <w:ilvl w:val="0"/>
          <w:numId w:val="11"/>
        </w:numPr>
        <w:spacing w:before="0" w:beforeAutospacing="0" w:after="0" w:afterAutospacing="0"/>
        <w:rPr>
          <w:rFonts w:ascii="Arial" w:hAnsi="Arial" w:cs="Arial"/>
          <w:color w:val="141414"/>
        </w:rPr>
      </w:pPr>
      <w:hyperlink r:id="rId11" w:history="1">
        <w:proofErr w:type="spellStart"/>
        <w:r w:rsidRPr="006E66B4">
          <w:rPr>
            <w:rStyle w:val="Hyperlink"/>
            <w:rFonts w:ascii="Arial" w:eastAsiaTheme="majorEastAsia" w:hAnsi="Arial" w:cs="Arial"/>
            <w:b/>
            <w:bCs/>
            <w:color w:val="14558F"/>
          </w:rPr>
          <w:t>ReSOURCE</w:t>
        </w:r>
        <w:proofErr w:type="spellEnd"/>
        <w:r w:rsidRPr="006E66B4">
          <w:rPr>
            <w:rStyle w:val="Hyperlink"/>
            <w:rFonts w:ascii="Arial" w:eastAsiaTheme="majorEastAsia" w:hAnsi="Arial" w:cs="Arial"/>
            <w:b/>
            <w:bCs/>
            <w:color w:val="14558F"/>
          </w:rPr>
          <w:t>: A Nonprofit Community Enterprise Inc.</w:t>
        </w:r>
      </w:hyperlink>
    </w:p>
    <w:p w14:paraId="3BE853C9" w14:textId="77777777" w:rsidR="00892E09" w:rsidRPr="006E66B4" w:rsidRDefault="00892E09" w:rsidP="00892E09">
      <w:pPr>
        <w:pStyle w:val="NormalWeb"/>
        <w:numPr>
          <w:ilvl w:val="0"/>
          <w:numId w:val="11"/>
        </w:numPr>
        <w:spacing w:before="0" w:beforeAutospacing="0" w:after="0" w:afterAutospacing="0"/>
        <w:rPr>
          <w:rFonts w:ascii="Arial" w:hAnsi="Arial" w:cs="Arial"/>
          <w:color w:val="141414"/>
        </w:rPr>
      </w:pPr>
      <w:hyperlink r:id="rId12" w:history="1">
        <w:r w:rsidRPr="006E66B4">
          <w:rPr>
            <w:rStyle w:val="Hyperlink"/>
            <w:rFonts w:ascii="Arial" w:eastAsiaTheme="majorEastAsia" w:hAnsi="Arial" w:cs="Arial"/>
            <w:b/>
            <w:bCs/>
            <w:color w:val="14558F"/>
          </w:rPr>
          <w:t>The Carroll Center for the Blind</w:t>
        </w:r>
      </w:hyperlink>
    </w:p>
    <w:p w14:paraId="5AE31B5D" w14:textId="77777777" w:rsidR="00892E09" w:rsidRPr="006E66B4" w:rsidRDefault="00892E09" w:rsidP="00892E09">
      <w:pPr>
        <w:pStyle w:val="NormalWeb"/>
        <w:numPr>
          <w:ilvl w:val="0"/>
          <w:numId w:val="11"/>
        </w:numPr>
        <w:spacing w:before="0" w:beforeAutospacing="0" w:after="0" w:afterAutospacing="0"/>
        <w:rPr>
          <w:rFonts w:ascii="Arial" w:hAnsi="Arial" w:cs="Arial"/>
          <w:color w:val="141414"/>
        </w:rPr>
      </w:pPr>
      <w:r w:rsidRPr="006E66B4">
        <w:rPr>
          <w:rFonts w:ascii="Arial" w:hAnsi="Arial" w:cs="Arial"/>
          <w:color w:val="141414"/>
        </w:rPr>
        <w:t>Viability</w:t>
      </w:r>
    </w:p>
    <w:p w14:paraId="195C6B2B" w14:textId="0EBFA30C" w:rsidR="006E66B4" w:rsidRPr="00892E09" w:rsidRDefault="00892E09" w:rsidP="00892E09">
      <w:pPr>
        <w:pStyle w:val="NormalWeb"/>
        <w:numPr>
          <w:ilvl w:val="0"/>
          <w:numId w:val="11"/>
        </w:numPr>
        <w:spacing w:before="0" w:beforeAutospacing="0" w:after="0" w:afterAutospacing="0"/>
        <w:rPr>
          <w:rFonts w:ascii="Arial" w:hAnsi="Arial" w:cs="Arial"/>
          <w:color w:val="141414"/>
        </w:rPr>
      </w:pPr>
      <w:hyperlink r:id="rId13" w:history="1">
        <w:r w:rsidRPr="006E66B4">
          <w:rPr>
            <w:rStyle w:val="Hyperlink"/>
            <w:rFonts w:ascii="Arial" w:eastAsiaTheme="majorEastAsia" w:hAnsi="Arial" w:cs="Arial"/>
            <w:b/>
            <w:bCs/>
            <w:color w:val="14558F"/>
          </w:rPr>
          <w:t>Work Opportunities Unlimited</w:t>
        </w:r>
      </w:hyperlink>
    </w:p>
    <w:sectPr w:rsidR="006E66B4" w:rsidRPr="00892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2C3"/>
    <w:multiLevelType w:val="multilevel"/>
    <w:tmpl w:val="B44C3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85F4B"/>
    <w:multiLevelType w:val="multilevel"/>
    <w:tmpl w:val="3B021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13347"/>
    <w:multiLevelType w:val="multilevel"/>
    <w:tmpl w:val="C7B88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27239"/>
    <w:multiLevelType w:val="multilevel"/>
    <w:tmpl w:val="A766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316A1"/>
    <w:multiLevelType w:val="multilevel"/>
    <w:tmpl w:val="AD2C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C6202"/>
    <w:multiLevelType w:val="hybridMultilevel"/>
    <w:tmpl w:val="471A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790A8D"/>
    <w:multiLevelType w:val="multilevel"/>
    <w:tmpl w:val="D0700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50EF2"/>
    <w:multiLevelType w:val="multilevel"/>
    <w:tmpl w:val="F6E8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F03B5"/>
    <w:multiLevelType w:val="multilevel"/>
    <w:tmpl w:val="DD549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317A6"/>
    <w:multiLevelType w:val="multilevel"/>
    <w:tmpl w:val="E77C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C21C7"/>
    <w:multiLevelType w:val="multilevel"/>
    <w:tmpl w:val="0164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623718">
    <w:abstractNumId w:val="4"/>
  </w:num>
  <w:num w:numId="2" w16cid:durableId="1875656693">
    <w:abstractNumId w:val="7"/>
  </w:num>
  <w:num w:numId="3" w16cid:durableId="597569126">
    <w:abstractNumId w:val="9"/>
  </w:num>
  <w:num w:numId="4" w16cid:durableId="1253204058">
    <w:abstractNumId w:val="1"/>
  </w:num>
  <w:num w:numId="5" w16cid:durableId="389572885">
    <w:abstractNumId w:val="0"/>
  </w:num>
  <w:num w:numId="6" w16cid:durableId="113446118">
    <w:abstractNumId w:val="2"/>
  </w:num>
  <w:num w:numId="7" w16cid:durableId="806360749">
    <w:abstractNumId w:val="8"/>
  </w:num>
  <w:num w:numId="8" w16cid:durableId="1400980917">
    <w:abstractNumId w:val="6"/>
  </w:num>
  <w:num w:numId="9" w16cid:durableId="603073968">
    <w:abstractNumId w:val="3"/>
  </w:num>
  <w:num w:numId="10" w16cid:durableId="1154176369">
    <w:abstractNumId w:val="10"/>
  </w:num>
  <w:num w:numId="11" w16cid:durableId="654837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B4"/>
    <w:rsid w:val="006E66B4"/>
    <w:rsid w:val="00892E09"/>
    <w:rsid w:val="00BC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EC9C"/>
  <w15:chartTrackingRefBased/>
  <w15:docId w15:val="{118BE32B-E929-4332-9C10-F64B26C3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6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6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6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6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6B4"/>
    <w:rPr>
      <w:rFonts w:eastAsiaTheme="majorEastAsia" w:cstheme="majorBidi"/>
      <w:color w:val="272727" w:themeColor="text1" w:themeTint="D8"/>
    </w:rPr>
  </w:style>
  <w:style w:type="paragraph" w:styleId="Title">
    <w:name w:val="Title"/>
    <w:basedOn w:val="Normal"/>
    <w:next w:val="Normal"/>
    <w:link w:val="TitleChar"/>
    <w:uiPriority w:val="10"/>
    <w:qFormat/>
    <w:rsid w:val="006E6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6B4"/>
    <w:pPr>
      <w:spacing w:before="160"/>
      <w:jc w:val="center"/>
    </w:pPr>
    <w:rPr>
      <w:i/>
      <w:iCs/>
      <w:color w:val="404040" w:themeColor="text1" w:themeTint="BF"/>
    </w:rPr>
  </w:style>
  <w:style w:type="character" w:customStyle="1" w:styleId="QuoteChar">
    <w:name w:val="Quote Char"/>
    <w:basedOn w:val="DefaultParagraphFont"/>
    <w:link w:val="Quote"/>
    <w:uiPriority w:val="29"/>
    <w:rsid w:val="006E66B4"/>
    <w:rPr>
      <w:i/>
      <w:iCs/>
      <w:color w:val="404040" w:themeColor="text1" w:themeTint="BF"/>
    </w:rPr>
  </w:style>
  <w:style w:type="paragraph" w:styleId="ListParagraph">
    <w:name w:val="List Paragraph"/>
    <w:basedOn w:val="Normal"/>
    <w:uiPriority w:val="34"/>
    <w:qFormat/>
    <w:rsid w:val="006E66B4"/>
    <w:pPr>
      <w:ind w:left="720"/>
      <w:contextualSpacing/>
    </w:pPr>
  </w:style>
  <w:style w:type="character" w:styleId="IntenseEmphasis">
    <w:name w:val="Intense Emphasis"/>
    <w:basedOn w:val="DefaultParagraphFont"/>
    <w:uiPriority w:val="21"/>
    <w:qFormat/>
    <w:rsid w:val="006E66B4"/>
    <w:rPr>
      <w:i/>
      <w:iCs/>
      <w:color w:val="0F4761" w:themeColor="accent1" w:themeShade="BF"/>
    </w:rPr>
  </w:style>
  <w:style w:type="paragraph" w:styleId="IntenseQuote">
    <w:name w:val="Intense Quote"/>
    <w:basedOn w:val="Normal"/>
    <w:next w:val="Normal"/>
    <w:link w:val="IntenseQuoteChar"/>
    <w:uiPriority w:val="30"/>
    <w:qFormat/>
    <w:rsid w:val="006E6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6B4"/>
    <w:rPr>
      <w:i/>
      <w:iCs/>
      <w:color w:val="0F4761" w:themeColor="accent1" w:themeShade="BF"/>
    </w:rPr>
  </w:style>
  <w:style w:type="character" w:styleId="IntenseReference">
    <w:name w:val="Intense Reference"/>
    <w:basedOn w:val="DefaultParagraphFont"/>
    <w:uiPriority w:val="32"/>
    <w:qFormat/>
    <w:rsid w:val="006E66B4"/>
    <w:rPr>
      <w:b/>
      <w:bCs/>
      <w:smallCaps/>
      <w:color w:val="0F4761" w:themeColor="accent1" w:themeShade="BF"/>
      <w:spacing w:val="5"/>
    </w:rPr>
  </w:style>
  <w:style w:type="character" w:styleId="Hyperlink">
    <w:name w:val="Hyperlink"/>
    <w:basedOn w:val="DefaultParagraphFont"/>
    <w:uiPriority w:val="99"/>
    <w:unhideWhenUsed/>
    <w:rsid w:val="006E66B4"/>
    <w:rPr>
      <w:color w:val="467886" w:themeColor="hyperlink"/>
      <w:u w:val="single"/>
    </w:rPr>
  </w:style>
  <w:style w:type="character" w:styleId="UnresolvedMention">
    <w:name w:val="Unresolved Mention"/>
    <w:basedOn w:val="DefaultParagraphFont"/>
    <w:uiPriority w:val="99"/>
    <w:semiHidden/>
    <w:unhideWhenUsed/>
    <w:rsid w:val="006E66B4"/>
    <w:rPr>
      <w:color w:val="605E5C"/>
      <w:shd w:val="clear" w:color="auto" w:fill="E1DFDD"/>
    </w:rPr>
  </w:style>
  <w:style w:type="paragraph" w:styleId="NormalWeb">
    <w:name w:val="Normal (Web)"/>
    <w:basedOn w:val="Normal"/>
    <w:uiPriority w:val="99"/>
    <w:unhideWhenUsed/>
    <w:rsid w:val="006E6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892E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615">
      <w:bodyDiv w:val="1"/>
      <w:marLeft w:val="0"/>
      <w:marRight w:val="0"/>
      <w:marTop w:val="0"/>
      <w:marBottom w:val="0"/>
      <w:divBdr>
        <w:top w:val="none" w:sz="0" w:space="0" w:color="auto"/>
        <w:left w:val="none" w:sz="0" w:space="0" w:color="auto"/>
        <w:bottom w:val="none" w:sz="0" w:space="0" w:color="auto"/>
        <w:right w:val="none" w:sz="0" w:space="0" w:color="auto"/>
      </w:divBdr>
    </w:div>
    <w:div w:id="113257055">
      <w:bodyDiv w:val="1"/>
      <w:marLeft w:val="0"/>
      <w:marRight w:val="0"/>
      <w:marTop w:val="0"/>
      <w:marBottom w:val="0"/>
      <w:divBdr>
        <w:top w:val="none" w:sz="0" w:space="0" w:color="auto"/>
        <w:left w:val="none" w:sz="0" w:space="0" w:color="auto"/>
        <w:bottom w:val="none" w:sz="0" w:space="0" w:color="auto"/>
        <w:right w:val="none" w:sz="0" w:space="0" w:color="auto"/>
      </w:divBdr>
    </w:div>
    <w:div w:id="136074943">
      <w:bodyDiv w:val="1"/>
      <w:marLeft w:val="0"/>
      <w:marRight w:val="0"/>
      <w:marTop w:val="0"/>
      <w:marBottom w:val="0"/>
      <w:divBdr>
        <w:top w:val="none" w:sz="0" w:space="0" w:color="auto"/>
        <w:left w:val="none" w:sz="0" w:space="0" w:color="auto"/>
        <w:bottom w:val="none" w:sz="0" w:space="0" w:color="auto"/>
        <w:right w:val="none" w:sz="0" w:space="0" w:color="auto"/>
      </w:divBdr>
    </w:div>
    <w:div w:id="342903489">
      <w:bodyDiv w:val="1"/>
      <w:marLeft w:val="0"/>
      <w:marRight w:val="0"/>
      <w:marTop w:val="0"/>
      <w:marBottom w:val="0"/>
      <w:divBdr>
        <w:top w:val="none" w:sz="0" w:space="0" w:color="auto"/>
        <w:left w:val="none" w:sz="0" w:space="0" w:color="auto"/>
        <w:bottom w:val="none" w:sz="0" w:space="0" w:color="auto"/>
        <w:right w:val="none" w:sz="0" w:space="0" w:color="auto"/>
      </w:divBdr>
      <w:divsChild>
        <w:div w:id="592006740">
          <w:marLeft w:val="0"/>
          <w:marRight w:val="0"/>
          <w:marTop w:val="0"/>
          <w:marBottom w:val="0"/>
          <w:divBdr>
            <w:top w:val="none" w:sz="0" w:space="0" w:color="auto"/>
            <w:left w:val="none" w:sz="0" w:space="0" w:color="auto"/>
            <w:bottom w:val="none" w:sz="0" w:space="0" w:color="auto"/>
            <w:right w:val="none" w:sz="0" w:space="0" w:color="auto"/>
          </w:divBdr>
          <w:divsChild>
            <w:div w:id="1490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3208">
      <w:bodyDiv w:val="1"/>
      <w:marLeft w:val="0"/>
      <w:marRight w:val="0"/>
      <w:marTop w:val="0"/>
      <w:marBottom w:val="0"/>
      <w:divBdr>
        <w:top w:val="none" w:sz="0" w:space="0" w:color="auto"/>
        <w:left w:val="none" w:sz="0" w:space="0" w:color="auto"/>
        <w:bottom w:val="none" w:sz="0" w:space="0" w:color="auto"/>
        <w:right w:val="none" w:sz="0" w:space="0" w:color="auto"/>
      </w:divBdr>
    </w:div>
    <w:div w:id="576676100">
      <w:bodyDiv w:val="1"/>
      <w:marLeft w:val="0"/>
      <w:marRight w:val="0"/>
      <w:marTop w:val="0"/>
      <w:marBottom w:val="0"/>
      <w:divBdr>
        <w:top w:val="none" w:sz="0" w:space="0" w:color="auto"/>
        <w:left w:val="none" w:sz="0" w:space="0" w:color="auto"/>
        <w:bottom w:val="none" w:sz="0" w:space="0" w:color="auto"/>
        <w:right w:val="none" w:sz="0" w:space="0" w:color="auto"/>
      </w:divBdr>
    </w:div>
    <w:div w:id="637346416">
      <w:bodyDiv w:val="1"/>
      <w:marLeft w:val="0"/>
      <w:marRight w:val="0"/>
      <w:marTop w:val="0"/>
      <w:marBottom w:val="0"/>
      <w:divBdr>
        <w:top w:val="none" w:sz="0" w:space="0" w:color="auto"/>
        <w:left w:val="none" w:sz="0" w:space="0" w:color="auto"/>
        <w:bottom w:val="none" w:sz="0" w:space="0" w:color="auto"/>
        <w:right w:val="none" w:sz="0" w:space="0" w:color="auto"/>
      </w:divBdr>
    </w:div>
    <w:div w:id="655768798">
      <w:bodyDiv w:val="1"/>
      <w:marLeft w:val="0"/>
      <w:marRight w:val="0"/>
      <w:marTop w:val="0"/>
      <w:marBottom w:val="0"/>
      <w:divBdr>
        <w:top w:val="none" w:sz="0" w:space="0" w:color="auto"/>
        <w:left w:val="none" w:sz="0" w:space="0" w:color="auto"/>
        <w:bottom w:val="none" w:sz="0" w:space="0" w:color="auto"/>
        <w:right w:val="none" w:sz="0" w:space="0" w:color="auto"/>
      </w:divBdr>
    </w:div>
    <w:div w:id="690227704">
      <w:bodyDiv w:val="1"/>
      <w:marLeft w:val="0"/>
      <w:marRight w:val="0"/>
      <w:marTop w:val="0"/>
      <w:marBottom w:val="0"/>
      <w:divBdr>
        <w:top w:val="none" w:sz="0" w:space="0" w:color="auto"/>
        <w:left w:val="none" w:sz="0" w:space="0" w:color="auto"/>
        <w:bottom w:val="none" w:sz="0" w:space="0" w:color="auto"/>
        <w:right w:val="none" w:sz="0" w:space="0" w:color="auto"/>
      </w:divBdr>
    </w:div>
    <w:div w:id="702285157">
      <w:bodyDiv w:val="1"/>
      <w:marLeft w:val="0"/>
      <w:marRight w:val="0"/>
      <w:marTop w:val="0"/>
      <w:marBottom w:val="0"/>
      <w:divBdr>
        <w:top w:val="none" w:sz="0" w:space="0" w:color="auto"/>
        <w:left w:val="none" w:sz="0" w:space="0" w:color="auto"/>
        <w:bottom w:val="none" w:sz="0" w:space="0" w:color="auto"/>
        <w:right w:val="none" w:sz="0" w:space="0" w:color="auto"/>
      </w:divBdr>
    </w:div>
    <w:div w:id="764229337">
      <w:bodyDiv w:val="1"/>
      <w:marLeft w:val="0"/>
      <w:marRight w:val="0"/>
      <w:marTop w:val="0"/>
      <w:marBottom w:val="0"/>
      <w:divBdr>
        <w:top w:val="none" w:sz="0" w:space="0" w:color="auto"/>
        <w:left w:val="none" w:sz="0" w:space="0" w:color="auto"/>
        <w:bottom w:val="none" w:sz="0" w:space="0" w:color="auto"/>
        <w:right w:val="none" w:sz="0" w:space="0" w:color="auto"/>
      </w:divBdr>
    </w:div>
    <w:div w:id="936445323">
      <w:bodyDiv w:val="1"/>
      <w:marLeft w:val="0"/>
      <w:marRight w:val="0"/>
      <w:marTop w:val="0"/>
      <w:marBottom w:val="0"/>
      <w:divBdr>
        <w:top w:val="none" w:sz="0" w:space="0" w:color="auto"/>
        <w:left w:val="none" w:sz="0" w:space="0" w:color="auto"/>
        <w:bottom w:val="none" w:sz="0" w:space="0" w:color="auto"/>
        <w:right w:val="none" w:sz="0" w:space="0" w:color="auto"/>
      </w:divBdr>
    </w:div>
    <w:div w:id="1002046586">
      <w:bodyDiv w:val="1"/>
      <w:marLeft w:val="0"/>
      <w:marRight w:val="0"/>
      <w:marTop w:val="0"/>
      <w:marBottom w:val="0"/>
      <w:divBdr>
        <w:top w:val="none" w:sz="0" w:space="0" w:color="auto"/>
        <w:left w:val="none" w:sz="0" w:space="0" w:color="auto"/>
        <w:bottom w:val="none" w:sz="0" w:space="0" w:color="auto"/>
        <w:right w:val="none" w:sz="0" w:space="0" w:color="auto"/>
      </w:divBdr>
    </w:div>
    <w:div w:id="1171407063">
      <w:bodyDiv w:val="1"/>
      <w:marLeft w:val="0"/>
      <w:marRight w:val="0"/>
      <w:marTop w:val="0"/>
      <w:marBottom w:val="0"/>
      <w:divBdr>
        <w:top w:val="none" w:sz="0" w:space="0" w:color="auto"/>
        <w:left w:val="none" w:sz="0" w:space="0" w:color="auto"/>
        <w:bottom w:val="none" w:sz="0" w:space="0" w:color="auto"/>
        <w:right w:val="none" w:sz="0" w:space="0" w:color="auto"/>
      </w:divBdr>
    </w:div>
    <w:div w:id="1256210889">
      <w:bodyDiv w:val="1"/>
      <w:marLeft w:val="0"/>
      <w:marRight w:val="0"/>
      <w:marTop w:val="0"/>
      <w:marBottom w:val="0"/>
      <w:divBdr>
        <w:top w:val="none" w:sz="0" w:space="0" w:color="auto"/>
        <w:left w:val="none" w:sz="0" w:space="0" w:color="auto"/>
        <w:bottom w:val="none" w:sz="0" w:space="0" w:color="auto"/>
        <w:right w:val="none" w:sz="0" w:space="0" w:color="auto"/>
      </w:divBdr>
    </w:div>
    <w:div w:id="1433476597">
      <w:bodyDiv w:val="1"/>
      <w:marLeft w:val="0"/>
      <w:marRight w:val="0"/>
      <w:marTop w:val="0"/>
      <w:marBottom w:val="0"/>
      <w:divBdr>
        <w:top w:val="none" w:sz="0" w:space="0" w:color="auto"/>
        <w:left w:val="none" w:sz="0" w:space="0" w:color="auto"/>
        <w:bottom w:val="none" w:sz="0" w:space="0" w:color="auto"/>
        <w:right w:val="none" w:sz="0" w:space="0" w:color="auto"/>
      </w:divBdr>
    </w:div>
    <w:div w:id="1727144089">
      <w:bodyDiv w:val="1"/>
      <w:marLeft w:val="0"/>
      <w:marRight w:val="0"/>
      <w:marTop w:val="0"/>
      <w:marBottom w:val="0"/>
      <w:divBdr>
        <w:top w:val="none" w:sz="0" w:space="0" w:color="auto"/>
        <w:left w:val="none" w:sz="0" w:space="0" w:color="auto"/>
        <w:bottom w:val="none" w:sz="0" w:space="0" w:color="auto"/>
        <w:right w:val="none" w:sz="0" w:space="0" w:color="auto"/>
      </w:divBdr>
    </w:div>
    <w:div w:id="1778451432">
      <w:bodyDiv w:val="1"/>
      <w:marLeft w:val="0"/>
      <w:marRight w:val="0"/>
      <w:marTop w:val="0"/>
      <w:marBottom w:val="0"/>
      <w:divBdr>
        <w:top w:val="none" w:sz="0" w:space="0" w:color="auto"/>
        <w:left w:val="none" w:sz="0" w:space="0" w:color="auto"/>
        <w:bottom w:val="none" w:sz="0" w:space="0" w:color="auto"/>
        <w:right w:val="none" w:sz="0" w:space="0" w:color="auto"/>
      </w:divBdr>
    </w:div>
    <w:div w:id="1963462885">
      <w:bodyDiv w:val="1"/>
      <w:marLeft w:val="0"/>
      <w:marRight w:val="0"/>
      <w:marTop w:val="0"/>
      <w:marBottom w:val="0"/>
      <w:divBdr>
        <w:top w:val="none" w:sz="0" w:space="0" w:color="auto"/>
        <w:left w:val="none" w:sz="0" w:space="0" w:color="auto"/>
        <w:bottom w:val="none" w:sz="0" w:space="0" w:color="auto"/>
        <w:right w:val="none" w:sz="0" w:space="0" w:color="auto"/>
      </w:divBdr>
    </w:div>
    <w:div w:id="2100322860">
      <w:bodyDiv w:val="1"/>
      <w:marLeft w:val="0"/>
      <w:marRight w:val="0"/>
      <w:marTop w:val="0"/>
      <w:marBottom w:val="0"/>
      <w:divBdr>
        <w:top w:val="none" w:sz="0" w:space="0" w:color="auto"/>
        <w:left w:val="none" w:sz="0" w:space="0" w:color="auto"/>
        <w:bottom w:val="none" w:sz="0" w:space="0" w:color="auto"/>
        <w:right w:val="none" w:sz="0" w:space="0" w:color="auto"/>
      </w:divBdr>
      <w:divsChild>
        <w:div w:id="976184767">
          <w:marLeft w:val="0"/>
          <w:marRight w:val="0"/>
          <w:marTop w:val="0"/>
          <w:marBottom w:val="0"/>
          <w:divBdr>
            <w:top w:val="none" w:sz="0" w:space="0" w:color="auto"/>
            <w:left w:val="none" w:sz="0" w:space="0" w:color="auto"/>
            <w:bottom w:val="none" w:sz="0" w:space="0" w:color="auto"/>
            <w:right w:val="none" w:sz="0" w:space="0" w:color="auto"/>
          </w:divBdr>
          <w:divsChild>
            <w:div w:id="13716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wellassociationfortheblind.org/" TargetMode="External"/><Relationship Id="rId13" Type="http://schemas.openxmlformats.org/officeDocument/2006/relationships/hyperlink" Target="https://workopportunities.net/" TargetMode="External"/><Relationship Id="rId3" Type="http://schemas.openxmlformats.org/officeDocument/2006/relationships/settings" Target="settings.xml"/><Relationship Id="rId7" Type="http://schemas.openxmlformats.org/officeDocument/2006/relationships/hyperlink" Target="https://adaptivesportsne.org/" TargetMode="External"/><Relationship Id="rId12" Type="http://schemas.openxmlformats.org/officeDocument/2006/relationships/hyperlink" Target="https://carro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Binfo@mass.gov" TargetMode="External"/><Relationship Id="rId11" Type="http://schemas.openxmlformats.org/officeDocument/2006/relationships/hyperlink" Target="https://resourcevt.org/" TargetMode="External"/><Relationship Id="rId5" Type="http://schemas.openxmlformats.org/officeDocument/2006/relationships/hyperlink" Target="https://www.dol.gov/agencies/eta/wioa" TargetMode="External"/><Relationship Id="rId15" Type="http://schemas.openxmlformats.org/officeDocument/2006/relationships/theme" Target="theme/theme1.xml"/><Relationship Id="rId10" Type="http://schemas.openxmlformats.org/officeDocument/2006/relationships/hyperlink" Target="https://www.perkins.org/" TargetMode="External"/><Relationship Id="rId4" Type="http://schemas.openxmlformats.org/officeDocument/2006/relationships/webSettings" Target="webSettings.xml"/><Relationship Id="rId9" Type="http://schemas.openxmlformats.org/officeDocument/2006/relationships/hyperlink" Target="https://www.py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1467</Words>
  <Characters>8367</Characters>
  <Application>Microsoft Office Word</Application>
  <DocSecurity>0</DocSecurity>
  <Lines>69</Lines>
  <Paragraphs>19</Paragraphs>
  <ScaleCrop>false</ScaleCrop>
  <Company>Commonwealth of Massachusetts</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Saccone, Michael G (MCB)</dc:creator>
  <cp:keywords/>
  <dc:description/>
  <cp:lastModifiedBy>Saccone, Michael G (MCB)</cp:lastModifiedBy>
  <cp:revision>1</cp:revision>
  <dcterms:created xsi:type="dcterms:W3CDTF">2025-04-07T14:23:00Z</dcterms:created>
  <dcterms:modified xsi:type="dcterms:W3CDTF">2025-04-07T14:33:00Z</dcterms:modified>
</cp:coreProperties>
</file>