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4BD90" w14:textId="2FA3166D" w:rsidR="00155A8F" w:rsidRDefault="00155A8F" w:rsidP="00B11E5B">
      <w:pPr>
        <w:jc w:val="center"/>
        <w:rPr>
          <w:rFonts w:asciiTheme="minorHAnsi" w:hAnsiTheme="minorHAnsi"/>
          <w:b/>
        </w:rPr>
      </w:pPr>
      <w:r>
        <w:rPr>
          <w:rFonts w:asciiTheme="minorHAnsi" w:hAnsiTheme="minorHAnsi"/>
          <w:b/>
          <w:noProof/>
        </w:rPr>
        <mc:AlternateContent>
          <mc:Choice Requires="wpg">
            <w:drawing>
              <wp:anchor distT="0" distB="0" distL="114300" distR="114300" simplePos="0" relativeHeight="251659264" behindDoc="0" locked="0" layoutInCell="1" allowOverlap="1" wp14:anchorId="327D6B89" wp14:editId="00D9A06D">
                <wp:simplePos x="0" y="0"/>
                <wp:positionH relativeFrom="column">
                  <wp:posOffset>-342900</wp:posOffset>
                </wp:positionH>
                <wp:positionV relativeFrom="paragraph">
                  <wp:posOffset>-195580</wp:posOffset>
                </wp:positionV>
                <wp:extent cx="6858000" cy="995045"/>
                <wp:effectExtent l="0" t="0" r="0" b="0"/>
                <wp:wrapThrough wrapText="bothSides">
                  <wp:wrapPolygon edited="0">
                    <wp:start x="0" y="0"/>
                    <wp:lineTo x="0" y="15438"/>
                    <wp:lineTo x="4720" y="17644"/>
                    <wp:lineTo x="4720" y="20952"/>
                    <wp:lineTo x="21520" y="20952"/>
                    <wp:lineTo x="21520" y="0"/>
                    <wp:lineTo x="0" y="0"/>
                  </wp:wrapPolygon>
                </wp:wrapThrough>
                <wp:docPr id="1" name="Group 1"/>
                <wp:cNvGraphicFramePr/>
                <a:graphic xmlns:a="http://schemas.openxmlformats.org/drawingml/2006/main">
                  <a:graphicData uri="http://schemas.microsoft.com/office/word/2010/wordprocessingGroup">
                    <wpg:wgp>
                      <wpg:cNvGrpSpPr/>
                      <wpg:grpSpPr>
                        <a:xfrm>
                          <a:off x="0" y="0"/>
                          <a:ext cx="6858000" cy="995045"/>
                          <a:chOff x="0" y="-1"/>
                          <a:chExt cx="6858000" cy="995045"/>
                        </a:xfrm>
                      </wpg:grpSpPr>
                      <wpg:grpSp>
                        <wpg:cNvPr id="7" name="Group 8"/>
                        <wpg:cNvGrpSpPr>
                          <a:grpSpLocks/>
                        </wpg:cNvGrpSpPr>
                        <wpg:grpSpPr bwMode="auto">
                          <a:xfrm>
                            <a:off x="0" y="0"/>
                            <a:ext cx="1686730" cy="709295"/>
                            <a:chOff x="870" y="1119"/>
                            <a:chExt cx="2794" cy="1117"/>
                          </a:xfrm>
                        </wpg:grpSpPr>
                        <wps:wsp>
                          <wps:cNvPr id="8" name="Text Box 9"/>
                          <wps:cNvSpPr txBox="1">
                            <a:spLocks noChangeArrowheads="1"/>
                          </wps:cNvSpPr>
                          <wps:spPr bwMode="auto">
                            <a:xfrm>
                              <a:off x="870" y="1119"/>
                              <a:ext cx="2794" cy="11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D8C15" w14:textId="77777777" w:rsidR="00F004C0" w:rsidRPr="0050348D" w:rsidRDefault="0018131C" w:rsidP="00155A8F">
                                <w:pPr>
                                  <w:rPr>
                                    <w:noProof/>
                                  </w:rPr>
                                </w:pPr>
                                <w:r>
                                  <w:rPr>
                                    <w:rFonts w:cs="Calibri"/>
                                    <w:i/>
                                    <w:smallCaps/>
                                    <w:color w:val="005DAA"/>
                                    <w:spacing w:val="34"/>
                                    <w:sz w:val="44"/>
                                    <w:szCs w:val="44"/>
                                  </w:rPr>
                                  <w:pict w14:anchorId="6B581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pt;height:49pt">
                                      <v:imagedata r:id="rId8" o:title="BSAS swossh copy"/>
                                    </v:shape>
                                  </w:pic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1500" y="1170"/>
                              <a:ext cx="1575" cy="7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2A5D7" w14:textId="77777777" w:rsidR="00F004C0" w:rsidRPr="00F74582" w:rsidRDefault="00F004C0" w:rsidP="00155A8F">
                                <w:pPr>
                                  <w:rPr>
                                    <w:noProof/>
                                    <w:sz w:val="52"/>
                                    <w:szCs w:val="52"/>
                                  </w:rPr>
                                </w:pPr>
                                <w:r w:rsidRPr="00F74582">
                                  <w:rPr>
                                    <w:rFonts w:cs="Calibri"/>
                                    <w:i/>
                                    <w:smallCaps/>
                                    <w:color w:val="005DAA"/>
                                    <w:spacing w:val="34"/>
                                    <w:sz w:val="52"/>
                                    <w:szCs w:val="52"/>
                                  </w:rPr>
                                  <w:t>BSAS</w:t>
                                </w:r>
                              </w:p>
                            </w:txbxContent>
                          </wps:txbx>
                          <wps:bodyPr rot="0" vert="horz" wrap="none" lIns="91440" tIns="45720" rIns="91440" bIns="45720" anchor="t" anchorCtr="0" upright="1">
                            <a:noAutofit/>
                          </wps:bodyPr>
                        </wps:wsp>
                      </wpg:grpSp>
                      <wps:wsp>
                        <wps:cNvPr id="10" name="Text Box 11"/>
                        <wps:cNvSpPr txBox="1">
                          <a:spLocks noChangeArrowheads="1"/>
                        </wps:cNvSpPr>
                        <wps:spPr bwMode="auto">
                          <a:xfrm>
                            <a:off x="1550035" y="-1"/>
                            <a:ext cx="5307965" cy="995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F15F1" w14:textId="1E937C9A" w:rsidR="00F004C0" w:rsidRPr="00155A8F" w:rsidRDefault="00F004C0" w:rsidP="00155A8F">
                              <w:pPr>
                                <w:pStyle w:val="Heading1"/>
                                <w:spacing w:before="0"/>
                                <w:rPr>
                                  <w:rFonts w:ascii="Calibri" w:hAnsi="Calibri" w:cs="Calibri"/>
                                  <w:i/>
                                  <w:smallCaps/>
                                  <w:color w:val="005DAA"/>
                                  <w:sz w:val="36"/>
                                  <w:szCs w:val="36"/>
                                </w:rPr>
                              </w:pPr>
                              <w:r w:rsidRPr="00155A8F">
                                <w:rPr>
                                  <w:rFonts w:ascii="Calibri" w:hAnsi="Calibri" w:cs="Calibri"/>
                                  <w:i/>
                                  <w:smallCaps/>
                                  <w:color w:val="005DAA"/>
                                  <w:sz w:val="36"/>
                                  <w:szCs w:val="36"/>
                                </w:rPr>
                                <w:t xml:space="preserve">Practice Guidance:  </w:t>
                              </w:r>
                              <w:r w:rsidRPr="00155A8F">
                                <w:rPr>
                                  <w:rFonts w:ascii="Calibri" w:hAnsi="Calibri" w:cs="Calibri"/>
                                  <w:i/>
                                  <w:smallCaps/>
                                  <w:color w:val="005DAA"/>
                                  <w:sz w:val="36"/>
                                  <w:szCs w:val="36"/>
                                </w:rPr>
                                <w:tab/>
                                <w:t>Serving Lesbian, Gay, Bisexual, Transgender, Queer and Questioning Youth &amp; Young Adults and Their Families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26.95pt;margin-top:-15.35pt;width:540pt;height:78.35pt;z-index:251659264;mso-width-relative:margin;mso-height-relative:margin" coordorigin=",-1" coordsize="6858000,9950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05qwaIDAABjDgAADgAAAGRycy9lMm9Eb2MueG1s7Fdtb9s2EP4+oP+B4HdHL5GsF0QpmqQOBmRb&#10;gXY/gJYoiahEaiQdOSv233ckJdlOsC7osLQF6g+yyCOPd8/dc0ddvN73HbqnUjHBCxyc+RhRXoqK&#10;8abAv3/YrFKMlCa8Ip3gtMAPVOHXl69+uhiHnIaiFV1FJQIlXOXjUOBW6yH3PFW2tCfqTAyUg7AW&#10;sicahrLxKklG0N53Xuj7a28UshqkKKlSMHvjhPjS6q9rWurf6lpRjboCg23aPqV9bs3Tu7wgeSPJ&#10;0LJyMoN8gRU9YRwOXVTdEE3QTrInqnpWSqFErc9K0XuirllJrQ/gTeA/8uZWit1gfWnysRkWmADa&#10;Rzh9sdry1/t3ErEKYocRJz2EyJ6KAgPNODQ5rLiVw/vhnZwmGjcy3u5r2Zt/8APtLagPC6h0r1EJ&#10;k+s0Tn0fsC9BlmWxH8UO9bKF0By2reyJJC/bt5/f6c3nesa8xZplsJg9OZacOpY+dcwFDny8E+VH&#10;BW5azQfHncbpJLQdfxEV4ER2WtiYPweFYJ2uk/MJhcTPwuwxCmkCUoAoCIJsBmhGIkyyyAEI0sRI&#10;/xEEoJE6ZIr6b5nyviUDtQmoTB5MgAKlXaZ8MDG+EntkDR4Hu8hkCtJ7mDY5ZaBVDlfExXVLeEPf&#10;SCnGlpIKrLNBB7iXrQZrBVtAyb8B/RSxOec+gxfJB6n0LRU9Mi8FllAjrJnk/k5pB+28xFovOlZt&#10;WNfZgWy2151E9wTqycb+pmio42UdN4u5MNucRjcD9sEZRmYstfXhUxaEkX8VZqvNOk1WUR3Fqyzx&#10;05UfZFfZ2o+y6GbzlzEwiPKWVRXld4zTuVYF0fMiPFVNV2VstUIj0DEOYxeiY+vVsZNAXcNe58WJ&#10;kz3TULo71hfYENwtIrkJ7FtewQaSa8I69+6dmm8TGDCY/y0qNg1M5F0O6P12D1pMOmxF9QAJIQXE&#10;C1gC/QZeWiH/xGiE2l1g9ceOSIpR9zOHpMqCKIJl2g6iOAlhII8l22MJ4SWoKrDGyL1ea9cgdoNk&#10;TQsnuTTm4g0wvmY2Rw5W2WphWeds/d/plz2hX2Djc0Sil+FfEJuybksW1C4b8JmAQZxCPzEVH2rd&#10;Sb36wT/f+374N90MnktDDne8r07Cw7XghQgJ9HvcEIPp+rS0tZdiJFDyPLaknO9TMyXjcz/J1iA7&#10;vYctF4kfxPzuiBmaynroRN9+f7TUhC8Z2/anry7zqXQ8tv308G14+TcAAAD//wMAUEsDBBQABgAI&#10;AAAAIQArpwKL4gAAAAwBAAAPAAAAZHJzL2Rvd25yZXYueG1sTI/BasMwDIbvg72D0WC31k5CszWL&#10;U0rZdiqDtoPRmxqrSWhsh9hN0refe9puv9DHr0/5atItG6h3jTUSorkARqa0qjGVhO/Dx+wVmPNo&#10;FLbWkIQbOVgVjw85ZsqOZkfD3lcslBiXoYTa+y7j3JU1aXRz25EJu7PtNfow9hVXPY6hXLc8FiLl&#10;GhsTLtTY0aam8rK/agmfI47rJHoftpfz5nY8LL5+thFJ+fw0rd+AeZr8Hwx3/aAORXA62atRjrUS&#10;ZotkGdAQEvEC7E6IOI2AnUKKUwG8yPn/J4pfAAAA//8DAFBLAQItABQABgAIAAAAIQDkmcPA+wAA&#10;AOEBAAATAAAAAAAAAAAAAAAAAAAAAABbQ29udGVudF9UeXBlc10ueG1sUEsBAi0AFAAGAAgAAAAh&#10;ACOyauHXAAAAlAEAAAsAAAAAAAAAAAAAAAAALAEAAF9yZWxzLy5yZWxzUEsBAi0AFAAGAAgAAAAh&#10;ADtOasGiAwAAYw4AAA4AAAAAAAAAAAAAAAAALAIAAGRycy9lMm9Eb2MueG1sUEsBAi0AFAAGAAgA&#10;AAAhACunAoviAAAADAEAAA8AAAAAAAAAAAAAAAAA+gUAAGRycy9kb3ducmV2LnhtbFBLBQYAAAAA&#10;BAAEAPMAAAAJBwAAAAA=&#10;">
                <v:group id="Group 8" o:spid="_x0000_s1027" style="position:absolute;width:1686730;height:709295" coordorigin="870,1119" coordsize="2794,111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type id="_x0000_t202" coordsize="21600,21600" o:spt="202" path="m0,0l0,21600,21600,21600,21600,0xe">
                    <v:stroke joinstyle="miter"/>
                    <v:path gradientshapeok="t" o:connecttype="rect"/>
                  </v:shapetype>
                  <v:shape id="Text Box 9" o:spid="_x0000_s1028" type="#_x0000_t202" style="position:absolute;left:870;top:1119;width:2794;height:111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dDpSuwAA&#10;ANoAAAAPAAAAZHJzL2Rvd25yZXYueG1sRE9LCsIwEN0L3iGM4EY0VfxWo6iguPVzgLEZ22IzKU20&#10;9fZmIbh8vP9q05hCvKlyuWUFw0EEgjixOudUwe166M9BOI+ssbBMCj7kYLNut1YYa1vzmd4Xn4oQ&#10;wi5GBZn3ZSylSzIy6Aa2JA7cw1YGfYBVKnWFdQg3hRxF0VQazDk0ZFjSPqPkeXkZBY9T3Zss6vvR&#10;32bn8XSH+exuP0p1O812CcJT4//in/ukFYSt4Uq4AXL9BQAA//8DAFBLAQItABQABgAIAAAAIQAy&#10;PL0++wAAAOIBAAATAAAAAAAAAAAAAAAAAAAAAABbQ29udGVudF9UeXBlc10ueG1sUEsBAi0AFAAG&#10;AAgAAAAhAKqLXQ3TAAAAjwEAAAsAAAAAAAAAAAAAAAAALAEAAF9yZWxzLy5yZWxzUEsBAi0AFAAG&#10;AAgAAAAhADMvBZ5BAAAAOQAAABAAAAAAAAAAAAAAAAAAKAIAAGRycy9zaGFwZXhtbC54bWxQSwEC&#10;LQAUAAYACAAAACEASHQ6UrsAAADaAAAADwAAAAAAAAAAAAAAAACXAgAAZHJzL2Rvd25yZXYueG1s&#10;UEsFBgAAAAAEAAQA9QAAAH8DAAAAAA==&#10;" stroked="f">
                    <v:textbox>
                      <w:txbxContent>
                        <w:p w14:paraId="2E6D8C15" w14:textId="77777777" w:rsidR="00F004C0" w:rsidRPr="0050348D" w:rsidRDefault="00F004C0" w:rsidP="00155A8F">
                          <w:pPr>
                            <w:rPr>
                              <w:noProof/>
                            </w:rPr>
                          </w:pPr>
                          <w:r>
                            <w:rPr>
                              <w:rFonts w:cs="Calibri"/>
                              <w:i/>
                              <w:smallCaps/>
                              <w:color w:val="005DAA"/>
                              <w:spacing w:val="34"/>
                              <w:sz w:val="44"/>
                              <w:szCs w:val="44"/>
                            </w:rPr>
                            <w:pict w14:anchorId="6B581D6B">
                              <v:shape id="_x0000_i1026" type="#_x0000_t75" style="width:125pt;height:49pt">
                                <v:imagedata r:id="rId9" o:title="BSAS swossh copy"/>
                              </v:shape>
                            </w:pict>
                          </w:r>
                        </w:p>
                      </w:txbxContent>
                    </v:textbox>
                  </v:shape>
                  <v:shape id="Text Box 10" o:spid="_x0000_s1029" type="#_x0000_t202" style="position:absolute;left:1500;top:1170;width:1581;height:709;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SZY3wQAA&#10;ANoAAAAPAAAAZHJzL2Rvd25yZXYueG1sRI9PawIxFMTvBb9DeIK3mlWw2K1RpCII4sE/0Osjed0s&#10;bl62m6jx2zeC4HGYmd8ws0VyjbhSF2rPCkbDAgSx9qbmSsHpuH6fgggR2WDjmRTcKcBi3nubYWn8&#10;jfd0PcRKZAiHEhXYGNtSyqAtOQxD3xJn79d3DmOWXSVNh7cMd40cF8WHdFhzXrDY0rclfT5cnII/&#10;Wu2WP5OT1us02e60NdtpMkoN+mn5BSJSiq/ws70xCj7hcSXfADn/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EmWN8EAAADaAAAADwAAAAAAAAAAAAAAAACXAgAAZHJzL2Rvd25y&#10;ZXYueG1sUEsFBgAAAAAEAAQA9QAAAIUDAAAAAA==&#10;" stroked="f">
                    <v:textbox>
                      <w:txbxContent>
                        <w:p w14:paraId="1752A5D7" w14:textId="77777777" w:rsidR="00F004C0" w:rsidRPr="00F74582" w:rsidRDefault="00F004C0" w:rsidP="00155A8F">
                          <w:pPr>
                            <w:rPr>
                              <w:noProof/>
                              <w:sz w:val="52"/>
                              <w:szCs w:val="52"/>
                            </w:rPr>
                          </w:pPr>
                          <w:r w:rsidRPr="00F74582">
                            <w:rPr>
                              <w:rFonts w:cs="Calibri"/>
                              <w:i/>
                              <w:smallCaps/>
                              <w:color w:val="005DAA"/>
                              <w:spacing w:val="34"/>
                              <w:sz w:val="52"/>
                              <w:szCs w:val="52"/>
                            </w:rPr>
                            <w:t>BSAS</w:t>
                          </w:r>
                        </w:p>
                      </w:txbxContent>
                    </v:textbox>
                  </v:shape>
                </v:group>
                <v:shape id="_x0000_s1030" type="#_x0000_t202" style="position:absolute;left:1550035;top:-1;width:5307965;height:9950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Yft9wgAA&#10;ANsAAAAPAAAAZHJzL2Rvd25yZXYueG1sRI/NbsJADITvSH2HlSv1gmDTit/AglokEFd+HsBkTRKR&#10;9UbZLQlvjw9I3GzNeObzct25St2pCaVnA9/DBBRx5m3JuYHzaTuYgQoR2WLlmQw8KMB69dFbYmp9&#10;ywe6H2OuJIRDigaKGOtU65AV5DAMfU0s2tU3DqOsTa5tg62Eu0r/JMlEOyxZGgqsaVNQdjv+OwPX&#10;fdsfz9vLLp6nh9HkD8vpxT+M+frsfhegInXxbX5d763gC738IgPo1R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1h+33CAAAA2wAAAA8AAAAAAAAAAAAAAAAAlwIAAGRycy9kb3du&#10;cmV2LnhtbFBLBQYAAAAABAAEAPUAAACGAwAAAAA=&#10;" stroked="f">
                  <v:textbox>
                    <w:txbxContent>
                      <w:p w14:paraId="13AF15F1" w14:textId="1E937C9A" w:rsidR="00F004C0" w:rsidRPr="00155A8F" w:rsidRDefault="00F004C0" w:rsidP="00155A8F">
                        <w:pPr>
                          <w:pStyle w:val="Heading1"/>
                          <w:spacing w:before="0"/>
                          <w:rPr>
                            <w:rFonts w:ascii="Calibri" w:hAnsi="Calibri" w:cs="Calibri"/>
                            <w:i/>
                            <w:smallCaps/>
                            <w:color w:val="005DAA"/>
                            <w:sz w:val="36"/>
                            <w:szCs w:val="36"/>
                          </w:rPr>
                        </w:pPr>
                        <w:r w:rsidRPr="00155A8F">
                          <w:rPr>
                            <w:rFonts w:ascii="Calibri" w:hAnsi="Calibri" w:cs="Calibri"/>
                            <w:i/>
                            <w:smallCaps/>
                            <w:color w:val="005DAA"/>
                            <w:sz w:val="36"/>
                            <w:szCs w:val="36"/>
                          </w:rPr>
                          <w:t xml:space="preserve">Practice Guidance:  </w:t>
                        </w:r>
                        <w:r w:rsidRPr="00155A8F">
                          <w:rPr>
                            <w:rFonts w:ascii="Calibri" w:hAnsi="Calibri" w:cs="Calibri"/>
                            <w:i/>
                            <w:smallCaps/>
                            <w:color w:val="005DAA"/>
                            <w:sz w:val="36"/>
                            <w:szCs w:val="36"/>
                          </w:rPr>
                          <w:tab/>
                          <w:t>Serving Lesbian, Gay, Bisexual, Transgender, Queer and Questioning Youth &amp; Young Adults and Their Families</w:t>
                        </w:r>
                      </w:p>
                    </w:txbxContent>
                  </v:textbox>
                </v:shape>
                <w10:wrap type="through"/>
              </v:group>
            </w:pict>
          </mc:Fallback>
        </mc:AlternateContent>
      </w:r>
    </w:p>
    <w:p w14:paraId="72315FBC" w14:textId="018CB620" w:rsidR="00CC2F0B" w:rsidRPr="003A7CD3" w:rsidRDefault="00AA4FF9" w:rsidP="00E514C4">
      <w:pPr>
        <w:spacing w:before="240" w:after="120"/>
        <w:rPr>
          <w:rFonts w:asciiTheme="minorHAnsi" w:hAnsiTheme="minorHAnsi"/>
        </w:rPr>
      </w:pPr>
      <w:r>
        <w:rPr>
          <w:rFonts w:asciiTheme="minorHAnsi" w:hAnsiTheme="minorHAnsi"/>
          <w:b/>
          <w:noProof/>
        </w:rPr>
        <mc:AlternateContent>
          <mc:Choice Requires="wps">
            <w:drawing>
              <wp:anchor distT="0" distB="0" distL="114300" distR="114300" simplePos="0" relativeHeight="251661312" behindDoc="0" locked="0" layoutInCell="1" allowOverlap="1" wp14:anchorId="0CC3AFC7" wp14:editId="37EC22DB">
                <wp:simplePos x="0" y="0"/>
                <wp:positionH relativeFrom="column">
                  <wp:posOffset>-19685</wp:posOffset>
                </wp:positionH>
                <wp:positionV relativeFrom="paragraph">
                  <wp:posOffset>160655</wp:posOffset>
                </wp:positionV>
                <wp:extent cx="934085" cy="277495"/>
                <wp:effectExtent l="76200" t="50800" r="56515" b="103505"/>
                <wp:wrapThrough wrapText="bothSides">
                  <wp:wrapPolygon edited="0">
                    <wp:start x="-1762" y="-3954"/>
                    <wp:lineTo x="-1762" y="27680"/>
                    <wp:lineTo x="22320" y="27680"/>
                    <wp:lineTo x="22320" y="-3954"/>
                    <wp:lineTo x="-1762" y="-3954"/>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561ABF9" w14:textId="77777777" w:rsidR="00F004C0" w:rsidRDefault="00F004C0" w:rsidP="00AA4FF9">
                            <w:pPr>
                              <w:rPr>
                                <w:smallCaps/>
                                <w:color w:val="005DAA"/>
                                <w:sz w:val="24"/>
                                <w:szCs w:val="24"/>
                              </w:rPr>
                            </w:pPr>
                            <w:r>
                              <w:rPr>
                                <w:smallCaps/>
                                <w:color w:val="005DAA"/>
                                <w:sz w:val="24"/>
                                <w:szCs w:val="24"/>
                              </w:rPr>
                              <w:t>I.  Rationale</w:t>
                            </w:r>
                            <w:r>
                              <w:rPr>
                                <w:color w:val="005DAA"/>
                                <w:sz w:val="24"/>
                                <w:szCs w:val="24"/>
                              </w:rPr>
                              <w:t>:</w:t>
                            </w:r>
                            <w: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5pt;margin-top:12.65pt;width:73.55pt;height:21.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4kc94CAADMBQAADgAAAGRycy9lMm9Eb2MueG1srFTbbtswDH0fsH8Q9J76EiexjTpFmyzDgO6C&#10;pcOeFUuOhcmSISmxu2H/PkqO03TFgGGYHwxRoo4OyUNe3/SNQEemDVeywNFViBGTpaJc7gv85WEz&#10;STEylkhKhJKswI/M4Jvl61fXXZuzWNVKUKYRgEiTd22Ba2vbPAhMWbOGmCvVMgmHldINsWDqfUA1&#10;6QC9EUEchvOgU5q2WpXMGNhdD4d46fGripX2Y1UZZpEoMHCz/q/9f+f+wfKa5HtN2pqXJxrkH1g0&#10;hEt49Ay1Jpagg+YvoBpeamVUZa9K1QSqqnjJfAwQTRT+Fs22Ji3zsUByTHtOk/l/sOWH4yeNOIXa&#10;RRhJ0kCNHlhv0Z3qEWxBfrrW5OC2bcHR9rAPvj5W096r8ptBUq1qIvfsVmvV1YxQ4OdvBhdXBxzj&#10;QHbde0XhHXKwygP1lW5c8iAdCNChTo/n2jguJWxm0yRMZxiVcBQvFkk2c9wCko+XW23sW6Ya5BYF&#10;1lB6D06O98YOrqOLe8sowemGC+ENvd+thEZHAjLZ+O+E/sxNSOcslbs2IA47zAsNnvFBHCzT25p2&#10;aCcO+jOB1M6nsxCCotwRi7NFOnUGqHCeRUkSxhgRsYf2Ka3GSCv7ldva195l4QW/dL1aTDdDbKKt&#10;ycAaMpKlI+khHJ8eNdLx1jOmkNoTZ5dkr9YfWRQn4V2cTTbzdDFJqmQ2yRZhOgmj7C6bh0mWrDc/&#10;3dtRktecUibvuWRj50TJ3ynz1MOD5n3voA5KPItnQ7h/rE3ovzHMS7eGQ9qR4E2B07MTyZ0c30gK&#10;1SK5JVwM6+A5/SE1PZQP9DRmxYvX6XVQru13ve+TqXvdCXun6COoGerlJQtDEBa10t8x6mCgFFjC&#10;xMNIvJPQD77QMH+8kcwWMehBX57sLk+ILAGowBaU4ZcrO8ysQ6v5voZ3xg68hR7acK/vJ04QhzNg&#10;ZPiITuPNzaRL23s9DeHlLwAAAP//AwBQSwMEFAAGAAgAAAAhAI+OXareAAAACAEAAA8AAABkcnMv&#10;ZG93bnJldi54bWxMj81OwzAQhO9IvIO1SNxap78qIZsKIUXiQA+UIjhukiWJiNdR7Lbm7XFP5Tia&#10;0cw32TaYXp14dJ0VhNk0AcVS2bqTBuHwXkw2oJwnqam3wgi/7GCb395klNb2LG982vtGxRJxKSG0&#10;3g+p1q5q2ZCb2oElet92NOSjHBtdj3SO5abX8yRZa0OdxIWWBn5uufrZHw2CqcwhCG1ei6ZYhd3w&#10;+VWUHy+I93fh6RGU5+CvYbjgR3TII1Npj1I71SNMFvGKR5ivFqAu/nI5A1UirB8S0Hmm/x/I/wAA&#10;AP//AwBQSwECLQAUAAYACAAAACEA5JnDwPsAAADhAQAAEwAAAAAAAAAAAAAAAAAAAAAAW0NvbnRl&#10;bnRfVHlwZXNdLnhtbFBLAQItABQABgAIAAAAIQAjsmrh1wAAAJQBAAALAAAAAAAAAAAAAAAAACwB&#10;AABfcmVscy8ucmVsc1BLAQItABQABgAIAAAAIQC2viRz3gIAAMwFAAAOAAAAAAAAAAAAAAAAACwC&#10;AABkcnMvZTJvRG9jLnhtbFBLAQItABQABgAIAAAAIQCPjl2q3gAAAAgBAAAPAAAAAAAAAAAAAAAA&#10;ADYFAABkcnMvZG93bnJldi54bWxQSwUGAAAAAAQABADzAAAAQQYAAAAA&#10;" stroked="f">
                <v:shadow on="t" color="#8dc73f" opacity="49150f" offset="-1pt"/>
                <v:textbox style="mso-fit-shape-to-text:t">
                  <w:txbxContent>
                    <w:p w14:paraId="2561ABF9" w14:textId="77777777" w:rsidR="00F004C0" w:rsidRDefault="00F004C0" w:rsidP="00AA4FF9">
                      <w:pPr>
                        <w:rPr>
                          <w:smallCaps/>
                          <w:color w:val="005DAA"/>
                          <w:sz w:val="24"/>
                          <w:szCs w:val="24"/>
                        </w:rPr>
                      </w:pPr>
                      <w:r>
                        <w:rPr>
                          <w:smallCaps/>
                          <w:color w:val="005DAA"/>
                          <w:sz w:val="24"/>
                          <w:szCs w:val="24"/>
                        </w:rPr>
                        <w:t>I.  Rationale</w:t>
                      </w:r>
                      <w:r>
                        <w:rPr>
                          <w:color w:val="005DAA"/>
                          <w:sz w:val="24"/>
                          <w:szCs w:val="24"/>
                        </w:rPr>
                        <w:t>:</w:t>
                      </w:r>
                      <w:r>
                        <w:t xml:space="preserve">  </w:t>
                      </w:r>
                    </w:p>
                  </w:txbxContent>
                </v:textbox>
                <w10:wrap type="through"/>
              </v:shape>
            </w:pict>
          </mc:Fallback>
        </mc:AlternateContent>
      </w:r>
      <w:r w:rsidR="00CC2F0B" w:rsidRPr="003A7CD3">
        <w:rPr>
          <w:rFonts w:asciiTheme="minorHAnsi" w:hAnsiTheme="minorHAnsi"/>
        </w:rPr>
        <w:t xml:space="preserve">BSAS is committed to equality in treatment services regardless of sexual orientation or gender identity. </w:t>
      </w:r>
      <w:r w:rsidR="00110268" w:rsidRPr="003A7CD3">
        <w:rPr>
          <w:rFonts w:asciiTheme="minorHAnsi" w:hAnsiTheme="minorHAnsi"/>
        </w:rPr>
        <w:t>As embodied in BSAS Principles of Care</w:t>
      </w:r>
      <w:r w:rsidR="00110268" w:rsidRPr="003A7CD3">
        <w:rPr>
          <w:rStyle w:val="FootnoteReference"/>
          <w:rFonts w:asciiTheme="minorHAnsi" w:hAnsiTheme="minorHAnsi"/>
          <w:b/>
        </w:rPr>
        <w:footnoteReference w:id="1"/>
      </w:r>
      <w:r w:rsidR="00110268" w:rsidRPr="003A7CD3">
        <w:rPr>
          <w:rFonts w:asciiTheme="minorHAnsi" w:hAnsiTheme="minorHAnsi"/>
        </w:rPr>
        <w:t xml:space="preserve"> and Massachusetts law,</w:t>
      </w:r>
      <w:r w:rsidR="00110268" w:rsidRPr="003A7CD3">
        <w:rPr>
          <w:rStyle w:val="FootnoteReference"/>
          <w:rFonts w:asciiTheme="minorHAnsi" w:hAnsiTheme="minorHAnsi"/>
        </w:rPr>
        <w:footnoteReference w:id="2"/>
      </w:r>
      <w:r w:rsidR="0092306A" w:rsidRPr="003A7CD3">
        <w:rPr>
          <w:rFonts w:asciiTheme="minorHAnsi" w:hAnsiTheme="minorHAnsi"/>
        </w:rPr>
        <w:t xml:space="preserve"> access</w:t>
      </w:r>
      <w:r w:rsidR="00CC2F0B" w:rsidRPr="003A7CD3">
        <w:rPr>
          <w:rFonts w:asciiTheme="minorHAnsi" w:hAnsiTheme="minorHAnsi"/>
        </w:rPr>
        <w:t xml:space="preserve"> to and quality of treatment services </w:t>
      </w:r>
      <w:r w:rsidR="00110268" w:rsidRPr="003A7CD3">
        <w:rPr>
          <w:rFonts w:asciiTheme="minorHAnsi" w:hAnsiTheme="minorHAnsi"/>
        </w:rPr>
        <w:t>may</w:t>
      </w:r>
      <w:r w:rsidR="00CC2F0B" w:rsidRPr="003A7CD3">
        <w:rPr>
          <w:rFonts w:asciiTheme="minorHAnsi" w:hAnsiTheme="minorHAnsi"/>
        </w:rPr>
        <w:t xml:space="preserve"> not vary because of the individual’s gender, sexual orientation or </w:t>
      </w:r>
      <w:r w:rsidR="00EE67B6" w:rsidRPr="003A7CD3">
        <w:rPr>
          <w:rFonts w:asciiTheme="minorHAnsi" w:hAnsiTheme="minorHAnsi"/>
        </w:rPr>
        <w:t>gender identity</w:t>
      </w:r>
      <w:r w:rsidR="005145E2" w:rsidRPr="003A7CD3">
        <w:rPr>
          <w:rFonts w:asciiTheme="minorHAnsi" w:hAnsiTheme="minorHAnsi"/>
        </w:rPr>
        <w:t xml:space="preserve">. </w:t>
      </w:r>
      <w:r w:rsidR="006D1E13" w:rsidRPr="003A7CD3">
        <w:rPr>
          <w:rFonts w:asciiTheme="minorHAnsi" w:hAnsiTheme="minorHAnsi"/>
        </w:rPr>
        <w:t xml:space="preserve">Treatment services should </w:t>
      </w:r>
      <w:r w:rsidR="00C1262A" w:rsidRPr="003A7CD3">
        <w:rPr>
          <w:rFonts w:asciiTheme="minorHAnsi" w:hAnsiTheme="minorHAnsi"/>
        </w:rPr>
        <w:t>be attuned to</w:t>
      </w:r>
      <w:r w:rsidR="00031E4C" w:rsidRPr="003A7CD3">
        <w:rPr>
          <w:rFonts w:asciiTheme="minorHAnsi" w:hAnsiTheme="minorHAnsi"/>
        </w:rPr>
        <w:t xml:space="preserve"> individual life stage, i.e. developmental stage rather than chronological age, recognizing</w:t>
      </w:r>
      <w:r w:rsidR="006D1E13" w:rsidRPr="003A7CD3">
        <w:rPr>
          <w:rFonts w:asciiTheme="minorHAnsi" w:hAnsiTheme="minorHAnsi"/>
        </w:rPr>
        <w:t xml:space="preserve"> that life stage and experience can affect v</w:t>
      </w:r>
      <w:r w:rsidR="00031E4C" w:rsidRPr="003A7CD3">
        <w:rPr>
          <w:rFonts w:asciiTheme="minorHAnsi" w:hAnsiTheme="minorHAnsi"/>
        </w:rPr>
        <w:t>ulnerability to substance abuse.</w:t>
      </w:r>
      <w:r w:rsidR="006D1E13" w:rsidRPr="003A7CD3">
        <w:rPr>
          <w:rFonts w:asciiTheme="minorHAnsi" w:hAnsiTheme="minorHAnsi"/>
        </w:rPr>
        <w:t xml:space="preserve"> To that end, </w:t>
      </w:r>
      <w:r w:rsidR="00EE67B6" w:rsidRPr="003A7CD3">
        <w:rPr>
          <w:rFonts w:asciiTheme="minorHAnsi" w:hAnsiTheme="minorHAnsi"/>
        </w:rPr>
        <w:t xml:space="preserve">BSAS </w:t>
      </w:r>
      <w:r w:rsidR="00CC2F0B" w:rsidRPr="003A7CD3">
        <w:rPr>
          <w:rFonts w:asciiTheme="minorHAnsi" w:hAnsiTheme="minorHAnsi"/>
        </w:rPr>
        <w:t>is committed to building a comprehensive, effective system of care for youth</w:t>
      </w:r>
      <w:r w:rsidR="00EE67B6" w:rsidRPr="003A7CD3">
        <w:rPr>
          <w:rFonts w:asciiTheme="minorHAnsi" w:hAnsiTheme="minorHAnsi"/>
        </w:rPr>
        <w:t xml:space="preserve"> and young adults</w:t>
      </w:r>
      <w:r w:rsidR="00CC2F0B" w:rsidRPr="003A7CD3">
        <w:rPr>
          <w:rFonts w:asciiTheme="minorHAnsi" w:hAnsiTheme="minorHAnsi"/>
        </w:rPr>
        <w:t xml:space="preserve"> and their families, in which programs and services </w:t>
      </w:r>
      <w:r w:rsidR="00FA36D5" w:rsidRPr="003A7CD3">
        <w:rPr>
          <w:rFonts w:asciiTheme="minorHAnsi" w:hAnsiTheme="minorHAnsi"/>
        </w:rPr>
        <w:t xml:space="preserve">are tailored to the developmental status, </w:t>
      </w:r>
      <w:r w:rsidR="00CC2F0B" w:rsidRPr="003A7CD3">
        <w:rPr>
          <w:rFonts w:asciiTheme="minorHAnsi" w:hAnsiTheme="minorHAnsi"/>
        </w:rPr>
        <w:t xml:space="preserve">resources </w:t>
      </w:r>
      <w:r w:rsidR="00FA36D5" w:rsidRPr="003A7CD3">
        <w:rPr>
          <w:rFonts w:asciiTheme="minorHAnsi" w:hAnsiTheme="minorHAnsi"/>
        </w:rPr>
        <w:t>and needs of the individual.</w:t>
      </w:r>
      <w:r w:rsidR="005145E2" w:rsidRPr="003A7CD3">
        <w:rPr>
          <w:rStyle w:val="EndnoteReference"/>
          <w:rFonts w:asciiTheme="minorHAnsi" w:hAnsiTheme="minorHAnsi"/>
        </w:rPr>
        <w:endnoteReference w:id="1"/>
      </w:r>
      <w:r w:rsidR="00C1262A" w:rsidRPr="003A7CD3">
        <w:rPr>
          <w:rFonts w:asciiTheme="minorHAnsi" w:hAnsiTheme="minorHAnsi"/>
        </w:rPr>
        <w:t xml:space="preserve"> </w:t>
      </w:r>
      <w:r w:rsidR="006608F9" w:rsidRPr="003A7CD3">
        <w:rPr>
          <w:rFonts w:asciiTheme="minorHAnsi" w:hAnsiTheme="minorHAnsi"/>
        </w:rPr>
        <w:t>Care</w:t>
      </w:r>
      <w:r w:rsidR="00C1262A" w:rsidRPr="003A7CD3">
        <w:rPr>
          <w:rFonts w:asciiTheme="minorHAnsi" w:hAnsiTheme="minorHAnsi"/>
        </w:rPr>
        <w:t xml:space="preserve"> must be safe, and safety must be evident.</w:t>
      </w:r>
    </w:p>
    <w:p w14:paraId="5087AE21" w14:textId="5AA61382" w:rsidR="00420622" w:rsidRPr="003A7CD3" w:rsidRDefault="00FA36D5" w:rsidP="00CE608F">
      <w:pPr>
        <w:spacing w:after="120"/>
        <w:ind w:firstLine="720"/>
        <w:rPr>
          <w:rFonts w:asciiTheme="minorHAnsi" w:hAnsiTheme="minorHAnsi"/>
        </w:rPr>
      </w:pPr>
      <w:r w:rsidRPr="003A7CD3">
        <w:rPr>
          <w:rFonts w:asciiTheme="minorHAnsi" w:hAnsiTheme="minorHAnsi"/>
        </w:rPr>
        <w:t>These principles req</w:t>
      </w:r>
      <w:r w:rsidR="006D1E13" w:rsidRPr="003A7CD3">
        <w:rPr>
          <w:rFonts w:asciiTheme="minorHAnsi" w:hAnsiTheme="minorHAnsi"/>
        </w:rPr>
        <w:t xml:space="preserve">uire </w:t>
      </w:r>
      <w:r w:rsidR="00C1262A" w:rsidRPr="003A7CD3">
        <w:rPr>
          <w:rFonts w:asciiTheme="minorHAnsi" w:hAnsiTheme="minorHAnsi"/>
        </w:rPr>
        <w:t xml:space="preserve">us to pay </w:t>
      </w:r>
      <w:r w:rsidR="006D1E13" w:rsidRPr="003A7CD3">
        <w:rPr>
          <w:rFonts w:asciiTheme="minorHAnsi" w:hAnsiTheme="minorHAnsi"/>
        </w:rPr>
        <w:t xml:space="preserve">particular attention </w:t>
      </w:r>
      <w:r w:rsidR="00C1262A" w:rsidRPr="003A7CD3">
        <w:rPr>
          <w:rFonts w:asciiTheme="minorHAnsi" w:hAnsiTheme="minorHAnsi"/>
        </w:rPr>
        <w:t xml:space="preserve">to </w:t>
      </w:r>
      <w:r w:rsidRPr="003A7CD3">
        <w:rPr>
          <w:rFonts w:asciiTheme="minorHAnsi" w:hAnsiTheme="minorHAnsi"/>
        </w:rPr>
        <w:t>treatment services for lesbian, gay, bi-sexual, transgender and queer or questioning</w:t>
      </w:r>
      <w:r w:rsidR="00031E4C" w:rsidRPr="003A7CD3">
        <w:rPr>
          <w:rStyle w:val="FootnoteReference"/>
          <w:rFonts w:asciiTheme="minorHAnsi" w:hAnsiTheme="minorHAnsi"/>
        </w:rPr>
        <w:footnoteReference w:id="3"/>
      </w:r>
      <w:r w:rsidRPr="003A7CD3">
        <w:rPr>
          <w:rFonts w:asciiTheme="minorHAnsi" w:hAnsiTheme="minorHAnsi"/>
        </w:rPr>
        <w:t xml:space="preserve"> youth</w:t>
      </w:r>
      <w:r w:rsidR="00E049A6" w:rsidRPr="003A7CD3">
        <w:rPr>
          <w:rFonts w:asciiTheme="minorHAnsi" w:hAnsiTheme="minorHAnsi"/>
        </w:rPr>
        <w:t xml:space="preserve"> and young adults</w:t>
      </w:r>
      <w:r w:rsidRPr="003A7CD3">
        <w:rPr>
          <w:rFonts w:asciiTheme="minorHAnsi" w:hAnsiTheme="minorHAnsi"/>
        </w:rPr>
        <w:t>, who</w:t>
      </w:r>
      <w:r w:rsidR="00B936B1" w:rsidRPr="003A7CD3">
        <w:rPr>
          <w:rFonts w:asciiTheme="minorHAnsi" w:hAnsiTheme="minorHAnsi"/>
        </w:rPr>
        <w:t>se</w:t>
      </w:r>
      <w:r w:rsidRPr="003A7CD3">
        <w:rPr>
          <w:rFonts w:asciiTheme="minorHAnsi" w:hAnsiTheme="minorHAnsi"/>
        </w:rPr>
        <w:t xml:space="preserve"> </w:t>
      </w:r>
      <w:r w:rsidR="005145E2" w:rsidRPr="003A7CD3">
        <w:rPr>
          <w:rFonts w:asciiTheme="minorHAnsi" w:hAnsiTheme="minorHAnsi"/>
        </w:rPr>
        <w:t xml:space="preserve">development and life </w:t>
      </w:r>
      <w:r w:rsidRPr="003A7CD3">
        <w:rPr>
          <w:rFonts w:asciiTheme="minorHAnsi" w:hAnsiTheme="minorHAnsi"/>
        </w:rPr>
        <w:t>experience</w:t>
      </w:r>
      <w:r w:rsidR="00B936B1" w:rsidRPr="003A7CD3">
        <w:rPr>
          <w:rFonts w:asciiTheme="minorHAnsi" w:hAnsiTheme="minorHAnsi"/>
        </w:rPr>
        <w:t>s</w:t>
      </w:r>
      <w:r w:rsidRPr="003A7CD3">
        <w:rPr>
          <w:rFonts w:asciiTheme="minorHAnsi" w:hAnsiTheme="minorHAnsi"/>
        </w:rPr>
        <w:t xml:space="preserve"> </w:t>
      </w:r>
      <w:r w:rsidR="00B936B1" w:rsidRPr="003A7CD3">
        <w:rPr>
          <w:rFonts w:asciiTheme="minorHAnsi" w:hAnsiTheme="minorHAnsi"/>
        </w:rPr>
        <w:t xml:space="preserve">are </w:t>
      </w:r>
      <w:r w:rsidR="005145E2" w:rsidRPr="003A7CD3">
        <w:rPr>
          <w:rFonts w:asciiTheme="minorHAnsi" w:hAnsiTheme="minorHAnsi"/>
        </w:rPr>
        <w:t>often affected</w:t>
      </w:r>
      <w:r w:rsidR="00B936B1" w:rsidRPr="003A7CD3">
        <w:rPr>
          <w:rFonts w:asciiTheme="minorHAnsi" w:hAnsiTheme="minorHAnsi"/>
        </w:rPr>
        <w:t xml:space="preserve"> by harassment, victimization, violence, </w:t>
      </w:r>
      <w:r w:rsidR="00C1262A" w:rsidRPr="003A7CD3">
        <w:rPr>
          <w:rFonts w:asciiTheme="minorHAnsi" w:hAnsiTheme="minorHAnsi"/>
        </w:rPr>
        <w:t xml:space="preserve">rejection </w:t>
      </w:r>
      <w:r w:rsidR="005145E2" w:rsidRPr="003A7CD3">
        <w:rPr>
          <w:rFonts w:asciiTheme="minorHAnsi" w:hAnsiTheme="minorHAnsi"/>
        </w:rPr>
        <w:t xml:space="preserve">and homelessness. </w:t>
      </w:r>
      <w:r w:rsidR="00110268" w:rsidRPr="003A7CD3">
        <w:rPr>
          <w:rFonts w:asciiTheme="minorHAnsi" w:hAnsiTheme="minorHAnsi"/>
        </w:rPr>
        <w:t xml:space="preserve">These </w:t>
      </w:r>
      <w:r w:rsidR="00B936B1" w:rsidRPr="003A7CD3">
        <w:rPr>
          <w:rFonts w:asciiTheme="minorHAnsi" w:hAnsiTheme="minorHAnsi"/>
        </w:rPr>
        <w:t>factors substantially increase risk of substance abuse and co-occurring disorders.</w:t>
      </w:r>
    </w:p>
    <w:p w14:paraId="0D1382B6" w14:textId="55A20546" w:rsidR="00E049A6" w:rsidRPr="003A7CD3" w:rsidRDefault="006D1E13" w:rsidP="00CE608F">
      <w:pPr>
        <w:spacing w:after="120"/>
        <w:ind w:firstLine="360"/>
        <w:rPr>
          <w:rFonts w:asciiTheme="minorHAnsi" w:hAnsiTheme="minorHAnsi"/>
        </w:rPr>
      </w:pPr>
      <w:r w:rsidRPr="003A7CD3">
        <w:rPr>
          <w:rFonts w:asciiTheme="minorHAnsi" w:hAnsiTheme="minorHAnsi"/>
        </w:rPr>
        <w:t>Lesbian, gay, bisexual, transgender and queer or questioning (</w:t>
      </w:r>
      <w:r w:rsidR="00724881" w:rsidRPr="003A7CD3">
        <w:rPr>
          <w:rFonts w:asciiTheme="minorHAnsi" w:hAnsiTheme="minorHAnsi"/>
        </w:rPr>
        <w:t>LGBTQ</w:t>
      </w:r>
      <w:r w:rsidRPr="003A7CD3">
        <w:rPr>
          <w:rFonts w:asciiTheme="minorHAnsi" w:hAnsiTheme="minorHAnsi"/>
        </w:rPr>
        <w:t>)</w:t>
      </w:r>
      <w:r w:rsidR="00724881" w:rsidRPr="003A7CD3">
        <w:rPr>
          <w:rFonts w:asciiTheme="minorHAnsi" w:hAnsiTheme="minorHAnsi"/>
        </w:rPr>
        <w:t xml:space="preserve"> yo</w:t>
      </w:r>
      <w:r w:rsidR="00B11E5B" w:rsidRPr="003A7CD3">
        <w:rPr>
          <w:rFonts w:asciiTheme="minorHAnsi" w:hAnsiTheme="minorHAnsi"/>
        </w:rPr>
        <w:t>uth</w:t>
      </w:r>
      <w:r w:rsidR="00E049A6" w:rsidRPr="003A7CD3">
        <w:rPr>
          <w:rFonts w:asciiTheme="minorHAnsi" w:hAnsiTheme="minorHAnsi"/>
        </w:rPr>
        <w:t xml:space="preserve"> and young adults</w:t>
      </w:r>
      <w:r w:rsidR="00B11E5B" w:rsidRPr="003A7CD3">
        <w:rPr>
          <w:rFonts w:asciiTheme="minorHAnsi" w:hAnsiTheme="minorHAnsi"/>
        </w:rPr>
        <w:t xml:space="preserve">, like </w:t>
      </w:r>
      <w:r w:rsidR="00475633" w:rsidRPr="003A7CD3">
        <w:rPr>
          <w:rFonts w:asciiTheme="minorHAnsi" w:hAnsiTheme="minorHAnsi"/>
        </w:rPr>
        <w:t xml:space="preserve">heterosexual peers, experience </w:t>
      </w:r>
      <w:r w:rsidR="00724881" w:rsidRPr="003A7CD3">
        <w:rPr>
          <w:rFonts w:asciiTheme="minorHAnsi" w:hAnsiTheme="minorHAnsi"/>
        </w:rPr>
        <w:t>developmental process</w:t>
      </w:r>
      <w:r w:rsidR="00475633" w:rsidRPr="003A7CD3">
        <w:rPr>
          <w:rFonts w:asciiTheme="minorHAnsi" w:hAnsiTheme="minorHAnsi"/>
        </w:rPr>
        <w:t>es</w:t>
      </w:r>
      <w:r w:rsidR="00724881" w:rsidRPr="003A7CD3">
        <w:rPr>
          <w:rFonts w:asciiTheme="minorHAnsi" w:hAnsiTheme="minorHAnsi"/>
        </w:rPr>
        <w:t xml:space="preserve"> ch</w:t>
      </w:r>
      <w:r w:rsidR="00A165C7" w:rsidRPr="003A7CD3">
        <w:rPr>
          <w:rFonts w:asciiTheme="minorHAnsi" w:hAnsiTheme="minorHAnsi"/>
        </w:rPr>
        <w:t>aracterized by wide variations in</w:t>
      </w:r>
      <w:r w:rsidR="0031017B" w:rsidRPr="003A7CD3">
        <w:rPr>
          <w:rFonts w:asciiTheme="minorHAnsi" w:hAnsiTheme="minorHAnsi"/>
        </w:rPr>
        <w:t xml:space="preserve"> status and stage. They </w:t>
      </w:r>
      <w:r w:rsidR="00B11E5B" w:rsidRPr="003A7CD3">
        <w:rPr>
          <w:rFonts w:asciiTheme="minorHAnsi" w:hAnsiTheme="minorHAnsi"/>
        </w:rPr>
        <w:t xml:space="preserve">are </w:t>
      </w:r>
      <w:r w:rsidR="00C1262A" w:rsidRPr="003A7CD3">
        <w:rPr>
          <w:rFonts w:asciiTheme="minorHAnsi" w:hAnsiTheme="minorHAnsi"/>
        </w:rPr>
        <w:t xml:space="preserve">profoundly </w:t>
      </w:r>
      <w:r w:rsidR="00B11E5B" w:rsidRPr="003A7CD3">
        <w:rPr>
          <w:rFonts w:asciiTheme="minorHAnsi" w:hAnsiTheme="minorHAnsi"/>
        </w:rPr>
        <w:t xml:space="preserve">influenced </w:t>
      </w:r>
      <w:r w:rsidR="00A165C7" w:rsidRPr="003A7CD3">
        <w:rPr>
          <w:rFonts w:asciiTheme="minorHAnsi" w:hAnsiTheme="minorHAnsi"/>
        </w:rPr>
        <w:t>– both negative</w:t>
      </w:r>
      <w:r w:rsidR="00B11E5B" w:rsidRPr="003A7CD3">
        <w:rPr>
          <w:rFonts w:asciiTheme="minorHAnsi" w:hAnsiTheme="minorHAnsi"/>
        </w:rPr>
        <w:t>ly</w:t>
      </w:r>
      <w:r w:rsidR="00A165C7" w:rsidRPr="003A7CD3">
        <w:rPr>
          <w:rFonts w:asciiTheme="minorHAnsi" w:hAnsiTheme="minorHAnsi"/>
        </w:rPr>
        <w:t xml:space="preserve"> and positive</w:t>
      </w:r>
      <w:r w:rsidR="00B11E5B" w:rsidRPr="003A7CD3">
        <w:rPr>
          <w:rFonts w:asciiTheme="minorHAnsi" w:hAnsiTheme="minorHAnsi"/>
        </w:rPr>
        <w:t>ly</w:t>
      </w:r>
      <w:r w:rsidR="00A165C7" w:rsidRPr="003A7CD3">
        <w:rPr>
          <w:rFonts w:asciiTheme="minorHAnsi" w:hAnsiTheme="minorHAnsi"/>
        </w:rPr>
        <w:t xml:space="preserve"> – </w:t>
      </w:r>
      <w:r w:rsidR="00B11E5B" w:rsidRPr="003A7CD3">
        <w:rPr>
          <w:rFonts w:asciiTheme="minorHAnsi" w:hAnsiTheme="minorHAnsi"/>
        </w:rPr>
        <w:t>by</w:t>
      </w:r>
      <w:r w:rsidR="00A165C7" w:rsidRPr="003A7CD3">
        <w:rPr>
          <w:rFonts w:asciiTheme="minorHAnsi" w:hAnsiTheme="minorHAnsi"/>
        </w:rPr>
        <w:t xml:space="preserve"> family</w:t>
      </w:r>
      <w:r w:rsidR="0031017B" w:rsidRPr="003A7CD3">
        <w:rPr>
          <w:rFonts w:asciiTheme="minorHAnsi" w:hAnsiTheme="minorHAnsi"/>
        </w:rPr>
        <w:t>, peers, school and community. And they</w:t>
      </w:r>
      <w:r w:rsidR="00B11E5B" w:rsidRPr="003A7CD3">
        <w:rPr>
          <w:rFonts w:asciiTheme="minorHAnsi" w:hAnsiTheme="minorHAnsi"/>
        </w:rPr>
        <w:t xml:space="preserve"> demonstrate age-specific </w:t>
      </w:r>
      <w:r w:rsidR="00A165C7" w:rsidRPr="003A7CD3">
        <w:rPr>
          <w:rFonts w:asciiTheme="minorHAnsi" w:hAnsiTheme="minorHAnsi"/>
        </w:rPr>
        <w:t>vulnerabili</w:t>
      </w:r>
      <w:r w:rsidR="00E049A6" w:rsidRPr="003A7CD3">
        <w:rPr>
          <w:rFonts w:asciiTheme="minorHAnsi" w:hAnsiTheme="minorHAnsi"/>
        </w:rPr>
        <w:t>ti</w:t>
      </w:r>
      <w:r w:rsidR="00B11E5B" w:rsidRPr="003A7CD3">
        <w:rPr>
          <w:rFonts w:asciiTheme="minorHAnsi" w:hAnsiTheme="minorHAnsi"/>
        </w:rPr>
        <w:t>es</w:t>
      </w:r>
      <w:r w:rsidR="00A165C7" w:rsidRPr="003A7CD3">
        <w:rPr>
          <w:rFonts w:asciiTheme="minorHAnsi" w:hAnsiTheme="minorHAnsi"/>
        </w:rPr>
        <w:t xml:space="preserve"> to immediate and longer terms effects of substance use.</w:t>
      </w:r>
      <w:r w:rsidRPr="003A7CD3">
        <w:rPr>
          <w:rFonts w:asciiTheme="minorHAnsi" w:hAnsiTheme="minorHAnsi"/>
        </w:rPr>
        <w:t xml:space="preserve"> </w:t>
      </w:r>
      <w:r w:rsidR="00B11E5B" w:rsidRPr="003A7CD3">
        <w:rPr>
          <w:rFonts w:asciiTheme="minorHAnsi" w:hAnsiTheme="minorHAnsi"/>
        </w:rPr>
        <w:t xml:space="preserve">Treatment </w:t>
      </w:r>
      <w:r w:rsidR="00E049A6" w:rsidRPr="003A7CD3">
        <w:rPr>
          <w:rFonts w:asciiTheme="minorHAnsi" w:hAnsiTheme="minorHAnsi"/>
        </w:rPr>
        <w:t>should be built</w:t>
      </w:r>
      <w:r w:rsidR="00AA5877" w:rsidRPr="003A7CD3">
        <w:rPr>
          <w:rFonts w:asciiTheme="minorHAnsi" w:hAnsiTheme="minorHAnsi"/>
        </w:rPr>
        <w:t xml:space="preserve"> on understanding </w:t>
      </w:r>
      <w:r w:rsidR="00031E4C" w:rsidRPr="003A7CD3">
        <w:rPr>
          <w:rFonts w:asciiTheme="minorHAnsi" w:hAnsiTheme="minorHAnsi"/>
        </w:rPr>
        <w:t>these factors</w:t>
      </w:r>
      <w:r w:rsidR="0031017B" w:rsidRPr="003A7CD3">
        <w:rPr>
          <w:rFonts w:asciiTheme="minorHAnsi" w:hAnsiTheme="minorHAnsi"/>
        </w:rPr>
        <w:t xml:space="preserve">, </w:t>
      </w:r>
      <w:r w:rsidR="00C1262A" w:rsidRPr="003A7CD3">
        <w:rPr>
          <w:rFonts w:asciiTheme="minorHAnsi" w:hAnsiTheme="minorHAnsi"/>
        </w:rPr>
        <w:t xml:space="preserve">as well as understanding </w:t>
      </w:r>
      <w:r w:rsidR="00AA5877" w:rsidRPr="003A7CD3">
        <w:rPr>
          <w:rFonts w:asciiTheme="minorHAnsi" w:hAnsiTheme="minorHAnsi"/>
        </w:rPr>
        <w:t xml:space="preserve">sexual orientation and gender identity, recognizing that some LGBTQ youth </w:t>
      </w:r>
      <w:r w:rsidR="00E049A6" w:rsidRPr="003A7CD3">
        <w:rPr>
          <w:rFonts w:asciiTheme="minorHAnsi" w:hAnsiTheme="minorHAnsi"/>
        </w:rPr>
        <w:t xml:space="preserve">and young adults </w:t>
      </w:r>
      <w:r w:rsidR="00AA5877" w:rsidRPr="003A7CD3">
        <w:rPr>
          <w:rFonts w:asciiTheme="minorHAnsi" w:hAnsiTheme="minorHAnsi"/>
        </w:rPr>
        <w:t>may have been aware of their own identity since childhood, w</w:t>
      </w:r>
      <w:r w:rsidR="00B11E5B" w:rsidRPr="003A7CD3">
        <w:rPr>
          <w:rFonts w:asciiTheme="minorHAnsi" w:hAnsiTheme="minorHAnsi"/>
        </w:rPr>
        <w:t>hile others are questioning</w:t>
      </w:r>
      <w:r w:rsidRPr="003A7CD3">
        <w:rPr>
          <w:rFonts w:asciiTheme="minorHAnsi" w:hAnsiTheme="minorHAnsi"/>
        </w:rPr>
        <w:t xml:space="preserve"> or are</w:t>
      </w:r>
      <w:r w:rsidR="00B11E5B" w:rsidRPr="003A7CD3">
        <w:rPr>
          <w:rFonts w:asciiTheme="minorHAnsi" w:hAnsiTheme="minorHAnsi"/>
        </w:rPr>
        <w:t xml:space="preserve"> </w:t>
      </w:r>
      <w:r w:rsidRPr="003A7CD3">
        <w:rPr>
          <w:rFonts w:asciiTheme="minorHAnsi" w:hAnsiTheme="minorHAnsi"/>
        </w:rPr>
        <w:t xml:space="preserve">not yet aware. </w:t>
      </w:r>
      <w:r w:rsidR="00E049A6" w:rsidRPr="003A7CD3">
        <w:rPr>
          <w:rFonts w:asciiTheme="minorHAnsi" w:hAnsiTheme="minorHAnsi"/>
        </w:rPr>
        <w:t xml:space="preserve">In the stage </w:t>
      </w:r>
      <w:r w:rsidRPr="003A7CD3">
        <w:rPr>
          <w:rFonts w:asciiTheme="minorHAnsi" w:hAnsiTheme="minorHAnsi"/>
        </w:rPr>
        <w:t>r</w:t>
      </w:r>
      <w:r w:rsidR="00E049A6" w:rsidRPr="003A7CD3">
        <w:rPr>
          <w:rFonts w:asciiTheme="minorHAnsi" w:hAnsiTheme="minorHAnsi"/>
        </w:rPr>
        <w:t>eferred to as ‘emerging adulthood’</w:t>
      </w:r>
      <w:r w:rsidR="00F47B89" w:rsidRPr="003A7CD3">
        <w:rPr>
          <w:rStyle w:val="EndnoteReference"/>
          <w:rFonts w:asciiTheme="minorHAnsi" w:hAnsiTheme="minorHAnsi"/>
        </w:rPr>
        <w:endnoteReference w:id="2"/>
      </w:r>
      <w:r w:rsidR="00242785" w:rsidRPr="003A7CD3">
        <w:rPr>
          <w:rFonts w:asciiTheme="minorHAnsi" w:hAnsiTheme="minorHAnsi"/>
        </w:rPr>
        <w:t xml:space="preserve"> young adults face </w:t>
      </w:r>
      <w:r w:rsidR="002816D2" w:rsidRPr="003A7CD3">
        <w:rPr>
          <w:rFonts w:asciiTheme="minorHAnsi" w:hAnsiTheme="minorHAnsi"/>
        </w:rPr>
        <w:t>new challenges</w:t>
      </w:r>
      <w:r w:rsidR="00242785" w:rsidRPr="003A7CD3">
        <w:rPr>
          <w:rFonts w:asciiTheme="minorHAnsi" w:hAnsiTheme="minorHAnsi"/>
        </w:rPr>
        <w:t xml:space="preserve"> </w:t>
      </w:r>
      <w:r w:rsidR="005145E2" w:rsidRPr="003A7CD3">
        <w:rPr>
          <w:rFonts w:asciiTheme="minorHAnsi" w:hAnsiTheme="minorHAnsi"/>
        </w:rPr>
        <w:t xml:space="preserve">related to </w:t>
      </w:r>
      <w:r w:rsidR="00242785" w:rsidRPr="003A7CD3">
        <w:rPr>
          <w:rFonts w:asciiTheme="minorHAnsi" w:hAnsiTheme="minorHAnsi"/>
        </w:rPr>
        <w:t>identity</w:t>
      </w:r>
      <w:r w:rsidR="005145E2" w:rsidRPr="003A7CD3">
        <w:rPr>
          <w:rFonts w:asciiTheme="minorHAnsi" w:hAnsiTheme="minorHAnsi"/>
        </w:rPr>
        <w:t xml:space="preserve"> and expectations focused on matters such as adult relationships and </w:t>
      </w:r>
      <w:r w:rsidR="00242785" w:rsidRPr="003A7CD3">
        <w:rPr>
          <w:rFonts w:asciiTheme="minorHAnsi" w:hAnsiTheme="minorHAnsi"/>
        </w:rPr>
        <w:t>employment</w:t>
      </w:r>
      <w:r w:rsidR="005145E2" w:rsidRPr="003A7CD3">
        <w:rPr>
          <w:rFonts w:asciiTheme="minorHAnsi" w:hAnsiTheme="minorHAnsi"/>
        </w:rPr>
        <w:t>. These arise</w:t>
      </w:r>
      <w:r w:rsidR="00242785" w:rsidRPr="003A7CD3">
        <w:rPr>
          <w:rFonts w:asciiTheme="minorHAnsi" w:hAnsiTheme="minorHAnsi"/>
        </w:rPr>
        <w:t xml:space="preserve"> </w:t>
      </w:r>
      <w:r w:rsidR="005145E2" w:rsidRPr="003A7CD3">
        <w:rPr>
          <w:rFonts w:asciiTheme="minorHAnsi" w:hAnsiTheme="minorHAnsi"/>
        </w:rPr>
        <w:t xml:space="preserve">during </w:t>
      </w:r>
      <w:r w:rsidR="00242785" w:rsidRPr="003A7CD3">
        <w:rPr>
          <w:rFonts w:asciiTheme="minorHAnsi" w:hAnsiTheme="minorHAnsi"/>
        </w:rPr>
        <w:t xml:space="preserve">a phase of development where traditional structures of family and school recede, while new structures </w:t>
      </w:r>
      <w:r w:rsidR="005C5FBA" w:rsidRPr="003A7CD3">
        <w:rPr>
          <w:rFonts w:asciiTheme="minorHAnsi" w:hAnsiTheme="minorHAnsi"/>
        </w:rPr>
        <w:t>are not securely in place</w:t>
      </w:r>
      <w:r w:rsidR="00242785" w:rsidRPr="003A7CD3">
        <w:rPr>
          <w:rFonts w:asciiTheme="minorHAnsi" w:hAnsiTheme="minorHAnsi"/>
        </w:rPr>
        <w:t xml:space="preserve">. </w:t>
      </w:r>
      <w:r w:rsidR="00031E4C" w:rsidRPr="003A7CD3">
        <w:rPr>
          <w:rFonts w:asciiTheme="minorHAnsi" w:hAnsiTheme="minorHAnsi"/>
        </w:rPr>
        <w:t xml:space="preserve"> Services that respond to this population are characterized by flexibility and matching ‘where the youth is’.</w:t>
      </w:r>
    </w:p>
    <w:p w14:paraId="152D7BCF" w14:textId="6EB1275A" w:rsidR="00031E4C" w:rsidRPr="003A7CD3" w:rsidRDefault="00B11E5B" w:rsidP="00CE608F">
      <w:pPr>
        <w:spacing w:after="120"/>
        <w:ind w:firstLine="360"/>
        <w:rPr>
          <w:rFonts w:asciiTheme="minorHAnsi" w:hAnsiTheme="minorHAnsi"/>
        </w:rPr>
      </w:pPr>
      <w:r w:rsidRPr="003A7CD3">
        <w:rPr>
          <w:rFonts w:asciiTheme="minorHAnsi" w:hAnsiTheme="minorHAnsi"/>
        </w:rPr>
        <w:t>Programs serving youth</w:t>
      </w:r>
      <w:r w:rsidR="00E049A6" w:rsidRPr="003A7CD3">
        <w:rPr>
          <w:rFonts w:asciiTheme="minorHAnsi" w:hAnsiTheme="minorHAnsi"/>
        </w:rPr>
        <w:t xml:space="preserve"> and young adults</w:t>
      </w:r>
      <w:r w:rsidR="00AA5877" w:rsidRPr="003A7CD3">
        <w:rPr>
          <w:rFonts w:asciiTheme="minorHAnsi" w:hAnsiTheme="minorHAnsi"/>
        </w:rPr>
        <w:t xml:space="preserve"> are a</w:t>
      </w:r>
      <w:r w:rsidR="009C4DBB" w:rsidRPr="003A7CD3">
        <w:rPr>
          <w:rFonts w:asciiTheme="minorHAnsi" w:hAnsiTheme="minorHAnsi"/>
        </w:rPr>
        <w:t xml:space="preserve">lready serving LGBTQ youth and young adults. </w:t>
      </w:r>
      <w:r w:rsidRPr="003A7CD3">
        <w:rPr>
          <w:rFonts w:asciiTheme="minorHAnsi" w:hAnsiTheme="minorHAnsi"/>
        </w:rPr>
        <w:t xml:space="preserve">Although </w:t>
      </w:r>
      <w:r w:rsidR="005C5FBA" w:rsidRPr="003A7CD3">
        <w:rPr>
          <w:rFonts w:asciiTheme="minorHAnsi" w:hAnsiTheme="minorHAnsi"/>
        </w:rPr>
        <w:t xml:space="preserve">sharing </w:t>
      </w:r>
      <w:r w:rsidRPr="003A7CD3">
        <w:rPr>
          <w:rFonts w:asciiTheme="minorHAnsi" w:hAnsiTheme="minorHAnsi"/>
        </w:rPr>
        <w:t>many similarities</w:t>
      </w:r>
      <w:r w:rsidR="005C5FBA" w:rsidRPr="003A7CD3">
        <w:rPr>
          <w:rFonts w:asciiTheme="minorHAnsi" w:hAnsiTheme="minorHAnsi"/>
        </w:rPr>
        <w:t xml:space="preserve"> with heterosexual</w:t>
      </w:r>
      <w:r w:rsidR="00562685" w:rsidRPr="003A7CD3">
        <w:rPr>
          <w:rFonts w:asciiTheme="minorHAnsi" w:hAnsiTheme="minorHAnsi"/>
        </w:rPr>
        <w:t xml:space="preserve"> peers</w:t>
      </w:r>
      <w:r w:rsidRPr="003A7CD3">
        <w:rPr>
          <w:rFonts w:asciiTheme="minorHAnsi" w:hAnsiTheme="minorHAnsi"/>
        </w:rPr>
        <w:t>,</w:t>
      </w:r>
      <w:r w:rsidR="00A165C7" w:rsidRPr="003A7CD3">
        <w:rPr>
          <w:rFonts w:asciiTheme="minorHAnsi" w:hAnsiTheme="minorHAnsi"/>
        </w:rPr>
        <w:t xml:space="preserve"> LGBTQ youth </w:t>
      </w:r>
      <w:r w:rsidR="005C5FBA" w:rsidRPr="003A7CD3">
        <w:rPr>
          <w:rFonts w:asciiTheme="minorHAnsi" w:hAnsiTheme="minorHAnsi"/>
        </w:rPr>
        <w:t xml:space="preserve">and young </w:t>
      </w:r>
      <w:r w:rsidR="00110268" w:rsidRPr="003A7CD3">
        <w:rPr>
          <w:rFonts w:asciiTheme="minorHAnsi" w:hAnsiTheme="minorHAnsi"/>
        </w:rPr>
        <w:t>adult</w:t>
      </w:r>
      <w:r w:rsidR="0018131C">
        <w:rPr>
          <w:rFonts w:asciiTheme="minorHAnsi" w:hAnsiTheme="minorHAnsi"/>
        </w:rPr>
        <w:t>s</w:t>
      </w:r>
      <w:bookmarkStart w:id="0" w:name="_GoBack"/>
      <w:bookmarkEnd w:id="0"/>
      <w:r w:rsidR="00110268" w:rsidRPr="003A7CD3">
        <w:rPr>
          <w:rFonts w:asciiTheme="minorHAnsi" w:hAnsiTheme="minorHAnsi"/>
        </w:rPr>
        <w:t xml:space="preserve"> </w:t>
      </w:r>
      <w:r w:rsidR="00A165C7" w:rsidRPr="003A7CD3">
        <w:rPr>
          <w:rFonts w:asciiTheme="minorHAnsi" w:hAnsiTheme="minorHAnsi"/>
        </w:rPr>
        <w:t>are disproportionately affected by</w:t>
      </w:r>
      <w:r w:rsidRPr="003A7CD3">
        <w:rPr>
          <w:rFonts w:asciiTheme="minorHAnsi" w:hAnsiTheme="minorHAnsi"/>
        </w:rPr>
        <w:t xml:space="preserve"> risks </w:t>
      </w:r>
      <w:r w:rsidR="005C5FBA" w:rsidRPr="003A7CD3">
        <w:rPr>
          <w:rFonts w:asciiTheme="minorHAnsi" w:hAnsiTheme="minorHAnsi"/>
        </w:rPr>
        <w:t>arising from</w:t>
      </w:r>
      <w:r w:rsidR="00A165C7" w:rsidRPr="003A7CD3">
        <w:rPr>
          <w:rFonts w:asciiTheme="minorHAnsi" w:hAnsiTheme="minorHAnsi"/>
        </w:rPr>
        <w:t xml:space="preserve"> harassment, victimization, violence, homelessnes</w:t>
      </w:r>
      <w:r w:rsidRPr="003A7CD3">
        <w:rPr>
          <w:rFonts w:asciiTheme="minorHAnsi" w:hAnsiTheme="minorHAnsi"/>
        </w:rPr>
        <w:t>s</w:t>
      </w:r>
      <w:r w:rsidR="009C4DBB" w:rsidRPr="003A7CD3">
        <w:rPr>
          <w:rFonts w:asciiTheme="minorHAnsi" w:hAnsiTheme="minorHAnsi"/>
        </w:rPr>
        <w:t>, and family rejection</w:t>
      </w:r>
      <w:r w:rsidR="00535BB6" w:rsidRPr="003A7CD3">
        <w:rPr>
          <w:rFonts w:asciiTheme="minorHAnsi" w:hAnsiTheme="minorHAnsi"/>
        </w:rPr>
        <w:t xml:space="preserve">.  In Massachusetts’ schools, </w:t>
      </w:r>
      <w:r w:rsidR="00EF4B56" w:rsidRPr="003A7CD3">
        <w:rPr>
          <w:rFonts w:asciiTheme="minorHAnsi" w:hAnsiTheme="minorHAnsi"/>
        </w:rPr>
        <w:t xml:space="preserve">which should be safe environments promoting learning, </w:t>
      </w:r>
      <w:r w:rsidR="00535BB6" w:rsidRPr="003A7CD3">
        <w:rPr>
          <w:rFonts w:asciiTheme="minorHAnsi" w:hAnsiTheme="minorHAnsi"/>
        </w:rPr>
        <w:t>LGB students are more than twice as likely as other students to report being</w:t>
      </w:r>
      <w:r w:rsidR="00031E4C" w:rsidRPr="003A7CD3">
        <w:rPr>
          <w:rFonts w:asciiTheme="minorHAnsi" w:hAnsiTheme="minorHAnsi"/>
        </w:rPr>
        <w:t xml:space="preserve"> bullied, threatened or injured</w:t>
      </w:r>
      <w:r w:rsidR="00535BB6" w:rsidRPr="003A7CD3">
        <w:rPr>
          <w:rFonts w:asciiTheme="minorHAnsi" w:hAnsiTheme="minorHAnsi"/>
        </w:rPr>
        <w:t xml:space="preserve"> with a weapon, or skipping school because they are afraid. Nationally,</w:t>
      </w:r>
      <w:r w:rsidR="00EF4B56" w:rsidRPr="003A7CD3">
        <w:rPr>
          <w:rFonts w:asciiTheme="minorHAnsi" w:hAnsiTheme="minorHAnsi"/>
        </w:rPr>
        <w:t xml:space="preserve"> 55</w:t>
      </w:r>
      <w:r w:rsidR="006608F9" w:rsidRPr="003A7CD3">
        <w:rPr>
          <w:rFonts w:asciiTheme="minorHAnsi" w:hAnsiTheme="minorHAnsi"/>
        </w:rPr>
        <w:t>% of</w:t>
      </w:r>
      <w:r w:rsidR="00535BB6" w:rsidRPr="003A7CD3">
        <w:rPr>
          <w:rFonts w:asciiTheme="minorHAnsi" w:hAnsiTheme="minorHAnsi"/>
        </w:rPr>
        <w:t xml:space="preserve"> LGBT students </w:t>
      </w:r>
      <w:r w:rsidR="00EF4B56" w:rsidRPr="003A7CD3">
        <w:rPr>
          <w:rFonts w:asciiTheme="minorHAnsi" w:hAnsiTheme="minorHAnsi"/>
        </w:rPr>
        <w:t>report cyberbullying</w:t>
      </w:r>
      <w:r w:rsidR="00535BB6" w:rsidRPr="003A7CD3">
        <w:rPr>
          <w:rFonts w:asciiTheme="minorHAnsi" w:hAnsiTheme="minorHAnsi"/>
        </w:rPr>
        <w:t>.</w:t>
      </w:r>
      <w:r w:rsidR="00EF4B56" w:rsidRPr="003A7CD3">
        <w:rPr>
          <w:rStyle w:val="FootnoteReference"/>
          <w:rFonts w:asciiTheme="minorHAnsi" w:hAnsiTheme="minorHAnsi"/>
        </w:rPr>
        <w:footnoteReference w:id="4"/>
      </w:r>
      <w:r w:rsidR="00535BB6" w:rsidRPr="003A7CD3">
        <w:rPr>
          <w:rFonts w:asciiTheme="minorHAnsi" w:hAnsiTheme="minorHAnsi"/>
        </w:rPr>
        <w:t xml:space="preserve"> One-fourth of Massachusetts lesbian and gay adolescents (and 15% of bisexual teens) report homelessness, compare</w:t>
      </w:r>
      <w:r w:rsidR="00D274FA" w:rsidRPr="003A7CD3">
        <w:rPr>
          <w:rFonts w:asciiTheme="minorHAnsi" w:hAnsiTheme="minorHAnsi"/>
        </w:rPr>
        <w:t>d with 3% of heterosexual youth</w:t>
      </w:r>
      <w:r w:rsidR="00535BB6" w:rsidRPr="003A7CD3">
        <w:rPr>
          <w:rFonts w:asciiTheme="minorHAnsi" w:hAnsiTheme="minorHAnsi"/>
        </w:rPr>
        <w:t>.</w:t>
      </w:r>
      <w:r w:rsidR="00535BB6" w:rsidRPr="003A7CD3">
        <w:rPr>
          <w:rStyle w:val="FootnoteReference"/>
          <w:rFonts w:asciiTheme="minorHAnsi" w:hAnsiTheme="minorHAnsi"/>
        </w:rPr>
        <w:footnoteReference w:id="5"/>
      </w:r>
      <w:r w:rsidR="00535BB6" w:rsidRPr="003A7CD3">
        <w:rPr>
          <w:rFonts w:asciiTheme="minorHAnsi" w:hAnsiTheme="minorHAnsi"/>
        </w:rPr>
        <w:t xml:space="preserve"> Nationally, </w:t>
      </w:r>
      <w:r w:rsidR="00535BB6" w:rsidRPr="003A7CD3">
        <w:rPr>
          <w:rFonts w:asciiTheme="minorHAnsi" w:hAnsiTheme="minorHAnsi"/>
        </w:rPr>
        <w:lastRenderedPageBreak/>
        <w:t>between 20 – 40% of homeless youth identify as LGBT, with transgender youth at even highe</w:t>
      </w:r>
      <w:r w:rsidR="009C4DBB" w:rsidRPr="003A7CD3">
        <w:rPr>
          <w:rFonts w:asciiTheme="minorHAnsi" w:hAnsiTheme="minorHAnsi"/>
        </w:rPr>
        <w:t>r risk: studies suggest one in five</w:t>
      </w:r>
      <w:r w:rsidR="00535BB6" w:rsidRPr="003A7CD3">
        <w:rPr>
          <w:rFonts w:asciiTheme="minorHAnsi" w:hAnsiTheme="minorHAnsi"/>
        </w:rPr>
        <w:t xml:space="preserve"> transgender youth are or are at risk of being homeless.</w:t>
      </w:r>
      <w:r w:rsidR="00535BB6" w:rsidRPr="003A7CD3">
        <w:rPr>
          <w:rStyle w:val="FootnoteReference"/>
          <w:rFonts w:asciiTheme="minorHAnsi" w:hAnsiTheme="minorHAnsi"/>
        </w:rPr>
        <w:footnoteReference w:id="6"/>
      </w:r>
      <w:r w:rsidR="00535BB6" w:rsidRPr="003A7CD3">
        <w:rPr>
          <w:rFonts w:asciiTheme="minorHAnsi" w:hAnsiTheme="minorHAnsi"/>
        </w:rPr>
        <w:t xml:space="preserve"> Homelessness </w:t>
      </w:r>
      <w:r w:rsidR="00031E4C" w:rsidRPr="003A7CD3">
        <w:rPr>
          <w:rFonts w:asciiTheme="minorHAnsi" w:hAnsiTheme="minorHAnsi"/>
        </w:rPr>
        <w:t xml:space="preserve">increases risk of harm and </w:t>
      </w:r>
      <w:r w:rsidR="00535BB6" w:rsidRPr="003A7CD3">
        <w:rPr>
          <w:rFonts w:asciiTheme="minorHAnsi" w:hAnsiTheme="minorHAnsi"/>
        </w:rPr>
        <w:t>d</w:t>
      </w:r>
      <w:r w:rsidR="00031E4C" w:rsidRPr="003A7CD3">
        <w:rPr>
          <w:rFonts w:asciiTheme="minorHAnsi" w:hAnsiTheme="minorHAnsi"/>
        </w:rPr>
        <w:t>ecreases access to resources</w:t>
      </w:r>
      <w:r w:rsidR="00535BB6" w:rsidRPr="003A7CD3">
        <w:rPr>
          <w:rFonts w:asciiTheme="minorHAnsi" w:hAnsiTheme="minorHAnsi"/>
        </w:rPr>
        <w:t>.</w:t>
      </w:r>
      <w:r w:rsidR="00D274FA" w:rsidRPr="003A7CD3">
        <w:rPr>
          <w:rFonts w:asciiTheme="minorHAnsi" w:hAnsiTheme="minorHAnsi"/>
        </w:rPr>
        <w:t xml:space="preserve"> </w:t>
      </w:r>
    </w:p>
    <w:p w14:paraId="76E9BEB2" w14:textId="0980B8F4" w:rsidR="00996349" w:rsidRPr="003A7CD3" w:rsidRDefault="00031E4C" w:rsidP="00CE608F">
      <w:pPr>
        <w:spacing w:after="120"/>
        <w:ind w:firstLine="360"/>
        <w:rPr>
          <w:rFonts w:asciiTheme="minorHAnsi" w:hAnsiTheme="minorHAnsi"/>
        </w:rPr>
      </w:pPr>
      <w:r w:rsidRPr="003A7CD3">
        <w:rPr>
          <w:rFonts w:asciiTheme="minorHAnsi" w:hAnsiTheme="minorHAnsi"/>
        </w:rPr>
        <w:t xml:space="preserve">These experiences often have dire consequences. </w:t>
      </w:r>
      <w:r w:rsidR="00D274FA" w:rsidRPr="003A7CD3">
        <w:rPr>
          <w:rFonts w:asciiTheme="minorHAnsi" w:hAnsiTheme="minorHAnsi"/>
        </w:rPr>
        <w:t>More than one-third of Massachusetts LGB students report attempting suicide (vs. 4.6% of heterosexual youth).</w:t>
      </w:r>
      <w:r w:rsidR="00D274FA" w:rsidRPr="003A7CD3">
        <w:rPr>
          <w:rStyle w:val="FootnoteReference"/>
          <w:rFonts w:asciiTheme="minorHAnsi" w:hAnsiTheme="minorHAnsi"/>
        </w:rPr>
        <w:footnoteReference w:id="7"/>
      </w:r>
      <w:r w:rsidR="00D274FA" w:rsidRPr="003A7CD3">
        <w:rPr>
          <w:rFonts w:asciiTheme="minorHAnsi" w:hAnsiTheme="minorHAnsi"/>
        </w:rPr>
        <w:t xml:space="preserve"> </w:t>
      </w:r>
      <w:r w:rsidR="00AA5877" w:rsidRPr="003A7CD3">
        <w:rPr>
          <w:rFonts w:asciiTheme="minorHAnsi" w:hAnsiTheme="minorHAnsi"/>
        </w:rPr>
        <w:t xml:space="preserve">LGBT </w:t>
      </w:r>
      <w:r w:rsidR="008E3497" w:rsidRPr="003A7CD3">
        <w:rPr>
          <w:rFonts w:asciiTheme="minorHAnsi" w:hAnsiTheme="minorHAnsi"/>
        </w:rPr>
        <w:t>youth</w:t>
      </w:r>
      <w:r w:rsidR="00AA5877" w:rsidRPr="003A7CD3">
        <w:rPr>
          <w:rFonts w:asciiTheme="minorHAnsi" w:hAnsiTheme="minorHAnsi"/>
        </w:rPr>
        <w:t xml:space="preserve"> who reported family rejection were more likely to report suicide attempts, depression and substance use, compared with LGBT youth with no or low rejection.</w:t>
      </w:r>
      <w:r w:rsidR="00AA5877" w:rsidRPr="003A7CD3">
        <w:rPr>
          <w:rStyle w:val="FootnoteReference"/>
          <w:rFonts w:asciiTheme="minorHAnsi" w:hAnsiTheme="minorHAnsi"/>
        </w:rPr>
        <w:footnoteReference w:id="8"/>
      </w:r>
      <w:r w:rsidRPr="003A7CD3">
        <w:rPr>
          <w:rFonts w:asciiTheme="minorHAnsi" w:hAnsiTheme="minorHAnsi"/>
        </w:rPr>
        <w:t xml:space="preserve">  Effects </w:t>
      </w:r>
      <w:r w:rsidR="009158C5" w:rsidRPr="003A7CD3">
        <w:rPr>
          <w:rFonts w:asciiTheme="minorHAnsi" w:hAnsiTheme="minorHAnsi"/>
        </w:rPr>
        <w:t>continue</w:t>
      </w:r>
      <w:r w:rsidR="00B05DF4" w:rsidRPr="003A7CD3">
        <w:rPr>
          <w:rFonts w:asciiTheme="minorHAnsi" w:hAnsiTheme="minorHAnsi"/>
        </w:rPr>
        <w:t xml:space="preserve"> </w:t>
      </w:r>
      <w:r w:rsidR="009158C5" w:rsidRPr="003A7CD3">
        <w:rPr>
          <w:rFonts w:asciiTheme="minorHAnsi" w:hAnsiTheme="minorHAnsi"/>
        </w:rPr>
        <w:t>beyond adolescence</w:t>
      </w:r>
      <w:r w:rsidR="00D274FA" w:rsidRPr="003A7CD3">
        <w:rPr>
          <w:rFonts w:asciiTheme="minorHAnsi" w:hAnsiTheme="minorHAnsi"/>
        </w:rPr>
        <w:t xml:space="preserve">:  </w:t>
      </w:r>
      <w:r w:rsidR="001B1B4A" w:rsidRPr="003A7CD3">
        <w:rPr>
          <w:rFonts w:asciiTheme="minorHAnsi" w:hAnsiTheme="minorHAnsi" w:cs="Times New Roman"/>
        </w:rPr>
        <w:t xml:space="preserve">lesbian, gay, and bisexual young adults who reported higher levels of family rejection during adolescence were 8.4 times more likely to report having attempted suicide, 5.9 times more likely to report high levels of depression, </w:t>
      </w:r>
      <w:r w:rsidR="00A85B5B" w:rsidRPr="003A7CD3">
        <w:rPr>
          <w:rFonts w:asciiTheme="minorHAnsi" w:hAnsiTheme="minorHAnsi" w:cs="Times New Roman"/>
        </w:rPr>
        <w:t xml:space="preserve">and </w:t>
      </w:r>
      <w:r w:rsidR="001B1B4A" w:rsidRPr="003A7CD3">
        <w:rPr>
          <w:rFonts w:asciiTheme="minorHAnsi" w:hAnsiTheme="minorHAnsi" w:cs="Times New Roman"/>
        </w:rPr>
        <w:t>3.4 times more likely to use illegal drugs than those who experienced acceptance.</w:t>
      </w:r>
      <w:r w:rsidR="001B1B4A" w:rsidRPr="003A7CD3">
        <w:rPr>
          <w:rStyle w:val="FootnoteReference"/>
          <w:rFonts w:asciiTheme="minorHAnsi" w:hAnsiTheme="minorHAnsi" w:cs="Times New Roman"/>
        </w:rPr>
        <w:footnoteReference w:id="9"/>
      </w:r>
      <w:r w:rsidR="009158C5" w:rsidRPr="003A7CD3">
        <w:rPr>
          <w:rFonts w:asciiTheme="minorHAnsi" w:hAnsiTheme="minorHAnsi" w:cs="Times New Roman"/>
        </w:rPr>
        <w:t xml:space="preserve">  </w:t>
      </w:r>
    </w:p>
    <w:p w14:paraId="7A504113" w14:textId="62A23A60" w:rsidR="00D35266" w:rsidRPr="003A7CD3" w:rsidRDefault="00055B10" w:rsidP="00CE608F">
      <w:pPr>
        <w:spacing w:after="120"/>
        <w:ind w:firstLine="360"/>
        <w:rPr>
          <w:rFonts w:asciiTheme="minorHAnsi" w:hAnsiTheme="minorHAnsi"/>
        </w:rPr>
      </w:pPr>
      <w:r w:rsidRPr="003A7CD3">
        <w:rPr>
          <w:rFonts w:asciiTheme="minorHAnsi" w:hAnsiTheme="minorHAnsi"/>
        </w:rPr>
        <w:t>L</w:t>
      </w:r>
      <w:r w:rsidR="00D35266" w:rsidRPr="003A7CD3">
        <w:rPr>
          <w:rFonts w:asciiTheme="minorHAnsi" w:hAnsiTheme="minorHAnsi"/>
        </w:rPr>
        <w:t xml:space="preserve">arge data </w:t>
      </w:r>
      <w:r w:rsidR="006608F9" w:rsidRPr="003A7CD3">
        <w:rPr>
          <w:rFonts w:asciiTheme="minorHAnsi" w:hAnsiTheme="minorHAnsi"/>
        </w:rPr>
        <w:t>sets that might enhance understanding of the experiences and needs of LGBTQ youth and young adults</w:t>
      </w:r>
      <w:r w:rsidR="00242785" w:rsidRPr="003A7CD3">
        <w:rPr>
          <w:rFonts w:asciiTheme="minorHAnsi" w:hAnsiTheme="minorHAnsi"/>
        </w:rPr>
        <w:t xml:space="preserve"> </w:t>
      </w:r>
      <w:r w:rsidR="00D35266" w:rsidRPr="003A7CD3">
        <w:rPr>
          <w:rFonts w:asciiTheme="minorHAnsi" w:hAnsiTheme="minorHAnsi"/>
        </w:rPr>
        <w:t xml:space="preserve">are not </w:t>
      </w:r>
      <w:r w:rsidRPr="003A7CD3">
        <w:rPr>
          <w:rFonts w:asciiTheme="minorHAnsi" w:hAnsiTheme="minorHAnsi"/>
        </w:rPr>
        <w:t>routinely available</w:t>
      </w:r>
      <w:r w:rsidR="00D35266" w:rsidRPr="003A7CD3">
        <w:rPr>
          <w:rFonts w:asciiTheme="minorHAnsi" w:hAnsiTheme="minorHAnsi"/>
        </w:rPr>
        <w:t xml:space="preserve">. </w:t>
      </w:r>
      <w:r w:rsidR="00996349" w:rsidRPr="003A7CD3">
        <w:rPr>
          <w:rFonts w:asciiTheme="minorHAnsi" w:hAnsiTheme="minorHAnsi"/>
        </w:rPr>
        <w:t xml:space="preserve">This is particularly true of transgender </w:t>
      </w:r>
      <w:r w:rsidR="009158C5" w:rsidRPr="003A7CD3">
        <w:rPr>
          <w:rFonts w:asciiTheme="minorHAnsi" w:hAnsiTheme="minorHAnsi"/>
        </w:rPr>
        <w:t xml:space="preserve">individuals </w:t>
      </w:r>
      <w:r w:rsidR="00996349" w:rsidRPr="003A7CD3">
        <w:rPr>
          <w:rFonts w:asciiTheme="minorHAnsi" w:hAnsiTheme="minorHAnsi"/>
        </w:rPr>
        <w:t>who are rarely counted</w:t>
      </w:r>
      <w:r w:rsidR="00B11E5B" w:rsidRPr="003A7CD3">
        <w:rPr>
          <w:rFonts w:asciiTheme="minorHAnsi" w:hAnsiTheme="minorHAnsi"/>
        </w:rPr>
        <w:t xml:space="preserve"> in sufficient numbers to draw confident conclusions</w:t>
      </w:r>
      <w:r w:rsidR="00996349" w:rsidRPr="003A7CD3">
        <w:rPr>
          <w:rFonts w:asciiTheme="minorHAnsi" w:hAnsiTheme="minorHAnsi"/>
        </w:rPr>
        <w:t xml:space="preserve">. </w:t>
      </w:r>
      <w:r w:rsidR="00D35266" w:rsidRPr="003A7CD3">
        <w:rPr>
          <w:rFonts w:asciiTheme="minorHAnsi" w:hAnsiTheme="minorHAnsi"/>
        </w:rPr>
        <w:t xml:space="preserve">Nevertheless what we do know </w:t>
      </w:r>
      <w:r w:rsidR="00B11E5B" w:rsidRPr="003A7CD3">
        <w:rPr>
          <w:rFonts w:asciiTheme="minorHAnsi" w:hAnsiTheme="minorHAnsi"/>
        </w:rPr>
        <w:t xml:space="preserve">reveals that LGBTQ youth are </w:t>
      </w:r>
      <w:r w:rsidR="00272F53" w:rsidRPr="003A7CD3">
        <w:rPr>
          <w:rFonts w:asciiTheme="minorHAnsi" w:hAnsiTheme="minorHAnsi"/>
        </w:rPr>
        <w:t xml:space="preserve">disproportionately likely to use substances and </w:t>
      </w:r>
      <w:r w:rsidR="00B11E5B" w:rsidRPr="003A7CD3">
        <w:rPr>
          <w:rFonts w:asciiTheme="minorHAnsi" w:hAnsiTheme="minorHAnsi"/>
        </w:rPr>
        <w:t xml:space="preserve">to </w:t>
      </w:r>
      <w:r w:rsidR="00272F53" w:rsidRPr="003A7CD3">
        <w:rPr>
          <w:rFonts w:asciiTheme="minorHAnsi" w:hAnsiTheme="minorHAnsi"/>
        </w:rPr>
        <w:t>experience co-occurring disorders</w:t>
      </w:r>
      <w:r w:rsidR="00272F53" w:rsidRPr="003A7CD3">
        <w:rPr>
          <w:rStyle w:val="FootnoteReference"/>
          <w:rFonts w:asciiTheme="minorHAnsi" w:hAnsiTheme="minorHAnsi"/>
        </w:rPr>
        <w:footnoteReference w:id="10"/>
      </w:r>
      <w:r w:rsidR="00272F53" w:rsidRPr="003A7CD3">
        <w:rPr>
          <w:rFonts w:asciiTheme="minorHAnsi" w:hAnsiTheme="minorHAnsi"/>
        </w:rPr>
        <w:t xml:space="preserve"> and the</w:t>
      </w:r>
      <w:r w:rsidR="00B11E5B" w:rsidRPr="003A7CD3">
        <w:rPr>
          <w:rFonts w:asciiTheme="minorHAnsi" w:hAnsiTheme="minorHAnsi"/>
        </w:rPr>
        <w:t xml:space="preserve">refore </w:t>
      </w:r>
      <w:r w:rsidR="00031E4C" w:rsidRPr="003A7CD3">
        <w:rPr>
          <w:rFonts w:asciiTheme="minorHAnsi" w:hAnsiTheme="minorHAnsi"/>
        </w:rPr>
        <w:t>need well-</w:t>
      </w:r>
      <w:r w:rsidR="00D35266" w:rsidRPr="003A7CD3">
        <w:rPr>
          <w:rFonts w:asciiTheme="minorHAnsi" w:hAnsiTheme="minorHAnsi"/>
        </w:rPr>
        <w:t>organized, visible and re</w:t>
      </w:r>
      <w:r w:rsidR="00242785" w:rsidRPr="003A7CD3">
        <w:rPr>
          <w:rFonts w:asciiTheme="minorHAnsi" w:hAnsiTheme="minorHAnsi"/>
        </w:rPr>
        <w:t>sponsive outreach and treatment. In Massachusetts:</w:t>
      </w:r>
    </w:p>
    <w:p w14:paraId="680ACBC8" w14:textId="2B3D7C06" w:rsidR="00D35266" w:rsidRPr="003A7CD3" w:rsidRDefault="00242785" w:rsidP="00CE608F">
      <w:pPr>
        <w:pStyle w:val="ListParagraph"/>
        <w:numPr>
          <w:ilvl w:val="0"/>
          <w:numId w:val="2"/>
        </w:numPr>
        <w:spacing w:after="120"/>
        <w:contextualSpacing w:val="0"/>
        <w:rPr>
          <w:rFonts w:asciiTheme="minorHAnsi" w:hAnsiTheme="minorHAnsi"/>
        </w:rPr>
      </w:pPr>
      <w:r w:rsidRPr="003A7CD3">
        <w:rPr>
          <w:rFonts w:asciiTheme="minorHAnsi" w:hAnsiTheme="minorHAnsi"/>
        </w:rPr>
        <w:t>38</w:t>
      </w:r>
      <w:r w:rsidR="008E3497" w:rsidRPr="003A7CD3">
        <w:rPr>
          <w:rFonts w:asciiTheme="minorHAnsi" w:hAnsiTheme="minorHAnsi"/>
        </w:rPr>
        <w:t xml:space="preserve">% of </w:t>
      </w:r>
      <w:r w:rsidR="00874BCD" w:rsidRPr="003A7CD3">
        <w:rPr>
          <w:rFonts w:asciiTheme="minorHAnsi" w:hAnsiTheme="minorHAnsi"/>
        </w:rPr>
        <w:t xml:space="preserve">LGB </w:t>
      </w:r>
      <w:r w:rsidR="00D93B82">
        <w:rPr>
          <w:rFonts w:asciiTheme="minorHAnsi" w:hAnsiTheme="minorHAnsi"/>
        </w:rPr>
        <w:t>youth</w:t>
      </w:r>
      <w:r w:rsidR="00D93B82" w:rsidRPr="003A7CD3">
        <w:rPr>
          <w:rStyle w:val="FootnoteReference"/>
          <w:rFonts w:asciiTheme="minorHAnsi" w:hAnsiTheme="minorHAnsi"/>
        </w:rPr>
        <w:footnoteReference w:id="11"/>
      </w:r>
      <w:r w:rsidR="00D93B82">
        <w:rPr>
          <w:rFonts w:asciiTheme="minorHAnsi" w:hAnsiTheme="minorHAnsi"/>
        </w:rPr>
        <w:t xml:space="preserve"> (vs. 15</w:t>
      </w:r>
      <w:r w:rsidR="00511067" w:rsidRPr="003A7CD3">
        <w:rPr>
          <w:rFonts w:asciiTheme="minorHAnsi" w:hAnsiTheme="minorHAnsi"/>
        </w:rPr>
        <w:t>% of heterosexual youth</w:t>
      </w:r>
      <w:r w:rsidR="00D93B82">
        <w:rPr>
          <w:rStyle w:val="FootnoteReference"/>
          <w:rFonts w:asciiTheme="minorHAnsi" w:hAnsiTheme="minorHAnsi"/>
        </w:rPr>
        <w:footnoteReference w:id="12"/>
      </w:r>
      <w:r w:rsidR="00511067" w:rsidRPr="003A7CD3">
        <w:rPr>
          <w:rFonts w:asciiTheme="minorHAnsi" w:hAnsiTheme="minorHAnsi"/>
        </w:rPr>
        <w:t>) report alcohol use before age 13, a characteristic that increases</w:t>
      </w:r>
      <w:r w:rsidR="00C16FA9" w:rsidRPr="003A7CD3">
        <w:rPr>
          <w:rFonts w:asciiTheme="minorHAnsi" w:hAnsiTheme="minorHAnsi"/>
        </w:rPr>
        <w:t xml:space="preserve"> risk of dependence in adulthood</w:t>
      </w:r>
      <w:r w:rsidR="004365C7" w:rsidRPr="003A7CD3">
        <w:rPr>
          <w:rFonts w:asciiTheme="minorHAnsi" w:hAnsiTheme="minorHAnsi"/>
        </w:rPr>
        <w:t>.</w:t>
      </w:r>
      <w:r w:rsidR="00C16FA9" w:rsidRPr="003A7CD3">
        <w:rPr>
          <w:rStyle w:val="EndnoteReference"/>
          <w:rFonts w:asciiTheme="minorHAnsi" w:hAnsiTheme="minorHAnsi"/>
        </w:rPr>
        <w:endnoteReference w:id="3"/>
      </w:r>
    </w:p>
    <w:p w14:paraId="0D6E0693" w14:textId="00CFE71E" w:rsidR="004365C7" w:rsidRPr="003A7CD3" w:rsidRDefault="001B1B4A" w:rsidP="00CE608F">
      <w:pPr>
        <w:pStyle w:val="ListParagraph"/>
        <w:numPr>
          <w:ilvl w:val="0"/>
          <w:numId w:val="2"/>
        </w:numPr>
        <w:spacing w:after="120"/>
        <w:contextualSpacing w:val="0"/>
        <w:rPr>
          <w:rFonts w:asciiTheme="minorHAnsi" w:hAnsiTheme="minorHAnsi"/>
        </w:rPr>
      </w:pPr>
      <w:r w:rsidRPr="003A7CD3">
        <w:rPr>
          <w:rFonts w:asciiTheme="minorHAnsi" w:hAnsiTheme="minorHAnsi"/>
        </w:rPr>
        <w:t>65% of lesbian and gay</w:t>
      </w:r>
      <w:r w:rsidR="004365C7" w:rsidRPr="003A7CD3">
        <w:rPr>
          <w:rFonts w:asciiTheme="minorHAnsi" w:hAnsiTheme="minorHAnsi"/>
        </w:rPr>
        <w:t xml:space="preserve"> youth</w:t>
      </w:r>
      <w:r w:rsidR="00874BCD" w:rsidRPr="003A7CD3">
        <w:rPr>
          <w:rFonts w:asciiTheme="minorHAnsi" w:hAnsiTheme="minorHAnsi"/>
        </w:rPr>
        <w:t xml:space="preserve"> and 60% of bisexual youth</w:t>
      </w:r>
      <w:r w:rsidR="004365C7" w:rsidRPr="003A7CD3">
        <w:rPr>
          <w:rFonts w:asciiTheme="minorHAnsi" w:hAnsiTheme="minorHAnsi"/>
        </w:rPr>
        <w:t xml:space="preserve"> </w:t>
      </w:r>
      <w:r w:rsidR="00874BCD" w:rsidRPr="003A7CD3">
        <w:rPr>
          <w:rFonts w:asciiTheme="minorHAnsi" w:hAnsiTheme="minorHAnsi"/>
        </w:rPr>
        <w:t>(vs. 46</w:t>
      </w:r>
      <w:r w:rsidR="004365C7" w:rsidRPr="003A7CD3">
        <w:rPr>
          <w:rFonts w:asciiTheme="minorHAnsi" w:hAnsiTheme="minorHAnsi"/>
        </w:rPr>
        <w:t>% of h</w:t>
      </w:r>
      <w:r w:rsidR="00475633" w:rsidRPr="003A7CD3">
        <w:rPr>
          <w:rFonts w:asciiTheme="minorHAnsi" w:hAnsiTheme="minorHAnsi"/>
        </w:rPr>
        <w:t>eterosexual youth</w:t>
      </w:r>
      <w:r w:rsidR="002816D2" w:rsidRPr="003A7CD3">
        <w:rPr>
          <w:rFonts w:asciiTheme="minorHAnsi" w:hAnsiTheme="minorHAnsi"/>
        </w:rPr>
        <w:t>) reported</w:t>
      </w:r>
      <w:r w:rsidR="00B05DF4" w:rsidRPr="003A7CD3">
        <w:rPr>
          <w:rFonts w:asciiTheme="minorHAnsi" w:hAnsiTheme="minorHAnsi"/>
        </w:rPr>
        <w:t xml:space="preserve"> current </w:t>
      </w:r>
      <w:r w:rsidR="00874BCD" w:rsidRPr="003A7CD3">
        <w:rPr>
          <w:rFonts w:asciiTheme="minorHAnsi" w:hAnsiTheme="minorHAnsi"/>
        </w:rPr>
        <w:t>alcohol</w:t>
      </w:r>
      <w:r w:rsidR="00B05DF4" w:rsidRPr="003A7CD3">
        <w:rPr>
          <w:rFonts w:asciiTheme="minorHAnsi" w:hAnsiTheme="minorHAnsi"/>
        </w:rPr>
        <w:t xml:space="preserve"> use</w:t>
      </w:r>
      <w:r w:rsidR="00874BCD" w:rsidRPr="003A7CD3">
        <w:rPr>
          <w:rFonts w:asciiTheme="minorHAnsi" w:hAnsiTheme="minorHAnsi"/>
        </w:rPr>
        <w:t>, and 20</w:t>
      </w:r>
      <w:r w:rsidR="004365C7" w:rsidRPr="003A7CD3">
        <w:rPr>
          <w:rFonts w:asciiTheme="minorHAnsi" w:hAnsiTheme="minorHAnsi"/>
        </w:rPr>
        <w:t xml:space="preserve">% of </w:t>
      </w:r>
      <w:r w:rsidR="00874BCD" w:rsidRPr="003A7CD3">
        <w:rPr>
          <w:rFonts w:asciiTheme="minorHAnsi" w:hAnsiTheme="minorHAnsi"/>
        </w:rPr>
        <w:t>lesbian or gay</w:t>
      </w:r>
      <w:r w:rsidR="004365C7" w:rsidRPr="003A7CD3">
        <w:rPr>
          <w:rFonts w:asciiTheme="minorHAnsi" w:hAnsiTheme="minorHAnsi"/>
        </w:rPr>
        <w:t xml:space="preserve"> youth </w:t>
      </w:r>
      <w:r w:rsidR="00874BCD" w:rsidRPr="003A7CD3">
        <w:rPr>
          <w:rFonts w:asciiTheme="minorHAnsi" w:hAnsiTheme="minorHAnsi"/>
        </w:rPr>
        <w:t>(vs. 2</w:t>
      </w:r>
      <w:r w:rsidR="00B11E5B" w:rsidRPr="003A7CD3">
        <w:rPr>
          <w:rFonts w:asciiTheme="minorHAnsi" w:hAnsiTheme="minorHAnsi"/>
        </w:rPr>
        <w:t>% of heterosexual youth</w:t>
      </w:r>
      <w:r w:rsidR="00874BCD" w:rsidRPr="003A7CD3">
        <w:rPr>
          <w:rFonts w:asciiTheme="minorHAnsi" w:hAnsiTheme="minorHAnsi"/>
        </w:rPr>
        <w:t>)</w:t>
      </w:r>
      <w:r w:rsidR="00B11E5B" w:rsidRPr="003A7CD3">
        <w:rPr>
          <w:rFonts w:asciiTheme="minorHAnsi" w:hAnsiTheme="minorHAnsi"/>
        </w:rPr>
        <w:t xml:space="preserve"> report</w:t>
      </w:r>
      <w:r w:rsidR="004365C7" w:rsidRPr="003A7CD3">
        <w:rPr>
          <w:rFonts w:asciiTheme="minorHAnsi" w:hAnsiTheme="minorHAnsi"/>
        </w:rPr>
        <w:t xml:space="preserve"> having used heroin;</w:t>
      </w:r>
      <w:r w:rsidR="004365C7" w:rsidRPr="003A7CD3">
        <w:rPr>
          <w:rStyle w:val="FootnoteReference"/>
          <w:rFonts w:asciiTheme="minorHAnsi" w:hAnsiTheme="minorHAnsi"/>
        </w:rPr>
        <w:t xml:space="preserve"> </w:t>
      </w:r>
      <w:r w:rsidR="004365C7" w:rsidRPr="003A7CD3">
        <w:rPr>
          <w:rStyle w:val="FootnoteReference"/>
          <w:rFonts w:asciiTheme="minorHAnsi" w:hAnsiTheme="minorHAnsi"/>
        </w:rPr>
        <w:footnoteReference w:id="13"/>
      </w:r>
    </w:p>
    <w:p w14:paraId="47C60483" w14:textId="07687436" w:rsidR="00874BCD" w:rsidRPr="003A7CD3" w:rsidRDefault="00B05DF4" w:rsidP="00CE608F">
      <w:pPr>
        <w:pStyle w:val="ListParagraph"/>
        <w:numPr>
          <w:ilvl w:val="0"/>
          <w:numId w:val="2"/>
        </w:numPr>
        <w:spacing w:after="120"/>
        <w:contextualSpacing w:val="0"/>
        <w:rPr>
          <w:rFonts w:asciiTheme="minorHAnsi" w:hAnsiTheme="minorHAnsi"/>
        </w:rPr>
      </w:pPr>
      <w:r w:rsidRPr="003A7CD3">
        <w:rPr>
          <w:rFonts w:asciiTheme="minorHAnsi" w:hAnsiTheme="minorHAnsi"/>
        </w:rPr>
        <w:t>A</w:t>
      </w:r>
      <w:r w:rsidR="00874BCD" w:rsidRPr="003A7CD3">
        <w:rPr>
          <w:rFonts w:asciiTheme="minorHAnsi" w:hAnsiTheme="minorHAnsi"/>
        </w:rPr>
        <w:t>bout 30% of LGB students report current tobacco use vs. 8% of heterosexual students.</w:t>
      </w:r>
      <w:r w:rsidR="00874BCD" w:rsidRPr="003A7CD3">
        <w:rPr>
          <w:rStyle w:val="FootnoteReference"/>
          <w:rFonts w:asciiTheme="minorHAnsi" w:hAnsiTheme="minorHAnsi"/>
        </w:rPr>
        <w:footnoteReference w:id="14"/>
      </w:r>
      <w:r w:rsidR="00874BCD" w:rsidRPr="003A7CD3">
        <w:rPr>
          <w:rFonts w:asciiTheme="minorHAnsi" w:hAnsiTheme="minorHAnsi"/>
        </w:rPr>
        <w:t xml:space="preserve"> </w:t>
      </w:r>
      <w:r w:rsidRPr="003A7CD3">
        <w:rPr>
          <w:rFonts w:asciiTheme="minorHAnsi" w:hAnsiTheme="minorHAnsi"/>
        </w:rPr>
        <w:t xml:space="preserve">The Institute of Medicine reported </w:t>
      </w:r>
      <w:r w:rsidR="00874BCD" w:rsidRPr="003A7CD3">
        <w:rPr>
          <w:rFonts w:asciiTheme="minorHAnsi" w:hAnsiTheme="minorHAnsi"/>
        </w:rPr>
        <w:t>that lesbian and bisexual girls were nearly 10 times more likely to have smoked in the last week than heterosexual girls.</w:t>
      </w:r>
      <w:r w:rsidR="00874BCD" w:rsidRPr="003A7CD3">
        <w:rPr>
          <w:rStyle w:val="FootnoteReference"/>
          <w:rFonts w:asciiTheme="minorHAnsi" w:hAnsiTheme="minorHAnsi"/>
        </w:rPr>
        <w:footnoteReference w:id="15"/>
      </w:r>
      <w:r w:rsidR="00874BCD" w:rsidRPr="003A7CD3">
        <w:rPr>
          <w:rFonts w:asciiTheme="minorHAnsi" w:hAnsiTheme="minorHAnsi"/>
        </w:rPr>
        <w:t xml:space="preserve"> Like early alcohol use, early tobacco use increases risk of dependence.</w:t>
      </w:r>
    </w:p>
    <w:p w14:paraId="5C3AB5D9" w14:textId="631F4C45" w:rsidR="00420622" w:rsidRPr="003A7CD3" w:rsidRDefault="00B05DF4" w:rsidP="00CE608F">
      <w:pPr>
        <w:spacing w:after="120"/>
        <w:ind w:firstLine="360"/>
        <w:rPr>
          <w:rFonts w:asciiTheme="minorHAnsi" w:hAnsiTheme="minorHAnsi"/>
          <w:i/>
        </w:rPr>
      </w:pPr>
      <w:r w:rsidRPr="003A7CD3">
        <w:rPr>
          <w:rFonts w:asciiTheme="minorHAnsi" w:hAnsiTheme="minorHAnsi"/>
        </w:rPr>
        <w:t>LGBTQ y</w:t>
      </w:r>
      <w:r w:rsidR="000600E2" w:rsidRPr="003A7CD3">
        <w:rPr>
          <w:rFonts w:asciiTheme="minorHAnsi" w:hAnsiTheme="minorHAnsi"/>
        </w:rPr>
        <w:t>oung adults</w:t>
      </w:r>
      <w:r w:rsidR="001B1B4A" w:rsidRPr="003A7CD3">
        <w:rPr>
          <w:rFonts w:asciiTheme="minorHAnsi" w:hAnsiTheme="minorHAnsi"/>
        </w:rPr>
        <w:t xml:space="preserve"> are</w:t>
      </w:r>
      <w:r w:rsidRPr="003A7CD3">
        <w:rPr>
          <w:rFonts w:asciiTheme="minorHAnsi" w:hAnsiTheme="minorHAnsi"/>
        </w:rPr>
        <w:t xml:space="preserve"> part of a cohort that</w:t>
      </w:r>
      <w:r w:rsidR="000600E2" w:rsidRPr="003A7CD3">
        <w:rPr>
          <w:rFonts w:asciiTheme="minorHAnsi" w:hAnsiTheme="minorHAnsi"/>
        </w:rPr>
        <w:t xml:space="preserve"> as a whole </w:t>
      </w:r>
      <w:r w:rsidRPr="003A7CD3">
        <w:rPr>
          <w:rFonts w:asciiTheme="minorHAnsi" w:hAnsiTheme="minorHAnsi"/>
        </w:rPr>
        <w:t>is</w:t>
      </w:r>
      <w:r w:rsidR="000600E2" w:rsidRPr="003A7CD3">
        <w:rPr>
          <w:rFonts w:asciiTheme="minorHAnsi" w:hAnsiTheme="minorHAnsi"/>
        </w:rPr>
        <w:t xml:space="preserve"> at high r</w:t>
      </w:r>
      <w:r w:rsidR="00055B10" w:rsidRPr="003A7CD3">
        <w:rPr>
          <w:rFonts w:asciiTheme="minorHAnsi" w:hAnsiTheme="minorHAnsi"/>
        </w:rPr>
        <w:t>isk for substance use disorders</w:t>
      </w:r>
      <w:r w:rsidRPr="003A7CD3">
        <w:rPr>
          <w:rFonts w:asciiTheme="minorHAnsi" w:hAnsiTheme="minorHAnsi"/>
        </w:rPr>
        <w:t xml:space="preserve">. </w:t>
      </w:r>
      <w:r w:rsidR="006608F9" w:rsidRPr="003A7CD3">
        <w:rPr>
          <w:rFonts w:asciiTheme="minorHAnsi" w:hAnsiTheme="minorHAnsi"/>
        </w:rPr>
        <w:t>In Massachusetts</w:t>
      </w:r>
      <w:r w:rsidR="00D274FA" w:rsidRPr="003A7CD3">
        <w:rPr>
          <w:rStyle w:val="FootnoteReference"/>
          <w:rFonts w:asciiTheme="minorHAnsi" w:hAnsiTheme="minorHAnsi"/>
        </w:rPr>
        <w:footnoteReference w:id="16"/>
      </w:r>
      <w:r w:rsidR="00D274FA" w:rsidRPr="003A7CD3">
        <w:rPr>
          <w:rFonts w:asciiTheme="minorHAnsi" w:hAnsiTheme="minorHAnsi"/>
        </w:rPr>
        <w:t xml:space="preserve"> (as nationally), alcohol use peaks in the 18 – 25 year old group: 48% of this age group report binge drinking, and 70% report using alcohol in the last month; 42% use marijuana; 19% meet criteria for alcohol dependence/abuse and 8% meet criteria for drug dependence/ abuse. </w:t>
      </w:r>
      <w:r w:rsidR="00BE0459" w:rsidRPr="003A7CD3">
        <w:rPr>
          <w:rFonts w:asciiTheme="minorHAnsi" w:hAnsiTheme="minorHAnsi"/>
        </w:rPr>
        <w:t xml:space="preserve">Opioid use, including heroin, is steadily increasing. </w:t>
      </w:r>
      <w:r w:rsidR="007F1704">
        <w:rPr>
          <w:rFonts w:asciiTheme="minorHAnsi" w:hAnsiTheme="minorHAnsi"/>
        </w:rPr>
        <w:t xml:space="preserve"> NSDUH reports 18 to 20 year olds as having the highest illicit drug use rate (23.9%) with 21 to 25 year olds having the second highest (19.7%).</w:t>
      </w:r>
      <w:r w:rsidR="007F1704">
        <w:rPr>
          <w:rStyle w:val="FootnoteReference"/>
          <w:rFonts w:asciiTheme="minorHAnsi" w:hAnsiTheme="minorHAnsi"/>
        </w:rPr>
        <w:footnoteReference w:id="17"/>
      </w:r>
      <w:r w:rsidR="007F1704">
        <w:rPr>
          <w:rFonts w:asciiTheme="minorHAnsi" w:hAnsiTheme="minorHAnsi"/>
        </w:rPr>
        <w:t xml:space="preserve"> Lifetime prescription drug misuse among 18 to 25 year olds is reported at 26%.</w:t>
      </w:r>
      <w:r w:rsidR="007F1704">
        <w:rPr>
          <w:rStyle w:val="EndnoteReference"/>
          <w:rFonts w:asciiTheme="minorHAnsi" w:hAnsiTheme="minorHAnsi"/>
        </w:rPr>
        <w:endnoteReference w:id="4"/>
      </w:r>
    </w:p>
    <w:p w14:paraId="2FA9EF51" w14:textId="31FD8845" w:rsidR="00EC4F27" w:rsidRDefault="00936EAF" w:rsidP="00CE608F">
      <w:pPr>
        <w:spacing w:after="120"/>
        <w:rPr>
          <w:rFonts w:asciiTheme="minorHAnsi" w:hAnsiTheme="minorHAnsi"/>
        </w:rPr>
      </w:pPr>
      <w:r w:rsidRPr="003A7CD3">
        <w:rPr>
          <w:rFonts w:asciiTheme="minorHAnsi" w:hAnsiTheme="minorHAnsi"/>
        </w:rPr>
        <w:tab/>
        <w:t xml:space="preserve">Given the </w:t>
      </w:r>
      <w:r w:rsidR="004C33EC" w:rsidRPr="003A7CD3">
        <w:rPr>
          <w:rFonts w:asciiTheme="minorHAnsi" w:hAnsiTheme="minorHAnsi"/>
        </w:rPr>
        <w:t xml:space="preserve">experiences of </w:t>
      </w:r>
      <w:r w:rsidRPr="003A7CD3">
        <w:rPr>
          <w:rFonts w:asciiTheme="minorHAnsi" w:hAnsiTheme="minorHAnsi"/>
        </w:rPr>
        <w:t xml:space="preserve">LGBTQ youth and young adults, </w:t>
      </w:r>
      <w:r w:rsidR="007773BD">
        <w:rPr>
          <w:rFonts w:asciiTheme="minorHAnsi" w:hAnsiTheme="minorHAnsi"/>
        </w:rPr>
        <w:t xml:space="preserve">treatment programs and their staff </w:t>
      </w:r>
      <w:r w:rsidR="004C33EC" w:rsidRPr="003A7CD3">
        <w:rPr>
          <w:rFonts w:asciiTheme="minorHAnsi" w:hAnsiTheme="minorHAnsi"/>
        </w:rPr>
        <w:t xml:space="preserve">must be able to demonstrate safety, cultural competence, </w:t>
      </w:r>
      <w:r w:rsidR="00EC4F27">
        <w:rPr>
          <w:rFonts w:asciiTheme="minorHAnsi" w:hAnsiTheme="minorHAnsi"/>
        </w:rPr>
        <w:t xml:space="preserve">care coordination and </w:t>
      </w:r>
      <w:r w:rsidR="004C33EC" w:rsidRPr="003A7CD3">
        <w:rPr>
          <w:rFonts w:asciiTheme="minorHAnsi" w:hAnsiTheme="minorHAnsi"/>
        </w:rPr>
        <w:t>ability to engage families</w:t>
      </w:r>
      <w:r w:rsidR="00EC4F27">
        <w:rPr>
          <w:rFonts w:asciiTheme="minorHAnsi" w:hAnsiTheme="minorHAnsi"/>
        </w:rPr>
        <w:t>.</w:t>
      </w:r>
      <w:r w:rsidR="004C33EC" w:rsidRPr="003A7CD3">
        <w:rPr>
          <w:rFonts w:asciiTheme="minorHAnsi" w:hAnsiTheme="minorHAnsi"/>
        </w:rPr>
        <w:t xml:space="preserve"> </w:t>
      </w:r>
      <w:r w:rsidR="00C95139" w:rsidRPr="003A7CD3">
        <w:rPr>
          <w:rFonts w:asciiTheme="minorHAnsi" w:hAnsiTheme="minorHAnsi"/>
        </w:rPr>
        <w:t xml:space="preserve">Program and staff </w:t>
      </w:r>
      <w:r w:rsidR="00A85B5B" w:rsidRPr="003A7CD3">
        <w:rPr>
          <w:rFonts w:asciiTheme="minorHAnsi" w:hAnsiTheme="minorHAnsi"/>
        </w:rPr>
        <w:t xml:space="preserve">ability and willingness </w:t>
      </w:r>
      <w:r w:rsidR="00C95139" w:rsidRPr="003A7CD3">
        <w:rPr>
          <w:rFonts w:asciiTheme="minorHAnsi" w:hAnsiTheme="minorHAnsi"/>
        </w:rPr>
        <w:t xml:space="preserve">to </w:t>
      </w:r>
      <w:r w:rsidR="007B74EF" w:rsidRPr="003A7CD3">
        <w:rPr>
          <w:rFonts w:asciiTheme="minorHAnsi" w:hAnsiTheme="minorHAnsi"/>
        </w:rPr>
        <w:t>prot</w:t>
      </w:r>
      <w:r w:rsidR="00393922" w:rsidRPr="003A7CD3">
        <w:rPr>
          <w:rFonts w:asciiTheme="minorHAnsi" w:hAnsiTheme="minorHAnsi"/>
        </w:rPr>
        <w:t xml:space="preserve">ect LGBTQ youth from harassment, </w:t>
      </w:r>
      <w:r w:rsidR="007B74EF" w:rsidRPr="003A7CD3">
        <w:rPr>
          <w:rFonts w:asciiTheme="minorHAnsi" w:hAnsiTheme="minorHAnsi"/>
        </w:rPr>
        <w:t xml:space="preserve">discrimination </w:t>
      </w:r>
      <w:r w:rsidR="00393922" w:rsidRPr="003A7CD3">
        <w:rPr>
          <w:rFonts w:asciiTheme="minorHAnsi" w:hAnsiTheme="minorHAnsi"/>
        </w:rPr>
        <w:t xml:space="preserve">and threats </w:t>
      </w:r>
      <w:r w:rsidR="007B74EF" w:rsidRPr="003A7CD3">
        <w:rPr>
          <w:rFonts w:asciiTheme="minorHAnsi" w:hAnsiTheme="minorHAnsi"/>
        </w:rPr>
        <w:t>must be clear to all and reinforce</w:t>
      </w:r>
      <w:r w:rsidR="00393922" w:rsidRPr="003A7CD3">
        <w:rPr>
          <w:rFonts w:asciiTheme="minorHAnsi" w:hAnsiTheme="minorHAnsi"/>
        </w:rPr>
        <w:t>d through immediate response to incidents. R</w:t>
      </w:r>
      <w:r w:rsidR="008247EA" w:rsidRPr="003A7CD3">
        <w:rPr>
          <w:rFonts w:asciiTheme="minorHAnsi" w:hAnsiTheme="minorHAnsi"/>
        </w:rPr>
        <w:t xml:space="preserve">esponses should be effective in protecting all involved and promoting </w:t>
      </w:r>
      <w:r w:rsidR="00393922" w:rsidRPr="003A7CD3">
        <w:rPr>
          <w:rFonts w:asciiTheme="minorHAnsi" w:hAnsiTheme="minorHAnsi"/>
        </w:rPr>
        <w:t xml:space="preserve">their </w:t>
      </w:r>
      <w:r w:rsidR="008247EA" w:rsidRPr="003A7CD3">
        <w:rPr>
          <w:rFonts w:asciiTheme="minorHAnsi" w:hAnsiTheme="minorHAnsi"/>
        </w:rPr>
        <w:t>co</w:t>
      </w:r>
      <w:r w:rsidR="00475633" w:rsidRPr="003A7CD3">
        <w:rPr>
          <w:rFonts w:asciiTheme="minorHAnsi" w:hAnsiTheme="minorHAnsi"/>
        </w:rPr>
        <w:t>ntinued engagement in treatment</w:t>
      </w:r>
      <w:r w:rsidR="00393922" w:rsidRPr="003A7CD3">
        <w:rPr>
          <w:rFonts w:asciiTheme="minorHAnsi" w:hAnsiTheme="minorHAnsi"/>
        </w:rPr>
        <w:t xml:space="preserve">. </w:t>
      </w:r>
    </w:p>
    <w:p w14:paraId="5745E42A" w14:textId="49CE675D" w:rsidR="00EC4F27" w:rsidRDefault="00C95139" w:rsidP="00EC4F27">
      <w:pPr>
        <w:spacing w:after="120"/>
        <w:ind w:firstLine="720"/>
        <w:rPr>
          <w:rFonts w:asciiTheme="minorHAnsi" w:hAnsiTheme="minorHAnsi"/>
        </w:rPr>
      </w:pPr>
      <w:r w:rsidRPr="003A7CD3">
        <w:rPr>
          <w:rFonts w:asciiTheme="minorHAnsi" w:hAnsiTheme="minorHAnsi"/>
        </w:rPr>
        <w:t xml:space="preserve">Fully integrated cultural competence will include understanding LGBTQ culture as well as </w:t>
      </w:r>
      <w:r w:rsidR="00EC4F27">
        <w:rPr>
          <w:rFonts w:asciiTheme="minorHAnsi" w:hAnsiTheme="minorHAnsi"/>
        </w:rPr>
        <w:t xml:space="preserve">effects of race, ethnicity, country of origin </w:t>
      </w:r>
      <w:r w:rsidRPr="003A7CD3">
        <w:rPr>
          <w:rFonts w:asciiTheme="minorHAnsi" w:hAnsiTheme="minorHAnsi"/>
        </w:rPr>
        <w:t xml:space="preserve">and socioeconomic status </w:t>
      </w:r>
      <w:r w:rsidR="00EC4F27">
        <w:rPr>
          <w:rFonts w:asciiTheme="minorHAnsi" w:hAnsiTheme="minorHAnsi"/>
        </w:rPr>
        <w:t>on</w:t>
      </w:r>
      <w:r w:rsidRPr="003A7CD3">
        <w:rPr>
          <w:rFonts w:asciiTheme="minorHAnsi" w:hAnsiTheme="minorHAnsi"/>
        </w:rPr>
        <w:t xml:space="preserve"> youth development, self-identification, coming out and supports</w:t>
      </w:r>
      <w:r w:rsidR="00EC4F27">
        <w:rPr>
          <w:rFonts w:asciiTheme="minorHAnsi" w:hAnsiTheme="minorHAnsi"/>
        </w:rPr>
        <w:t>. Cultural competence includes understanding how oppression arising from racism and sexism compound other traumas LGBTQ youth and young adults may experience.</w:t>
      </w:r>
      <w:r w:rsidR="00EC4F27" w:rsidRPr="003A7CD3">
        <w:rPr>
          <w:rFonts w:asciiTheme="minorHAnsi" w:hAnsiTheme="minorHAnsi"/>
        </w:rPr>
        <w:t xml:space="preserve"> </w:t>
      </w:r>
    </w:p>
    <w:p w14:paraId="6BBAB181" w14:textId="2F4F065C" w:rsidR="005B60BD" w:rsidRPr="003A7CD3" w:rsidRDefault="00393922" w:rsidP="00EC4F27">
      <w:pPr>
        <w:spacing w:after="120"/>
        <w:ind w:firstLine="720"/>
        <w:rPr>
          <w:rFonts w:asciiTheme="minorHAnsi" w:hAnsiTheme="minorHAnsi"/>
        </w:rPr>
      </w:pPr>
      <w:r w:rsidRPr="003A7CD3">
        <w:rPr>
          <w:rFonts w:asciiTheme="minorHAnsi" w:hAnsiTheme="minorHAnsi"/>
        </w:rPr>
        <w:t xml:space="preserve">Comprehensive care coordination and skill in assessing mental health needs are essential: </w:t>
      </w:r>
      <w:r w:rsidR="00A404CC" w:rsidRPr="003A7CD3">
        <w:rPr>
          <w:rFonts w:asciiTheme="minorHAnsi" w:hAnsiTheme="minorHAnsi"/>
        </w:rPr>
        <w:t xml:space="preserve">LGBTQ youth experience significantly higher levels of depression and suicidality than do </w:t>
      </w:r>
      <w:r w:rsidR="00B05DF4" w:rsidRPr="003A7CD3">
        <w:rPr>
          <w:rFonts w:asciiTheme="minorHAnsi" w:hAnsiTheme="minorHAnsi"/>
        </w:rPr>
        <w:t xml:space="preserve">their </w:t>
      </w:r>
      <w:r w:rsidR="00A404CC" w:rsidRPr="003A7CD3">
        <w:rPr>
          <w:rFonts w:asciiTheme="minorHAnsi" w:hAnsiTheme="minorHAnsi"/>
        </w:rPr>
        <w:t xml:space="preserve">heterosexual </w:t>
      </w:r>
      <w:r w:rsidR="00B05DF4" w:rsidRPr="003A7CD3">
        <w:rPr>
          <w:rFonts w:asciiTheme="minorHAnsi" w:hAnsiTheme="minorHAnsi"/>
        </w:rPr>
        <w:t>peers</w:t>
      </w:r>
      <w:r w:rsidR="00A404CC" w:rsidRPr="003A7CD3">
        <w:rPr>
          <w:rFonts w:asciiTheme="minorHAnsi" w:hAnsiTheme="minorHAnsi"/>
        </w:rPr>
        <w:t>, and the difference increases with severity of suicide ideation and attempts.</w:t>
      </w:r>
      <w:r w:rsidR="00A404CC" w:rsidRPr="003A7CD3">
        <w:rPr>
          <w:rStyle w:val="FootnoteReference"/>
          <w:rFonts w:asciiTheme="minorHAnsi" w:hAnsiTheme="minorHAnsi"/>
        </w:rPr>
        <w:footnoteReference w:id="18"/>
      </w:r>
      <w:r w:rsidR="008247EA" w:rsidRPr="003A7CD3">
        <w:rPr>
          <w:rFonts w:asciiTheme="minorHAnsi" w:hAnsiTheme="minorHAnsi"/>
        </w:rPr>
        <w:t xml:space="preserve"> </w:t>
      </w:r>
    </w:p>
    <w:p w14:paraId="2E78C710" w14:textId="4F17606E" w:rsidR="00EC4F27" w:rsidRDefault="00C95139" w:rsidP="00CE608F">
      <w:pPr>
        <w:spacing w:after="120"/>
        <w:rPr>
          <w:rFonts w:asciiTheme="minorHAnsi" w:hAnsiTheme="minorHAnsi"/>
        </w:rPr>
      </w:pPr>
      <w:r w:rsidRPr="003A7CD3">
        <w:rPr>
          <w:rFonts w:asciiTheme="minorHAnsi" w:hAnsiTheme="minorHAnsi"/>
        </w:rPr>
        <w:tab/>
        <w:t>Families, schools and communities are powerful influences.  Family acceptance or rejection contribute directly to youth and young adult b</w:t>
      </w:r>
      <w:r w:rsidR="00A26313" w:rsidRPr="003A7CD3">
        <w:rPr>
          <w:rFonts w:asciiTheme="minorHAnsi" w:hAnsiTheme="minorHAnsi"/>
        </w:rPr>
        <w:t>ehavioral and mental health;</w:t>
      </w:r>
      <w:r w:rsidRPr="003A7CD3">
        <w:rPr>
          <w:rFonts w:asciiTheme="minorHAnsi" w:hAnsiTheme="minorHAnsi"/>
        </w:rPr>
        <w:t xml:space="preserve"> research has shown that rejection can be transformed into support and acceptance.</w:t>
      </w:r>
      <w:r w:rsidRPr="003A7CD3">
        <w:rPr>
          <w:rStyle w:val="FootnoteReference"/>
          <w:rFonts w:asciiTheme="minorHAnsi" w:hAnsiTheme="minorHAnsi"/>
        </w:rPr>
        <w:footnoteReference w:id="19"/>
      </w:r>
      <w:r w:rsidRPr="003A7CD3">
        <w:rPr>
          <w:rFonts w:asciiTheme="minorHAnsi" w:hAnsiTheme="minorHAnsi"/>
          <w:vertAlign w:val="superscript"/>
        </w:rPr>
        <w:t xml:space="preserve">, </w:t>
      </w:r>
      <w:r w:rsidRPr="003A7CD3">
        <w:rPr>
          <w:rStyle w:val="FootnoteReference"/>
          <w:rFonts w:asciiTheme="minorHAnsi" w:hAnsiTheme="minorHAnsi"/>
        </w:rPr>
        <w:footnoteReference w:id="20"/>
      </w:r>
      <w:r w:rsidR="006608F9" w:rsidRPr="003A7CD3">
        <w:rPr>
          <w:rFonts w:asciiTheme="minorHAnsi" w:hAnsiTheme="minorHAnsi"/>
          <w:vertAlign w:val="superscript"/>
        </w:rPr>
        <w:t xml:space="preserve"> </w:t>
      </w:r>
      <w:r w:rsidR="006608F9" w:rsidRPr="003A7CD3">
        <w:rPr>
          <w:rFonts w:asciiTheme="minorHAnsi" w:hAnsiTheme="minorHAnsi"/>
        </w:rPr>
        <w:t>While</w:t>
      </w:r>
      <w:r w:rsidRPr="003A7CD3">
        <w:rPr>
          <w:rFonts w:asciiTheme="minorHAnsi" w:hAnsiTheme="minorHAnsi"/>
        </w:rPr>
        <w:t xml:space="preserve"> for many </w:t>
      </w:r>
      <w:r w:rsidR="00240C14" w:rsidRPr="003A7CD3">
        <w:rPr>
          <w:rFonts w:asciiTheme="minorHAnsi" w:hAnsiTheme="minorHAnsi"/>
        </w:rPr>
        <w:t>LGBTQ youth, school is a place of fear and torment</w:t>
      </w:r>
      <w:r w:rsidRPr="003A7CD3">
        <w:rPr>
          <w:rFonts w:asciiTheme="minorHAnsi" w:hAnsiTheme="minorHAnsi"/>
        </w:rPr>
        <w:t xml:space="preserve">, resulting in </w:t>
      </w:r>
      <w:r w:rsidR="00240C14" w:rsidRPr="003A7CD3">
        <w:rPr>
          <w:rFonts w:asciiTheme="minorHAnsi" w:hAnsiTheme="minorHAnsi"/>
        </w:rPr>
        <w:t>high absenteeism and poor academic performance</w:t>
      </w:r>
      <w:r w:rsidRPr="003A7CD3">
        <w:rPr>
          <w:rFonts w:asciiTheme="minorHAnsi" w:hAnsiTheme="minorHAnsi"/>
        </w:rPr>
        <w:t xml:space="preserve">, </w:t>
      </w:r>
      <w:r w:rsidR="00EC4F27">
        <w:rPr>
          <w:rFonts w:asciiTheme="minorHAnsi" w:hAnsiTheme="minorHAnsi"/>
        </w:rPr>
        <w:t>Gay/</w:t>
      </w:r>
      <w:r w:rsidR="00F559EE" w:rsidRPr="003A7CD3">
        <w:rPr>
          <w:rFonts w:asciiTheme="minorHAnsi" w:hAnsiTheme="minorHAnsi"/>
        </w:rPr>
        <w:t>Straight Alliances (GSAs) can help reduce risks in schools, serve as resources for LGBTQ students, and support the development of resiliency and leadership skills.</w:t>
      </w:r>
      <w:r w:rsidR="00F559EE" w:rsidRPr="003A7CD3">
        <w:rPr>
          <w:rStyle w:val="FootnoteReference"/>
          <w:rFonts w:asciiTheme="minorHAnsi" w:hAnsiTheme="minorHAnsi"/>
        </w:rPr>
        <w:footnoteReference w:id="21"/>
      </w:r>
      <w:r w:rsidR="00F559EE" w:rsidRPr="003A7CD3">
        <w:rPr>
          <w:rFonts w:asciiTheme="minorHAnsi" w:hAnsiTheme="minorHAnsi"/>
        </w:rPr>
        <w:t xml:space="preserve">  In all these areas collaboration is key. </w:t>
      </w:r>
      <w:r w:rsidR="0023351F" w:rsidRPr="003A7CD3">
        <w:rPr>
          <w:rFonts w:asciiTheme="minorHAnsi" w:hAnsiTheme="minorHAnsi"/>
        </w:rPr>
        <w:t>Strong relationships with community</w:t>
      </w:r>
      <w:r w:rsidR="001840C6">
        <w:rPr>
          <w:rFonts w:asciiTheme="minorHAnsi" w:hAnsiTheme="minorHAnsi"/>
        </w:rPr>
        <w:t xml:space="preserve"> organizations and resources that</w:t>
      </w:r>
      <w:r w:rsidR="0023351F" w:rsidRPr="003A7CD3">
        <w:rPr>
          <w:rFonts w:asciiTheme="minorHAnsi" w:hAnsiTheme="minorHAnsi"/>
        </w:rPr>
        <w:t xml:space="preserve"> are successful in engaging and supporting LGBTQ youth</w:t>
      </w:r>
      <w:r w:rsidR="00F559EE" w:rsidRPr="003A7CD3">
        <w:rPr>
          <w:rFonts w:asciiTheme="minorHAnsi" w:hAnsiTheme="minorHAnsi"/>
        </w:rPr>
        <w:t>, young adults and their families</w:t>
      </w:r>
      <w:r w:rsidR="0023351F" w:rsidRPr="003A7CD3">
        <w:rPr>
          <w:rFonts w:asciiTheme="minorHAnsi" w:hAnsiTheme="minorHAnsi"/>
        </w:rPr>
        <w:t xml:space="preserve"> are essential to support treatment program </w:t>
      </w:r>
      <w:r w:rsidR="00475633" w:rsidRPr="003A7CD3">
        <w:rPr>
          <w:rFonts w:asciiTheme="minorHAnsi" w:hAnsiTheme="minorHAnsi"/>
        </w:rPr>
        <w:t>to build</w:t>
      </w:r>
      <w:r w:rsidR="0023351F" w:rsidRPr="003A7CD3">
        <w:rPr>
          <w:rFonts w:asciiTheme="minorHAnsi" w:hAnsiTheme="minorHAnsi"/>
        </w:rPr>
        <w:t xml:space="preserve"> expertise, provide a support community for youth, and engage and support families.</w:t>
      </w:r>
      <w:r w:rsidR="008247EA" w:rsidRPr="003A7CD3">
        <w:rPr>
          <w:rFonts w:asciiTheme="minorHAnsi" w:hAnsiTheme="minorHAnsi"/>
        </w:rPr>
        <w:t xml:space="preserve"> </w:t>
      </w:r>
    </w:p>
    <w:p w14:paraId="1128DEC4" w14:textId="3BDB4F5A" w:rsidR="000F34A3" w:rsidRPr="003A7CD3" w:rsidRDefault="00AA4FF9" w:rsidP="000F34A3">
      <w:pPr>
        <w:rPr>
          <w:rFonts w:asciiTheme="minorHAnsi" w:hAnsiTheme="minorHAnsi"/>
        </w:rPr>
      </w:pPr>
      <w:r>
        <w:rPr>
          <w:noProof/>
        </w:rPr>
        <mc:AlternateContent>
          <mc:Choice Requires="wps">
            <w:drawing>
              <wp:anchor distT="0" distB="0" distL="114300" distR="114300" simplePos="0" relativeHeight="251663360" behindDoc="0" locked="0" layoutInCell="1" allowOverlap="1" wp14:anchorId="72C64581" wp14:editId="005BCFCB">
                <wp:simplePos x="0" y="0"/>
                <wp:positionH relativeFrom="column">
                  <wp:posOffset>-114300</wp:posOffset>
                </wp:positionH>
                <wp:positionV relativeFrom="paragraph">
                  <wp:posOffset>116205</wp:posOffset>
                </wp:positionV>
                <wp:extent cx="1035050" cy="277495"/>
                <wp:effectExtent l="76200" t="50800" r="57150" b="10350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58143FA8" w14:textId="77777777" w:rsidR="00F004C0" w:rsidRDefault="00F004C0" w:rsidP="00AA4FF9">
                            <w:pPr>
                              <w:pStyle w:val="NormalWeb"/>
                              <w:spacing w:before="0" w:beforeAutospacing="0" w:after="0" w:afterAutospacing="0"/>
                            </w:pPr>
                            <w:r>
                              <w:rPr>
                                <w:rFonts w:ascii="Calibri" w:eastAsia="MS Mincho" w:hAnsi="Calibri"/>
                                <w:smallCaps/>
                                <w:color w:val="005DAA"/>
                                <w:sz w:val="24"/>
                                <w:szCs w:val="24"/>
                              </w:rPr>
                              <w:t>II. GUIDANCE</w:t>
                            </w:r>
                            <w:r>
                              <w:rPr>
                                <w:rFonts w:ascii="Calibri" w:eastAsia="MS Mincho" w:hAnsi="Calibri"/>
                                <w:color w:val="005DAA"/>
                                <w:sz w:val="24"/>
                                <w:szCs w:val="24"/>
                              </w:rPr>
                              <w:t>:</w:t>
                            </w:r>
                            <w:r>
                              <w:rPr>
                                <w:rFonts w:ascii="Calibri" w:eastAsia="MS Mincho" w:hAnsi="Calibri"/>
                                <w:sz w:val="22"/>
                                <w:szCs w:val="22"/>
                              </w:rPr>
                              <w:t xml:space="preserve">  </w:t>
                            </w:r>
                          </w:p>
                        </w:txbxContent>
                      </wps:txbx>
                      <wps:bodyPr rot="0" vert="horz" wrap="none" lIns="91440" tIns="45720" rIns="91440" bIns="45720" anchor="t" anchorCtr="0" upright="1">
                        <a:spAutoFit/>
                      </wps:bodyPr>
                    </wps:wsp>
                  </a:graphicData>
                </a:graphic>
              </wp:anchor>
            </w:drawing>
          </mc:Choice>
          <mc:Fallback>
            <w:pict>
              <v:shape id="Text Box 14" o:spid="_x0000_s1032" type="#_x0000_t202" style="position:absolute;margin-left:-8.95pt;margin-top:9.15pt;width:81.5pt;height:21.8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cjHd0CAADNBQAADgAAAGRycy9lMm9Eb2MueG1srFTbbtswDH0fsH8Q9J76UjuJjTpFmyzDgO6C&#10;tcOeFUu2hcmSISmx22H/PkqOs3TFgGGYHwxdqMND8pBX10Mr0IFpw5UscHQRYsRkqSiXdYG/PGxn&#10;S4yMJZISoSQr8CMz+Hr1+tVV3+UsVo0SlGkEINLkfVfgxtouDwJTNqwl5kJ1TMJlpXRLLGx1HVBN&#10;ekBvRRCH4TzolaadViUzBk434yVeefyqYqX9WFWGWSQKDNys/2v/37l/sLoiea1J1/DySIP8A4uW&#10;cAlOT1AbYgnaa/4CquWlVkZV9qJUbaCqipfMxwDRROFv0dw3pGM+FkiO6U5pMv8Ptvxw+KQRp1C7&#10;BCNJWqjRAxssulUDgiPIT9+ZHMzuOzC0A5yDrY/VdHeq/GaQVOuGyJrdaK36hhEK/CL3Mjh7OuIY&#10;B7Lr3ysKfsjeKg80VLp1yYN0IECHOj2eauO4lM5leJmGKVyVcBcvFkmWehckn1532ti3TLXILQqs&#10;ofYenRzujHVsSD6ZOGdGCU63XAi/0fVuLTQ6ENDJ1n9H9GdmQjpjqdyzEXE8YV5p4MZHsbdM3ze0&#10;Rzux158J5HYO3IE65Y5YnC2Wl24DMpxnUZKEMUZE1NA/pdUYaWW/ctv44rs0vOC33KwXl9sxNtE1&#10;ZGQNGcmWE+kxHB+zmuj43TOmkNsjZ5dlL9fvWRQn4W2czbbz5WKWVEk6yxbhchZG2W02D5Ms2Wx/&#10;ON9RkjecUibvuGRT60TJ30nz2MSj6H3zoL7AWRqnY7h/rE3ovynMc7OWQ9qR4G2Blycjkjs9vpEU&#10;qkVyS7gY18Fz+mNqBigfiGTKilevE+woXTvsBt8op6bYKfoIcoZ6ec3CFIRFo/QTRj1MlAJLGHkY&#10;iXcSGsIXGgaQ3yTpIgY96POb3fkNkSUAFdiCMvxybcehte80rxvwM7XgDTTRlnt9u24bOUEcbgMz&#10;w0d0nG9uKJ3vvdWvKbz6CQAA//8DAFBLAwQUAAYACAAAACEAFmbQQN8AAAAJAQAADwAAAGRycy9k&#10;b3ducmV2LnhtbEyPwU7DMBBE70j8g7VI3FonhZYQ4lQIKRIHOLQUtcdNvCQR8TqK3db8Pe4Jjqt5&#10;mnlbrIMZxIkm11tWkM4TEMSN1T23CnYf1SwD4TyyxsEyKfghB+vy+qrAXNszb+i09a2IJexyVNB5&#10;P+ZSuqYjg25uR+KYfdnJoI/n1Eo94TmWm0EukmQlDfYcFzoc6aWj5nt7NApMY3aBMXur2moZ3sf9&#10;oao/X5W6vQnPTyA8Bf8Hw0U/qkMZnWp7ZO3EoGCWPjxGNAbZHYgLcL9MQdQKVosEZFnI/x+UvwAA&#10;AP//AwBQSwECLQAUAAYACAAAACEA5JnDwPsAAADhAQAAEwAAAAAAAAAAAAAAAAAAAAAAW0NvbnRl&#10;bnRfVHlwZXNdLnhtbFBLAQItABQABgAIAAAAIQAjsmrh1wAAAJQBAAALAAAAAAAAAAAAAAAAACwB&#10;AABfcmVscy8ucmVsc1BLAQItABQABgAIAAAAIQCwByMd3QIAAM0FAAAOAAAAAAAAAAAAAAAAACwC&#10;AABkcnMvZTJvRG9jLnhtbFBLAQItABQABgAIAAAAIQAWZtBA3wAAAAkBAAAPAAAAAAAAAAAAAAAA&#10;ADUFAABkcnMvZG93bnJldi54bWxQSwUGAAAAAAQABADzAAAAQQYAAAAA&#10;" stroked="f">
                <v:shadow on="t" color="#8dc73f" opacity="49150f" offset="-1pt"/>
                <v:textbox style="mso-fit-shape-to-text:t">
                  <w:txbxContent>
                    <w:p w14:paraId="58143FA8" w14:textId="77777777" w:rsidR="00F004C0" w:rsidRDefault="00F004C0" w:rsidP="00AA4FF9">
                      <w:pPr>
                        <w:pStyle w:val="NormalWeb"/>
                        <w:spacing w:before="0" w:beforeAutospacing="0" w:after="0" w:afterAutospacing="0"/>
                      </w:pPr>
                      <w:r>
                        <w:rPr>
                          <w:rFonts w:ascii="Calibri" w:eastAsia="MS Mincho" w:hAnsi="Calibri"/>
                          <w:smallCaps/>
                          <w:color w:val="005DAA"/>
                          <w:sz w:val="24"/>
                          <w:szCs w:val="24"/>
                        </w:rPr>
                        <w:t>II. GUIDANCE</w:t>
                      </w:r>
                      <w:r>
                        <w:rPr>
                          <w:rFonts w:ascii="Calibri" w:eastAsia="MS Mincho" w:hAnsi="Calibri"/>
                          <w:color w:val="005DAA"/>
                          <w:sz w:val="24"/>
                          <w:szCs w:val="24"/>
                        </w:rPr>
                        <w:t>:</w:t>
                      </w:r>
                      <w:r>
                        <w:rPr>
                          <w:rFonts w:ascii="Calibri" w:eastAsia="MS Mincho" w:hAnsi="Calibri"/>
                          <w:sz w:val="22"/>
                          <w:szCs w:val="22"/>
                        </w:rPr>
                        <w:t xml:space="preserve">  </w:t>
                      </w:r>
                    </w:p>
                  </w:txbxContent>
                </v:textbox>
                <w10:wrap type="square"/>
              </v:shape>
            </w:pict>
          </mc:Fallback>
        </mc:AlternateContent>
      </w:r>
    </w:p>
    <w:p w14:paraId="32DB8265" w14:textId="77777777" w:rsidR="00AA4FF9" w:rsidRDefault="00AA4FF9" w:rsidP="00BB217C">
      <w:pPr>
        <w:spacing w:before="240" w:after="120"/>
        <w:rPr>
          <w:rFonts w:asciiTheme="minorHAnsi" w:hAnsiTheme="minorHAnsi"/>
          <w:b/>
          <w:color w:val="005DAA"/>
        </w:rPr>
      </w:pPr>
    </w:p>
    <w:p w14:paraId="21389443" w14:textId="4213865C" w:rsidR="00BB217C" w:rsidRPr="003A7CD3" w:rsidRDefault="00BB217C" w:rsidP="00AA4FF9">
      <w:pPr>
        <w:spacing w:after="120"/>
        <w:rPr>
          <w:rFonts w:asciiTheme="minorHAnsi" w:hAnsiTheme="minorHAnsi"/>
          <w:i/>
          <w:color w:val="005DAA"/>
        </w:rPr>
      </w:pPr>
      <w:r w:rsidRPr="003A7CD3">
        <w:rPr>
          <w:rFonts w:asciiTheme="minorHAnsi" w:hAnsiTheme="minorHAnsi"/>
          <w:b/>
          <w:color w:val="005DAA"/>
        </w:rPr>
        <w:t>A.  Organization:</w:t>
      </w:r>
      <w:r w:rsidRPr="003A7CD3">
        <w:rPr>
          <w:rFonts w:asciiTheme="minorHAnsi" w:hAnsiTheme="minorHAnsi"/>
          <w:color w:val="005DAA"/>
        </w:rPr>
        <w:t xml:space="preserve"> </w:t>
      </w:r>
      <w:r w:rsidRPr="003A7CD3">
        <w:rPr>
          <w:rFonts w:asciiTheme="minorHAnsi" w:hAnsiTheme="minorHAnsi"/>
          <w:i/>
          <w:color w:val="005DAA"/>
        </w:rPr>
        <w:t xml:space="preserve"> </w:t>
      </w:r>
    </w:p>
    <w:p w14:paraId="25CF8A76" w14:textId="77777777" w:rsidR="00F45820" w:rsidRPr="003A7CD3" w:rsidRDefault="00F45820" w:rsidP="005604C8">
      <w:pPr>
        <w:spacing w:after="120"/>
        <w:ind w:left="360" w:hanging="360"/>
        <w:rPr>
          <w:rFonts w:asciiTheme="minorHAnsi" w:hAnsiTheme="minorHAnsi"/>
        </w:rPr>
      </w:pPr>
      <w:r w:rsidRPr="003A7CD3">
        <w:rPr>
          <w:rFonts w:asciiTheme="minorHAnsi" w:hAnsiTheme="minorHAnsi"/>
          <w:i/>
          <w:u w:val="single"/>
        </w:rPr>
        <w:t>Policy:</w:t>
      </w:r>
    </w:p>
    <w:p w14:paraId="2EADF022" w14:textId="77777777" w:rsidR="00904DEA" w:rsidRPr="003A7CD3" w:rsidRDefault="00F45820" w:rsidP="00A26FE0">
      <w:pPr>
        <w:numPr>
          <w:ilvl w:val="0"/>
          <w:numId w:val="24"/>
        </w:numPr>
        <w:spacing w:after="120"/>
        <w:rPr>
          <w:rFonts w:asciiTheme="minorHAnsi" w:hAnsiTheme="minorHAnsi"/>
        </w:rPr>
      </w:pPr>
      <w:r w:rsidRPr="003A7CD3">
        <w:rPr>
          <w:rFonts w:asciiTheme="minorHAnsi" w:hAnsiTheme="minorHAnsi"/>
        </w:rPr>
        <w:t xml:space="preserve">Policies state that the agency </w:t>
      </w:r>
      <w:r w:rsidR="00904DEA" w:rsidRPr="003A7CD3">
        <w:rPr>
          <w:rFonts w:asciiTheme="minorHAnsi" w:hAnsiTheme="minorHAnsi"/>
        </w:rPr>
        <w:t>welcomes and is</w:t>
      </w:r>
      <w:r w:rsidRPr="003A7CD3">
        <w:rPr>
          <w:rFonts w:asciiTheme="minorHAnsi" w:hAnsiTheme="minorHAnsi"/>
        </w:rPr>
        <w:t xml:space="preserve"> affirmatively respo</w:t>
      </w:r>
      <w:r w:rsidR="00475633" w:rsidRPr="003A7CD3">
        <w:rPr>
          <w:rFonts w:asciiTheme="minorHAnsi" w:hAnsiTheme="minorHAnsi"/>
        </w:rPr>
        <w:t xml:space="preserve">nsive to lesbian, gay, bisexual, </w:t>
      </w:r>
      <w:r w:rsidRPr="003A7CD3">
        <w:rPr>
          <w:rFonts w:asciiTheme="minorHAnsi" w:hAnsiTheme="minorHAnsi"/>
        </w:rPr>
        <w:t xml:space="preserve">transgender </w:t>
      </w:r>
      <w:r w:rsidR="00475633" w:rsidRPr="003A7CD3">
        <w:rPr>
          <w:rFonts w:asciiTheme="minorHAnsi" w:hAnsiTheme="minorHAnsi"/>
        </w:rPr>
        <w:t>and queer/questioning youth</w:t>
      </w:r>
      <w:r w:rsidR="00904DEA" w:rsidRPr="003A7CD3">
        <w:rPr>
          <w:rFonts w:asciiTheme="minorHAnsi" w:hAnsiTheme="minorHAnsi"/>
        </w:rPr>
        <w:t xml:space="preserve"> and young adults.</w:t>
      </w:r>
    </w:p>
    <w:p w14:paraId="25FFA5C3" w14:textId="2760D925" w:rsidR="00F45820" w:rsidRPr="003A7CD3" w:rsidRDefault="00904DEA" w:rsidP="00A26FE0">
      <w:pPr>
        <w:numPr>
          <w:ilvl w:val="1"/>
          <w:numId w:val="24"/>
        </w:numPr>
        <w:spacing w:after="120"/>
        <w:rPr>
          <w:rFonts w:asciiTheme="minorHAnsi" w:hAnsiTheme="minorHAnsi"/>
        </w:rPr>
      </w:pPr>
      <w:r w:rsidRPr="003A7CD3">
        <w:rPr>
          <w:rFonts w:asciiTheme="minorHAnsi" w:hAnsiTheme="minorHAnsi"/>
        </w:rPr>
        <w:t xml:space="preserve">Agency service and program evaluations specifically </w:t>
      </w:r>
      <w:r w:rsidR="005E186B" w:rsidRPr="003A7CD3">
        <w:rPr>
          <w:rFonts w:asciiTheme="minorHAnsi" w:hAnsiTheme="minorHAnsi"/>
        </w:rPr>
        <w:t>identify goals related to building</w:t>
      </w:r>
      <w:r w:rsidR="00F45820" w:rsidRPr="003A7CD3">
        <w:rPr>
          <w:rFonts w:asciiTheme="minorHAnsi" w:hAnsiTheme="minorHAnsi"/>
        </w:rPr>
        <w:t xml:space="preserve"> </w:t>
      </w:r>
      <w:r w:rsidRPr="003A7CD3">
        <w:rPr>
          <w:rFonts w:asciiTheme="minorHAnsi" w:hAnsiTheme="minorHAnsi"/>
        </w:rPr>
        <w:t>capacity to provide</w:t>
      </w:r>
      <w:r w:rsidR="00F45820" w:rsidRPr="003A7CD3">
        <w:rPr>
          <w:rFonts w:asciiTheme="minorHAnsi" w:hAnsiTheme="minorHAnsi"/>
        </w:rPr>
        <w:t xml:space="preserve"> treatment to youth</w:t>
      </w:r>
      <w:r w:rsidRPr="003A7CD3">
        <w:rPr>
          <w:rFonts w:asciiTheme="minorHAnsi" w:hAnsiTheme="minorHAnsi"/>
        </w:rPr>
        <w:t xml:space="preserve"> and young adults</w:t>
      </w:r>
      <w:r w:rsidR="00F45820" w:rsidRPr="003A7CD3">
        <w:rPr>
          <w:rFonts w:asciiTheme="minorHAnsi" w:hAnsiTheme="minorHAnsi"/>
        </w:rPr>
        <w:t xml:space="preserve"> in general, and LGBTQ youth </w:t>
      </w:r>
      <w:r w:rsidRPr="003A7CD3">
        <w:rPr>
          <w:rFonts w:asciiTheme="minorHAnsi" w:hAnsiTheme="minorHAnsi"/>
        </w:rPr>
        <w:t xml:space="preserve">and young adults </w:t>
      </w:r>
      <w:r w:rsidR="005E186B" w:rsidRPr="003A7CD3">
        <w:rPr>
          <w:rFonts w:asciiTheme="minorHAnsi" w:hAnsiTheme="minorHAnsi"/>
        </w:rPr>
        <w:t>specifically;</w:t>
      </w:r>
    </w:p>
    <w:p w14:paraId="7917F6B8" w14:textId="70C57956" w:rsidR="005E186B" w:rsidRPr="003A7CD3" w:rsidRDefault="005E186B" w:rsidP="00A26FE0">
      <w:pPr>
        <w:numPr>
          <w:ilvl w:val="1"/>
          <w:numId w:val="24"/>
        </w:numPr>
        <w:spacing w:after="120"/>
        <w:rPr>
          <w:rFonts w:asciiTheme="minorHAnsi" w:hAnsiTheme="minorHAnsi"/>
        </w:rPr>
      </w:pPr>
      <w:r w:rsidRPr="003A7CD3">
        <w:rPr>
          <w:rFonts w:asciiTheme="minorHAnsi" w:hAnsiTheme="minorHAnsi"/>
        </w:rPr>
        <w:t>LGBTQ youth and young adults participate in design a</w:t>
      </w:r>
      <w:r w:rsidR="00BC2884" w:rsidRPr="003A7CD3">
        <w:rPr>
          <w:rFonts w:asciiTheme="minorHAnsi" w:hAnsiTheme="minorHAnsi"/>
        </w:rPr>
        <w:t>nd review of agency evaluations;</w:t>
      </w:r>
    </w:p>
    <w:p w14:paraId="5B86FBF6" w14:textId="079E11FA" w:rsidR="00F45820" w:rsidRPr="003A7CD3" w:rsidRDefault="00F45820" w:rsidP="00A26FE0">
      <w:pPr>
        <w:numPr>
          <w:ilvl w:val="0"/>
          <w:numId w:val="24"/>
        </w:numPr>
        <w:spacing w:after="120"/>
        <w:rPr>
          <w:rFonts w:asciiTheme="minorHAnsi" w:hAnsiTheme="minorHAnsi"/>
        </w:rPr>
      </w:pPr>
      <w:r w:rsidRPr="003A7CD3">
        <w:rPr>
          <w:rFonts w:asciiTheme="minorHAnsi" w:hAnsiTheme="minorHAnsi"/>
        </w:rPr>
        <w:t xml:space="preserve">Policies state agency’s commitment to reach out in order to serve </w:t>
      </w:r>
      <w:r w:rsidR="00475633" w:rsidRPr="003A7CD3">
        <w:rPr>
          <w:rFonts w:asciiTheme="minorHAnsi" w:hAnsiTheme="minorHAnsi"/>
        </w:rPr>
        <w:t>LGBTQ</w:t>
      </w:r>
      <w:r w:rsidR="007773BD">
        <w:rPr>
          <w:rFonts w:asciiTheme="minorHAnsi" w:hAnsiTheme="minorHAnsi"/>
        </w:rPr>
        <w:t xml:space="preserve"> youth “where they are”</w:t>
      </w:r>
      <w:r w:rsidRPr="003A7CD3">
        <w:rPr>
          <w:rFonts w:asciiTheme="minorHAnsi" w:hAnsiTheme="minorHAnsi"/>
        </w:rPr>
        <w:t xml:space="preserve"> and to reduce functional barriers to treatment</w:t>
      </w:r>
      <w:r w:rsidR="00475633" w:rsidRPr="003A7CD3">
        <w:rPr>
          <w:rFonts w:asciiTheme="minorHAnsi" w:hAnsiTheme="minorHAnsi"/>
        </w:rPr>
        <w:t>, such as complex phone menus or lengthy forms.</w:t>
      </w:r>
    </w:p>
    <w:p w14:paraId="647CE934" w14:textId="04999ADD" w:rsidR="00F45820" w:rsidRPr="003A7CD3" w:rsidRDefault="00F45820" w:rsidP="00A26FE0">
      <w:pPr>
        <w:numPr>
          <w:ilvl w:val="0"/>
          <w:numId w:val="24"/>
        </w:numPr>
        <w:spacing w:after="120"/>
        <w:rPr>
          <w:rFonts w:asciiTheme="minorHAnsi" w:hAnsiTheme="minorHAnsi"/>
        </w:rPr>
      </w:pPr>
      <w:r w:rsidRPr="003A7CD3">
        <w:rPr>
          <w:rFonts w:asciiTheme="minorHAnsi" w:hAnsiTheme="minorHAnsi"/>
        </w:rPr>
        <w:t xml:space="preserve">Agency employment policies and practices promote development of a </w:t>
      </w:r>
      <w:r w:rsidR="001C782E" w:rsidRPr="003A7CD3">
        <w:rPr>
          <w:rFonts w:asciiTheme="minorHAnsi" w:hAnsiTheme="minorHAnsi"/>
        </w:rPr>
        <w:t xml:space="preserve">diverse </w:t>
      </w:r>
      <w:r w:rsidRPr="003A7CD3">
        <w:rPr>
          <w:rFonts w:asciiTheme="minorHAnsi" w:hAnsiTheme="minorHAnsi"/>
        </w:rPr>
        <w:t xml:space="preserve">workforce that is knowledgeable, skilled and effective in engaging LGBTQ </w:t>
      </w:r>
      <w:r w:rsidR="0031017B" w:rsidRPr="003A7CD3">
        <w:rPr>
          <w:rFonts w:asciiTheme="minorHAnsi" w:hAnsiTheme="minorHAnsi"/>
        </w:rPr>
        <w:t xml:space="preserve">youth and young </w:t>
      </w:r>
      <w:r w:rsidRPr="003A7CD3">
        <w:rPr>
          <w:rFonts w:asciiTheme="minorHAnsi" w:hAnsiTheme="minorHAnsi"/>
        </w:rPr>
        <w:t>adults.</w:t>
      </w:r>
    </w:p>
    <w:p w14:paraId="270B4BC1" w14:textId="77777777" w:rsidR="00F45820" w:rsidRPr="003A7CD3" w:rsidRDefault="00F45820" w:rsidP="00A26FE0">
      <w:pPr>
        <w:numPr>
          <w:ilvl w:val="0"/>
          <w:numId w:val="24"/>
        </w:numPr>
        <w:spacing w:after="120"/>
        <w:rPr>
          <w:rFonts w:asciiTheme="minorHAnsi" w:hAnsiTheme="minorHAnsi"/>
        </w:rPr>
      </w:pPr>
      <w:r w:rsidRPr="003A7CD3">
        <w:rPr>
          <w:rFonts w:asciiTheme="minorHAnsi" w:hAnsiTheme="minorHAnsi"/>
        </w:rPr>
        <w:t>Policies affirmatively define safeguards for LGBTQ staff and individuals served.</w:t>
      </w:r>
    </w:p>
    <w:p w14:paraId="7765F91C" w14:textId="601C419D" w:rsidR="00F45820" w:rsidRPr="00A26FE0" w:rsidRDefault="00F45820" w:rsidP="00936D56">
      <w:pPr>
        <w:numPr>
          <w:ilvl w:val="0"/>
          <w:numId w:val="24"/>
        </w:numPr>
        <w:spacing w:after="120"/>
        <w:rPr>
          <w:rFonts w:asciiTheme="minorHAnsi" w:hAnsiTheme="minorHAnsi"/>
        </w:rPr>
      </w:pPr>
      <w:r w:rsidRPr="003A7CD3">
        <w:rPr>
          <w:rFonts w:asciiTheme="minorHAnsi" w:hAnsiTheme="minorHAnsi"/>
        </w:rPr>
        <w:t xml:space="preserve">Policies </w:t>
      </w:r>
      <w:r w:rsidR="00625EEA" w:rsidRPr="003A7CD3">
        <w:rPr>
          <w:rFonts w:asciiTheme="minorHAnsi" w:hAnsiTheme="minorHAnsi"/>
        </w:rPr>
        <w:t xml:space="preserve">and procedures, including client policy manuals, describe mechanisms by which agency ensures </w:t>
      </w:r>
      <w:r w:rsidRPr="003A7CD3">
        <w:rPr>
          <w:rFonts w:asciiTheme="minorHAnsi" w:hAnsiTheme="minorHAnsi"/>
        </w:rPr>
        <w:t>a safe and respectful environment</w:t>
      </w:r>
      <w:r w:rsidR="00625EEA" w:rsidRPr="003A7CD3">
        <w:rPr>
          <w:rFonts w:asciiTheme="minorHAnsi" w:hAnsiTheme="minorHAnsi"/>
        </w:rPr>
        <w:t>, including responses to incidents of harassment, violence or threats of violence</w:t>
      </w:r>
      <w:r w:rsidRPr="003A7CD3">
        <w:rPr>
          <w:rFonts w:asciiTheme="minorHAnsi" w:hAnsiTheme="minorHAnsi"/>
        </w:rPr>
        <w:t>.</w:t>
      </w:r>
      <w:r w:rsidR="00936D56" w:rsidRPr="003A7CD3">
        <w:rPr>
          <w:rFonts w:asciiTheme="minorHAnsi" w:hAnsiTheme="minorHAnsi"/>
        </w:rPr>
        <w:t xml:space="preserve"> Agency grievance procedures specifically include grievance of </w:t>
      </w:r>
      <w:r w:rsidR="006608F9" w:rsidRPr="003A7CD3">
        <w:rPr>
          <w:rFonts w:asciiTheme="minorHAnsi" w:hAnsiTheme="minorHAnsi"/>
        </w:rPr>
        <w:t>harassment</w:t>
      </w:r>
      <w:r w:rsidR="00936D56" w:rsidRPr="003A7CD3">
        <w:rPr>
          <w:rFonts w:asciiTheme="minorHAnsi" w:hAnsiTheme="minorHAnsi"/>
        </w:rPr>
        <w:t xml:space="preserve"> and/or threats based on sexual orientation and/or gender identity.</w:t>
      </w:r>
    </w:p>
    <w:p w14:paraId="1E12AAC0" w14:textId="28013682" w:rsidR="00F45820" w:rsidRPr="003A7CD3" w:rsidRDefault="00F45820" w:rsidP="005604C8">
      <w:pPr>
        <w:spacing w:after="120"/>
        <w:rPr>
          <w:rFonts w:asciiTheme="minorHAnsi" w:hAnsiTheme="minorHAnsi"/>
        </w:rPr>
      </w:pPr>
      <w:r w:rsidRPr="003A7CD3">
        <w:rPr>
          <w:rFonts w:asciiTheme="minorHAnsi" w:hAnsiTheme="minorHAnsi"/>
          <w:i/>
          <w:u w:val="single"/>
        </w:rPr>
        <w:t>Operations:</w:t>
      </w:r>
    </w:p>
    <w:p w14:paraId="4D2D39BA" w14:textId="15D946B2" w:rsidR="00F45820" w:rsidRPr="003A7CD3" w:rsidRDefault="00F45820" w:rsidP="00A26FE0">
      <w:pPr>
        <w:numPr>
          <w:ilvl w:val="0"/>
          <w:numId w:val="25"/>
        </w:numPr>
        <w:spacing w:after="120"/>
        <w:rPr>
          <w:rFonts w:asciiTheme="minorHAnsi" w:hAnsiTheme="minorHAnsi"/>
        </w:rPr>
      </w:pPr>
      <w:r w:rsidRPr="003A7CD3">
        <w:rPr>
          <w:rFonts w:asciiTheme="minorHAnsi" w:hAnsiTheme="minorHAnsi"/>
        </w:rPr>
        <w:t xml:space="preserve">Outreach efforts are directed to community agencies and </w:t>
      </w:r>
      <w:r w:rsidR="002816D2" w:rsidRPr="003A7CD3">
        <w:rPr>
          <w:rFonts w:asciiTheme="minorHAnsi" w:hAnsiTheme="minorHAnsi"/>
        </w:rPr>
        <w:t>organizations that</w:t>
      </w:r>
      <w:r w:rsidRPr="003A7CD3">
        <w:rPr>
          <w:rFonts w:asciiTheme="minorHAnsi" w:hAnsiTheme="minorHAnsi"/>
        </w:rPr>
        <w:t xml:space="preserve"> have demonstrated ability to engage and support LGBTQ youth</w:t>
      </w:r>
      <w:r w:rsidR="00625EEA" w:rsidRPr="003A7CD3">
        <w:rPr>
          <w:rFonts w:asciiTheme="minorHAnsi" w:hAnsiTheme="minorHAnsi"/>
        </w:rPr>
        <w:t xml:space="preserve"> and young adults</w:t>
      </w:r>
      <w:r w:rsidRPr="003A7CD3">
        <w:rPr>
          <w:rFonts w:asciiTheme="minorHAnsi" w:hAnsiTheme="minorHAnsi"/>
        </w:rPr>
        <w:t xml:space="preserve"> and their families</w:t>
      </w:r>
      <w:r w:rsidR="00625EEA" w:rsidRPr="003A7CD3">
        <w:rPr>
          <w:rStyle w:val="FootnoteReference"/>
          <w:rFonts w:asciiTheme="minorHAnsi" w:hAnsiTheme="minorHAnsi"/>
        </w:rPr>
        <w:footnoteReference w:id="22"/>
      </w:r>
      <w:r w:rsidRPr="003A7CD3">
        <w:rPr>
          <w:rFonts w:asciiTheme="minorHAnsi" w:hAnsiTheme="minorHAnsi"/>
        </w:rPr>
        <w:t>; these efforts include organizations serving homeless youth.</w:t>
      </w:r>
      <w:r w:rsidR="003E068F" w:rsidRPr="003A7CD3">
        <w:rPr>
          <w:rStyle w:val="FootnoteReference"/>
          <w:rFonts w:asciiTheme="minorHAnsi" w:hAnsiTheme="minorHAnsi"/>
        </w:rPr>
        <w:footnoteReference w:id="23"/>
      </w:r>
    </w:p>
    <w:p w14:paraId="07D7999A" w14:textId="0C8EB77B" w:rsidR="00F45820" w:rsidRPr="003A7CD3" w:rsidRDefault="00F45820" w:rsidP="00A26FE0">
      <w:pPr>
        <w:numPr>
          <w:ilvl w:val="0"/>
          <w:numId w:val="25"/>
        </w:numPr>
        <w:spacing w:after="120"/>
        <w:rPr>
          <w:rFonts w:asciiTheme="minorHAnsi" w:hAnsiTheme="minorHAnsi"/>
        </w:rPr>
      </w:pPr>
      <w:r w:rsidRPr="003A7CD3">
        <w:rPr>
          <w:rFonts w:asciiTheme="minorHAnsi" w:hAnsiTheme="minorHAnsi"/>
        </w:rPr>
        <w:t>Agencies seek out and establish Qualified Service Organization Agreements with entities providing effective services for LGBTQ youth and their families.</w:t>
      </w:r>
    </w:p>
    <w:p w14:paraId="752C6FAD" w14:textId="669FEF50" w:rsidR="00F45820" w:rsidRPr="003A7CD3" w:rsidRDefault="00F45820" w:rsidP="00A26FE0">
      <w:pPr>
        <w:numPr>
          <w:ilvl w:val="1"/>
          <w:numId w:val="25"/>
        </w:numPr>
        <w:spacing w:after="120"/>
        <w:rPr>
          <w:rFonts w:asciiTheme="minorHAnsi" w:hAnsiTheme="minorHAnsi"/>
        </w:rPr>
      </w:pPr>
      <w:r w:rsidRPr="003A7CD3">
        <w:rPr>
          <w:rFonts w:asciiTheme="minorHAnsi" w:hAnsiTheme="minorHAnsi"/>
        </w:rPr>
        <w:t>Collaborations specify means of providing substance abuse treatment services in venues congenial to LGBTQ youth</w:t>
      </w:r>
      <w:r w:rsidR="003038E8" w:rsidRPr="003A7CD3">
        <w:rPr>
          <w:rFonts w:asciiTheme="minorHAnsi" w:hAnsiTheme="minorHAnsi"/>
        </w:rPr>
        <w:t xml:space="preserve"> and young adults</w:t>
      </w:r>
      <w:r w:rsidRPr="003A7CD3">
        <w:rPr>
          <w:rFonts w:asciiTheme="minorHAnsi" w:hAnsiTheme="minorHAnsi"/>
        </w:rPr>
        <w:t>, as well as specifying methods of referral and providing cross-training.</w:t>
      </w:r>
    </w:p>
    <w:p w14:paraId="44C52BAB" w14:textId="77777777" w:rsidR="00F45820" w:rsidRPr="003A7CD3" w:rsidRDefault="00F45820" w:rsidP="00A26FE0">
      <w:pPr>
        <w:numPr>
          <w:ilvl w:val="1"/>
          <w:numId w:val="25"/>
        </w:numPr>
        <w:spacing w:after="120"/>
        <w:rPr>
          <w:rFonts w:asciiTheme="minorHAnsi" w:hAnsiTheme="minorHAnsi"/>
        </w:rPr>
      </w:pPr>
      <w:r w:rsidRPr="003A7CD3">
        <w:rPr>
          <w:rFonts w:asciiTheme="minorHAnsi" w:hAnsiTheme="minorHAnsi"/>
        </w:rPr>
        <w:t>QSOA’s establish mechanisms for family engagement and support.</w:t>
      </w:r>
    </w:p>
    <w:p w14:paraId="48CA6F69" w14:textId="77777777" w:rsidR="009C1FC5" w:rsidRPr="003A7CD3" w:rsidRDefault="009C1FC5" w:rsidP="00A26FE0">
      <w:pPr>
        <w:numPr>
          <w:ilvl w:val="0"/>
          <w:numId w:val="25"/>
        </w:numPr>
        <w:spacing w:after="120"/>
        <w:rPr>
          <w:rFonts w:asciiTheme="minorHAnsi" w:hAnsiTheme="minorHAnsi"/>
        </w:rPr>
      </w:pPr>
      <w:r w:rsidRPr="003A7CD3">
        <w:rPr>
          <w:rFonts w:asciiTheme="minorHAnsi" w:hAnsiTheme="minorHAnsi"/>
        </w:rPr>
        <w:t xml:space="preserve">Agencies establish collaborative relationships with </w:t>
      </w:r>
    </w:p>
    <w:p w14:paraId="093150B0" w14:textId="360A5DFB" w:rsidR="009C1FC5" w:rsidRPr="003A7CD3" w:rsidRDefault="009C1FC5" w:rsidP="00A26FE0">
      <w:pPr>
        <w:numPr>
          <w:ilvl w:val="1"/>
          <w:numId w:val="25"/>
        </w:numPr>
        <w:spacing w:after="120"/>
        <w:rPr>
          <w:rFonts w:asciiTheme="minorHAnsi" w:hAnsiTheme="minorHAnsi"/>
        </w:rPr>
      </w:pPr>
      <w:r w:rsidRPr="003A7CD3">
        <w:rPr>
          <w:rFonts w:asciiTheme="minorHAnsi" w:hAnsiTheme="minorHAnsi"/>
        </w:rPr>
        <w:t>DCF offices, focusing on LGBTQ youth in foster care and/or ‘aging out’ of foster care;</w:t>
      </w:r>
    </w:p>
    <w:p w14:paraId="2C3F702C" w14:textId="728246DF" w:rsidR="00DC587F" w:rsidRPr="003A7CD3" w:rsidRDefault="00DC587F" w:rsidP="00A26FE0">
      <w:pPr>
        <w:numPr>
          <w:ilvl w:val="1"/>
          <w:numId w:val="25"/>
        </w:numPr>
        <w:spacing w:after="120"/>
        <w:rPr>
          <w:rFonts w:asciiTheme="minorHAnsi" w:hAnsiTheme="minorHAnsi"/>
        </w:rPr>
      </w:pPr>
      <w:r w:rsidRPr="003A7CD3">
        <w:rPr>
          <w:rFonts w:asciiTheme="minorHAnsi" w:hAnsiTheme="minorHAnsi"/>
        </w:rPr>
        <w:t>DYS and related community programs to support youth who are being released or who are being served in the community;</w:t>
      </w:r>
    </w:p>
    <w:p w14:paraId="18BF007C" w14:textId="0AE5D133" w:rsidR="00DC587F" w:rsidRPr="003A7CD3" w:rsidRDefault="00DC587F" w:rsidP="00A26FE0">
      <w:pPr>
        <w:numPr>
          <w:ilvl w:val="1"/>
          <w:numId w:val="25"/>
        </w:numPr>
        <w:spacing w:after="120"/>
        <w:rPr>
          <w:rFonts w:asciiTheme="minorHAnsi" w:hAnsiTheme="minorHAnsi"/>
        </w:rPr>
      </w:pPr>
      <w:r w:rsidRPr="003A7CD3">
        <w:rPr>
          <w:rFonts w:asciiTheme="minorHAnsi" w:hAnsiTheme="minorHAnsi"/>
        </w:rPr>
        <w:t>Local school districts;</w:t>
      </w:r>
    </w:p>
    <w:p w14:paraId="3664046B" w14:textId="6BCBDD67" w:rsidR="009C1FC5" w:rsidRPr="003A7CD3" w:rsidRDefault="009C1FC5" w:rsidP="00A26FE0">
      <w:pPr>
        <w:numPr>
          <w:ilvl w:val="1"/>
          <w:numId w:val="25"/>
        </w:numPr>
        <w:spacing w:after="120"/>
        <w:rPr>
          <w:rFonts w:asciiTheme="minorHAnsi" w:hAnsiTheme="minorHAnsi"/>
        </w:rPr>
      </w:pPr>
      <w:r w:rsidRPr="003A7CD3">
        <w:rPr>
          <w:rFonts w:asciiTheme="minorHAnsi" w:hAnsiTheme="minorHAnsi"/>
        </w:rPr>
        <w:t xml:space="preserve">DMH </w:t>
      </w:r>
      <w:r w:rsidR="0029248D" w:rsidRPr="003A7CD3">
        <w:rPr>
          <w:rFonts w:asciiTheme="minorHAnsi" w:hAnsiTheme="minorHAnsi"/>
        </w:rPr>
        <w:t xml:space="preserve">services for individuals with co-occurring disorders, </w:t>
      </w:r>
      <w:r w:rsidRPr="003A7CD3">
        <w:rPr>
          <w:rFonts w:asciiTheme="minorHAnsi" w:hAnsiTheme="minorHAnsi"/>
        </w:rPr>
        <w:t xml:space="preserve">focusing on DMH </w:t>
      </w:r>
      <w:r w:rsidR="003038E8" w:rsidRPr="003A7CD3">
        <w:rPr>
          <w:rFonts w:asciiTheme="minorHAnsi" w:hAnsiTheme="minorHAnsi"/>
        </w:rPr>
        <w:t>transition age youth and young adult initiatives.</w:t>
      </w:r>
    </w:p>
    <w:p w14:paraId="36FB342A" w14:textId="2AA602D9" w:rsidR="00A26313" w:rsidRPr="003A7CD3" w:rsidRDefault="00A26313" w:rsidP="00A26FE0">
      <w:pPr>
        <w:numPr>
          <w:ilvl w:val="0"/>
          <w:numId w:val="25"/>
        </w:numPr>
        <w:spacing w:after="120"/>
        <w:rPr>
          <w:rFonts w:asciiTheme="minorHAnsi" w:hAnsiTheme="minorHAnsi"/>
        </w:rPr>
      </w:pPr>
      <w:r w:rsidRPr="003A7CD3">
        <w:rPr>
          <w:rFonts w:asciiTheme="minorHAnsi" w:hAnsiTheme="minorHAnsi"/>
        </w:rPr>
        <w:t>Posters, brochures and other materials in public spaces affirm the agency’s commitment to respectful engagement of the LGBTQ youth population, e.g. by use of inclusive visual images.</w:t>
      </w:r>
    </w:p>
    <w:p w14:paraId="7C1F3E65" w14:textId="75B36700" w:rsidR="00475633" w:rsidRPr="003A7CD3" w:rsidRDefault="00F45820" w:rsidP="00A26FE0">
      <w:pPr>
        <w:numPr>
          <w:ilvl w:val="0"/>
          <w:numId w:val="25"/>
        </w:numPr>
        <w:spacing w:after="120"/>
        <w:rPr>
          <w:rFonts w:asciiTheme="minorHAnsi" w:hAnsiTheme="minorHAnsi"/>
        </w:rPr>
      </w:pPr>
      <w:r w:rsidRPr="003A7CD3">
        <w:rPr>
          <w:rFonts w:asciiTheme="minorHAnsi" w:hAnsiTheme="minorHAnsi"/>
        </w:rPr>
        <w:t xml:space="preserve">Agencies </w:t>
      </w:r>
      <w:r w:rsidR="001C782E" w:rsidRPr="003A7CD3">
        <w:rPr>
          <w:rFonts w:asciiTheme="minorHAnsi" w:hAnsiTheme="minorHAnsi"/>
        </w:rPr>
        <w:t>actively recruit diverse staff; a</w:t>
      </w:r>
      <w:r w:rsidRPr="003A7CD3">
        <w:rPr>
          <w:rFonts w:asciiTheme="minorHAnsi" w:hAnsiTheme="minorHAnsi"/>
        </w:rPr>
        <w:t>dvertise employment opportu</w:t>
      </w:r>
      <w:r w:rsidR="001C782E" w:rsidRPr="003A7CD3">
        <w:rPr>
          <w:rFonts w:asciiTheme="minorHAnsi" w:hAnsiTheme="minorHAnsi"/>
        </w:rPr>
        <w:t xml:space="preserve">nities in LGBTQ community media; and </w:t>
      </w:r>
      <w:r w:rsidR="00475633" w:rsidRPr="003A7CD3">
        <w:rPr>
          <w:rFonts w:asciiTheme="minorHAnsi" w:hAnsiTheme="minorHAnsi"/>
        </w:rPr>
        <w:t>support retention and development of LGBTQ staff at all levels.</w:t>
      </w:r>
    </w:p>
    <w:p w14:paraId="54E2CDB1" w14:textId="10925436" w:rsidR="00F45820" w:rsidRPr="003A7CD3" w:rsidRDefault="00D91053" w:rsidP="00A26FE0">
      <w:pPr>
        <w:numPr>
          <w:ilvl w:val="0"/>
          <w:numId w:val="25"/>
        </w:numPr>
        <w:spacing w:after="120"/>
        <w:rPr>
          <w:rFonts w:asciiTheme="minorHAnsi" w:hAnsiTheme="minorHAnsi"/>
        </w:rPr>
      </w:pPr>
      <w:r w:rsidRPr="003A7CD3">
        <w:rPr>
          <w:rFonts w:asciiTheme="minorHAnsi" w:hAnsiTheme="minorHAnsi"/>
        </w:rPr>
        <w:t>Agencies ensure</w:t>
      </w:r>
      <w:r w:rsidR="003038E8" w:rsidRPr="003A7CD3">
        <w:rPr>
          <w:rFonts w:asciiTheme="minorHAnsi" w:hAnsiTheme="minorHAnsi"/>
        </w:rPr>
        <w:t xml:space="preserve"> transgender</w:t>
      </w:r>
      <w:r w:rsidRPr="003A7CD3">
        <w:rPr>
          <w:rFonts w:asciiTheme="minorHAnsi" w:hAnsiTheme="minorHAnsi"/>
        </w:rPr>
        <w:t xml:space="preserve"> </w:t>
      </w:r>
      <w:r w:rsidR="001C782E" w:rsidRPr="003A7CD3">
        <w:rPr>
          <w:rFonts w:asciiTheme="minorHAnsi" w:hAnsiTheme="minorHAnsi"/>
        </w:rPr>
        <w:t>individuals</w:t>
      </w:r>
      <w:r w:rsidRPr="003A7CD3">
        <w:rPr>
          <w:rFonts w:asciiTheme="minorHAnsi" w:hAnsiTheme="minorHAnsi"/>
        </w:rPr>
        <w:t xml:space="preserve"> have access to restrooms in accordance with their gender identity</w:t>
      </w:r>
      <w:r w:rsidR="00F45820" w:rsidRPr="003A7CD3">
        <w:rPr>
          <w:rFonts w:asciiTheme="minorHAnsi" w:hAnsiTheme="minorHAnsi"/>
        </w:rPr>
        <w:t>.</w:t>
      </w:r>
    </w:p>
    <w:p w14:paraId="1BF9D698" w14:textId="236AEF9F" w:rsidR="00F45820" w:rsidRPr="003A7CD3" w:rsidRDefault="00F45820" w:rsidP="00A26FE0">
      <w:pPr>
        <w:numPr>
          <w:ilvl w:val="0"/>
          <w:numId w:val="25"/>
        </w:numPr>
        <w:spacing w:after="120"/>
        <w:rPr>
          <w:rFonts w:asciiTheme="minorHAnsi" w:hAnsiTheme="minorHAnsi"/>
        </w:rPr>
      </w:pPr>
      <w:r w:rsidRPr="003A7CD3">
        <w:rPr>
          <w:rFonts w:asciiTheme="minorHAnsi" w:hAnsiTheme="minorHAnsi"/>
        </w:rPr>
        <w:t xml:space="preserve">Agencies </w:t>
      </w:r>
      <w:r w:rsidR="00475633" w:rsidRPr="003A7CD3">
        <w:rPr>
          <w:rFonts w:asciiTheme="minorHAnsi" w:hAnsiTheme="minorHAnsi"/>
        </w:rPr>
        <w:t>assess treatment approaches to ensure t</w:t>
      </w:r>
      <w:r w:rsidR="001C782E" w:rsidRPr="003A7CD3">
        <w:rPr>
          <w:rFonts w:asciiTheme="minorHAnsi" w:hAnsiTheme="minorHAnsi"/>
        </w:rPr>
        <w:t>hey are based on best practices;</w:t>
      </w:r>
      <w:r w:rsidR="00475633" w:rsidRPr="003A7CD3">
        <w:rPr>
          <w:rFonts w:asciiTheme="minorHAnsi" w:hAnsiTheme="minorHAnsi"/>
        </w:rPr>
        <w:t xml:space="preserve"> are </w:t>
      </w:r>
      <w:r w:rsidRPr="003A7CD3">
        <w:rPr>
          <w:rFonts w:asciiTheme="minorHAnsi" w:hAnsiTheme="minorHAnsi"/>
        </w:rPr>
        <w:t xml:space="preserve">trauma </w:t>
      </w:r>
      <w:r w:rsidR="00475633" w:rsidRPr="003A7CD3">
        <w:rPr>
          <w:rFonts w:asciiTheme="minorHAnsi" w:hAnsiTheme="minorHAnsi"/>
        </w:rPr>
        <w:t>informed</w:t>
      </w:r>
      <w:r w:rsidR="001C782E" w:rsidRPr="003A7CD3">
        <w:rPr>
          <w:rFonts w:asciiTheme="minorHAnsi" w:hAnsiTheme="minorHAnsi"/>
        </w:rPr>
        <w:t>;</w:t>
      </w:r>
      <w:r w:rsidR="00475633" w:rsidRPr="003A7CD3">
        <w:rPr>
          <w:rFonts w:asciiTheme="minorHAnsi" w:hAnsiTheme="minorHAnsi"/>
        </w:rPr>
        <w:t xml:space="preserve"> </w:t>
      </w:r>
      <w:r w:rsidRPr="003A7CD3">
        <w:rPr>
          <w:rFonts w:asciiTheme="minorHAnsi" w:hAnsiTheme="minorHAnsi"/>
        </w:rPr>
        <w:t>reduce impact of homophobia, heterosexism, bias and discriminati</w:t>
      </w:r>
      <w:r w:rsidR="001C782E" w:rsidRPr="003A7CD3">
        <w:rPr>
          <w:rFonts w:asciiTheme="minorHAnsi" w:hAnsiTheme="minorHAnsi"/>
        </w:rPr>
        <w:t>on in substance abuse treatment;</w:t>
      </w:r>
      <w:r w:rsidRPr="003A7CD3">
        <w:rPr>
          <w:rFonts w:asciiTheme="minorHAnsi" w:hAnsiTheme="minorHAnsi"/>
        </w:rPr>
        <w:t xml:space="preserve"> and improve retention of LGBTQ individuals as staff and in the population served.</w:t>
      </w:r>
    </w:p>
    <w:p w14:paraId="5AAA5025" w14:textId="37DEA05D" w:rsidR="00F45820" w:rsidRPr="003A7CD3" w:rsidRDefault="00F45820" w:rsidP="00A26FE0">
      <w:pPr>
        <w:numPr>
          <w:ilvl w:val="0"/>
          <w:numId w:val="25"/>
        </w:numPr>
        <w:spacing w:after="120"/>
        <w:rPr>
          <w:rFonts w:asciiTheme="minorHAnsi" w:hAnsiTheme="minorHAnsi"/>
        </w:rPr>
      </w:pPr>
      <w:r w:rsidRPr="003A7CD3">
        <w:rPr>
          <w:rFonts w:asciiTheme="minorHAnsi" w:hAnsiTheme="minorHAnsi"/>
        </w:rPr>
        <w:t xml:space="preserve">In designing gender-specific services, agencies provide for participation </w:t>
      </w:r>
      <w:r w:rsidR="0029248D" w:rsidRPr="003A7CD3">
        <w:rPr>
          <w:rFonts w:asciiTheme="minorHAnsi" w:hAnsiTheme="minorHAnsi"/>
        </w:rPr>
        <w:t>on the basis of gender identity, unless the individual requests an alternative arrangement in order to feel safe. Program design also recognizes that youth/young adult gender identity may change while the individual is in treatment.</w:t>
      </w:r>
    </w:p>
    <w:p w14:paraId="71EBF7E1" w14:textId="01FC1447" w:rsidR="0029248D" w:rsidRPr="003A7CD3" w:rsidRDefault="0029248D" w:rsidP="00A26FE0">
      <w:pPr>
        <w:numPr>
          <w:ilvl w:val="0"/>
          <w:numId w:val="25"/>
        </w:numPr>
        <w:spacing w:after="120"/>
        <w:rPr>
          <w:rFonts w:asciiTheme="minorHAnsi" w:hAnsiTheme="minorHAnsi"/>
        </w:rPr>
      </w:pPr>
      <w:r w:rsidRPr="003A7CD3">
        <w:rPr>
          <w:rFonts w:asciiTheme="minorHAnsi" w:hAnsiTheme="minorHAnsi"/>
        </w:rPr>
        <w:t>Agency communic</w:t>
      </w:r>
      <w:r w:rsidR="00367FE5" w:rsidRPr="003A7CD3">
        <w:rPr>
          <w:rFonts w:asciiTheme="minorHAnsi" w:hAnsiTheme="minorHAnsi"/>
        </w:rPr>
        <w:t>ations and materials use gender-</w:t>
      </w:r>
      <w:r w:rsidRPr="003A7CD3">
        <w:rPr>
          <w:rFonts w:asciiTheme="minorHAnsi" w:hAnsiTheme="minorHAnsi"/>
        </w:rPr>
        <w:t>neutral</w:t>
      </w:r>
      <w:r w:rsidR="00367FE5" w:rsidRPr="003A7CD3">
        <w:rPr>
          <w:rFonts w:asciiTheme="minorHAnsi" w:hAnsiTheme="minorHAnsi"/>
        </w:rPr>
        <w:t xml:space="preserve"> constructions such as </w:t>
      </w:r>
      <w:r w:rsidR="00A26313" w:rsidRPr="003A7CD3">
        <w:rPr>
          <w:rFonts w:asciiTheme="minorHAnsi" w:hAnsiTheme="minorHAnsi"/>
        </w:rPr>
        <w:t>‘</w:t>
      </w:r>
      <w:r w:rsidR="00367FE5" w:rsidRPr="003A7CD3">
        <w:rPr>
          <w:rFonts w:asciiTheme="minorHAnsi" w:hAnsiTheme="minorHAnsi"/>
        </w:rPr>
        <w:t>she/he</w:t>
      </w:r>
      <w:r w:rsidR="00A26313" w:rsidRPr="003A7CD3">
        <w:rPr>
          <w:rFonts w:asciiTheme="minorHAnsi" w:hAnsiTheme="minorHAnsi"/>
        </w:rPr>
        <w:t>’</w:t>
      </w:r>
      <w:r w:rsidR="00367FE5" w:rsidRPr="003A7CD3">
        <w:rPr>
          <w:rFonts w:asciiTheme="minorHAnsi" w:hAnsiTheme="minorHAnsi"/>
        </w:rPr>
        <w:t xml:space="preserve"> or gender-neutral</w:t>
      </w:r>
      <w:r w:rsidR="00F004C0">
        <w:rPr>
          <w:rFonts w:asciiTheme="minorHAnsi" w:hAnsiTheme="minorHAnsi"/>
        </w:rPr>
        <w:t xml:space="preserve"> pronouns</w:t>
      </w:r>
      <w:r w:rsidR="00A26313" w:rsidRPr="003A7CD3">
        <w:rPr>
          <w:rFonts w:asciiTheme="minorHAnsi" w:hAnsiTheme="minorHAnsi"/>
        </w:rPr>
        <w:t xml:space="preserve"> such as ‘they’ or ‘</w:t>
      </w:r>
      <w:r w:rsidRPr="003A7CD3">
        <w:rPr>
          <w:rFonts w:asciiTheme="minorHAnsi" w:hAnsiTheme="minorHAnsi"/>
        </w:rPr>
        <w:t>them’.</w:t>
      </w:r>
    </w:p>
    <w:p w14:paraId="6BA9C7ED" w14:textId="65C56853" w:rsidR="00D91053" w:rsidRPr="003A7CD3" w:rsidRDefault="001C782E" w:rsidP="00A26FE0">
      <w:pPr>
        <w:numPr>
          <w:ilvl w:val="0"/>
          <w:numId w:val="25"/>
        </w:numPr>
        <w:spacing w:after="120"/>
        <w:rPr>
          <w:rFonts w:asciiTheme="minorHAnsi" w:hAnsiTheme="minorHAnsi"/>
        </w:rPr>
      </w:pPr>
      <w:r w:rsidRPr="003A7CD3">
        <w:rPr>
          <w:rFonts w:asciiTheme="minorHAnsi" w:hAnsiTheme="minorHAnsi"/>
        </w:rPr>
        <w:t>Agency</w:t>
      </w:r>
      <w:r w:rsidR="00D91053" w:rsidRPr="003A7CD3">
        <w:rPr>
          <w:rFonts w:asciiTheme="minorHAnsi" w:hAnsiTheme="minorHAnsi"/>
        </w:rPr>
        <w:t xml:space="preserve"> </w:t>
      </w:r>
      <w:r w:rsidRPr="003A7CD3">
        <w:rPr>
          <w:rFonts w:asciiTheme="minorHAnsi" w:hAnsiTheme="minorHAnsi"/>
        </w:rPr>
        <w:t>information management</w:t>
      </w:r>
      <w:r w:rsidR="00D91053" w:rsidRPr="003A7CD3">
        <w:rPr>
          <w:rFonts w:asciiTheme="minorHAnsi" w:hAnsiTheme="minorHAnsi"/>
        </w:rPr>
        <w:t xml:space="preserve"> systems ensure:</w:t>
      </w:r>
    </w:p>
    <w:p w14:paraId="52D18DDB" w14:textId="614018BC" w:rsidR="00F45820" w:rsidRPr="003A7CD3" w:rsidRDefault="00F45820" w:rsidP="00A26FE0">
      <w:pPr>
        <w:numPr>
          <w:ilvl w:val="1"/>
          <w:numId w:val="25"/>
        </w:numPr>
        <w:spacing w:after="120"/>
        <w:rPr>
          <w:rFonts w:asciiTheme="minorHAnsi" w:hAnsiTheme="minorHAnsi"/>
        </w:rPr>
      </w:pPr>
      <w:r w:rsidRPr="003A7CD3">
        <w:rPr>
          <w:rFonts w:asciiTheme="minorHAnsi" w:hAnsiTheme="minorHAnsi"/>
        </w:rPr>
        <w:t>Data collection forms provide choice</w:t>
      </w:r>
      <w:r w:rsidR="00A13DFA" w:rsidRPr="003A7CD3">
        <w:rPr>
          <w:rFonts w:asciiTheme="minorHAnsi" w:hAnsiTheme="minorHAnsi"/>
        </w:rPr>
        <w:t>s for</w:t>
      </w:r>
      <w:r w:rsidRPr="003A7CD3">
        <w:rPr>
          <w:rFonts w:asciiTheme="minorHAnsi" w:hAnsiTheme="minorHAnsi"/>
        </w:rPr>
        <w:t xml:space="preserve"> disclosing sexual </w:t>
      </w:r>
      <w:r w:rsidR="00A13DFA" w:rsidRPr="003A7CD3">
        <w:rPr>
          <w:rFonts w:asciiTheme="minorHAnsi" w:hAnsiTheme="minorHAnsi"/>
        </w:rPr>
        <w:t>orientation and gender identity;</w:t>
      </w:r>
    </w:p>
    <w:p w14:paraId="09AEEFAC" w14:textId="7301C34E" w:rsidR="003038E8" w:rsidRPr="003A7CD3" w:rsidRDefault="00A13DFA" w:rsidP="00A26FE0">
      <w:pPr>
        <w:numPr>
          <w:ilvl w:val="1"/>
          <w:numId w:val="25"/>
        </w:numPr>
        <w:spacing w:after="120"/>
        <w:rPr>
          <w:rFonts w:asciiTheme="minorHAnsi" w:hAnsiTheme="minorHAnsi"/>
        </w:rPr>
      </w:pPr>
      <w:r w:rsidRPr="003A7CD3">
        <w:rPr>
          <w:rFonts w:asciiTheme="minorHAnsi" w:hAnsiTheme="minorHAnsi"/>
        </w:rPr>
        <w:t xml:space="preserve">Confidentiality safeguards </w:t>
      </w:r>
      <w:r w:rsidR="003038E8" w:rsidRPr="003A7CD3">
        <w:rPr>
          <w:rFonts w:asciiTheme="minorHAnsi" w:hAnsiTheme="minorHAnsi"/>
        </w:rPr>
        <w:t>protect</w:t>
      </w:r>
      <w:r w:rsidRPr="003A7CD3">
        <w:rPr>
          <w:rFonts w:asciiTheme="minorHAnsi" w:hAnsiTheme="minorHAnsi"/>
        </w:rPr>
        <w:t xml:space="preserve"> individual’s birth name and gender markers in the same way all other confid</w:t>
      </w:r>
      <w:r w:rsidR="003038E8" w:rsidRPr="003A7CD3">
        <w:rPr>
          <w:rFonts w:asciiTheme="minorHAnsi" w:hAnsiTheme="minorHAnsi"/>
        </w:rPr>
        <w:t>ential information is protected;</w:t>
      </w:r>
    </w:p>
    <w:p w14:paraId="66711A2E" w14:textId="2FAA37E3" w:rsidR="00A13DFA" w:rsidRPr="003A7CD3" w:rsidRDefault="003038E8" w:rsidP="00A26FE0">
      <w:pPr>
        <w:numPr>
          <w:ilvl w:val="1"/>
          <w:numId w:val="25"/>
        </w:numPr>
        <w:spacing w:after="120"/>
        <w:rPr>
          <w:rFonts w:asciiTheme="minorHAnsi" w:hAnsiTheme="minorHAnsi"/>
        </w:rPr>
      </w:pPr>
      <w:r w:rsidRPr="003A7CD3">
        <w:rPr>
          <w:rFonts w:asciiTheme="minorHAnsi" w:hAnsiTheme="minorHAnsi"/>
        </w:rPr>
        <w:t>I</w:t>
      </w:r>
      <w:r w:rsidR="00A13DFA" w:rsidRPr="003A7CD3">
        <w:rPr>
          <w:rFonts w:asciiTheme="minorHAnsi" w:hAnsiTheme="minorHAnsi"/>
        </w:rPr>
        <w:t xml:space="preserve">ndividual’s permission for disclosures of information specify whether birth name </w:t>
      </w:r>
      <w:r w:rsidR="001C782E" w:rsidRPr="003A7CD3">
        <w:rPr>
          <w:rFonts w:asciiTheme="minorHAnsi" w:hAnsiTheme="minorHAnsi"/>
        </w:rPr>
        <w:t>and gender marker</w:t>
      </w:r>
      <w:r w:rsidR="00A13DFA" w:rsidRPr="003A7CD3">
        <w:rPr>
          <w:rFonts w:asciiTheme="minorHAnsi" w:hAnsiTheme="minorHAnsi"/>
        </w:rPr>
        <w:t xml:space="preserve"> may or may not be disclosed;</w:t>
      </w:r>
    </w:p>
    <w:p w14:paraId="3343870A" w14:textId="0DC114A0" w:rsidR="00C53B38" w:rsidRPr="003A7CD3" w:rsidRDefault="00C53B38" w:rsidP="00A26FE0">
      <w:pPr>
        <w:pStyle w:val="ListParagraph"/>
        <w:numPr>
          <w:ilvl w:val="1"/>
          <w:numId w:val="25"/>
        </w:numPr>
        <w:spacing w:after="120"/>
        <w:contextualSpacing w:val="0"/>
        <w:rPr>
          <w:rFonts w:asciiTheme="minorHAnsi" w:hAnsiTheme="minorHAnsi"/>
        </w:rPr>
      </w:pPr>
      <w:r w:rsidRPr="003A7CD3">
        <w:rPr>
          <w:rFonts w:asciiTheme="minorHAnsi" w:hAnsiTheme="minorHAnsi"/>
        </w:rPr>
        <w:t xml:space="preserve">Additional safeguards are established as needed when an individual’s legal name </w:t>
      </w:r>
      <w:r w:rsidR="001C782E" w:rsidRPr="003A7CD3">
        <w:rPr>
          <w:rFonts w:asciiTheme="minorHAnsi" w:hAnsiTheme="minorHAnsi"/>
        </w:rPr>
        <w:t>and gender marker</w:t>
      </w:r>
      <w:r w:rsidRPr="003A7CD3">
        <w:rPr>
          <w:rFonts w:asciiTheme="minorHAnsi" w:hAnsiTheme="minorHAnsi"/>
        </w:rPr>
        <w:t xml:space="preserve"> differ from chosen name and gender identity, for example, in </w:t>
      </w:r>
      <w:r w:rsidR="003038E8" w:rsidRPr="003A7CD3">
        <w:rPr>
          <w:rFonts w:asciiTheme="minorHAnsi" w:hAnsiTheme="minorHAnsi"/>
        </w:rPr>
        <w:t>managing</w:t>
      </w:r>
      <w:r w:rsidRPr="003A7CD3">
        <w:rPr>
          <w:rFonts w:asciiTheme="minorHAnsi" w:hAnsiTheme="minorHAnsi"/>
        </w:rPr>
        <w:t xml:space="preserve"> insurance documentation.</w:t>
      </w:r>
    </w:p>
    <w:p w14:paraId="4C3BF269" w14:textId="3F141F6B" w:rsidR="00F45820" w:rsidRPr="003A7CD3" w:rsidRDefault="00A13DFA" w:rsidP="00A26FE0">
      <w:pPr>
        <w:numPr>
          <w:ilvl w:val="1"/>
          <w:numId w:val="25"/>
        </w:numPr>
        <w:spacing w:after="120"/>
        <w:rPr>
          <w:rFonts w:asciiTheme="minorHAnsi" w:hAnsiTheme="minorHAnsi"/>
        </w:rPr>
      </w:pPr>
      <w:r w:rsidRPr="003A7CD3">
        <w:rPr>
          <w:rFonts w:asciiTheme="minorHAnsi" w:hAnsiTheme="minorHAnsi"/>
        </w:rPr>
        <w:t>I</w:t>
      </w:r>
      <w:r w:rsidR="00F45820" w:rsidRPr="003A7CD3">
        <w:rPr>
          <w:rFonts w:asciiTheme="minorHAnsi" w:hAnsiTheme="minorHAnsi"/>
        </w:rPr>
        <w:t xml:space="preserve">ndividual’s </w:t>
      </w:r>
      <w:r w:rsidRPr="003A7CD3">
        <w:rPr>
          <w:rFonts w:asciiTheme="minorHAnsi" w:hAnsiTheme="minorHAnsi"/>
        </w:rPr>
        <w:t xml:space="preserve">chosen </w:t>
      </w:r>
      <w:r w:rsidR="00F45820" w:rsidRPr="003A7CD3">
        <w:rPr>
          <w:rFonts w:asciiTheme="minorHAnsi" w:hAnsiTheme="minorHAnsi"/>
        </w:rPr>
        <w:t xml:space="preserve">name and </w:t>
      </w:r>
      <w:r w:rsidR="00D91053" w:rsidRPr="003A7CD3">
        <w:rPr>
          <w:rFonts w:asciiTheme="minorHAnsi" w:hAnsiTheme="minorHAnsi"/>
        </w:rPr>
        <w:t xml:space="preserve">pronoun specific to the individual’s </w:t>
      </w:r>
      <w:r w:rsidR="00F45820" w:rsidRPr="003A7CD3">
        <w:rPr>
          <w:rFonts w:asciiTheme="minorHAnsi" w:hAnsiTheme="minorHAnsi"/>
        </w:rPr>
        <w:t xml:space="preserve">gender </w:t>
      </w:r>
      <w:r w:rsidR="00D91053" w:rsidRPr="003A7CD3">
        <w:rPr>
          <w:rFonts w:asciiTheme="minorHAnsi" w:hAnsiTheme="minorHAnsi"/>
        </w:rPr>
        <w:t xml:space="preserve">identity </w:t>
      </w:r>
      <w:r w:rsidR="0029248D" w:rsidRPr="003A7CD3">
        <w:rPr>
          <w:rFonts w:asciiTheme="minorHAnsi" w:hAnsiTheme="minorHAnsi"/>
        </w:rPr>
        <w:t xml:space="preserve">are used in all interactions, except </w:t>
      </w:r>
      <w:r w:rsidR="00A26313" w:rsidRPr="003A7CD3">
        <w:rPr>
          <w:rFonts w:asciiTheme="minorHAnsi" w:hAnsiTheme="minorHAnsi"/>
        </w:rPr>
        <w:t>when the individual requests an</w:t>
      </w:r>
      <w:r w:rsidR="0029248D" w:rsidRPr="003A7CD3">
        <w:rPr>
          <w:rFonts w:asciiTheme="minorHAnsi" w:hAnsiTheme="minorHAnsi"/>
        </w:rPr>
        <w:t xml:space="preserve"> alternative in order to feel safe.</w:t>
      </w:r>
    </w:p>
    <w:p w14:paraId="01681A41" w14:textId="08D692D4" w:rsidR="001B1B4A" w:rsidRPr="003A7CD3" w:rsidRDefault="00A13DFA" w:rsidP="00A26FE0">
      <w:pPr>
        <w:numPr>
          <w:ilvl w:val="1"/>
          <w:numId w:val="25"/>
        </w:numPr>
        <w:spacing w:after="120"/>
        <w:rPr>
          <w:rFonts w:asciiTheme="minorHAnsi" w:hAnsiTheme="minorHAnsi"/>
        </w:rPr>
      </w:pPr>
      <w:r w:rsidRPr="003A7CD3">
        <w:rPr>
          <w:rFonts w:asciiTheme="minorHAnsi" w:hAnsiTheme="minorHAnsi"/>
        </w:rPr>
        <w:t xml:space="preserve">Explanations of safeguards are </w:t>
      </w:r>
      <w:r w:rsidR="003038E8" w:rsidRPr="003A7CD3">
        <w:rPr>
          <w:rFonts w:asciiTheme="minorHAnsi" w:hAnsiTheme="minorHAnsi"/>
        </w:rPr>
        <w:t>provided</w:t>
      </w:r>
      <w:r w:rsidRPr="003A7CD3">
        <w:rPr>
          <w:rFonts w:asciiTheme="minorHAnsi" w:hAnsiTheme="minorHAnsi"/>
        </w:rPr>
        <w:t xml:space="preserve"> in clear and direct language.</w:t>
      </w:r>
    </w:p>
    <w:p w14:paraId="5C038883" w14:textId="77777777" w:rsidR="00F45820" w:rsidRPr="003A7CD3" w:rsidRDefault="00F45820" w:rsidP="005604C8">
      <w:pPr>
        <w:spacing w:after="120"/>
        <w:rPr>
          <w:rFonts w:asciiTheme="minorHAnsi" w:hAnsiTheme="minorHAnsi"/>
          <w:u w:val="single"/>
        </w:rPr>
      </w:pPr>
      <w:r w:rsidRPr="003A7CD3">
        <w:rPr>
          <w:rFonts w:asciiTheme="minorHAnsi" w:hAnsiTheme="minorHAnsi"/>
          <w:i/>
          <w:u w:val="single"/>
        </w:rPr>
        <w:t>Supervision, Training &amp; Staff Development:</w:t>
      </w:r>
    </w:p>
    <w:p w14:paraId="0E98F783" w14:textId="77777777" w:rsidR="00F45820" w:rsidRPr="003A7CD3" w:rsidRDefault="00F45820" w:rsidP="00A26FE0">
      <w:pPr>
        <w:numPr>
          <w:ilvl w:val="0"/>
          <w:numId w:val="26"/>
        </w:numPr>
        <w:spacing w:after="120"/>
        <w:rPr>
          <w:rFonts w:asciiTheme="minorHAnsi" w:hAnsiTheme="minorHAnsi"/>
        </w:rPr>
      </w:pPr>
      <w:r w:rsidRPr="003A7CD3">
        <w:rPr>
          <w:rFonts w:asciiTheme="minorHAnsi" w:hAnsiTheme="minorHAnsi"/>
        </w:rPr>
        <w:t>Staff at all levels participates in annual LGBTQ cultural competence training, which includes understanding the distinction between sexual orientation and gender identity.</w:t>
      </w:r>
    </w:p>
    <w:p w14:paraId="1D5C21FA" w14:textId="759884D9" w:rsidR="00F45820" w:rsidRPr="003A7CD3" w:rsidRDefault="00F45820" w:rsidP="00A26FE0">
      <w:pPr>
        <w:numPr>
          <w:ilvl w:val="0"/>
          <w:numId w:val="26"/>
        </w:numPr>
        <w:spacing w:after="120"/>
        <w:rPr>
          <w:rFonts w:asciiTheme="minorHAnsi" w:hAnsiTheme="minorHAnsi"/>
        </w:rPr>
      </w:pPr>
      <w:r w:rsidRPr="003A7CD3">
        <w:rPr>
          <w:rFonts w:asciiTheme="minorHAnsi" w:hAnsiTheme="minorHAnsi"/>
        </w:rPr>
        <w:t xml:space="preserve">All staff, including reception, clerical and clinical staff </w:t>
      </w:r>
      <w:r w:rsidR="00BD0CAE">
        <w:rPr>
          <w:rFonts w:asciiTheme="minorHAnsi" w:hAnsiTheme="minorHAnsi"/>
        </w:rPr>
        <w:t xml:space="preserve">are culturally competent </w:t>
      </w:r>
      <w:r w:rsidRPr="003A7CD3">
        <w:rPr>
          <w:rFonts w:asciiTheme="minorHAnsi" w:hAnsiTheme="minorHAnsi"/>
        </w:rPr>
        <w:t>in interactions with each other</w:t>
      </w:r>
      <w:r w:rsidR="003038E8" w:rsidRPr="003A7CD3">
        <w:rPr>
          <w:rFonts w:asciiTheme="minorHAnsi" w:hAnsiTheme="minorHAnsi"/>
        </w:rPr>
        <w:t xml:space="preserve"> and with </w:t>
      </w:r>
      <w:r w:rsidR="001C782E" w:rsidRPr="003A7CD3">
        <w:rPr>
          <w:rFonts w:asciiTheme="minorHAnsi" w:hAnsiTheme="minorHAnsi"/>
        </w:rPr>
        <w:t>individuals</w:t>
      </w:r>
      <w:r w:rsidR="003038E8" w:rsidRPr="003A7CD3">
        <w:rPr>
          <w:rFonts w:asciiTheme="minorHAnsi" w:hAnsiTheme="minorHAnsi"/>
        </w:rPr>
        <w:t xml:space="preserve"> served, and use individual’s chosen name and pronoun(s).</w:t>
      </w:r>
    </w:p>
    <w:p w14:paraId="72902EF0" w14:textId="77777777" w:rsidR="00F45820" w:rsidRPr="003A7CD3" w:rsidRDefault="00F45820" w:rsidP="00A26FE0">
      <w:pPr>
        <w:numPr>
          <w:ilvl w:val="0"/>
          <w:numId w:val="26"/>
        </w:numPr>
        <w:spacing w:after="120"/>
        <w:rPr>
          <w:rFonts w:asciiTheme="minorHAnsi" w:hAnsiTheme="minorHAnsi"/>
        </w:rPr>
      </w:pPr>
      <w:r w:rsidRPr="003A7CD3">
        <w:rPr>
          <w:rFonts w:asciiTheme="minorHAnsi" w:hAnsiTheme="minorHAnsi"/>
        </w:rPr>
        <w:t>Supervisors and staff are able to identify and effectively address assumptions, bias, stereotypical thinking and discriminatory beliefs and actions.</w:t>
      </w:r>
    </w:p>
    <w:p w14:paraId="20659318" w14:textId="77777777" w:rsidR="00F45820" w:rsidRPr="003A7CD3" w:rsidRDefault="00F45820" w:rsidP="00A26FE0">
      <w:pPr>
        <w:numPr>
          <w:ilvl w:val="0"/>
          <w:numId w:val="26"/>
        </w:numPr>
        <w:spacing w:after="120"/>
        <w:rPr>
          <w:rFonts w:asciiTheme="minorHAnsi" w:hAnsiTheme="minorHAnsi"/>
        </w:rPr>
      </w:pPr>
      <w:r w:rsidRPr="003A7CD3">
        <w:rPr>
          <w:rFonts w:asciiTheme="minorHAnsi" w:hAnsiTheme="minorHAnsi"/>
        </w:rPr>
        <w:t>Staff is knowledgeable about shared history, cultural legacies, values and beliefs of the LGBTQ population.</w:t>
      </w:r>
    </w:p>
    <w:p w14:paraId="73C8B464" w14:textId="77777777" w:rsidR="00F45820" w:rsidRPr="003A7CD3" w:rsidRDefault="00F45820" w:rsidP="00A26FE0">
      <w:pPr>
        <w:numPr>
          <w:ilvl w:val="0"/>
          <w:numId w:val="26"/>
        </w:numPr>
        <w:spacing w:after="120"/>
        <w:rPr>
          <w:rFonts w:asciiTheme="minorHAnsi" w:hAnsiTheme="minorHAnsi"/>
        </w:rPr>
      </w:pPr>
      <w:r w:rsidRPr="003A7CD3">
        <w:rPr>
          <w:rFonts w:asciiTheme="minorHAnsi" w:hAnsiTheme="minorHAnsi"/>
        </w:rPr>
        <w:t xml:space="preserve">Staff is skilled in </w:t>
      </w:r>
    </w:p>
    <w:p w14:paraId="75BD54C4" w14:textId="18BB4DF0" w:rsidR="00F45820" w:rsidRPr="003A7CD3" w:rsidRDefault="002816D2" w:rsidP="00A26FE0">
      <w:pPr>
        <w:numPr>
          <w:ilvl w:val="1"/>
          <w:numId w:val="26"/>
        </w:numPr>
        <w:spacing w:after="120"/>
        <w:rPr>
          <w:rFonts w:asciiTheme="minorHAnsi" w:hAnsiTheme="minorHAnsi"/>
        </w:rPr>
      </w:pPr>
      <w:r w:rsidRPr="003A7CD3">
        <w:rPr>
          <w:rFonts w:asciiTheme="minorHAnsi" w:hAnsiTheme="minorHAnsi"/>
        </w:rPr>
        <w:t>Identifying</w:t>
      </w:r>
      <w:r w:rsidR="00F45820" w:rsidRPr="003A7CD3">
        <w:rPr>
          <w:rFonts w:asciiTheme="minorHAnsi" w:hAnsiTheme="minorHAnsi"/>
        </w:rPr>
        <w:t xml:space="preserve"> </w:t>
      </w:r>
      <w:r w:rsidR="0029248D" w:rsidRPr="003A7CD3">
        <w:rPr>
          <w:rFonts w:asciiTheme="minorHAnsi" w:hAnsiTheme="minorHAnsi"/>
        </w:rPr>
        <w:t xml:space="preserve">bigotry and prejudice including </w:t>
      </w:r>
      <w:r w:rsidR="00F45820" w:rsidRPr="003A7CD3">
        <w:rPr>
          <w:rFonts w:asciiTheme="minorHAnsi" w:hAnsiTheme="minorHAnsi"/>
        </w:rPr>
        <w:t>heterosexism, homopho</w:t>
      </w:r>
      <w:r w:rsidR="0029248D" w:rsidRPr="003A7CD3">
        <w:rPr>
          <w:rFonts w:asciiTheme="minorHAnsi" w:hAnsiTheme="minorHAnsi"/>
        </w:rPr>
        <w:t>bia, bi-phobia, trans-phobia,</w:t>
      </w:r>
      <w:r w:rsidR="00F45820" w:rsidRPr="003A7CD3">
        <w:rPr>
          <w:rFonts w:asciiTheme="minorHAnsi" w:hAnsiTheme="minorHAnsi"/>
        </w:rPr>
        <w:t xml:space="preserve"> sexism</w:t>
      </w:r>
      <w:r w:rsidR="0029248D" w:rsidRPr="003A7CD3">
        <w:rPr>
          <w:rFonts w:asciiTheme="minorHAnsi" w:hAnsiTheme="minorHAnsi"/>
        </w:rPr>
        <w:t xml:space="preserve"> and racism</w:t>
      </w:r>
      <w:r w:rsidR="00A26313" w:rsidRPr="003A7CD3">
        <w:rPr>
          <w:rFonts w:asciiTheme="minorHAnsi" w:hAnsiTheme="minorHAnsi"/>
        </w:rPr>
        <w:t xml:space="preserve"> and addressing these in ways which promote understanding and productive engagement</w:t>
      </w:r>
      <w:r w:rsidR="0029248D" w:rsidRPr="003A7CD3">
        <w:rPr>
          <w:rFonts w:asciiTheme="minorHAnsi" w:hAnsiTheme="minorHAnsi"/>
        </w:rPr>
        <w:t>; and</w:t>
      </w:r>
    </w:p>
    <w:p w14:paraId="7B69C787" w14:textId="3F4C3A21" w:rsidR="00F45820" w:rsidRPr="003A7CD3" w:rsidRDefault="002816D2" w:rsidP="00A26FE0">
      <w:pPr>
        <w:numPr>
          <w:ilvl w:val="1"/>
          <w:numId w:val="26"/>
        </w:numPr>
        <w:spacing w:after="120"/>
        <w:rPr>
          <w:rFonts w:asciiTheme="minorHAnsi" w:hAnsiTheme="minorHAnsi"/>
        </w:rPr>
      </w:pPr>
      <w:r w:rsidRPr="003A7CD3">
        <w:rPr>
          <w:rFonts w:asciiTheme="minorHAnsi" w:hAnsiTheme="minorHAnsi"/>
        </w:rPr>
        <w:t>Intervening</w:t>
      </w:r>
      <w:r w:rsidR="00F45820" w:rsidRPr="003A7CD3">
        <w:rPr>
          <w:rFonts w:asciiTheme="minorHAnsi" w:hAnsiTheme="minorHAnsi"/>
        </w:rPr>
        <w:t xml:space="preserve"> immediately in incidents of ha</w:t>
      </w:r>
      <w:r w:rsidR="003038E8" w:rsidRPr="003A7CD3">
        <w:rPr>
          <w:rFonts w:asciiTheme="minorHAnsi" w:hAnsiTheme="minorHAnsi"/>
        </w:rPr>
        <w:t>rassment, in ways which protect individual</w:t>
      </w:r>
      <w:r w:rsidR="0029248D" w:rsidRPr="003A7CD3">
        <w:rPr>
          <w:rFonts w:asciiTheme="minorHAnsi" w:hAnsiTheme="minorHAnsi"/>
        </w:rPr>
        <w:t>s</w:t>
      </w:r>
      <w:r w:rsidR="003038E8" w:rsidRPr="003A7CD3">
        <w:rPr>
          <w:rFonts w:asciiTheme="minorHAnsi" w:hAnsiTheme="minorHAnsi"/>
        </w:rPr>
        <w:t xml:space="preserve"> </w:t>
      </w:r>
      <w:r w:rsidR="00F45820" w:rsidRPr="003A7CD3">
        <w:rPr>
          <w:rFonts w:asciiTheme="minorHAnsi" w:hAnsiTheme="minorHAnsi"/>
        </w:rPr>
        <w:t>and support continued engagement in treatment;</w:t>
      </w:r>
    </w:p>
    <w:p w14:paraId="24188EA4" w14:textId="77777777" w:rsidR="00F45820" w:rsidRPr="003A7CD3" w:rsidRDefault="00F45820" w:rsidP="00A26FE0">
      <w:pPr>
        <w:numPr>
          <w:ilvl w:val="0"/>
          <w:numId w:val="26"/>
        </w:numPr>
        <w:spacing w:after="120"/>
        <w:rPr>
          <w:rFonts w:asciiTheme="minorHAnsi" w:hAnsiTheme="minorHAnsi"/>
        </w:rPr>
      </w:pPr>
      <w:r w:rsidRPr="003A7CD3">
        <w:rPr>
          <w:rFonts w:asciiTheme="minorHAnsi" w:hAnsiTheme="minorHAnsi"/>
        </w:rPr>
        <w:t xml:space="preserve">Staff is knowledgeable about </w:t>
      </w:r>
    </w:p>
    <w:p w14:paraId="5D24E226" w14:textId="4DCBF867" w:rsidR="00F45820" w:rsidRPr="003A7CD3" w:rsidRDefault="00F45820" w:rsidP="00A26FE0">
      <w:pPr>
        <w:numPr>
          <w:ilvl w:val="1"/>
          <w:numId w:val="26"/>
        </w:numPr>
        <w:spacing w:after="120"/>
        <w:rPr>
          <w:rFonts w:asciiTheme="minorHAnsi" w:hAnsiTheme="minorHAnsi"/>
        </w:rPr>
      </w:pPr>
      <w:r w:rsidRPr="003A7CD3">
        <w:rPr>
          <w:rFonts w:asciiTheme="minorHAnsi" w:hAnsiTheme="minorHAnsi"/>
        </w:rPr>
        <w:t>Risks specific to the LGBTQ youth</w:t>
      </w:r>
      <w:r w:rsidR="00A13DFA" w:rsidRPr="003A7CD3">
        <w:rPr>
          <w:rFonts w:asciiTheme="minorHAnsi" w:hAnsiTheme="minorHAnsi"/>
        </w:rPr>
        <w:t xml:space="preserve"> and young adults</w:t>
      </w:r>
      <w:r w:rsidRPr="003A7CD3">
        <w:rPr>
          <w:rFonts w:asciiTheme="minorHAnsi" w:hAnsiTheme="minorHAnsi"/>
        </w:rPr>
        <w:t>, including trauma, depression, anxiety, homelessness, internalized heterosexism, homophobia, bi-phobia, trans-phobia and sexism;</w:t>
      </w:r>
    </w:p>
    <w:p w14:paraId="0656DFAC" w14:textId="4DCF8A26" w:rsidR="0029248D" w:rsidRPr="003A7CD3" w:rsidRDefault="0029248D" w:rsidP="00A26FE0">
      <w:pPr>
        <w:numPr>
          <w:ilvl w:val="1"/>
          <w:numId w:val="26"/>
        </w:numPr>
        <w:spacing w:after="120"/>
        <w:rPr>
          <w:rFonts w:asciiTheme="minorHAnsi" w:hAnsiTheme="minorHAnsi"/>
        </w:rPr>
      </w:pPr>
      <w:r w:rsidRPr="003A7CD3">
        <w:rPr>
          <w:rFonts w:asciiTheme="minorHAnsi" w:hAnsiTheme="minorHAnsi"/>
        </w:rPr>
        <w:t>Treatment of nicotine addiction;</w:t>
      </w:r>
    </w:p>
    <w:p w14:paraId="6B04AAF6" w14:textId="3718500F" w:rsidR="00F45820" w:rsidRPr="003A7CD3" w:rsidRDefault="00F45820" w:rsidP="00A26FE0">
      <w:pPr>
        <w:numPr>
          <w:ilvl w:val="1"/>
          <w:numId w:val="26"/>
        </w:numPr>
        <w:spacing w:after="120"/>
        <w:rPr>
          <w:rFonts w:asciiTheme="minorHAnsi" w:hAnsiTheme="minorHAnsi"/>
        </w:rPr>
      </w:pPr>
      <w:r w:rsidRPr="003A7CD3">
        <w:rPr>
          <w:rFonts w:asciiTheme="minorHAnsi" w:hAnsiTheme="minorHAnsi"/>
        </w:rPr>
        <w:t xml:space="preserve">Adolescent </w:t>
      </w:r>
      <w:r w:rsidR="003038E8" w:rsidRPr="003A7CD3">
        <w:rPr>
          <w:rFonts w:asciiTheme="minorHAnsi" w:hAnsiTheme="minorHAnsi"/>
        </w:rPr>
        <w:t>and</w:t>
      </w:r>
      <w:r w:rsidR="00A13DFA" w:rsidRPr="003A7CD3">
        <w:rPr>
          <w:rFonts w:asciiTheme="minorHAnsi" w:hAnsiTheme="minorHAnsi"/>
        </w:rPr>
        <w:t xml:space="preserve"> young adult </w:t>
      </w:r>
      <w:r w:rsidRPr="003A7CD3">
        <w:rPr>
          <w:rFonts w:asciiTheme="minorHAnsi" w:hAnsiTheme="minorHAnsi"/>
        </w:rPr>
        <w:t>development, including gender</w:t>
      </w:r>
      <w:r w:rsidR="003038E8" w:rsidRPr="003A7CD3">
        <w:rPr>
          <w:rFonts w:asciiTheme="minorHAnsi" w:hAnsiTheme="minorHAnsi"/>
        </w:rPr>
        <w:t xml:space="preserve"> transitions and variations</w:t>
      </w:r>
      <w:r w:rsidRPr="003A7CD3">
        <w:rPr>
          <w:rFonts w:asciiTheme="minorHAnsi" w:hAnsiTheme="minorHAnsi"/>
        </w:rPr>
        <w:t xml:space="preserve"> in development;</w:t>
      </w:r>
    </w:p>
    <w:p w14:paraId="2D1F936F" w14:textId="5B8D85D8" w:rsidR="00F45820" w:rsidRPr="003A7CD3" w:rsidRDefault="00F45820" w:rsidP="00A26FE0">
      <w:pPr>
        <w:numPr>
          <w:ilvl w:val="1"/>
          <w:numId w:val="26"/>
        </w:numPr>
        <w:spacing w:after="120"/>
        <w:rPr>
          <w:rFonts w:asciiTheme="minorHAnsi" w:hAnsiTheme="minorHAnsi"/>
        </w:rPr>
      </w:pPr>
      <w:r w:rsidRPr="003A7CD3">
        <w:rPr>
          <w:rFonts w:asciiTheme="minorHAnsi" w:hAnsiTheme="minorHAnsi"/>
        </w:rPr>
        <w:t>Youth</w:t>
      </w:r>
      <w:r w:rsidR="00A13DFA" w:rsidRPr="003A7CD3">
        <w:rPr>
          <w:rFonts w:asciiTheme="minorHAnsi" w:hAnsiTheme="minorHAnsi"/>
        </w:rPr>
        <w:t xml:space="preserve"> and young adult</w:t>
      </w:r>
      <w:r w:rsidRPr="003A7CD3">
        <w:rPr>
          <w:rFonts w:asciiTheme="minorHAnsi" w:hAnsiTheme="minorHAnsi"/>
        </w:rPr>
        <w:t xml:space="preserve"> exploration and development in areas of sexuality, sexual orientation and gender identity;</w:t>
      </w:r>
    </w:p>
    <w:p w14:paraId="2F67CABD" w14:textId="77777777" w:rsidR="00F45820" w:rsidRPr="003A7CD3" w:rsidRDefault="00F45820" w:rsidP="00A26FE0">
      <w:pPr>
        <w:numPr>
          <w:ilvl w:val="1"/>
          <w:numId w:val="26"/>
        </w:numPr>
        <w:spacing w:after="120"/>
        <w:rPr>
          <w:rFonts w:asciiTheme="minorHAnsi" w:hAnsiTheme="minorHAnsi"/>
        </w:rPr>
      </w:pPr>
      <w:r w:rsidRPr="003A7CD3">
        <w:rPr>
          <w:rFonts w:asciiTheme="minorHAnsi" w:hAnsiTheme="minorHAnsi"/>
        </w:rPr>
        <w:t>Suicide risks;</w:t>
      </w:r>
    </w:p>
    <w:p w14:paraId="0C5AAEED" w14:textId="5F5496DE" w:rsidR="00475633" w:rsidRPr="003A7CD3" w:rsidRDefault="00F45820" w:rsidP="00A26FE0">
      <w:pPr>
        <w:numPr>
          <w:ilvl w:val="1"/>
          <w:numId w:val="26"/>
        </w:numPr>
        <w:spacing w:after="120"/>
        <w:rPr>
          <w:rFonts w:asciiTheme="minorHAnsi" w:hAnsiTheme="minorHAnsi"/>
        </w:rPr>
      </w:pPr>
      <w:r w:rsidRPr="003A7CD3">
        <w:rPr>
          <w:rFonts w:asciiTheme="minorHAnsi" w:hAnsiTheme="minorHAnsi"/>
        </w:rPr>
        <w:t>Legal issues related to services for youth</w:t>
      </w:r>
      <w:r w:rsidR="00A13DFA" w:rsidRPr="003A7CD3">
        <w:rPr>
          <w:rFonts w:asciiTheme="minorHAnsi" w:hAnsiTheme="minorHAnsi"/>
        </w:rPr>
        <w:t xml:space="preserve"> under age 18</w:t>
      </w:r>
      <w:r w:rsidR="00475633" w:rsidRPr="003A7CD3">
        <w:rPr>
          <w:rFonts w:asciiTheme="minorHAnsi" w:hAnsiTheme="minorHAnsi"/>
        </w:rPr>
        <w:t xml:space="preserve">; </w:t>
      </w:r>
    </w:p>
    <w:p w14:paraId="21C7127F" w14:textId="0DF56389" w:rsidR="00F45820" w:rsidRPr="003A7CD3" w:rsidRDefault="00475633" w:rsidP="00A26FE0">
      <w:pPr>
        <w:numPr>
          <w:ilvl w:val="1"/>
          <w:numId w:val="26"/>
        </w:numPr>
        <w:spacing w:after="120"/>
        <w:rPr>
          <w:rFonts w:asciiTheme="minorHAnsi" w:hAnsiTheme="minorHAnsi"/>
        </w:rPr>
      </w:pPr>
      <w:r w:rsidRPr="003A7CD3">
        <w:rPr>
          <w:rFonts w:asciiTheme="minorHAnsi" w:hAnsiTheme="minorHAnsi"/>
        </w:rPr>
        <w:t>T</w:t>
      </w:r>
      <w:r w:rsidR="00F45820" w:rsidRPr="003A7CD3">
        <w:rPr>
          <w:rFonts w:asciiTheme="minorHAnsi" w:hAnsiTheme="minorHAnsi"/>
        </w:rPr>
        <w:t>he process of coming out.</w:t>
      </w:r>
    </w:p>
    <w:p w14:paraId="6D1D5951" w14:textId="77777777" w:rsidR="00F45820" w:rsidRPr="003A7CD3" w:rsidRDefault="00F45820" w:rsidP="005604C8">
      <w:pPr>
        <w:spacing w:before="240" w:after="120"/>
        <w:rPr>
          <w:rFonts w:asciiTheme="minorHAnsi" w:hAnsiTheme="minorHAnsi"/>
          <w:i/>
          <w:color w:val="005DAA"/>
        </w:rPr>
      </w:pPr>
      <w:r w:rsidRPr="003A7CD3">
        <w:rPr>
          <w:rFonts w:asciiTheme="minorHAnsi" w:hAnsiTheme="minorHAnsi"/>
          <w:b/>
          <w:color w:val="005DAA"/>
        </w:rPr>
        <w:t>B.  Service Delivery and Treatment:</w:t>
      </w:r>
      <w:r w:rsidRPr="003A7CD3">
        <w:rPr>
          <w:rFonts w:asciiTheme="minorHAnsi" w:hAnsiTheme="minorHAnsi"/>
          <w:color w:val="005DAA"/>
        </w:rPr>
        <w:t xml:space="preserve"> </w:t>
      </w:r>
      <w:r w:rsidRPr="003A7CD3">
        <w:rPr>
          <w:rFonts w:asciiTheme="minorHAnsi" w:hAnsiTheme="minorHAnsi"/>
          <w:i/>
          <w:color w:val="005DAA"/>
        </w:rPr>
        <w:t xml:space="preserve"> </w:t>
      </w:r>
    </w:p>
    <w:p w14:paraId="19F867B2" w14:textId="77777777" w:rsidR="00F45820" w:rsidRPr="003A7CD3" w:rsidRDefault="00F45820" w:rsidP="005604C8">
      <w:pPr>
        <w:spacing w:after="120"/>
        <w:ind w:left="29"/>
        <w:rPr>
          <w:rFonts w:asciiTheme="minorHAnsi" w:hAnsiTheme="minorHAnsi"/>
        </w:rPr>
      </w:pPr>
      <w:r w:rsidRPr="003A7CD3">
        <w:rPr>
          <w:rFonts w:asciiTheme="minorHAnsi" w:hAnsiTheme="minorHAnsi"/>
          <w:i/>
          <w:u w:val="single"/>
        </w:rPr>
        <w:t>Assessment:</w:t>
      </w:r>
      <w:r w:rsidRPr="003A7CD3">
        <w:rPr>
          <w:rFonts w:asciiTheme="minorHAnsi" w:hAnsiTheme="minorHAnsi"/>
          <w:u w:val="single"/>
        </w:rPr>
        <w:t xml:space="preserve"> </w:t>
      </w:r>
      <w:r w:rsidRPr="003A7CD3">
        <w:rPr>
          <w:rFonts w:asciiTheme="minorHAnsi" w:hAnsiTheme="minorHAnsi"/>
        </w:rPr>
        <w:t xml:space="preserve"> Assessments: </w:t>
      </w:r>
    </w:p>
    <w:p w14:paraId="69AEE776" w14:textId="718CC9C2" w:rsidR="00F45820" w:rsidRPr="003A7CD3" w:rsidRDefault="00F45820" w:rsidP="00A26FE0">
      <w:pPr>
        <w:numPr>
          <w:ilvl w:val="0"/>
          <w:numId w:val="27"/>
        </w:numPr>
        <w:spacing w:after="120"/>
        <w:rPr>
          <w:rFonts w:asciiTheme="minorHAnsi" w:hAnsiTheme="minorHAnsi"/>
        </w:rPr>
      </w:pPr>
      <w:r w:rsidRPr="003A7CD3">
        <w:rPr>
          <w:rFonts w:asciiTheme="minorHAnsi" w:hAnsiTheme="minorHAnsi"/>
        </w:rPr>
        <w:t>Recognize that existing valid and reliable tools are unlikely to h</w:t>
      </w:r>
      <w:r w:rsidR="003038E8" w:rsidRPr="003A7CD3">
        <w:rPr>
          <w:rFonts w:asciiTheme="minorHAnsi" w:hAnsiTheme="minorHAnsi"/>
        </w:rPr>
        <w:t xml:space="preserve">ave been adequately tested with </w:t>
      </w:r>
      <w:r w:rsidRPr="003A7CD3">
        <w:rPr>
          <w:rFonts w:asciiTheme="minorHAnsi" w:hAnsiTheme="minorHAnsi"/>
        </w:rPr>
        <w:t xml:space="preserve">LGBTQ </w:t>
      </w:r>
      <w:r w:rsidR="00A13DFA" w:rsidRPr="003A7CD3">
        <w:rPr>
          <w:rFonts w:asciiTheme="minorHAnsi" w:hAnsiTheme="minorHAnsi"/>
        </w:rPr>
        <w:t>populations</w:t>
      </w:r>
      <w:r w:rsidR="00475633" w:rsidRPr="003A7CD3">
        <w:rPr>
          <w:rFonts w:asciiTheme="minorHAnsi" w:hAnsiTheme="minorHAnsi"/>
        </w:rPr>
        <w:t>,</w:t>
      </w:r>
      <w:r w:rsidRPr="003A7CD3">
        <w:rPr>
          <w:rFonts w:asciiTheme="minorHAnsi" w:hAnsiTheme="minorHAnsi"/>
        </w:rPr>
        <w:t xml:space="preserve"> and that additional assessments will be needed to explore and understand factors such as:  </w:t>
      </w:r>
    </w:p>
    <w:p w14:paraId="75F284DD" w14:textId="2A8C7BCD" w:rsidR="00F45820" w:rsidRPr="003A7CD3" w:rsidRDefault="001C782E" w:rsidP="00A26FE0">
      <w:pPr>
        <w:numPr>
          <w:ilvl w:val="1"/>
          <w:numId w:val="27"/>
        </w:numPr>
        <w:rPr>
          <w:rFonts w:asciiTheme="minorHAnsi" w:hAnsiTheme="minorHAnsi"/>
        </w:rPr>
      </w:pPr>
      <w:r w:rsidRPr="003A7CD3">
        <w:rPr>
          <w:rFonts w:asciiTheme="minorHAnsi" w:hAnsiTheme="minorHAnsi"/>
        </w:rPr>
        <w:t>The individual’s status/stage in relation to sexual orientation and/or gender identity</w:t>
      </w:r>
      <w:r w:rsidR="00F45820" w:rsidRPr="003A7CD3">
        <w:rPr>
          <w:rFonts w:asciiTheme="minorHAnsi" w:hAnsiTheme="minorHAnsi"/>
        </w:rPr>
        <w:t xml:space="preserve">; </w:t>
      </w:r>
    </w:p>
    <w:p w14:paraId="73DFFACF" w14:textId="46814DA1" w:rsidR="00F45820" w:rsidRPr="003A7CD3" w:rsidRDefault="001C782E" w:rsidP="00A26FE0">
      <w:pPr>
        <w:numPr>
          <w:ilvl w:val="1"/>
          <w:numId w:val="27"/>
        </w:numPr>
        <w:rPr>
          <w:rFonts w:asciiTheme="minorHAnsi" w:hAnsiTheme="minorHAnsi"/>
        </w:rPr>
      </w:pPr>
      <w:r w:rsidRPr="003A7CD3">
        <w:rPr>
          <w:rFonts w:asciiTheme="minorHAnsi" w:hAnsiTheme="minorHAnsi"/>
        </w:rPr>
        <w:t>F</w:t>
      </w:r>
      <w:r w:rsidR="00F45820" w:rsidRPr="003A7CD3">
        <w:rPr>
          <w:rFonts w:asciiTheme="minorHAnsi" w:hAnsiTheme="minorHAnsi"/>
        </w:rPr>
        <w:t xml:space="preserve">amily of choice vs. family of origin; </w:t>
      </w:r>
    </w:p>
    <w:p w14:paraId="72A5C005" w14:textId="698BE756" w:rsidR="00F45820" w:rsidRPr="003A7CD3" w:rsidRDefault="001C782E" w:rsidP="00A26FE0">
      <w:pPr>
        <w:numPr>
          <w:ilvl w:val="1"/>
          <w:numId w:val="27"/>
        </w:numPr>
        <w:rPr>
          <w:rFonts w:asciiTheme="minorHAnsi" w:hAnsiTheme="minorHAnsi"/>
        </w:rPr>
      </w:pPr>
      <w:r w:rsidRPr="003A7CD3">
        <w:rPr>
          <w:rFonts w:asciiTheme="minorHAnsi" w:hAnsiTheme="minorHAnsi"/>
        </w:rPr>
        <w:t>Experiences of v</w:t>
      </w:r>
      <w:r w:rsidR="00F45820" w:rsidRPr="003A7CD3">
        <w:rPr>
          <w:rFonts w:asciiTheme="minorHAnsi" w:hAnsiTheme="minorHAnsi"/>
        </w:rPr>
        <w:t xml:space="preserve">iolence </w:t>
      </w:r>
      <w:r w:rsidRPr="003A7CD3">
        <w:rPr>
          <w:rFonts w:asciiTheme="minorHAnsi" w:hAnsiTheme="minorHAnsi"/>
        </w:rPr>
        <w:t xml:space="preserve">and </w:t>
      </w:r>
      <w:r w:rsidR="00F45820" w:rsidRPr="003A7CD3">
        <w:rPr>
          <w:rFonts w:asciiTheme="minorHAnsi" w:hAnsiTheme="minorHAnsi"/>
        </w:rPr>
        <w:t xml:space="preserve">trauma related to heterosexism, homophobia, bi-phobia, trans-phobia and sexism; </w:t>
      </w:r>
    </w:p>
    <w:p w14:paraId="1D1C89CE" w14:textId="4B056F52" w:rsidR="00F45820" w:rsidRPr="003A7CD3" w:rsidRDefault="001C782E" w:rsidP="00A26FE0">
      <w:pPr>
        <w:numPr>
          <w:ilvl w:val="1"/>
          <w:numId w:val="27"/>
        </w:numPr>
        <w:spacing w:after="120"/>
        <w:rPr>
          <w:rFonts w:asciiTheme="minorHAnsi" w:hAnsiTheme="minorHAnsi"/>
          <w:i/>
          <w:u w:val="single"/>
        </w:rPr>
      </w:pPr>
      <w:r w:rsidRPr="003A7CD3">
        <w:rPr>
          <w:rFonts w:asciiTheme="minorHAnsi" w:hAnsiTheme="minorHAnsi"/>
        </w:rPr>
        <w:t>H</w:t>
      </w:r>
      <w:r w:rsidR="00F45820" w:rsidRPr="003A7CD3">
        <w:rPr>
          <w:rFonts w:asciiTheme="minorHAnsi" w:hAnsiTheme="minorHAnsi"/>
        </w:rPr>
        <w:t xml:space="preserve">istory of suicidal ideation, planning and/or attempts. </w:t>
      </w:r>
    </w:p>
    <w:p w14:paraId="6ADF731C" w14:textId="72392390" w:rsidR="00F45820" w:rsidRPr="003A7CD3" w:rsidRDefault="00F45820" w:rsidP="00A26FE0">
      <w:pPr>
        <w:numPr>
          <w:ilvl w:val="0"/>
          <w:numId w:val="27"/>
        </w:numPr>
        <w:spacing w:after="120"/>
        <w:rPr>
          <w:rFonts w:asciiTheme="minorHAnsi" w:hAnsiTheme="minorHAnsi"/>
          <w:i/>
          <w:u w:val="single"/>
        </w:rPr>
      </w:pPr>
      <w:r w:rsidRPr="003A7CD3">
        <w:rPr>
          <w:rFonts w:asciiTheme="minorHAnsi" w:hAnsiTheme="minorHAnsi"/>
        </w:rPr>
        <w:t xml:space="preserve">Include review of developmental </w:t>
      </w:r>
      <w:r w:rsidR="003038E8" w:rsidRPr="003A7CD3">
        <w:rPr>
          <w:rFonts w:asciiTheme="minorHAnsi" w:hAnsiTheme="minorHAnsi"/>
        </w:rPr>
        <w:t>status; family relationships;</w:t>
      </w:r>
      <w:r w:rsidRPr="003A7CD3">
        <w:rPr>
          <w:rFonts w:asciiTheme="minorHAnsi" w:hAnsiTheme="minorHAnsi"/>
        </w:rPr>
        <w:t xml:space="preserve"> </w:t>
      </w:r>
      <w:r w:rsidR="003038E8" w:rsidRPr="003A7CD3">
        <w:rPr>
          <w:rFonts w:asciiTheme="minorHAnsi" w:hAnsiTheme="minorHAnsi"/>
        </w:rPr>
        <w:t xml:space="preserve">co-occurring disorders; </w:t>
      </w:r>
      <w:r w:rsidRPr="003A7CD3">
        <w:rPr>
          <w:rFonts w:asciiTheme="minorHAnsi" w:hAnsiTheme="minorHAnsi"/>
        </w:rPr>
        <w:t>se</w:t>
      </w:r>
      <w:r w:rsidR="003038E8" w:rsidRPr="003A7CD3">
        <w:rPr>
          <w:rFonts w:asciiTheme="minorHAnsi" w:hAnsiTheme="minorHAnsi"/>
        </w:rPr>
        <w:t xml:space="preserve">xual history, </w:t>
      </w:r>
      <w:r w:rsidRPr="003A7CD3">
        <w:rPr>
          <w:rFonts w:asciiTheme="minorHAnsi" w:hAnsiTheme="minorHAnsi"/>
        </w:rPr>
        <w:t>current sexual activity, and sexual health; tobacco use</w:t>
      </w:r>
      <w:r w:rsidR="003038E8" w:rsidRPr="003A7CD3">
        <w:rPr>
          <w:rFonts w:asciiTheme="minorHAnsi" w:hAnsiTheme="minorHAnsi"/>
        </w:rPr>
        <w:t>;</w:t>
      </w:r>
      <w:r w:rsidRPr="003A7CD3">
        <w:rPr>
          <w:rFonts w:asciiTheme="minorHAnsi" w:hAnsiTheme="minorHAnsi"/>
        </w:rPr>
        <w:t xml:space="preserve"> </w:t>
      </w:r>
      <w:r w:rsidR="003038E8" w:rsidRPr="003A7CD3">
        <w:rPr>
          <w:rFonts w:asciiTheme="minorHAnsi" w:hAnsiTheme="minorHAnsi"/>
        </w:rPr>
        <w:t>and employment</w:t>
      </w:r>
      <w:r w:rsidRPr="003A7CD3">
        <w:rPr>
          <w:rFonts w:asciiTheme="minorHAnsi" w:hAnsiTheme="minorHAnsi"/>
        </w:rPr>
        <w:t>.</w:t>
      </w:r>
    </w:p>
    <w:p w14:paraId="0AD6FA7E" w14:textId="745472EF" w:rsidR="00AD0FE8" w:rsidRPr="003A7CD3" w:rsidRDefault="00AD0FE8" w:rsidP="00A26FE0">
      <w:pPr>
        <w:numPr>
          <w:ilvl w:val="0"/>
          <w:numId w:val="27"/>
        </w:numPr>
        <w:spacing w:after="120"/>
        <w:rPr>
          <w:rFonts w:asciiTheme="minorHAnsi" w:hAnsiTheme="minorHAnsi"/>
          <w:i/>
          <w:u w:val="single"/>
        </w:rPr>
      </w:pPr>
      <w:r w:rsidRPr="003A7CD3">
        <w:rPr>
          <w:rFonts w:asciiTheme="minorHAnsi" w:hAnsiTheme="minorHAnsi"/>
        </w:rPr>
        <w:t>Address academic status to identify educational needs.</w:t>
      </w:r>
    </w:p>
    <w:p w14:paraId="194FD9C2" w14:textId="77777777" w:rsidR="00F45820" w:rsidRPr="003A7CD3" w:rsidRDefault="00F45820" w:rsidP="005604C8">
      <w:pPr>
        <w:spacing w:after="120"/>
        <w:rPr>
          <w:rFonts w:asciiTheme="minorHAnsi" w:hAnsiTheme="minorHAnsi"/>
        </w:rPr>
      </w:pPr>
      <w:r w:rsidRPr="003A7CD3">
        <w:rPr>
          <w:rFonts w:asciiTheme="minorHAnsi" w:hAnsiTheme="minorHAnsi"/>
          <w:i/>
          <w:u w:val="single"/>
        </w:rPr>
        <w:t xml:space="preserve"> Planning:</w:t>
      </w:r>
      <w:r w:rsidRPr="003A7CD3">
        <w:rPr>
          <w:rFonts w:asciiTheme="minorHAnsi" w:hAnsiTheme="minorHAnsi"/>
        </w:rPr>
        <w:t xml:space="preserve">  Treatment plans:</w:t>
      </w:r>
    </w:p>
    <w:p w14:paraId="2761A033" w14:textId="7780EEF7" w:rsidR="00F45820" w:rsidRPr="003A7CD3" w:rsidRDefault="00F45820" w:rsidP="00A26FE0">
      <w:pPr>
        <w:pStyle w:val="ListParagraph"/>
        <w:numPr>
          <w:ilvl w:val="0"/>
          <w:numId w:val="28"/>
        </w:numPr>
        <w:spacing w:after="120"/>
        <w:contextualSpacing w:val="0"/>
        <w:rPr>
          <w:rFonts w:asciiTheme="minorHAnsi" w:hAnsiTheme="minorHAnsi"/>
        </w:rPr>
      </w:pPr>
      <w:r w:rsidRPr="003A7CD3">
        <w:rPr>
          <w:rFonts w:asciiTheme="minorHAnsi" w:hAnsiTheme="minorHAnsi"/>
        </w:rPr>
        <w:t xml:space="preserve">Identify and involve </w:t>
      </w:r>
      <w:r w:rsidR="00A13DFA" w:rsidRPr="003A7CD3">
        <w:rPr>
          <w:rFonts w:asciiTheme="minorHAnsi" w:hAnsiTheme="minorHAnsi"/>
        </w:rPr>
        <w:t xml:space="preserve">the individual’s </w:t>
      </w:r>
      <w:r w:rsidRPr="003A7CD3">
        <w:rPr>
          <w:rFonts w:asciiTheme="minorHAnsi" w:hAnsiTheme="minorHAnsi"/>
        </w:rPr>
        <w:t xml:space="preserve">significant supportive </w:t>
      </w:r>
      <w:r w:rsidR="000E4864" w:rsidRPr="003A7CD3">
        <w:rPr>
          <w:rFonts w:asciiTheme="minorHAnsi" w:hAnsiTheme="minorHAnsi"/>
        </w:rPr>
        <w:t xml:space="preserve">long-term relationships as well as community organizations, </w:t>
      </w:r>
      <w:r w:rsidRPr="003A7CD3">
        <w:rPr>
          <w:rFonts w:asciiTheme="minorHAnsi" w:hAnsiTheme="minorHAnsi"/>
        </w:rPr>
        <w:t>schools, primary care providers and others who may promote recovery;</w:t>
      </w:r>
    </w:p>
    <w:p w14:paraId="674B8B42" w14:textId="29627044" w:rsidR="00F45820" w:rsidRPr="003A7CD3" w:rsidRDefault="00F45820" w:rsidP="00A26FE0">
      <w:pPr>
        <w:pStyle w:val="ListParagraph"/>
        <w:numPr>
          <w:ilvl w:val="0"/>
          <w:numId w:val="28"/>
        </w:numPr>
        <w:spacing w:after="120"/>
        <w:contextualSpacing w:val="0"/>
        <w:rPr>
          <w:rFonts w:asciiTheme="minorHAnsi" w:hAnsiTheme="minorHAnsi"/>
        </w:rPr>
      </w:pPr>
      <w:r w:rsidRPr="003A7CD3">
        <w:rPr>
          <w:rFonts w:asciiTheme="minorHAnsi" w:hAnsiTheme="minorHAnsi"/>
        </w:rPr>
        <w:t xml:space="preserve">Includes services and resources which match the </w:t>
      </w:r>
      <w:r w:rsidR="00C53B38" w:rsidRPr="003A7CD3">
        <w:rPr>
          <w:rFonts w:asciiTheme="minorHAnsi" w:hAnsiTheme="minorHAnsi"/>
        </w:rPr>
        <w:t>individual</w:t>
      </w:r>
      <w:r w:rsidRPr="003A7CD3">
        <w:rPr>
          <w:rFonts w:asciiTheme="minorHAnsi" w:hAnsiTheme="minorHAnsi"/>
        </w:rPr>
        <w:t>’s developmental status and capacities;</w:t>
      </w:r>
    </w:p>
    <w:p w14:paraId="1265D31B" w14:textId="4BD5F8A1" w:rsidR="00C53B38" w:rsidRPr="003A7CD3" w:rsidRDefault="00C53B38" w:rsidP="00A26FE0">
      <w:pPr>
        <w:pStyle w:val="ListParagraph"/>
        <w:numPr>
          <w:ilvl w:val="0"/>
          <w:numId w:val="28"/>
        </w:numPr>
        <w:spacing w:after="120"/>
        <w:contextualSpacing w:val="0"/>
        <w:rPr>
          <w:rFonts w:asciiTheme="minorHAnsi" w:hAnsiTheme="minorHAnsi"/>
        </w:rPr>
      </w:pPr>
      <w:r w:rsidRPr="003A7CD3">
        <w:rPr>
          <w:rFonts w:asciiTheme="minorHAnsi" w:hAnsiTheme="minorHAnsi"/>
        </w:rPr>
        <w:t>Describe involvement of individual’s family, including referrals for family therapy and supports.</w:t>
      </w:r>
    </w:p>
    <w:p w14:paraId="66CA3FBF" w14:textId="79A7D6F9" w:rsidR="00AD0FE8" w:rsidRPr="003A7CD3" w:rsidRDefault="00AD0FE8" w:rsidP="00A26FE0">
      <w:pPr>
        <w:pStyle w:val="ListParagraph"/>
        <w:numPr>
          <w:ilvl w:val="0"/>
          <w:numId w:val="28"/>
        </w:numPr>
        <w:spacing w:after="120"/>
        <w:contextualSpacing w:val="0"/>
        <w:rPr>
          <w:rFonts w:asciiTheme="minorHAnsi" w:hAnsiTheme="minorHAnsi"/>
        </w:rPr>
      </w:pPr>
      <w:r w:rsidRPr="003A7CD3">
        <w:rPr>
          <w:rFonts w:asciiTheme="minorHAnsi" w:hAnsiTheme="minorHAnsi"/>
        </w:rPr>
        <w:t>Describe plan to address educational needs.</w:t>
      </w:r>
    </w:p>
    <w:p w14:paraId="6A1DD08F" w14:textId="77777777" w:rsidR="00F45820" w:rsidRPr="003A7CD3" w:rsidRDefault="00F45820" w:rsidP="005604C8">
      <w:pPr>
        <w:pStyle w:val="ListParagraph"/>
        <w:spacing w:after="120"/>
        <w:ind w:left="0"/>
        <w:contextualSpacing w:val="0"/>
        <w:rPr>
          <w:rFonts w:asciiTheme="minorHAnsi" w:hAnsiTheme="minorHAnsi"/>
        </w:rPr>
      </w:pPr>
      <w:r w:rsidRPr="003A7CD3">
        <w:rPr>
          <w:rFonts w:asciiTheme="minorHAnsi" w:hAnsiTheme="minorHAnsi"/>
          <w:i/>
          <w:u w:val="single"/>
        </w:rPr>
        <w:t>Service Provision:</w:t>
      </w:r>
    </w:p>
    <w:p w14:paraId="165496E8" w14:textId="57F7CE5A" w:rsidR="00475633" w:rsidRPr="003A7CD3" w:rsidRDefault="00475633" w:rsidP="00A26FE0">
      <w:pPr>
        <w:pStyle w:val="ListParagraph"/>
        <w:numPr>
          <w:ilvl w:val="0"/>
          <w:numId w:val="29"/>
        </w:numPr>
        <w:spacing w:after="120"/>
        <w:contextualSpacing w:val="0"/>
        <w:rPr>
          <w:rFonts w:asciiTheme="minorHAnsi" w:hAnsiTheme="minorHAnsi"/>
        </w:rPr>
      </w:pPr>
      <w:r w:rsidRPr="003A7CD3">
        <w:rPr>
          <w:rFonts w:asciiTheme="minorHAnsi" w:hAnsiTheme="minorHAnsi"/>
        </w:rPr>
        <w:t xml:space="preserve">In individual and group services, staff are able to </w:t>
      </w:r>
      <w:r w:rsidR="00C53B38" w:rsidRPr="003A7CD3">
        <w:rPr>
          <w:rFonts w:asciiTheme="minorHAnsi" w:hAnsiTheme="minorHAnsi"/>
        </w:rPr>
        <w:t>address</w:t>
      </w:r>
      <w:r w:rsidRPr="003A7CD3">
        <w:rPr>
          <w:rFonts w:asciiTheme="minorHAnsi" w:hAnsiTheme="minorHAnsi"/>
        </w:rPr>
        <w:t>:</w:t>
      </w:r>
    </w:p>
    <w:p w14:paraId="17A98D55" w14:textId="6AB02894" w:rsidR="009666FB" w:rsidRPr="003A7CD3" w:rsidRDefault="00475633" w:rsidP="00A26FE0">
      <w:pPr>
        <w:pStyle w:val="ListParagraph"/>
        <w:numPr>
          <w:ilvl w:val="1"/>
          <w:numId w:val="29"/>
        </w:numPr>
        <w:spacing w:after="120"/>
        <w:contextualSpacing w:val="0"/>
        <w:rPr>
          <w:rFonts w:asciiTheme="minorHAnsi" w:hAnsiTheme="minorHAnsi"/>
        </w:rPr>
      </w:pPr>
      <w:r w:rsidRPr="003A7CD3">
        <w:rPr>
          <w:rFonts w:asciiTheme="minorHAnsi" w:hAnsiTheme="minorHAnsi"/>
        </w:rPr>
        <w:t>L</w:t>
      </w:r>
      <w:r w:rsidR="00F45820" w:rsidRPr="003A7CD3">
        <w:rPr>
          <w:rFonts w:asciiTheme="minorHAnsi" w:hAnsiTheme="minorHAnsi"/>
        </w:rPr>
        <w:t xml:space="preserve">osses and trauma experienced or likely to be experienced as a result of </w:t>
      </w:r>
      <w:r w:rsidR="00C53B38" w:rsidRPr="003A7CD3">
        <w:rPr>
          <w:rFonts w:asciiTheme="minorHAnsi" w:hAnsiTheme="minorHAnsi"/>
        </w:rPr>
        <w:t xml:space="preserve">family rejection, </w:t>
      </w:r>
      <w:r w:rsidR="00F45820" w:rsidRPr="003A7CD3">
        <w:rPr>
          <w:rFonts w:asciiTheme="minorHAnsi" w:hAnsiTheme="minorHAnsi"/>
        </w:rPr>
        <w:t>heterosexism, homophobia, bi-</w:t>
      </w:r>
      <w:r w:rsidR="009666FB" w:rsidRPr="003A7CD3">
        <w:rPr>
          <w:rFonts w:asciiTheme="minorHAnsi" w:hAnsiTheme="minorHAnsi"/>
        </w:rPr>
        <w:t xml:space="preserve">phobia, trans-phobia and sexism; </w:t>
      </w:r>
    </w:p>
    <w:p w14:paraId="030D1BA2" w14:textId="5E9FB591" w:rsidR="009666FB" w:rsidRPr="003A7CD3" w:rsidRDefault="009666FB" w:rsidP="00A26FE0">
      <w:pPr>
        <w:pStyle w:val="ListParagraph"/>
        <w:numPr>
          <w:ilvl w:val="1"/>
          <w:numId w:val="29"/>
        </w:numPr>
        <w:spacing w:after="120"/>
        <w:contextualSpacing w:val="0"/>
        <w:rPr>
          <w:rFonts w:asciiTheme="minorHAnsi" w:hAnsiTheme="minorHAnsi"/>
        </w:rPr>
      </w:pPr>
      <w:r w:rsidRPr="003A7CD3">
        <w:rPr>
          <w:rFonts w:asciiTheme="minorHAnsi" w:hAnsiTheme="minorHAnsi"/>
        </w:rPr>
        <w:t>Discrimination and hostility among the client population as a whole.</w:t>
      </w:r>
    </w:p>
    <w:p w14:paraId="5E5DC718" w14:textId="51CC18BD" w:rsidR="00F45820" w:rsidRPr="003A7CD3" w:rsidRDefault="001C782E" w:rsidP="00A26FE0">
      <w:pPr>
        <w:pStyle w:val="ListParagraph"/>
        <w:numPr>
          <w:ilvl w:val="0"/>
          <w:numId w:val="29"/>
        </w:numPr>
        <w:spacing w:after="120"/>
        <w:contextualSpacing w:val="0"/>
        <w:rPr>
          <w:rFonts w:asciiTheme="minorHAnsi" w:hAnsiTheme="minorHAnsi"/>
        </w:rPr>
      </w:pPr>
      <w:r w:rsidRPr="003A7CD3">
        <w:rPr>
          <w:rFonts w:asciiTheme="minorHAnsi" w:hAnsiTheme="minorHAnsi"/>
        </w:rPr>
        <w:t>Nicotine addiction treatment is an integral program component</w:t>
      </w:r>
      <w:r w:rsidR="00F45820" w:rsidRPr="003A7CD3">
        <w:rPr>
          <w:rFonts w:asciiTheme="minorHAnsi" w:hAnsiTheme="minorHAnsi"/>
        </w:rPr>
        <w:t>.</w:t>
      </w:r>
    </w:p>
    <w:p w14:paraId="30A3BBD5" w14:textId="77777777" w:rsidR="009666FB" w:rsidRPr="003A7CD3" w:rsidRDefault="009666FB" w:rsidP="00A26FE0">
      <w:pPr>
        <w:pStyle w:val="ListParagraph"/>
        <w:numPr>
          <w:ilvl w:val="0"/>
          <w:numId w:val="29"/>
        </w:numPr>
        <w:spacing w:after="120"/>
        <w:contextualSpacing w:val="0"/>
        <w:rPr>
          <w:rFonts w:asciiTheme="minorHAnsi" w:hAnsiTheme="minorHAnsi"/>
        </w:rPr>
      </w:pPr>
      <w:r w:rsidRPr="003A7CD3">
        <w:rPr>
          <w:rFonts w:asciiTheme="minorHAnsi" w:hAnsiTheme="minorHAnsi"/>
        </w:rPr>
        <w:t xml:space="preserve">Ongoing assessments identify and address </w:t>
      </w:r>
    </w:p>
    <w:p w14:paraId="4EABCB58" w14:textId="746BB7A2" w:rsidR="00F45820" w:rsidRPr="003A7CD3" w:rsidRDefault="009666FB" w:rsidP="00A26FE0">
      <w:pPr>
        <w:pStyle w:val="ListParagraph"/>
        <w:numPr>
          <w:ilvl w:val="1"/>
          <w:numId w:val="29"/>
        </w:numPr>
        <w:spacing w:after="120"/>
        <w:contextualSpacing w:val="0"/>
        <w:rPr>
          <w:rFonts w:asciiTheme="minorHAnsi" w:hAnsiTheme="minorHAnsi"/>
        </w:rPr>
      </w:pPr>
      <w:r w:rsidRPr="003A7CD3">
        <w:rPr>
          <w:rFonts w:asciiTheme="minorHAnsi" w:hAnsiTheme="minorHAnsi"/>
        </w:rPr>
        <w:t>Struggles with self-acceptance;</w:t>
      </w:r>
    </w:p>
    <w:p w14:paraId="37453A40" w14:textId="75D86AA9" w:rsidR="009666FB" w:rsidRPr="003A7CD3" w:rsidRDefault="009666FB" w:rsidP="00A26FE0">
      <w:pPr>
        <w:pStyle w:val="ListParagraph"/>
        <w:numPr>
          <w:ilvl w:val="1"/>
          <w:numId w:val="29"/>
        </w:numPr>
        <w:spacing w:after="120"/>
        <w:contextualSpacing w:val="0"/>
        <w:rPr>
          <w:rFonts w:asciiTheme="minorHAnsi" w:hAnsiTheme="minorHAnsi"/>
        </w:rPr>
      </w:pPr>
      <w:r w:rsidRPr="003A7CD3">
        <w:rPr>
          <w:rFonts w:asciiTheme="minorHAnsi" w:hAnsiTheme="minorHAnsi"/>
        </w:rPr>
        <w:t>Status of relationships with family;</w:t>
      </w:r>
    </w:p>
    <w:p w14:paraId="2FA4D0D4" w14:textId="6EBA3D2C" w:rsidR="00F45820" w:rsidRPr="003A7CD3" w:rsidRDefault="009666FB" w:rsidP="00A26FE0">
      <w:pPr>
        <w:pStyle w:val="ListParagraph"/>
        <w:numPr>
          <w:ilvl w:val="1"/>
          <w:numId w:val="29"/>
        </w:numPr>
        <w:spacing w:after="120"/>
        <w:contextualSpacing w:val="0"/>
        <w:rPr>
          <w:rFonts w:asciiTheme="minorHAnsi" w:hAnsiTheme="minorHAnsi"/>
        </w:rPr>
      </w:pPr>
      <w:r w:rsidRPr="003A7CD3">
        <w:rPr>
          <w:rFonts w:asciiTheme="minorHAnsi" w:hAnsiTheme="minorHAnsi"/>
        </w:rPr>
        <w:t>M</w:t>
      </w:r>
      <w:r w:rsidR="00F45820" w:rsidRPr="003A7CD3">
        <w:rPr>
          <w:rFonts w:asciiTheme="minorHAnsi" w:hAnsiTheme="minorHAnsi"/>
        </w:rPr>
        <w:t xml:space="preserve">ental </w:t>
      </w:r>
      <w:r w:rsidR="00A26313" w:rsidRPr="003A7CD3">
        <w:rPr>
          <w:rFonts w:asciiTheme="minorHAnsi" w:hAnsiTheme="minorHAnsi"/>
        </w:rPr>
        <w:t xml:space="preserve">health </w:t>
      </w:r>
      <w:r w:rsidR="00F45820" w:rsidRPr="003A7CD3">
        <w:rPr>
          <w:rFonts w:asciiTheme="minorHAnsi" w:hAnsiTheme="minorHAnsi"/>
        </w:rPr>
        <w:t xml:space="preserve">status </w:t>
      </w:r>
      <w:r w:rsidRPr="003A7CD3">
        <w:rPr>
          <w:rFonts w:asciiTheme="minorHAnsi" w:hAnsiTheme="minorHAnsi"/>
        </w:rPr>
        <w:t xml:space="preserve">including determining </w:t>
      </w:r>
      <w:r w:rsidR="00F45820" w:rsidRPr="003A7CD3">
        <w:rPr>
          <w:rFonts w:asciiTheme="minorHAnsi" w:hAnsiTheme="minorHAnsi"/>
        </w:rPr>
        <w:t>whether intervention</w:t>
      </w:r>
      <w:r w:rsidR="009C779D">
        <w:rPr>
          <w:rFonts w:asciiTheme="minorHAnsi" w:hAnsiTheme="minorHAnsi"/>
        </w:rPr>
        <w:t>s</w:t>
      </w:r>
      <w:r w:rsidR="00F45820" w:rsidRPr="003A7CD3">
        <w:rPr>
          <w:rFonts w:asciiTheme="minorHAnsi" w:hAnsiTheme="minorHAnsi"/>
        </w:rPr>
        <w:t xml:space="preserve"> related to anxiety, depre</w:t>
      </w:r>
      <w:r w:rsidR="009C779D">
        <w:rPr>
          <w:rFonts w:asciiTheme="minorHAnsi" w:hAnsiTheme="minorHAnsi"/>
        </w:rPr>
        <w:t xml:space="preserve">ssion and suicidality are </w:t>
      </w:r>
      <w:r w:rsidRPr="003A7CD3">
        <w:rPr>
          <w:rFonts w:asciiTheme="minorHAnsi" w:hAnsiTheme="minorHAnsi"/>
        </w:rPr>
        <w:t xml:space="preserve">needed; </w:t>
      </w:r>
      <w:r w:rsidR="009C779D" w:rsidRPr="009D0A11">
        <w:rPr>
          <w:rFonts w:asciiTheme="minorHAnsi" w:hAnsiTheme="minorHAnsi"/>
        </w:rPr>
        <w:t>safety plans and</w:t>
      </w:r>
      <w:r w:rsidR="009C779D">
        <w:rPr>
          <w:rFonts w:asciiTheme="minorHAnsi" w:hAnsiTheme="minorHAnsi"/>
        </w:rPr>
        <w:t xml:space="preserve"> </w:t>
      </w:r>
      <w:r w:rsidRPr="003A7CD3">
        <w:rPr>
          <w:rFonts w:asciiTheme="minorHAnsi" w:hAnsiTheme="minorHAnsi"/>
        </w:rPr>
        <w:t>referrals are made as needed.</w:t>
      </w:r>
    </w:p>
    <w:p w14:paraId="60EC1108" w14:textId="6F649DBF" w:rsidR="00F45820" w:rsidRPr="003A7CD3" w:rsidRDefault="00C53B38" w:rsidP="00A26FE0">
      <w:pPr>
        <w:pStyle w:val="ListParagraph"/>
        <w:numPr>
          <w:ilvl w:val="0"/>
          <w:numId w:val="29"/>
        </w:numPr>
        <w:spacing w:after="120"/>
        <w:contextualSpacing w:val="0"/>
        <w:rPr>
          <w:rFonts w:asciiTheme="minorHAnsi" w:hAnsiTheme="minorHAnsi"/>
        </w:rPr>
      </w:pPr>
      <w:r w:rsidRPr="003A7CD3">
        <w:rPr>
          <w:rFonts w:asciiTheme="minorHAnsi" w:hAnsiTheme="minorHAnsi"/>
        </w:rPr>
        <w:t>Individuals participate in groups and other treatment components based on the individual’s gender identity</w:t>
      </w:r>
      <w:r w:rsidR="00F45820" w:rsidRPr="003A7CD3">
        <w:rPr>
          <w:rFonts w:asciiTheme="minorHAnsi" w:hAnsiTheme="minorHAnsi"/>
        </w:rPr>
        <w:t>.</w:t>
      </w:r>
    </w:p>
    <w:p w14:paraId="5B564CB3" w14:textId="5B3C6DAC" w:rsidR="00F45820" w:rsidRPr="003A7CD3" w:rsidRDefault="00F45820" w:rsidP="005604C8">
      <w:pPr>
        <w:pStyle w:val="ListParagraph"/>
        <w:spacing w:after="120"/>
        <w:ind w:left="0"/>
        <w:contextualSpacing w:val="0"/>
        <w:rPr>
          <w:rFonts w:asciiTheme="minorHAnsi" w:hAnsiTheme="minorHAnsi"/>
        </w:rPr>
      </w:pPr>
      <w:r w:rsidRPr="003A7CD3">
        <w:rPr>
          <w:rFonts w:asciiTheme="minorHAnsi" w:hAnsiTheme="minorHAnsi"/>
          <w:i/>
          <w:u w:val="single"/>
        </w:rPr>
        <w:t xml:space="preserve">Education of </w:t>
      </w:r>
      <w:r w:rsidR="006230EE" w:rsidRPr="003A7CD3">
        <w:rPr>
          <w:rFonts w:asciiTheme="minorHAnsi" w:hAnsiTheme="minorHAnsi"/>
          <w:i/>
          <w:u w:val="single"/>
        </w:rPr>
        <w:t>Youth</w:t>
      </w:r>
      <w:r w:rsidR="00C53B38" w:rsidRPr="003A7CD3">
        <w:rPr>
          <w:rFonts w:asciiTheme="minorHAnsi" w:hAnsiTheme="minorHAnsi"/>
          <w:i/>
          <w:u w:val="single"/>
        </w:rPr>
        <w:t xml:space="preserve"> and Young Adults</w:t>
      </w:r>
    </w:p>
    <w:p w14:paraId="18C96558" w14:textId="063AAC66" w:rsidR="00F45820" w:rsidRPr="003A7CD3" w:rsidRDefault="006230EE" w:rsidP="00A26FE0">
      <w:pPr>
        <w:pStyle w:val="ListParagraph"/>
        <w:numPr>
          <w:ilvl w:val="0"/>
          <w:numId w:val="30"/>
        </w:numPr>
        <w:spacing w:after="120"/>
        <w:contextualSpacing w:val="0"/>
        <w:rPr>
          <w:rFonts w:asciiTheme="minorHAnsi" w:hAnsiTheme="minorHAnsi"/>
        </w:rPr>
      </w:pPr>
      <w:r w:rsidRPr="003A7CD3">
        <w:rPr>
          <w:rFonts w:asciiTheme="minorHAnsi" w:hAnsiTheme="minorHAnsi"/>
        </w:rPr>
        <w:t>Youth</w:t>
      </w:r>
      <w:r w:rsidR="00C53B38" w:rsidRPr="003A7CD3">
        <w:rPr>
          <w:rFonts w:asciiTheme="minorHAnsi" w:hAnsiTheme="minorHAnsi"/>
        </w:rPr>
        <w:t xml:space="preserve"> and young adults</w:t>
      </w:r>
      <w:r w:rsidRPr="003A7CD3">
        <w:rPr>
          <w:rFonts w:asciiTheme="minorHAnsi" w:hAnsiTheme="minorHAnsi"/>
        </w:rPr>
        <w:t xml:space="preserve"> </w:t>
      </w:r>
      <w:r w:rsidR="00F45820" w:rsidRPr="003A7CD3">
        <w:rPr>
          <w:rFonts w:asciiTheme="minorHAnsi" w:hAnsiTheme="minorHAnsi"/>
        </w:rPr>
        <w:t xml:space="preserve">are provided with information about what is documented to be effective versus what is not known in substance abuse risk and treatment for LGBTQ </w:t>
      </w:r>
      <w:r w:rsidR="009666FB" w:rsidRPr="003A7CD3">
        <w:rPr>
          <w:rFonts w:asciiTheme="minorHAnsi" w:hAnsiTheme="minorHAnsi"/>
        </w:rPr>
        <w:t>youth</w:t>
      </w:r>
      <w:r w:rsidR="00F45820" w:rsidRPr="003A7CD3">
        <w:rPr>
          <w:rFonts w:asciiTheme="minorHAnsi" w:hAnsiTheme="minorHAnsi"/>
        </w:rPr>
        <w:t>.</w:t>
      </w:r>
    </w:p>
    <w:p w14:paraId="2A4E2E27" w14:textId="1DDDF2BD" w:rsidR="00C53B38" w:rsidRPr="003A7CD3" w:rsidRDefault="00C53B38" w:rsidP="00A26FE0">
      <w:pPr>
        <w:pStyle w:val="ListParagraph"/>
        <w:numPr>
          <w:ilvl w:val="0"/>
          <w:numId w:val="30"/>
        </w:numPr>
        <w:spacing w:after="120"/>
        <w:contextualSpacing w:val="0"/>
        <w:rPr>
          <w:rFonts w:asciiTheme="minorHAnsi" w:hAnsiTheme="minorHAnsi"/>
        </w:rPr>
      </w:pPr>
      <w:r w:rsidRPr="003A7CD3">
        <w:rPr>
          <w:rFonts w:asciiTheme="minorHAnsi" w:hAnsiTheme="minorHAnsi"/>
        </w:rPr>
        <w:t>Health education</w:t>
      </w:r>
      <w:r w:rsidR="001C782E" w:rsidRPr="003A7CD3">
        <w:rPr>
          <w:rFonts w:asciiTheme="minorHAnsi" w:hAnsiTheme="minorHAnsi"/>
        </w:rPr>
        <w:t xml:space="preserve"> services</w:t>
      </w:r>
      <w:r w:rsidRPr="003A7CD3">
        <w:rPr>
          <w:rFonts w:asciiTheme="minorHAnsi" w:hAnsiTheme="minorHAnsi"/>
        </w:rPr>
        <w:t xml:space="preserve"> address sexual health, and include harm reduction strategies specific to varieties of LGBTQ social activities and life styles.</w:t>
      </w:r>
    </w:p>
    <w:p w14:paraId="0A79D9A0" w14:textId="2DACBDC5" w:rsidR="00F45820" w:rsidRPr="003A7CD3" w:rsidRDefault="006230EE" w:rsidP="00A26FE0">
      <w:pPr>
        <w:pStyle w:val="ListParagraph"/>
        <w:numPr>
          <w:ilvl w:val="0"/>
          <w:numId w:val="30"/>
        </w:numPr>
        <w:spacing w:after="120"/>
        <w:contextualSpacing w:val="0"/>
        <w:rPr>
          <w:rFonts w:asciiTheme="minorHAnsi" w:hAnsiTheme="minorHAnsi"/>
        </w:rPr>
      </w:pPr>
      <w:r w:rsidRPr="003A7CD3">
        <w:rPr>
          <w:rFonts w:asciiTheme="minorHAnsi" w:hAnsiTheme="minorHAnsi"/>
        </w:rPr>
        <w:t xml:space="preserve">Youth </w:t>
      </w:r>
      <w:r w:rsidR="00F45820" w:rsidRPr="003A7CD3">
        <w:rPr>
          <w:rFonts w:asciiTheme="minorHAnsi" w:hAnsiTheme="minorHAnsi"/>
        </w:rPr>
        <w:t xml:space="preserve">are provided information about community resources known to be safe for and respectful toward LGBTQ </w:t>
      </w:r>
      <w:r w:rsidR="009666FB" w:rsidRPr="003A7CD3">
        <w:rPr>
          <w:rFonts w:asciiTheme="minorHAnsi" w:hAnsiTheme="minorHAnsi"/>
        </w:rPr>
        <w:t>youth</w:t>
      </w:r>
      <w:r w:rsidR="00F45820" w:rsidRPr="003A7CD3">
        <w:rPr>
          <w:rFonts w:asciiTheme="minorHAnsi" w:hAnsiTheme="minorHAnsi"/>
        </w:rPr>
        <w:t>.</w:t>
      </w:r>
    </w:p>
    <w:p w14:paraId="668F8589" w14:textId="419F92B5" w:rsidR="00BC2884" w:rsidRPr="003A7CD3" w:rsidRDefault="00BC2884" w:rsidP="00A26FE0">
      <w:pPr>
        <w:pStyle w:val="ListParagraph"/>
        <w:numPr>
          <w:ilvl w:val="0"/>
          <w:numId w:val="30"/>
        </w:numPr>
        <w:spacing w:after="120"/>
        <w:contextualSpacing w:val="0"/>
        <w:rPr>
          <w:rFonts w:asciiTheme="minorHAnsi" w:hAnsiTheme="minorHAnsi"/>
        </w:rPr>
      </w:pPr>
      <w:r w:rsidRPr="003A7CD3">
        <w:rPr>
          <w:rFonts w:asciiTheme="minorHAnsi" w:hAnsiTheme="minorHAnsi"/>
        </w:rPr>
        <w:t xml:space="preserve">Youth and young adults are provided information about their rights to </w:t>
      </w:r>
      <w:r w:rsidR="006608F9" w:rsidRPr="003A7CD3">
        <w:rPr>
          <w:rFonts w:asciiTheme="minorHAnsi" w:hAnsiTheme="minorHAnsi"/>
        </w:rPr>
        <w:t>non-judgmental</w:t>
      </w:r>
      <w:r w:rsidRPr="003A7CD3">
        <w:rPr>
          <w:rFonts w:asciiTheme="minorHAnsi" w:hAnsiTheme="minorHAnsi"/>
        </w:rPr>
        <w:t xml:space="preserve">, safe and supportive treatment environments, free of harassment. Grievance procedures are clearly explained. </w:t>
      </w:r>
    </w:p>
    <w:p w14:paraId="0D1F3C4C" w14:textId="463597B6" w:rsidR="00BC6549" w:rsidRPr="003A7CD3" w:rsidRDefault="00BC6549" w:rsidP="00BC6549">
      <w:pPr>
        <w:spacing w:after="120"/>
        <w:rPr>
          <w:rFonts w:asciiTheme="minorHAnsi" w:hAnsiTheme="minorHAnsi"/>
        </w:rPr>
      </w:pPr>
      <w:r w:rsidRPr="003A7CD3">
        <w:rPr>
          <w:rFonts w:asciiTheme="minorHAnsi" w:hAnsiTheme="minorHAnsi"/>
          <w:i/>
          <w:u w:val="single"/>
        </w:rPr>
        <w:t>Engaging Families:</w:t>
      </w:r>
    </w:p>
    <w:p w14:paraId="502E8590" w14:textId="77777777" w:rsidR="00BC6549" w:rsidRPr="007773BD" w:rsidRDefault="00BC6549" w:rsidP="00A26FE0">
      <w:pPr>
        <w:pStyle w:val="ListParagraph"/>
        <w:widowControl w:val="0"/>
        <w:numPr>
          <w:ilvl w:val="0"/>
          <w:numId w:val="31"/>
        </w:numPr>
        <w:autoSpaceDE w:val="0"/>
        <w:autoSpaceDN w:val="0"/>
        <w:adjustRightInd w:val="0"/>
        <w:spacing w:after="120"/>
        <w:contextualSpacing w:val="0"/>
        <w:rPr>
          <w:rFonts w:asciiTheme="minorHAnsi" w:hAnsiTheme="minorHAnsi" w:cs="Times New Roman"/>
          <w:sz w:val="19"/>
          <w:szCs w:val="19"/>
        </w:rPr>
      </w:pPr>
      <w:r w:rsidRPr="003A7CD3">
        <w:rPr>
          <w:rFonts w:asciiTheme="minorHAnsi" w:hAnsiTheme="minorHAnsi" w:cs="Times New Roman"/>
        </w:rPr>
        <w:t xml:space="preserve">Treatment programing is designed to engage families as supports, and ensure that families, including those who have rejected their children’s sexual orientation or gender identity, are provided, or referred for, supportive services.  </w:t>
      </w:r>
    </w:p>
    <w:p w14:paraId="6C426270" w14:textId="06CAFF71" w:rsidR="007773BD" w:rsidRPr="009D0A11" w:rsidRDefault="007773BD" w:rsidP="00A26FE0">
      <w:pPr>
        <w:pStyle w:val="ListParagraph"/>
        <w:widowControl w:val="0"/>
        <w:numPr>
          <w:ilvl w:val="0"/>
          <w:numId w:val="31"/>
        </w:numPr>
        <w:autoSpaceDE w:val="0"/>
        <w:autoSpaceDN w:val="0"/>
        <w:adjustRightInd w:val="0"/>
        <w:spacing w:after="120"/>
        <w:contextualSpacing w:val="0"/>
        <w:rPr>
          <w:rFonts w:asciiTheme="minorHAnsi" w:hAnsiTheme="minorHAnsi" w:cs="Times New Roman"/>
          <w:sz w:val="19"/>
          <w:szCs w:val="19"/>
        </w:rPr>
      </w:pPr>
      <w:r w:rsidRPr="009D0A11">
        <w:rPr>
          <w:rFonts w:asciiTheme="minorHAnsi" w:hAnsiTheme="minorHAnsi" w:cs="Times New Roman"/>
        </w:rPr>
        <w:t>Families are provided information and referrals to supportive organizations such as Parents, Families and Friends of Lesbians and Gays (see Resources, below).</w:t>
      </w:r>
    </w:p>
    <w:p w14:paraId="19C3515E" w14:textId="588ED3BD" w:rsidR="00666086" w:rsidRPr="003A7CD3" w:rsidRDefault="003038E8" w:rsidP="00A26FE0">
      <w:pPr>
        <w:pStyle w:val="ListParagraph"/>
        <w:widowControl w:val="0"/>
        <w:numPr>
          <w:ilvl w:val="0"/>
          <w:numId w:val="31"/>
        </w:numPr>
        <w:autoSpaceDE w:val="0"/>
        <w:autoSpaceDN w:val="0"/>
        <w:adjustRightInd w:val="0"/>
        <w:rPr>
          <w:rFonts w:asciiTheme="minorHAnsi" w:hAnsiTheme="minorHAnsi" w:cs="Times New Roman"/>
          <w:sz w:val="19"/>
          <w:szCs w:val="19"/>
        </w:rPr>
      </w:pPr>
      <w:r w:rsidRPr="003A7CD3">
        <w:rPr>
          <w:rFonts w:asciiTheme="minorHAnsi" w:hAnsiTheme="minorHAnsi" w:cs="Times New Roman"/>
        </w:rPr>
        <w:t>Youth and young adults are supported in engaging as ‘family of choice’ those adults who are committed to providing nurturing long term relationships capable of supporting recovery.</w:t>
      </w:r>
    </w:p>
    <w:p w14:paraId="60DC5282" w14:textId="4CB35F0E" w:rsidR="00A26FE0" w:rsidRDefault="00A26FE0" w:rsidP="00CF24B0">
      <w:pPr>
        <w:pStyle w:val="ListParagraph"/>
        <w:spacing w:before="120" w:after="120"/>
        <w:ind w:left="0"/>
        <w:contextualSpacing w:val="0"/>
        <w:rPr>
          <w:rFonts w:asciiTheme="minorHAnsi" w:hAnsiTheme="minorHAnsi"/>
          <w:b/>
        </w:rPr>
      </w:pPr>
      <w:r>
        <w:rPr>
          <w:noProof/>
        </w:rPr>
        <mc:AlternateContent>
          <mc:Choice Requires="wps">
            <w:drawing>
              <wp:anchor distT="0" distB="0" distL="114300" distR="114300" simplePos="0" relativeHeight="251665408" behindDoc="0" locked="0" layoutInCell="1" allowOverlap="1" wp14:anchorId="6FAA358C" wp14:editId="0666D4DC">
                <wp:simplePos x="0" y="0"/>
                <wp:positionH relativeFrom="column">
                  <wp:posOffset>-114300</wp:posOffset>
                </wp:positionH>
                <wp:positionV relativeFrom="paragraph">
                  <wp:posOffset>168275</wp:posOffset>
                </wp:positionV>
                <wp:extent cx="1092835" cy="277495"/>
                <wp:effectExtent l="76200" t="50800" r="50165" b="10350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38B88531" w14:textId="77777777" w:rsidR="00F004C0" w:rsidRDefault="00F004C0" w:rsidP="00A26FE0">
                            <w:pPr>
                              <w:pStyle w:val="NormalWeb"/>
                              <w:spacing w:before="0" w:beforeAutospacing="0" w:after="0" w:afterAutospacing="0"/>
                            </w:pPr>
                            <w:r>
                              <w:rPr>
                                <w:rFonts w:ascii="Calibri" w:eastAsia="MS Mincho" w:hAnsi="Calibri"/>
                                <w:smallCaps/>
                                <w:color w:val="005DAA"/>
                                <w:sz w:val="24"/>
                                <w:szCs w:val="24"/>
                              </w:rPr>
                              <w:t>III. MEASURES</w:t>
                            </w:r>
                            <w:r>
                              <w:rPr>
                                <w:rFonts w:ascii="Calibri" w:eastAsia="MS Mincho" w:hAnsi="Calibri"/>
                                <w:color w:val="005DAA"/>
                                <w:sz w:val="24"/>
                                <w:szCs w:val="24"/>
                              </w:rPr>
                              <w:t>:</w:t>
                            </w:r>
                            <w:r>
                              <w:rPr>
                                <w:rFonts w:ascii="Calibri" w:eastAsia="MS Mincho" w:hAnsi="Calibri"/>
                                <w:sz w:val="22"/>
                                <w:szCs w:val="22"/>
                              </w:rPr>
                              <w:t xml:space="preserve">  </w:t>
                            </w:r>
                          </w:p>
                        </w:txbxContent>
                      </wps:txbx>
                      <wps:bodyPr rot="0" vert="horz" wrap="none" lIns="91440" tIns="45720" rIns="91440" bIns="45720" anchor="t" anchorCtr="0" upright="1">
                        <a:spAutoFit/>
                      </wps:bodyPr>
                    </wps:wsp>
                  </a:graphicData>
                </a:graphic>
              </wp:anchor>
            </w:drawing>
          </mc:Choice>
          <mc:Fallback>
            <w:pict>
              <v:shape id="Text Box 15" o:spid="_x0000_s1033" type="#_x0000_t202" style="position:absolute;margin-left:-8.95pt;margin-top:13.25pt;width:86.05pt;height:21.8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XKdd4CAADNBQAADgAAAGRycy9lMm9Eb2MueG1srFTbbtswDH0fsH8Q9J76EiexjTpFmyzDgO6C&#10;pcOeFUuOhcmSISmxu2H/PkqOs7TFgGGYHwxRoqhzyENe3/SNQEemDVeywNFViBGTpaJc7gv85WEz&#10;STEylkhKhJKswI/M4Jvl61fXXZuzWNVKUKYRBJEm79oC19a2eRCYsmYNMVeqZRIOK6UbYsHU+4Bq&#10;0kH0RgRxGM6DTmnaalUyY2B3PRzipY9fVay0H6vKMItEgQGb9X/t/zv3D5bXJN9r0ta8PMEg/4Ci&#10;IVzCo+dQa2IJOmj+IlTDS62MquxVqZpAVRUvmecAbKLwGZttTVrmuUByTHtOk/l/YcsPx08acQq1&#10;m2EkSQM1emC9RXeqR7AF+elak4PbtgVH28M++Hqupr1X5TeDpFrVRO7ZrdaqqxmhgC9yN4OLq0Mc&#10;44LsuveKwjvkYJUP1Fe6ccmDdCCIDnV6PNfGYSndk2EWp1PAWMJZvFgkmQcXkHy83Wpj3zLVILco&#10;sIba++jkeG+sQ0Py0cU9ZpTgdMOF8Ibe71ZCoyMBnWz85wk8cxPSOUvlrg0Rhx3mlQbPeBYHy/S2&#10;ph3aiYP+TCC38+ksBFaUO2BxtkinzgAZzrMoScIYIyL20D+l1RhpZb9yW/viuzS8wJeuV4vpZuAm&#10;2poMqCEjWTqCHuh4zmqE460nSCG3J8wuy16uP7IoTsK7OJts5uliklTJbJItwnQSRtldNg+TLFlv&#10;frq3oySvOaVM3nPJxtaJkr+T5qmJB9H75kFdgbNZPBvo/rE2of9GmpduDYe0I8GbAqdnJ5I7Pb6R&#10;FKpFcku4GNbBU/hDanooH4hkzIpXrxPsIF3b73rfKOem2Cn6CHKGennNwhSERa30d4w6mCgFljDy&#10;MBLvJDSELzQMIG8ks0UMetCXJ7vLEyJLCFRgC8rwy5Udhtah1XxfwztjC95CE22417frtgET8HAG&#10;zAzP6DTf3FC6tL3X7ym8/AUAAP//AwBQSwMEFAAGAAgAAAAhACq4GlzfAAAACQEAAA8AAABkcnMv&#10;ZG93bnJldi54bWxMj8tOwzAQRfdI/IM1SOxapxHpI82kQkiRWMCCUgRLJx6SiHgcxW5r/h53RZej&#10;e3TvmWIXzCBONLneMsJinoAgbqzuuUU4vFezNQjnFWs1WCaEX3KwK29vCpVre+Y3Ou19K2IJu1wh&#10;dN6PuZSu6cgoN7cjccy+7WSUj+fUSj2pcyw3g0yTZCmN6jkudGqkp46an/3RIJjGHAKr9UvVVll4&#10;HT+/qvrjGfH+LjxuQXgK/h+Gi35UhzI61fbI2okBYbZYbSKKkC4zEBcge0hB1AirJAVZFvL6g/IP&#10;AAD//wMAUEsBAi0AFAAGAAgAAAAhAOSZw8D7AAAA4QEAABMAAAAAAAAAAAAAAAAAAAAAAFtDb250&#10;ZW50X1R5cGVzXS54bWxQSwECLQAUAAYACAAAACEAI7Jq4dcAAACUAQAACwAAAAAAAAAAAAAAAAAs&#10;AQAAX3JlbHMvLnJlbHNQSwECLQAUAAYACAAAACEAgbXKdd4CAADNBQAADgAAAAAAAAAAAAAAAAAs&#10;AgAAZHJzL2Uyb0RvYy54bWxQSwECLQAUAAYACAAAACEAKrgaXN8AAAAJAQAADwAAAAAAAAAAAAAA&#10;AAA2BQAAZHJzL2Rvd25yZXYueG1sUEsFBgAAAAAEAAQA8wAAAEIGAAAAAA==&#10;" stroked="f">
                <v:shadow on="t" color="#8dc73f" opacity="49150f" offset="-1pt"/>
                <v:textbox style="mso-fit-shape-to-text:t">
                  <w:txbxContent>
                    <w:p w14:paraId="38B88531" w14:textId="77777777" w:rsidR="00F004C0" w:rsidRDefault="00F004C0" w:rsidP="00A26FE0">
                      <w:pPr>
                        <w:pStyle w:val="NormalWeb"/>
                        <w:spacing w:before="0" w:beforeAutospacing="0" w:after="0" w:afterAutospacing="0"/>
                      </w:pPr>
                      <w:r>
                        <w:rPr>
                          <w:rFonts w:ascii="Calibri" w:eastAsia="MS Mincho" w:hAnsi="Calibri"/>
                          <w:smallCaps/>
                          <w:color w:val="005DAA"/>
                          <w:sz w:val="24"/>
                          <w:szCs w:val="24"/>
                        </w:rPr>
                        <w:t>III. MEASURES</w:t>
                      </w:r>
                      <w:r>
                        <w:rPr>
                          <w:rFonts w:ascii="Calibri" w:eastAsia="MS Mincho" w:hAnsi="Calibri"/>
                          <w:color w:val="005DAA"/>
                          <w:sz w:val="24"/>
                          <w:szCs w:val="24"/>
                        </w:rPr>
                        <w:t>:</w:t>
                      </w:r>
                      <w:r>
                        <w:rPr>
                          <w:rFonts w:ascii="Calibri" w:eastAsia="MS Mincho" w:hAnsi="Calibri"/>
                          <w:sz w:val="22"/>
                          <w:szCs w:val="22"/>
                        </w:rPr>
                        <w:t xml:space="preserve">  </w:t>
                      </w:r>
                    </w:p>
                  </w:txbxContent>
                </v:textbox>
                <w10:wrap type="square"/>
              </v:shape>
            </w:pict>
          </mc:Fallback>
        </mc:AlternateContent>
      </w:r>
    </w:p>
    <w:p w14:paraId="2676DAE7" w14:textId="7BFF499B" w:rsidR="00A26FE0" w:rsidRDefault="00A26FE0" w:rsidP="00CF24B0">
      <w:pPr>
        <w:pStyle w:val="ListParagraph"/>
        <w:spacing w:before="120" w:after="120"/>
        <w:ind w:left="0"/>
        <w:contextualSpacing w:val="0"/>
        <w:rPr>
          <w:rFonts w:asciiTheme="minorHAnsi" w:hAnsiTheme="minorHAnsi"/>
          <w:b/>
        </w:rPr>
      </w:pPr>
    </w:p>
    <w:p w14:paraId="00E809E5" w14:textId="7138A963" w:rsidR="00F45820" w:rsidRPr="003A7CD3" w:rsidRDefault="00F45820" w:rsidP="00F45820">
      <w:pPr>
        <w:numPr>
          <w:ilvl w:val="0"/>
          <w:numId w:val="7"/>
        </w:numPr>
        <w:spacing w:after="120"/>
        <w:rPr>
          <w:rFonts w:asciiTheme="minorHAnsi" w:hAnsiTheme="minorHAnsi"/>
        </w:rPr>
      </w:pPr>
      <w:r w:rsidRPr="003A7CD3">
        <w:rPr>
          <w:rFonts w:asciiTheme="minorHAnsi" w:hAnsiTheme="minorHAnsi"/>
        </w:rPr>
        <w:t>Agencies conduct annual surveys of staff and the population served to assess experiences and perceptions of the agency’s competence in engaging LGBTQ individuals, and the agency’s effectiveness in establishing a safe environment.</w:t>
      </w:r>
    </w:p>
    <w:p w14:paraId="60D04791" w14:textId="77777777" w:rsidR="00F45820" w:rsidRPr="003A7CD3" w:rsidRDefault="00F45820" w:rsidP="00F45820">
      <w:pPr>
        <w:numPr>
          <w:ilvl w:val="0"/>
          <w:numId w:val="7"/>
        </w:numPr>
        <w:spacing w:after="120"/>
        <w:rPr>
          <w:rFonts w:asciiTheme="minorHAnsi" w:hAnsiTheme="minorHAnsi"/>
        </w:rPr>
      </w:pPr>
      <w:r w:rsidRPr="003A7CD3">
        <w:rPr>
          <w:rFonts w:asciiTheme="minorHAnsi" w:hAnsiTheme="minorHAnsi"/>
        </w:rPr>
        <w:t xml:space="preserve">Agency assessments include: </w:t>
      </w:r>
    </w:p>
    <w:p w14:paraId="31567A6B" w14:textId="34B635A5" w:rsidR="00F45820" w:rsidRPr="009D0A11" w:rsidRDefault="00F45820" w:rsidP="00F45820">
      <w:pPr>
        <w:pStyle w:val="ListParagraph"/>
        <w:numPr>
          <w:ilvl w:val="0"/>
          <w:numId w:val="12"/>
        </w:numPr>
        <w:rPr>
          <w:rFonts w:asciiTheme="minorHAnsi" w:hAnsiTheme="minorHAnsi"/>
        </w:rPr>
      </w:pPr>
      <w:r w:rsidRPr="009D0A11">
        <w:rPr>
          <w:rFonts w:asciiTheme="minorHAnsi" w:hAnsiTheme="minorHAnsi"/>
        </w:rPr>
        <w:t>Results of annual surveys</w:t>
      </w:r>
      <w:r w:rsidR="007773BD" w:rsidRPr="009D0A11">
        <w:rPr>
          <w:rFonts w:asciiTheme="minorHAnsi" w:hAnsiTheme="minorHAnsi"/>
        </w:rPr>
        <w:t>, such as satisfactions surveys of individuals served and their families</w:t>
      </w:r>
      <w:r w:rsidRPr="009D0A11">
        <w:rPr>
          <w:rFonts w:asciiTheme="minorHAnsi" w:hAnsiTheme="minorHAnsi"/>
        </w:rPr>
        <w:t>;</w:t>
      </w:r>
    </w:p>
    <w:p w14:paraId="5DA319A9" w14:textId="77777777" w:rsidR="00F45820" w:rsidRPr="003A7CD3" w:rsidRDefault="00F45820" w:rsidP="00F45820">
      <w:pPr>
        <w:pStyle w:val="ListParagraph"/>
        <w:numPr>
          <w:ilvl w:val="0"/>
          <w:numId w:val="12"/>
        </w:numPr>
        <w:rPr>
          <w:rFonts w:asciiTheme="minorHAnsi" w:hAnsiTheme="minorHAnsi"/>
        </w:rPr>
      </w:pPr>
      <w:r w:rsidRPr="003A7CD3">
        <w:rPr>
          <w:rFonts w:asciiTheme="minorHAnsi" w:hAnsiTheme="minorHAnsi"/>
        </w:rPr>
        <w:t>Comparison of data describing population served and characteristics of the community.</w:t>
      </w:r>
    </w:p>
    <w:p w14:paraId="551C4A7A" w14:textId="77777777" w:rsidR="00F45820" w:rsidRPr="003A7CD3" w:rsidRDefault="00F45820" w:rsidP="00F45820">
      <w:pPr>
        <w:pStyle w:val="ListParagraph"/>
        <w:numPr>
          <w:ilvl w:val="0"/>
          <w:numId w:val="12"/>
        </w:numPr>
        <w:rPr>
          <w:rFonts w:asciiTheme="minorHAnsi" w:hAnsiTheme="minorHAnsi"/>
        </w:rPr>
      </w:pPr>
      <w:r w:rsidRPr="003A7CD3">
        <w:rPr>
          <w:rFonts w:asciiTheme="minorHAnsi" w:hAnsiTheme="minorHAnsi"/>
        </w:rPr>
        <w:t>QSOA’s and active referrals with agencies serving LGBTQ individuals and their families;</w:t>
      </w:r>
    </w:p>
    <w:p w14:paraId="02535544" w14:textId="07C11ABF" w:rsidR="009666FB" w:rsidRPr="003A7CD3" w:rsidRDefault="00F45820" w:rsidP="009666FB">
      <w:pPr>
        <w:pStyle w:val="ListParagraph"/>
        <w:numPr>
          <w:ilvl w:val="0"/>
          <w:numId w:val="12"/>
        </w:numPr>
        <w:ind w:left="1109"/>
        <w:contextualSpacing w:val="0"/>
        <w:rPr>
          <w:rFonts w:asciiTheme="minorHAnsi" w:hAnsiTheme="minorHAnsi"/>
        </w:rPr>
      </w:pPr>
      <w:r w:rsidRPr="003A7CD3">
        <w:rPr>
          <w:rFonts w:asciiTheme="minorHAnsi" w:hAnsiTheme="minorHAnsi"/>
        </w:rPr>
        <w:t xml:space="preserve">Training topics such as: understanding the process of ‘coming out’; LGBTQ cultural </w:t>
      </w:r>
      <w:r w:rsidR="003038E8" w:rsidRPr="003A7CD3">
        <w:rPr>
          <w:rFonts w:asciiTheme="minorHAnsi" w:hAnsiTheme="minorHAnsi"/>
        </w:rPr>
        <w:t>competency</w:t>
      </w:r>
      <w:r w:rsidRPr="003A7CD3">
        <w:rPr>
          <w:rFonts w:asciiTheme="minorHAnsi" w:hAnsiTheme="minorHAnsi"/>
        </w:rPr>
        <w:t>;</w:t>
      </w:r>
    </w:p>
    <w:p w14:paraId="7EF059F4" w14:textId="281ED820" w:rsidR="00F45820" w:rsidRPr="003A7CD3" w:rsidRDefault="00F45820" w:rsidP="009666FB">
      <w:pPr>
        <w:pStyle w:val="ListParagraph"/>
        <w:numPr>
          <w:ilvl w:val="0"/>
          <w:numId w:val="12"/>
        </w:numPr>
        <w:spacing w:after="120"/>
        <w:ind w:left="1109"/>
        <w:contextualSpacing w:val="0"/>
        <w:rPr>
          <w:rFonts w:asciiTheme="minorHAnsi" w:hAnsiTheme="minorHAnsi"/>
        </w:rPr>
      </w:pPr>
      <w:r w:rsidRPr="003A7CD3">
        <w:rPr>
          <w:rFonts w:asciiTheme="minorHAnsi" w:hAnsiTheme="minorHAnsi"/>
        </w:rPr>
        <w:t>Monitoring trends in substance use and co-occurring disorders</w:t>
      </w:r>
      <w:r w:rsidR="0092306A">
        <w:rPr>
          <w:rFonts w:asciiTheme="minorHAnsi" w:hAnsiTheme="minorHAnsi"/>
        </w:rPr>
        <w:t xml:space="preserve"> for youth in general and LGBT</w:t>
      </w:r>
      <w:r w:rsidR="0095280D" w:rsidRPr="003A7CD3">
        <w:rPr>
          <w:rFonts w:asciiTheme="minorHAnsi" w:hAnsiTheme="minorHAnsi"/>
        </w:rPr>
        <w:t>Q</w:t>
      </w:r>
      <w:r w:rsidR="0092306A">
        <w:rPr>
          <w:rFonts w:asciiTheme="minorHAnsi" w:hAnsiTheme="minorHAnsi"/>
        </w:rPr>
        <w:t xml:space="preserve"> </w:t>
      </w:r>
      <w:r w:rsidRPr="003A7CD3">
        <w:rPr>
          <w:rFonts w:asciiTheme="minorHAnsi" w:hAnsiTheme="minorHAnsi"/>
        </w:rPr>
        <w:t>youth in particular</w:t>
      </w:r>
    </w:p>
    <w:p w14:paraId="1C23D068" w14:textId="77777777" w:rsidR="00E909A8" w:rsidRPr="003A7CD3" w:rsidRDefault="00E909A8" w:rsidP="00E909A8">
      <w:pPr>
        <w:rPr>
          <w:rFonts w:asciiTheme="minorHAnsi" w:hAnsiTheme="minorHAnsi"/>
        </w:rPr>
      </w:pPr>
      <w:r w:rsidRPr="003A7CD3">
        <w:rPr>
          <w:rFonts w:asciiTheme="minorHAnsi" w:hAnsiTheme="minorHAnsi"/>
        </w:rPr>
        <w:t xml:space="preserve">See:  </w:t>
      </w:r>
      <w:r w:rsidRPr="003A7CD3">
        <w:rPr>
          <w:rFonts w:asciiTheme="minorHAnsi" w:hAnsiTheme="minorHAnsi" w:cs="Times"/>
          <w:bCs/>
          <w:i/>
          <w:color w:val="161E4E"/>
          <w:szCs w:val="34"/>
        </w:rPr>
        <w:t>How to gather data on sexual orientation and gender identity in clinical settings</w:t>
      </w:r>
      <w:r w:rsidRPr="003A7CD3">
        <w:rPr>
          <w:rFonts w:asciiTheme="minorHAnsi" w:hAnsiTheme="minorHAnsi" w:cs="Times"/>
          <w:bCs/>
          <w:color w:val="161E4E"/>
          <w:szCs w:val="34"/>
        </w:rPr>
        <w:t xml:space="preserve"> available at: </w:t>
      </w:r>
      <w:hyperlink r:id="rId10" w:history="1">
        <w:r w:rsidRPr="003A7CD3">
          <w:rPr>
            <w:rStyle w:val="Hyperlink"/>
            <w:rFonts w:asciiTheme="minorHAnsi" w:hAnsiTheme="minorHAnsi"/>
          </w:rPr>
          <w:t>http://www.lgbthealtheducation.org/publications/top/</w:t>
        </w:r>
      </w:hyperlink>
    </w:p>
    <w:p w14:paraId="3200AC54" w14:textId="77777777" w:rsidR="00A26FE0" w:rsidRDefault="00A26FE0" w:rsidP="005604C8">
      <w:pPr>
        <w:pStyle w:val="ListParagraph"/>
        <w:spacing w:after="240"/>
        <w:ind w:left="0"/>
        <w:contextualSpacing w:val="0"/>
        <w:rPr>
          <w:rFonts w:asciiTheme="minorHAnsi" w:hAnsiTheme="minorHAnsi"/>
          <w:b/>
        </w:rPr>
      </w:pPr>
    </w:p>
    <w:p w14:paraId="75121915" w14:textId="0DE20B6A" w:rsidR="00A26FE0" w:rsidRDefault="00A26FE0" w:rsidP="004905AE">
      <w:pPr>
        <w:spacing w:after="120"/>
      </w:pPr>
      <w:r>
        <w:rPr>
          <w:noProof/>
        </w:rPr>
        <mc:AlternateContent>
          <mc:Choice Requires="wps">
            <w:drawing>
              <wp:anchor distT="0" distB="0" distL="114300" distR="114300" simplePos="0" relativeHeight="251667456" behindDoc="0" locked="0" layoutInCell="1" allowOverlap="1" wp14:anchorId="0E46C9FE" wp14:editId="39ADEF5D">
                <wp:simplePos x="0" y="0"/>
                <wp:positionH relativeFrom="column">
                  <wp:posOffset>-114300</wp:posOffset>
                </wp:positionH>
                <wp:positionV relativeFrom="paragraph">
                  <wp:posOffset>0</wp:posOffset>
                </wp:positionV>
                <wp:extent cx="868680" cy="277495"/>
                <wp:effectExtent l="76200" t="50800" r="45720" b="1035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4E1242E0" w14:textId="77777777" w:rsidR="00F004C0" w:rsidRDefault="00F004C0" w:rsidP="00A26FE0">
                            <w:pPr>
                              <w:pStyle w:val="NormalWeb"/>
                              <w:spacing w:before="0" w:beforeAutospacing="0" w:after="0" w:afterAutospacing="0"/>
                            </w:pPr>
                            <w:r>
                              <w:rPr>
                                <w:rFonts w:ascii="Calibri" w:eastAsia="MS Mincho" w:hAnsi="Calibri"/>
                                <w:smallCaps/>
                                <w:color w:val="005DAA"/>
                                <w:sz w:val="24"/>
                                <w:szCs w:val="24"/>
                              </w:rPr>
                              <w:t>IV. FORMS</w:t>
                            </w:r>
                            <w:r>
                              <w:rPr>
                                <w:rFonts w:ascii="Calibri" w:eastAsia="MS Mincho" w:hAnsi="Calibri"/>
                                <w:color w:val="005DAA"/>
                                <w:sz w:val="24"/>
                                <w:szCs w:val="24"/>
                              </w:rPr>
                              <w:t>:</w:t>
                            </w:r>
                            <w:r>
                              <w:rPr>
                                <w:rFonts w:ascii="Calibri" w:eastAsia="MS Mincho" w:hAnsi="Calibri"/>
                                <w:sz w:val="22"/>
                                <w:szCs w:val="22"/>
                              </w:rPr>
                              <w:t xml:space="preserve">  </w:t>
                            </w:r>
                          </w:p>
                        </w:txbxContent>
                      </wps:txbx>
                      <wps:bodyPr rot="0" vert="horz" wrap="none" lIns="91440" tIns="45720" rIns="91440" bIns="45720" anchor="t" anchorCtr="0" upright="1">
                        <a:spAutoFit/>
                      </wps:bodyPr>
                    </wps:wsp>
                  </a:graphicData>
                </a:graphic>
              </wp:anchor>
            </w:drawing>
          </mc:Choice>
          <mc:Fallback>
            <w:pict>
              <v:shape id="Text Box 2" o:spid="_x0000_s1034" type="#_x0000_t202" style="position:absolute;margin-left:-8.95pt;margin-top:0;width:68.4pt;height:21.8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1esNwCAADKBQAADgAAAGRycy9lMm9Eb2MueG1srFRta9swEP4+2H8Q+p76pU5imzqlTeYx6F5Y&#10;O/ZZseRYTJaMpMTuxv77TnKcpiuDMZaA0cvp7rnnnrur66EV6MC04UoWOLoIMWKyUpTLXYG/PJSz&#10;FCNjiaREKMkK/MgMvl69fnXVdzmLVaMEZRqBE2nyvitwY22XB4GpGtYSc6E6JuGyVrolFrZ6F1BN&#10;evDeiiAOw0XQK007rSpmDJxuxku88v7rmlX2Y10bZpEoMGCz/qv9d+u+weqK5DtNuoZXRxjkH1C0&#10;hEsIenK1IZagveYvXLW80sqo2l5Uqg1UXfOK+Rwgmyj8LZv7hnTM5wLkmO5Ek/l/bqsPh08acVrg&#10;GCNJWijRAxssulUDih07fWdyMLrvwMwOcAxV9pma7k5V3wySat0QuWM3Wqu+YYQCusi9DM6ejn6M&#10;c7Lt3ysKYcjeKu9oqHXrqAMyEHiHKj2eKuOgVHCYLuAPNxVcxctlks19BJJPjztt7FumWuQWBdZQ&#10;eO+cHO6MdWBIPpm4WEYJTksuhN/o3XYtNDoQEEnpf0fvz8yEdMZSuWejx/GEeZlBGJ/E3jJ939Ae&#10;bcVefyZA7OJyHgJ0yh2wOFuml24DGlxkUZKEwDsRO2ieymqMtLJfuW185R0LL/Clm/XyshxzE11D&#10;RtTASJZOoMd0fM5qguN3z5ACtUfMjmSv1R9ZFCfhbZzNykW6nCV1Mp9lyzCdhVF2my3CJEs25U8X&#10;O0ryhlPK5B2XbOqbKPk7XR47eFS87xzUFzibx/Mx3T/WJvS/Kc1zs5YD7UjwFqRyMiK5k+MbSaFa&#10;JLeEi3EdPIc/UjNA+UAkEytevE6vo3LtsB18lyxcdCfsraKPoGaol5csjEBYNEp/x6iHcVJgCfMO&#10;I/FOQj/4QsP08ZtkvoxBD/r8Znt+Q2QFjgpsQRl+ubbjxNp3mu8aiDN14A30UMm9vp8wQR5uAwPD&#10;Z3Qcbm4ine+91dMIXv0CAAD//wMAUEsDBBQABgAIAAAAIQA/OnU83AAAAAcBAAAPAAAAZHJzL2Rv&#10;d25yZXYueG1sTI/NTsMwEITvSLyDtUjcWif8NYRsKoQUiQMcWorg6MRLEhGvo9htw9uzPcFxNKOZ&#10;b4r17AZ1oCn0nhHSZQKKuPG25xZh91YtMlAhGrZm8EwIPxRgXZ6fFSa3/sgbOmxjq6SEQ24QuhjH&#10;XOvQdORMWPqRWLwvPzkTRU6ttpM5Srkb9FWS3GlnepaFzoz01FHzvd07BNe43cwme6na6nZ+HT8+&#10;q/r9GfHyYn58ABVpjn9hOOELOpTCVPs926AGhEW6upcogjw62Wkmska4uV6BLgv9n7/8BQAA//8D&#10;AFBLAQItABQABgAIAAAAIQDkmcPA+wAAAOEBAAATAAAAAAAAAAAAAAAAAAAAAABbQ29udGVudF9U&#10;eXBlc10ueG1sUEsBAi0AFAAGAAgAAAAhACOyauHXAAAAlAEAAAsAAAAAAAAAAAAAAAAALAEAAF9y&#10;ZWxzLy5yZWxzUEsBAi0AFAAGAAgAAAAhAAAtXrDcAgAAygUAAA4AAAAAAAAAAAAAAAAALAIAAGRy&#10;cy9lMm9Eb2MueG1sUEsBAi0AFAAGAAgAAAAhAD86dTzcAAAABwEAAA8AAAAAAAAAAAAAAAAANAUA&#10;AGRycy9kb3ducmV2LnhtbFBLBQYAAAAABAAEAPMAAAA9BgAAAAA=&#10;" stroked="f">
                <v:shadow on="t" color="#8dc73f" opacity="49150f" offset="-1pt"/>
                <v:textbox style="mso-fit-shape-to-text:t">
                  <w:txbxContent>
                    <w:p w14:paraId="4E1242E0" w14:textId="77777777" w:rsidR="00F004C0" w:rsidRDefault="00F004C0" w:rsidP="00A26FE0">
                      <w:pPr>
                        <w:pStyle w:val="NormalWeb"/>
                        <w:spacing w:before="0" w:beforeAutospacing="0" w:after="0" w:afterAutospacing="0"/>
                      </w:pPr>
                      <w:r>
                        <w:rPr>
                          <w:rFonts w:ascii="Calibri" w:eastAsia="MS Mincho" w:hAnsi="Calibri"/>
                          <w:smallCaps/>
                          <w:color w:val="005DAA"/>
                          <w:sz w:val="24"/>
                          <w:szCs w:val="24"/>
                        </w:rPr>
                        <w:t>IV. FORMS</w:t>
                      </w:r>
                      <w:r>
                        <w:rPr>
                          <w:rFonts w:ascii="Calibri" w:eastAsia="MS Mincho" w:hAnsi="Calibri"/>
                          <w:color w:val="005DAA"/>
                          <w:sz w:val="24"/>
                          <w:szCs w:val="24"/>
                        </w:rPr>
                        <w:t>:</w:t>
                      </w:r>
                      <w:r>
                        <w:rPr>
                          <w:rFonts w:ascii="Calibri" w:eastAsia="MS Mincho" w:hAnsi="Calibri"/>
                          <w:sz w:val="22"/>
                          <w:szCs w:val="22"/>
                        </w:rPr>
                        <w:t xml:space="preserve">  </w:t>
                      </w:r>
                    </w:p>
                  </w:txbxContent>
                </v:textbox>
                <w10:wrap type="square"/>
              </v:shape>
            </w:pict>
          </mc:Fallback>
        </mc:AlternateContent>
      </w:r>
    </w:p>
    <w:p w14:paraId="52593044" w14:textId="23A1B679" w:rsidR="00A26FE0" w:rsidRDefault="00A26FE0" w:rsidP="004905AE">
      <w:pPr>
        <w:spacing w:after="120"/>
      </w:pPr>
    </w:p>
    <w:p w14:paraId="01D1E881" w14:textId="37FC2E5C" w:rsidR="004905AE" w:rsidRPr="003A7CD3" w:rsidRDefault="0018131C" w:rsidP="004905AE">
      <w:pPr>
        <w:spacing w:after="120"/>
        <w:rPr>
          <w:rFonts w:asciiTheme="minorHAnsi" w:hAnsiTheme="minorHAnsi" w:cs="Arial"/>
          <w:color w:val="000000"/>
        </w:rPr>
      </w:pPr>
      <w:hyperlink r:id="rId11" w:history="1">
        <w:r w:rsidR="004905AE" w:rsidRPr="003A7CD3">
          <w:rPr>
            <w:rStyle w:val="Hyperlink"/>
            <w:rFonts w:asciiTheme="minorHAnsi" w:hAnsiTheme="minorHAnsi" w:cs="Arial"/>
          </w:rPr>
          <w:t>Global Appraisal of Individual Needs</w:t>
        </w:r>
      </w:hyperlink>
      <w:r w:rsidR="004905AE" w:rsidRPr="003A7CD3">
        <w:rPr>
          <w:rFonts w:asciiTheme="minorHAnsi" w:hAnsiTheme="minorHAnsi" w:cs="Arial"/>
          <w:color w:val="000000"/>
        </w:rPr>
        <w:t xml:space="preserve">:  An </w:t>
      </w:r>
      <w:r w:rsidR="002816D2" w:rsidRPr="003A7CD3">
        <w:rPr>
          <w:rFonts w:asciiTheme="minorHAnsi" w:hAnsiTheme="minorHAnsi" w:cs="Arial"/>
          <w:color w:val="000000"/>
        </w:rPr>
        <w:t>evidence-based</w:t>
      </w:r>
      <w:r w:rsidR="004905AE" w:rsidRPr="003A7CD3">
        <w:rPr>
          <w:rFonts w:asciiTheme="minorHAnsi" w:hAnsiTheme="minorHAnsi" w:cs="Arial"/>
          <w:color w:val="000000"/>
        </w:rPr>
        <w:t xml:space="preserve"> assessment used in conjunction with a number of research studies and evidence based adolescent treatment approaches.</w:t>
      </w:r>
      <w:r w:rsidR="00C5051E" w:rsidRPr="003A7CD3">
        <w:rPr>
          <w:rFonts w:asciiTheme="minorHAnsi" w:hAnsiTheme="minorHAnsi" w:cs="Arial"/>
          <w:color w:val="000000"/>
        </w:rPr>
        <w:t xml:space="preserve"> For information:  http://www.chestnut.org/li/gain/</w:t>
      </w:r>
    </w:p>
    <w:p w14:paraId="2B65D340" w14:textId="2C89C56B" w:rsidR="004905AE" w:rsidRPr="003A7CD3" w:rsidRDefault="0018131C" w:rsidP="004905AE">
      <w:pPr>
        <w:spacing w:after="120"/>
        <w:rPr>
          <w:rFonts w:asciiTheme="minorHAnsi" w:hAnsiTheme="minorHAnsi" w:cs="Calibri"/>
        </w:rPr>
      </w:pPr>
      <w:hyperlink r:id="rId12" w:history="1">
        <w:r w:rsidR="004905AE" w:rsidRPr="003A7CD3">
          <w:rPr>
            <w:rStyle w:val="Hyperlink"/>
            <w:rFonts w:asciiTheme="minorHAnsi" w:hAnsiTheme="minorHAnsi" w:cs="Calibri"/>
          </w:rPr>
          <w:t>Gay and Lesbian Youth Support project</w:t>
        </w:r>
      </w:hyperlink>
      <w:r w:rsidR="004905AE" w:rsidRPr="003A7CD3">
        <w:rPr>
          <w:rFonts w:asciiTheme="minorHAnsi" w:hAnsiTheme="minorHAnsi" w:cs="Calibri"/>
        </w:rPr>
        <w:t xml:space="preserve">: provides a wide array of resources including model agency assessment tools.  </w:t>
      </w:r>
      <w:r w:rsidR="00C5051E" w:rsidRPr="003A7CD3">
        <w:rPr>
          <w:rFonts w:asciiTheme="minorHAnsi" w:hAnsiTheme="minorHAnsi" w:cs="Calibri"/>
        </w:rPr>
        <w:t xml:space="preserve">Available at: </w:t>
      </w:r>
      <w:hyperlink r:id="rId13" w:history="1">
        <w:r w:rsidR="00C5051E" w:rsidRPr="003A7CD3">
          <w:rPr>
            <w:rStyle w:val="Hyperlink"/>
            <w:rFonts w:asciiTheme="minorHAnsi" w:hAnsiTheme="minorHAnsi" w:cs="Calibri"/>
          </w:rPr>
          <w:t>http://hcsm.org/glys/assessment-tools</w:t>
        </w:r>
      </w:hyperlink>
    </w:p>
    <w:p w14:paraId="32DC041D" w14:textId="63976A8D" w:rsidR="004905AE" w:rsidRPr="003A7CD3" w:rsidRDefault="004905AE" w:rsidP="004905AE">
      <w:pPr>
        <w:spacing w:after="120"/>
        <w:rPr>
          <w:rStyle w:val="Hyperlink"/>
          <w:rFonts w:asciiTheme="minorHAnsi" w:hAnsiTheme="minorHAnsi"/>
        </w:rPr>
      </w:pPr>
      <w:r w:rsidRPr="003A7CD3">
        <w:rPr>
          <w:rFonts w:asciiTheme="minorHAnsi" w:hAnsiTheme="minorHAnsi"/>
        </w:rPr>
        <w:t xml:space="preserve">Georgetown Self Assessment Checklist:  </w:t>
      </w:r>
      <w:r w:rsidR="00C53B38" w:rsidRPr="003A7CD3">
        <w:rPr>
          <w:rFonts w:asciiTheme="minorHAnsi" w:hAnsiTheme="minorHAnsi"/>
        </w:rPr>
        <w:t xml:space="preserve">A checklist of agencies and practitioners: </w:t>
      </w:r>
      <w:hyperlink r:id="rId14" w:history="1">
        <w:r w:rsidRPr="003A7CD3">
          <w:rPr>
            <w:rStyle w:val="Hyperlink"/>
            <w:rFonts w:asciiTheme="minorHAnsi" w:hAnsiTheme="minorHAnsi"/>
          </w:rPr>
          <w:t>http://www11.georgetown.edu/research/gucchd/nccc/documents/Final%20LGBTQ%20Checklist.pdf</w:t>
        </w:r>
      </w:hyperlink>
    </w:p>
    <w:p w14:paraId="68659FDA" w14:textId="78B01E33" w:rsidR="00CA4567" w:rsidRPr="003A7CD3" w:rsidRDefault="0018131C" w:rsidP="004905AE">
      <w:pPr>
        <w:spacing w:after="120"/>
        <w:rPr>
          <w:rStyle w:val="Hyperlink"/>
          <w:rFonts w:asciiTheme="minorHAnsi" w:hAnsiTheme="minorHAnsi"/>
          <w:color w:val="auto"/>
          <w:u w:val="none"/>
        </w:rPr>
      </w:pPr>
      <w:hyperlink r:id="rId15" w:history="1">
        <w:r w:rsidR="00CA4567" w:rsidRPr="003A7CD3">
          <w:rPr>
            <w:rStyle w:val="Hyperlink"/>
            <w:rFonts w:asciiTheme="minorHAnsi" w:hAnsiTheme="minorHAnsi"/>
          </w:rPr>
          <w:t>Sexual Diversity Toolkit: Agency Readiness Index for Work with LGBTI Youth and Adults</w:t>
        </w:r>
      </w:hyperlink>
      <w:r w:rsidR="00CA4567" w:rsidRPr="003A7CD3">
        <w:rPr>
          <w:rStyle w:val="Hyperlink"/>
          <w:rFonts w:asciiTheme="minorHAnsi" w:hAnsiTheme="minorHAnsi"/>
          <w:color w:val="auto"/>
          <w:u w:val="none"/>
        </w:rPr>
        <w:t>: A comprehensive guide for assessing leadership, policy, workforce, environment and programs. Available at</w:t>
      </w:r>
      <w:r w:rsidR="0092306A" w:rsidRPr="003A7CD3">
        <w:rPr>
          <w:rStyle w:val="Hyperlink"/>
          <w:rFonts w:asciiTheme="minorHAnsi" w:hAnsiTheme="minorHAnsi"/>
          <w:color w:val="auto"/>
          <w:u w:val="none"/>
        </w:rPr>
        <w:t xml:space="preserve">: </w:t>
      </w:r>
      <w:hyperlink r:id="rId16" w:history="1">
        <w:r w:rsidR="00CA4567" w:rsidRPr="003A7CD3">
          <w:rPr>
            <w:rStyle w:val="Hyperlink"/>
            <w:rFonts w:asciiTheme="minorHAnsi" w:hAnsiTheme="minorHAnsi"/>
          </w:rPr>
          <w:t>http://www.ippfwhr.org/sites/default/files/SexualDiversityToolKit_Section4.pdf</w:t>
        </w:r>
      </w:hyperlink>
    </w:p>
    <w:p w14:paraId="1A058112" w14:textId="78FADBBE" w:rsidR="00364C9E" w:rsidRDefault="00364C9E" w:rsidP="005604C8">
      <w:pPr>
        <w:pStyle w:val="ListParagraph"/>
        <w:spacing w:after="240"/>
        <w:ind w:left="0"/>
        <w:contextualSpacing w:val="0"/>
        <w:rPr>
          <w:rFonts w:asciiTheme="minorHAnsi" w:hAnsiTheme="minorHAnsi"/>
          <w:b/>
        </w:rPr>
      </w:pPr>
      <w:r>
        <w:rPr>
          <w:noProof/>
        </w:rPr>
        <mc:AlternateContent>
          <mc:Choice Requires="wps">
            <w:drawing>
              <wp:anchor distT="0" distB="0" distL="114300" distR="114300" simplePos="0" relativeHeight="251669504" behindDoc="0" locked="0" layoutInCell="1" allowOverlap="1" wp14:anchorId="4465FC20" wp14:editId="7B9C63CF">
                <wp:simplePos x="0" y="0"/>
                <wp:positionH relativeFrom="column">
                  <wp:posOffset>-114300</wp:posOffset>
                </wp:positionH>
                <wp:positionV relativeFrom="paragraph">
                  <wp:posOffset>208915</wp:posOffset>
                </wp:positionV>
                <wp:extent cx="1079500" cy="277495"/>
                <wp:effectExtent l="76200" t="50800" r="63500" b="1035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4DB7AF45" w14:textId="77777777" w:rsidR="00F004C0" w:rsidRDefault="00F004C0" w:rsidP="00364C9E">
                            <w:pPr>
                              <w:pStyle w:val="NormalWeb"/>
                              <w:spacing w:before="0" w:beforeAutospacing="0" w:after="0" w:afterAutospacing="0"/>
                            </w:pPr>
                            <w:r>
                              <w:rPr>
                                <w:rFonts w:ascii="Calibri" w:eastAsia="MS Mincho" w:hAnsi="Calibri"/>
                                <w:smallCaps/>
                                <w:color w:val="005DAA"/>
                                <w:sz w:val="24"/>
                                <w:szCs w:val="24"/>
                              </w:rPr>
                              <w:t>V</w:t>
                            </w:r>
                            <w:r>
                              <w:rPr>
                                <w:rFonts w:ascii="Calibri" w:eastAsia="MS Mincho" w:hAnsi="Calibri"/>
                                <w:color w:val="005DAA"/>
                                <w:sz w:val="24"/>
                                <w:szCs w:val="24"/>
                              </w:rPr>
                              <w:t>: RESOURCES</w:t>
                            </w:r>
                            <w:r>
                              <w:rPr>
                                <w:rFonts w:ascii="Calibri" w:eastAsia="MS Mincho" w:hAnsi="Calibri"/>
                                <w:sz w:val="22"/>
                                <w:szCs w:val="22"/>
                              </w:rPr>
                              <w:t xml:space="preserve">  </w:t>
                            </w:r>
                          </w:p>
                        </w:txbxContent>
                      </wps:txbx>
                      <wps:bodyPr rot="0" vert="horz" wrap="none" lIns="91440" tIns="45720" rIns="91440" bIns="45720" anchor="t" anchorCtr="0" upright="1">
                        <a:spAutoFit/>
                      </wps:bodyPr>
                    </wps:wsp>
                  </a:graphicData>
                </a:graphic>
              </wp:anchor>
            </w:drawing>
          </mc:Choice>
          <mc:Fallback>
            <w:pict>
              <v:shape id="Text Box 3" o:spid="_x0000_s1035" type="#_x0000_t202" style="position:absolute;margin-left:-8.95pt;margin-top:16.45pt;width:85pt;height:21.85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LsAd0CAADLBQAADgAAAGRycy9lMm9Eb2MueG1srFTbbtswDH0fsH8Q9J76EieOjTpFmyzDgO6C&#10;pcOeFUuOhcmSISmxu2H/PkqO03TFgGGYHwxdqMND8pDXN30j0JFpw5UscHQVYsRkqSiX+wJ/edhM&#10;FhgZSyQlQklW4Edm8M3y9avrrs1ZrGolKNMIQKTJu7bAtbVtHgSmrFlDzJVqmYTLSumGWNjqfUA1&#10;6QC9EUEchvOgU5q2WpXMGDhdD5d46fGripX2Y1UZZpEoMHCz/q/9f+f+wfKa5HtN2pqXJxrkH1g0&#10;hEtweoZaE0vQQfMXUA0vtTKqslelagJVVbxkPgaIJgp/i2Zbk5b5WCA5pj2nyfw/2PLD8ZNGnBZ4&#10;ipEkDZTogfUW3akeTV12utbkYLRtwcz2cAxV9pGa9l6V3wySalUTuWe3WquuZoQCu8i9DC6eDjjG&#10;gey694qCG3KwygP1lW5c6iAZCNChSo/nyjgqpXMZptkshKsS7uI0TbKZd0Hy8XWrjX3LVIPcosAa&#10;Ku/RyfHeWMeG5KOJc2aU4HTDhfAbvd+thEZHAirZ+O+E/sxMSGcslXs2IA4nzOsM3PgoDpbpbU07&#10;tBMH/ZlAZudTT51yRyzO0gWkmnIQ4TyLkiSMMSJiD91TWo2RVvYrt7UvvUvDC36L9SqdbobYRFuT&#10;gTVkJFuMpIdwfMxqpON3z5hCbk+cXZa9WH9kUZyEd3E22cwX6SSpktkkS8PFJIyyu2weJlmy3vx0&#10;vqMkrzmlTN5zycbGiZK/E+aphQfJ+9ZBXYGzWTwbwv1jbUL/jWFemjUc0o4Ebwq8OBuR3OnxjaRQ&#10;LZJbwsWwDp7TH1LTQ/lAJGNWvHqdYAfp2n7X+zZJnXen7J2ijyBnqJfXLMxAWNRKf8eog3lSYAkD&#10;DyPxTkJD+ELD+PGbZJbGIGV9ebO7vCGyBKACW1CGX67sMLIOreb7GvyMLXgLTbThXt9PnCAOt4GJ&#10;4SM6TTc3ki733uppBi9/AQAA//8DAFBLAwQUAAYACAAAACEAdElSLN8AAAAJAQAADwAAAGRycy9k&#10;b3ducmV2LnhtbEyPwU7DMAyG70i8Q2QkblvaonWj1J0QUiUOcGAMwTFtTFvROFWTbeHtyU7sZFn+&#10;9Pv7y20wozjS7AbLCOkyAUHcWj1wh7B/rxcbEM4r1mq0TAi/5GBbXV+VqtD2xG903PlOxBB2hULo&#10;vZ8KKV3bk1FuaSfiePu2s1E+rnMn9axOMdyMMkuSXBo1cPzQq4meemp/dgeDYFqzD6w2L3VXr8Lr&#10;9PlVNx/PiLc34fEBhKfg/2E460d1qKJTYw+snRgRFun6PqIId1mcZ2CVpSAahHWeg6xKedmg+gMA&#10;AP//AwBQSwECLQAUAAYACAAAACEA5JnDwPsAAADhAQAAEwAAAAAAAAAAAAAAAAAAAAAAW0NvbnRl&#10;bnRfVHlwZXNdLnhtbFBLAQItABQABgAIAAAAIQAjsmrh1wAAAJQBAAALAAAAAAAAAAAAAAAAACwB&#10;AABfcmVscy8ucmVsc1BLAQItABQABgAIAAAAIQAkguwB3QIAAMsFAAAOAAAAAAAAAAAAAAAAACwC&#10;AABkcnMvZTJvRG9jLnhtbFBLAQItABQABgAIAAAAIQB0SVIs3wAAAAkBAAAPAAAAAAAAAAAAAAAA&#10;ADUFAABkcnMvZG93bnJldi54bWxQSwUGAAAAAAQABADzAAAAQQYAAAAA&#10;" stroked="f">
                <v:shadow on="t" color="#8dc73f" opacity="49150f" offset="-1pt"/>
                <v:textbox style="mso-fit-shape-to-text:t">
                  <w:txbxContent>
                    <w:p w14:paraId="4DB7AF45" w14:textId="77777777" w:rsidR="00F004C0" w:rsidRDefault="00F004C0" w:rsidP="00364C9E">
                      <w:pPr>
                        <w:pStyle w:val="NormalWeb"/>
                        <w:spacing w:before="0" w:beforeAutospacing="0" w:after="0" w:afterAutospacing="0"/>
                      </w:pPr>
                      <w:r>
                        <w:rPr>
                          <w:rFonts w:ascii="Calibri" w:eastAsia="MS Mincho" w:hAnsi="Calibri"/>
                          <w:smallCaps/>
                          <w:color w:val="005DAA"/>
                          <w:sz w:val="24"/>
                          <w:szCs w:val="24"/>
                        </w:rPr>
                        <w:t>V</w:t>
                      </w:r>
                      <w:r>
                        <w:rPr>
                          <w:rFonts w:ascii="Calibri" w:eastAsia="MS Mincho" w:hAnsi="Calibri"/>
                          <w:color w:val="005DAA"/>
                          <w:sz w:val="24"/>
                          <w:szCs w:val="24"/>
                        </w:rPr>
                        <w:t>: RESOURCES</w:t>
                      </w:r>
                      <w:r>
                        <w:rPr>
                          <w:rFonts w:ascii="Calibri" w:eastAsia="MS Mincho" w:hAnsi="Calibri"/>
                          <w:sz w:val="22"/>
                          <w:szCs w:val="22"/>
                        </w:rPr>
                        <w:t xml:space="preserve">  </w:t>
                      </w:r>
                    </w:p>
                  </w:txbxContent>
                </v:textbox>
                <w10:wrap type="square"/>
              </v:shape>
            </w:pict>
          </mc:Fallback>
        </mc:AlternateContent>
      </w:r>
    </w:p>
    <w:p w14:paraId="60354DCE" w14:textId="104D771C" w:rsidR="00364C9E" w:rsidRDefault="00364C9E" w:rsidP="005604C8">
      <w:pPr>
        <w:pStyle w:val="ListParagraph"/>
        <w:spacing w:after="240"/>
        <w:ind w:left="0"/>
        <w:contextualSpacing w:val="0"/>
        <w:rPr>
          <w:rFonts w:asciiTheme="minorHAnsi" w:hAnsiTheme="minorHAnsi"/>
          <w:b/>
        </w:rPr>
      </w:pPr>
    </w:p>
    <w:p w14:paraId="7EC7253A" w14:textId="634AF0BF" w:rsidR="00397488" w:rsidRPr="00364C9E" w:rsidRDefault="00397488" w:rsidP="005604C8">
      <w:pPr>
        <w:pStyle w:val="ListParagraph"/>
        <w:spacing w:after="240"/>
        <w:ind w:left="0"/>
        <w:contextualSpacing w:val="0"/>
        <w:rPr>
          <w:rFonts w:asciiTheme="minorHAnsi" w:hAnsiTheme="minorHAnsi"/>
          <w:b/>
        </w:rPr>
      </w:pPr>
      <w:r w:rsidRPr="00364C9E">
        <w:rPr>
          <w:rFonts w:asciiTheme="minorHAnsi" w:hAnsiTheme="minorHAnsi"/>
          <w:b/>
          <w:u w:val="single"/>
        </w:rPr>
        <w:t>Massachusetts:</w:t>
      </w:r>
    </w:p>
    <w:p w14:paraId="14C2BFC4" w14:textId="77777777" w:rsidR="006B7078" w:rsidRPr="003A7CD3" w:rsidRDefault="006B7078" w:rsidP="006B7078">
      <w:pPr>
        <w:pStyle w:val="ListParagraph"/>
        <w:ind w:left="0"/>
        <w:contextualSpacing w:val="0"/>
        <w:rPr>
          <w:rFonts w:asciiTheme="minorHAnsi" w:hAnsiTheme="minorHAnsi"/>
        </w:rPr>
      </w:pPr>
      <w:r w:rsidRPr="003A7CD3">
        <w:rPr>
          <w:rFonts w:asciiTheme="minorHAnsi" w:hAnsiTheme="minorHAnsi"/>
        </w:rPr>
        <w:t>Department of Public Health:</w:t>
      </w:r>
    </w:p>
    <w:p w14:paraId="4AAAA218" w14:textId="3547B388" w:rsidR="006230EE" w:rsidRPr="003A7CD3" w:rsidRDefault="006B7078" w:rsidP="00A26313">
      <w:pPr>
        <w:pStyle w:val="ListParagraph"/>
        <w:contextualSpacing w:val="0"/>
        <w:rPr>
          <w:rFonts w:asciiTheme="minorHAnsi" w:hAnsiTheme="minorHAnsi"/>
        </w:rPr>
      </w:pPr>
      <w:r w:rsidRPr="003A7CD3">
        <w:rPr>
          <w:rFonts w:asciiTheme="minorHAnsi" w:hAnsiTheme="minorHAnsi"/>
        </w:rPr>
        <w:t>Bureau of Substance Abuse Services</w:t>
      </w:r>
      <w:r w:rsidR="006230EE" w:rsidRPr="003A7CD3">
        <w:rPr>
          <w:rFonts w:asciiTheme="minorHAnsi" w:hAnsiTheme="minorHAnsi"/>
        </w:rPr>
        <w:t xml:space="preserve">:  </w:t>
      </w:r>
      <w:r w:rsidR="00F57991" w:rsidRPr="003A7CD3">
        <w:rPr>
          <w:rFonts w:asciiTheme="minorHAnsi" w:hAnsiTheme="minorHAnsi"/>
        </w:rPr>
        <w:t>Prin</w:t>
      </w:r>
      <w:r w:rsidRPr="003A7CD3">
        <w:rPr>
          <w:rFonts w:asciiTheme="minorHAnsi" w:hAnsiTheme="minorHAnsi"/>
        </w:rPr>
        <w:t xml:space="preserve">ciples of Care and </w:t>
      </w:r>
      <w:r w:rsidR="006230EE" w:rsidRPr="003A7CD3">
        <w:rPr>
          <w:rFonts w:asciiTheme="minorHAnsi" w:hAnsiTheme="minorHAnsi"/>
        </w:rPr>
        <w:t xml:space="preserve">Practice </w:t>
      </w:r>
      <w:r w:rsidR="00A26313" w:rsidRPr="003A7CD3">
        <w:rPr>
          <w:rFonts w:asciiTheme="minorHAnsi" w:hAnsiTheme="minorHAnsi"/>
        </w:rPr>
        <w:t xml:space="preserve">Guidance: </w:t>
      </w:r>
    </w:p>
    <w:p w14:paraId="725C157A" w14:textId="0EAD4231" w:rsidR="00A26313" w:rsidRPr="003A7CD3" w:rsidRDefault="00A26313" w:rsidP="00A26313">
      <w:pPr>
        <w:pStyle w:val="ListParagraph"/>
        <w:contextualSpacing w:val="0"/>
        <w:rPr>
          <w:rFonts w:asciiTheme="minorHAnsi" w:hAnsiTheme="minorHAnsi"/>
        </w:rPr>
      </w:pPr>
      <w:r w:rsidRPr="003A7CD3">
        <w:rPr>
          <w:rFonts w:asciiTheme="minorHAnsi" w:hAnsiTheme="minorHAnsi"/>
        </w:rPr>
        <w:t>Treatment Services for Youth and Their Families</w:t>
      </w:r>
    </w:p>
    <w:p w14:paraId="1ABF397B" w14:textId="0C92DE54" w:rsidR="001E547C" w:rsidRDefault="00A26313" w:rsidP="001E547C">
      <w:pPr>
        <w:pStyle w:val="ListParagraph"/>
        <w:contextualSpacing w:val="0"/>
        <w:rPr>
          <w:rFonts w:asciiTheme="minorHAnsi" w:hAnsiTheme="minorHAnsi"/>
        </w:rPr>
      </w:pPr>
      <w:r w:rsidRPr="003A7CD3">
        <w:rPr>
          <w:rFonts w:asciiTheme="minorHAnsi" w:hAnsiTheme="minorHAnsi"/>
        </w:rPr>
        <w:t>Treatment Services for Lesbian, Gay, Bisexual, Transgender and Queer Adults</w:t>
      </w:r>
    </w:p>
    <w:p w14:paraId="2FFD8D45" w14:textId="7214870D" w:rsidR="001E547C" w:rsidRDefault="001E547C" w:rsidP="001E547C">
      <w:pPr>
        <w:pStyle w:val="ListParagraph"/>
        <w:contextualSpacing w:val="0"/>
        <w:rPr>
          <w:rFonts w:asciiTheme="minorHAnsi" w:hAnsiTheme="minorHAnsi"/>
        </w:rPr>
      </w:pPr>
      <w:r>
        <w:rPr>
          <w:rFonts w:asciiTheme="minorHAnsi" w:hAnsiTheme="minorHAnsi"/>
        </w:rPr>
        <w:t>Making Treatment Culturally Competent</w:t>
      </w:r>
    </w:p>
    <w:p w14:paraId="2D21505B" w14:textId="293D9E69" w:rsidR="001E547C" w:rsidRPr="001E547C" w:rsidRDefault="001E547C" w:rsidP="001E547C">
      <w:pPr>
        <w:pStyle w:val="ListParagraph"/>
        <w:spacing w:after="120"/>
        <w:contextualSpacing w:val="0"/>
        <w:rPr>
          <w:rFonts w:asciiTheme="minorHAnsi" w:hAnsiTheme="minorHAnsi"/>
        </w:rPr>
      </w:pPr>
      <w:r>
        <w:rPr>
          <w:rFonts w:asciiTheme="minorHAnsi" w:hAnsiTheme="minorHAnsi"/>
        </w:rPr>
        <w:t>All available at</w:t>
      </w:r>
      <w:r w:rsidR="0092306A">
        <w:rPr>
          <w:rFonts w:asciiTheme="minorHAnsi" w:hAnsiTheme="minorHAnsi"/>
        </w:rPr>
        <w:t xml:space="preserve">: </w:t>
      </w:r>
      <w:hyperlink r:id="rId17" w:history="1">
        <w:r w:rsidRPr="003A7CD3">
          <w:rPr>
            <w:rStyle w:val="Hyperlink"/>
            <w:rFonts w:asciiTheme="minorHAnsi" w:hAnsiTheme="minorHAnsi"/>
          </w:rPr>
          <w:t>http://www.mass.gov/eohhs/gov/departments/dph/programs/substance-abuse/providers/program-licensing/principles-of-care-and-practice-guidance.html</w:t>
        </w:r>
      </w:hyperlink>
    </w:p>
    <w:p w14:paraId="3845B881" w14:textId="71DF798E" w:rsidR="00BE57C1" w:rsidRPr="003A7CD3" w:rsidRDefault="00BE57C1" w:rsidP="001E547C">
      <w:pPr>
        <w:pStyle w:val="ListParagraph"/>
        <w:spacing w:after="120"/>
        <w:contextualSpacing w:val="0"/>
        <w:rPr>
          <w:rFonts w:asciiTheme="minorHAnsi" w:hAnsiTheme="minorHAnsi"/>
        </w:rPr>
      </w:pPr>
      <w:r w:rsidRPr="003A7CD3">
        <w:rPr>
          <w:rFonts w:asciiTheme="minorHAnsi" w:hAnsiTheme="minorHAnsi"/>
        </w:rPr>
        <w:t>Suicide Prevention Program</w:t>
      </w:r>
      <w:r w:rsidR="0092306A" w:rsidRPr="003A7CD3">
        <w:rPr>
          <w:rFonts w:asciiTheme="minorHAnsi" w:hAnsiTheme="minorHAnsi"/>
        </w:rPr>
        <w:t xml:space="preserve">: </w:t>
      </w:r>
      <w:hyperlink r:id="rId18" w:history="1">
        <w:r w:rsidRPr="003A7CD3">
          <w:rPr>
            <w:rStyle w:val="Hyperlink"/>
            <w:rFonts w:asciiTheme="minorHAnsi" w:hAnsiTheme="minorHAnsi"/>
          </w:rPr>
          <w:t>http://www.mass.gov/eohhs/gov/departments/dph/programs/community-health/dvip/injury-prevention/suicide-prevention/</w:t>
        </w:r>
      </w:hyperlink>
    </w:p>
    <w:p w14:paraId="3EBEABF3" w14:textId="374D5611" w:rsidR="00802131" w:rsidRPr="003A7CD3" w:rsidRDefault="00802131" w:rsidP="00802131">
      <w:pPr>
        <w:ind w:left="720"/>
        <w:rPr>
          <w:rFonts w:asciiTheme="minorHAnsi" w:hAnsiTheme="minorHAnsi"/>
        </w:rPr>
      </w:pPr>
      <w:r w:rsidRPr="003A7CD3">
        <w:rPr>
          <w:rFonts w:asciiTheme="minorHAnsi" w:hAnsiTheme="minorHAnsi"/>
        </w:rPr>
        <w:t xml:space="preserve">Massachusetts Safe Spaces: website lists safe space agencies and links to MA 2009 YRBS </w:t>
      </w:r>
      <w:r w:rsidR="001E547C">
        <w:rPr>
          <w:rFonts w:asciiTheme="minorHAnsi" w:hAnsiTheme="minorHAnsi"/>
        </w:rPr>
        <w:t>data</w:t>
      </w:r>
      <w:r w:rsidR="0092306A">
        <w:rPr>
          <w:rFonts w:asciiTheme="minorHAnsi" w:hAnsiTheme="minorHAnsi"/>
        </w:rPr>
        <w:t xml:space="preserve">: </w:t>
      </w:r>
      <w:hyperlink r:id="rId19" w:history="1">
        <w:r w:rsidRPr="003A7CD3">
          <w:rPr>
            <w:rStyle w:val="Hyperlink"/>
            <w:rFonts w:asciiTheme="minorHAnsi" w:hAnsiTheme="minorHAnsi"/>
          </w:rPr>
          <w:t>http://www.mass.gov/eohhs/gov/departments/dph/programs/community-health/dvip/violence/safe-spaces.html</w:t>
        </w:r>
      </w:hyperlink>
    </w:p>
    <w:p w14:paraId="147A9BFB" w14:textId="77777777" w:rsidR="00802131" w:rsidRDefault="00802131" w:rsidP="00802131">
      <w:pPr>
        <w:rPr>
          <w:rFonts w:asciiTheme="minorHAnsi" w:hAnsiTheme="minorHAnsi"/>
        </w:rPr>
      </w:pPr>
    </w:p>
    <w:p w14:paraId="6EC615CE" w14:textId="24807440" w:rsidR="00E629BE" w:rsidRPr="00033541" w:rsidRDefault="00E629BE" w:rsidP="00E629BE">
      <w:pPr>
        <w:ind w:left="720"/>
        <w:rPr>
          <w:rFonts w:ascii="Cambria" w:hAnsi="Cambria"/>
        </w:rPr>
      </w:pPr>
      <w:r w:rsidRPr="009D0A11">
        <w:rPr>
          <w:rFonts w:ascii="Cambria" w:hAnsi="Cambria"/>
        </w:rPr>
        <w:t xml:space="preserve">Massachusetts Health Promotion Clearinghouse: free health promotion materials for parents, youth, and health professionals: </w:t>
      </w:r>
      <w:hyperlink r:id="rId20" w:history="1">
        <w:r w:rsidRPr="009D0A11">
          <w:rPr>
            <w:rStyle w:val="Hyperlink"/>
            <w:rFonts w:ascii="Cambria" w:hAnsi="Cambria"/>
          </w:rPr>
          <w:t>http://www.mass.gov/maclearinghouse</w:t>
        </w:r>
      </w:hyperlink>
      <w:r w:rsidRPr="009D0A11">
        <w:rPr>
          <w:rFonts w:ascii="Cambria" w:hAnsi="Cambria"/>
        </w:rPr>
        <w:t>.</w:t>
      </w:r>
    </w:p>
    <w:p w14:paraId="7F658602" w14:textId="77777777" w:rsidR="001E547C" w:rsidRDefault="001E547C" w:rsidP="00802131">
      <w:pPr>
        <w:rPr>
          <w:rFonts w:asciiTheme="minorHAnsi" w:hAnsiTheme="minorHAnsi"/>
        </w:rPr>
      </w:pPr>
    </w:p>
    <w:p w14:paraId="0D41CEE4" w14:textId="022A3F63" w:rsidR="006B7078" w:rsidRPr="003A7CD3" w:rsidRDefault="00802131" w:rsidP="00802131">
      <w:pPr>
        <w:rPr>
          <w:rFonts w:asciiTheme="minorHAnsi" w:hAnsiTheme="minorHAnsi"/>
        </w:rPr>
      </w:pPr>
      <w:r w:rsidRPr="003A7CD3">
        <w:rPr>
          <w:rFonts w:asciiTheme="minorHAnsi" w:hAnsiTheme="minorHAnsi"/>
        </w:rPr>
        <w:t>Department of Elementary and Secondary Education:</w:t>
      </w:r>
    </w:p>
    <w:p w14:paraId="3273C032" w14:textId="3323BF52" w:rsidR="006230EE" w:rsidRPr="003A7CD3" w:rsidRDefault="006230EE" w:rsidP="00802131">
      <w:pPr>
        <w:rPr>
          <w:rFonts w:asciiTheme="minorHAnsi" w:hAnsiTheme="minorHAnsi"/>
        </w:rPr>
      </w:pPr>
      <w:r w:rsidRPr="003A7CD3">
        <w:rPr>
          <w:rFonts w:asciiTheme="minorHAnsi" w:hAnsiTheme="minorHAnsi"/>
        </w:rPr>
        <w:tab/>
      </w:r>
    </w:p>
    <w:p w14:paraId="0F19510F" w14:textId="1C209D2A" w:rsidR="006230EE" w:rsidRPr="003A7CD3" w:rsidRDefault="006230EE" w:rsidP="00666086">
      <w:pPr>
        <w:ind w:left="720"/>
        <w:rPr>
          <w:rFonts w:asciiTheme="minorHAnsi" w:hAnsiTheme="minorHAnsi"/>
        </w:rPr>
      </w:pPr>
      <w:r w:rsidRPr="003A7CD3">
        <w:rPr>
          <w:rFonts w:asciiTheme="minorHAnsi" w:hAnsiTheme="minorHAnsi"/>
        </w:rPr>
        <w:t>Safe Schools</w:t>
      </w:r>
      <w:r w:rsidR="002816D2" w:rsidRPr="003A7CD3">
        <w:rPr>
          <w:rFonts w:asciiTheme="minorHAnsi" w:hAnsiTheme="minorHAnsi"/>
        </w:rPr>
        <w:t xml:space="preserve">: </w:t>
      </w:r>
      <w:hyperlink r:id="rId21" w:history="1">
        <w:r w:rsidR="00F803CA" w:rsidRPr="003A7CD3">
          <w:rPr>
            <w:rFonts w:asciiTheme="minorHAnsi" w:hAnsiTheme="minorHAnsi" w:cs="Calibri"/>
            <w:color w:val="0000FF"/>
            <w:u w:val="single" w:color="0000FF"/>
          </w:rPr>
          <w:t>http://www.doe.mass.edu/ssce/lgbtq/</w:t>
        </w:r>
      </w:hyperlink>
    </w:p>
    <w:p w14:paraId="102BC2D8" w14:textId="77777777" w:rsidR="00397488" w:rsidRPr="003A7CD3" w:rsidRDefault="00397488" w:rsidP="00666086">
      <w:pPr>
        <w:ind w:left="720"/>
        <w:rPr>
          <w:rFonts w:asciiTheme="minorHAnsi" w:hAnsiTheme="minorHAnsi"/>
        </w:rPr>
      </w:pPr>
    </w:p>
    <w:p w14:paraId="4185E85F" w14:textId="669283A2" w:rsidR="00754A25" w:rsidRPr="003A7CD3" w:rsidRDefault="00754A25" w:rsidP="00666086">
      <w:pPr>
        <w:ind w:left="720"/>
        <w:rPr>
          <w:rFonts w:asciiTheme="minorHAnsi" w:hAnsiTheme="minorHAnsi"/>
        </w:rPr>
      </w:pPr>
      <w:r w:rsidRPr="003A7CD3">
        <w:rPr>
          <w:rFonts w:asciiTheme="minorHAnsi" w:hAnsiTheme="minorHAnsi"/>
        </w:rPr>
        <w:t>Guidance for Massachusetts Public Schools Creating a Safe and Supportive School Environment</w:t>
      </w:r>
      <w:r w:rsidR="002816D2" w:rsidRPr="003A7CD3">
        <w:rPr>
          <w:rFonts w:asciiTheme="minorHAnsi" w:hAnsiTheme="minorHAnsi"/>
        </w:rPr>
        <w:t xml:space="preserve">: </w:t>
      </w:r>
      <w:hyperlink r:id="rId22" w:history="1">
        <w:r w:rsidRPr="003A7CD3">
          <w:rPr>
            <w:rStyle w:val="Hyperlink"/>
            <w:rFonts w:asciiTheme="minorHAnsi" w:hAnsiTheme="minorHAnsi"/>
          </w:rPr>
          <w:t>http://www.doe.mass.edu/ssce/GenderIdentity.pdf</w:t>
        </w:r>
      </w:hyperlink>
    </w:p>
    <w:p w14:paraId="0C27DD7E" w14:textId="77777777" w:rsidR="00754A25" w:rsidRPr="003A7CD3" w:rsidRDefault="00754A25" w:rsidP="00666086">
      <w:pPr>
        <w:ind w:left="720"/>
        <w:rPr>
          <w:rFonts w:asciiTheme="minorHAnsi" w:hAnsiTheme="minorHAnsi"/>
        </w:rPr>
      </w:pPr>
    </w:p>
    <w:p w14:paraId="4E68F466" w14:textId="3B694092" w:rsidR="00802131" w:rsidRPr="003A7CD3" w:rsidRDefault="00802131" w:rsidP="00802131">
      <w:pPr>
        <w:rPr>
          <w:rFonts w:asciiTheme="minorHAnsi" w:hAnsiTheme="minorHAnsi"/>
        </w:rPr>
      </w:pPr>
      <w:r w:rsidRPr="003A7CD3">
        <w:rPr>
          <w:rFonts w:asciiTheme="minorHAnsi" w:hAnsiTheme="minorHAnsi"/>
        </w:rPr>
        <w:t>Department of Mental Health:</w:t>
      </w:r>
    </w:p>
    <w:p w14:paraId="20FAD327" w14:textId="77777777" w:rsidR="00802131" w:rsidRPr="003A7CD3" w:rsidRDefault="00802131" w:rsidP="00802131">
      <w:pPr>
        <w:rPr>
          <w:rFonts w:asciiTheme="minorHAnsi" w:hAnsiTheme="minorHAnsi"/>
        </w:rPr>
      </w:pPr>
    </w:p>
    <w:p w14:paraId="31041812" w14:textId="77777777" w:rsidR="00802131" w:rsidRPr="003A7CD3" w:rsidRDefault="00802131" w:rsidP="00802131">
      <w:pPr>
        <w:ind w:left="720"/>
        <w:rPr>
          <w:rFonts w:asciiTheme="minorHAnsi" w:hAnsiTheme="minorHAnsi" w:cs="Times New Roman"/>
          <w:sz w:val="24"/>
          <w:szCs w:val="24"/>
        </w:rPr>
      </w:pPr>
      <w:r w:rsidRPr="003A7CD3">
        <w:rPr>
          <w:rFonts w:asciiTheme="minorHAnsi" w:hAnsiTheme="minorHAnsi"/>
        </w:rPr>
        <w:t>Transitional Age Youth Initiatives</w:t>
      </w:r>
      <w:r w:rsidRPr="003A7CD3">
        <w:rPr>
          <w:rFonts w:asciiTheme="minorHAnsi" w:hAnsiTheme="minorHAnsi"/>
          <w:sz w:val="24"/>
        </w:rPr>
        <w:t xml:space="preserve">: </w:t>
      </w:r>
      <w:hyperlink r:id="rId23" w:history="1">
        <w:r w:rsidRPr="003A7CD3">
          <w:rPr>
            <w:rFonts w:asciiTheme="minorHAnsi" w:hAnsiTheme="minorHAnsi" w:cs="Helvetica"/>
            <w:color w:val="0A3188"/>
            <w:sz w:val="20"/>
            <w:szCs w:val="26"/>
            <w:u w:val="single" w:color="0A3188"/>
          </w:rPr>
          <w:t>www.mass.gov/dmh/tay</w:t>
        </w:r>
      </w:hyperlink>
    </w:p>
    <w:p w14:paraId="051C4582" w14:textId="77777777" w:rsidR="00802131" w:rsidRPr="003A7CD3" w:rsidRDefault="00802131" w:rsidP="00802131">
      <w:pPr>
        <w:ind w:left="720"/>
        <w:rPr>
          <w:rFonts w:asciiTheme="minorHAnsi" w:hAnsiTheme="minorHAnsi"/>
        </w:rPr>
      </w:pPr>
      <w:r w:rsidRPr="003A7CD3">
        <w:rPr>
          <w:rFonts w:asciiTheme="minorHAnsi" w:hAnsiTheme="minorHAnsi"/>
        </w:rPr>
        <w:t xml:space="preserve">Young Adult Resources: </w:t>
      </w:r>
      <w:hyperlink r:id="rId24" w:history="1">
        <w:r w:rsidRPr="003A7CD3">
          <w:rPr>
            <w:rStyle w:val="Hyperlink"/>
            <w:rFonts w:asciiTheme="minorHAnsi" w:hAnsiTheme="minorHAnsi"/>
          </w:rPr>
          <w:t>http://www.mass.gov/eohhs/docs/dmh/publications/young-adult-resource-guide.pdf</w:t>
        </w:r>
      </w:hyperlink>
    </w:p>
    <w:p w14:paraId="51833138" w14:textId="77777777" w:rsidR="00802131" w:rsidRPr="003A7CD3" w:rsidRDefault="00802131" w:rsidP="00802131">
      <w:pPr>
        <w:rPr>
          <w:rFonts w:asciiTheme="minorHAnsi" w:hAnsiTheme="minorHAnsi"/>
        </w:rPr>
      </w:pPr>
    </w:p>
    <w:p w14:paraId="47D7F366" w14:textId="27131D7F" w:rsidR="006230EE" w:rsidRPr="003A7CD3" w:rsidRDefault="00397488" w:rsidP="00802131">
      <w:pPr>
        <w:rPr>
          <w:rFonts w:asciiTheme="minorHAnsi" w:hAnsiTheme="minorHAnsi"/>
        </w:rPr>
      </w:pPr>
      <w:r w:rsidRPr="003A7CD3">
        <w:rPr>
          <w:rFonts w:asciiTheme="minorHAnsi" w:hAnsiTheme="minorHAnsi"/>
        </w:rPr>
        <w:t xml:space="preserve">Massachusetts </w:t>
      </w:r>
      <w:r w:rsidR="001E547C">
        <w:rPr>
          <w:rFonts w:asciiTheme="minorHAnsi" w:hAnsiTheme="minorHAnsi"/>
        </w:rPr>
        <w:t>Commission on LGBT Y</w:t>
      </w:r>
      <w:r w:rsidR="006608F9" w:rsidRPr="003A7CD3">
        <w:rPr>
          <w:rFonts w:asciiTheme="minorHAnsi" w:hAnsiTheme="minorHAnsi"/>
        </w:rPr>
        <w:t>outh</w:t>
      </w:r>
      <w:r w:rsidR="002816D2" w:rsidRPr="003A7CD3">
        <w:rPr>
          <w:rFonts w:asciiTheme="minorHAnsi" w:hAnsiTheme="minorHAnsi"/>
        </w:rPr>
        <w:t xml:space="preserve">: </w:t>
      </w:r>
      <w:hyperlink r:id="rId25" w:history="1">
        <w:r w:rsidR="006230EE" w:rsidRPr="003A7CD3">
          <w:rPr>
            <w:rStyle w:val="Hyperlink"/>
            <w:rFonts w:asciiTheme="minorHAnsi" w:hAnsiTheme="minorHAnsi"/>
          </w:rPr>
          <w:t>http://www.mass.gov/cgly/</w:t>
        </w:r>
      </w:hyperlink>
    </w:p>
    <w:p w14:paraId="39B7E9BB" w14:textId="77777777" w:rsidR="00397488" w:rsidRPr="003A7CD3" w:rsidRDefault="00397488" w:rsidP="00666086">
      <w:pPr>
        <w:ind w:left="720"/>
        <w:rPr>
          <w:rFonts w:asciiTheme="minorHAnsi" w:hAnsiTheme="minorHAnsi"/>
        </w:rPr>
      </w:pPr>
    </w:p>
    <w:p w14:paraId="124B1BCD" w14:textId="77777777" w:rsidR="00802131" w:rsidRPr="003A7CD3" w:rsidRDefault="00802131" w:rsidP="00802131">
      <w:pPr>
        <w:tabs>
          <w:tab w:val="left" w:pos="720"/>
        </w:tabs>
        <w:ind w:left="720" w:hanging="720"/>
        <w:rPr>
          <w:rFonts w:asciiTheme="minorHAnsi" w:hAnsiTheme="minorHAnsi"/>
        </w:rPr>
      </w:pPr>
      <w:r w:rsidRPr="003A7CD3">
        <w:rPr>
          <w:rFonts w:asciiTheme="minorHAnsi" w:hAnsiTheme="minorHAnsi"/>
        </w:rPr>
        <w:t xml:space="preserve">BAGLY: Boston Alliance of Gay, Lesbian, Bisexual and Transgender Youth: A youth-led and adult-supported social support organization: </w:t>
      </w:r>
      <w:hyperlink r:id="rId26" w:history="1">
        <w:r w:rsidRPr="003A7CD3">
          <w:rPr>
            <w:rStyle w:val="Hyperlink"/>
            <w:rFonts w:asciiTheme="minorHAnsi" w:hAnsiTheme="minorHAnsi"/>
          </w:rPr>
          <w:t>http://www.bagly.org</w:t>
        </w:r>
      </w:hyperlink>
    </w:p>
    <w:p w14:paraId="149C0BFF" w14:textId="77777777" w:rsidR="00E91D5A" w:rsidRPr="003A7CD3" w:rsidRDefault="00E91D5A" w:rsidP="00802131">
      <w:pPr>
        <w:rPr>
          <w:rFonts w:asciiTheme="minorHAnsi" w:hAnsiTheme="minorHAnsi"/>
        </w:rPr>
      </w:pPr>
    </w:p>
    <w:p w14:paraId="331A81A1" w14:textId="75FA3FD8" w:rsidR="00BC0B9A" w:rsidRDefault="00BC0B9A" w:rsidP="00802131">
      <w:pPr>
        <w:ind w:left="720" w:hanging="720"/>
        <w:rPr>
          <w:rFonts w:asciiTheme="minorHAnsi" w:hAnsiTheme="minorHAnsi" w:cs="Times New Roman"/>
          <w:szCs w:val="21"/>
        </w:rPr>
      </w:pPr>
      <w:r>
        <w:rPr>
          <w:rFonts w:asciiTheme="minorHAnsi" w:hAnsiTheme="minorHAnsi"/>
        </w:rPr>
        <w:t xml:space="preserve">Gay, Lesbian, Bisexual and Transgender Adolescent Social Services: </w:t>
      </w:r>
      <w:r w:rsidR="00E71510">
        <w:rPr>
          <w:rFonts w:asciiTheme="minorHAnsi" w:hAnsiTheme="minorHAnsi"/>
        </w:rPr>
        <w:t xml:space="preserve">Provides drop-in, sexual health screening and prevention, housing stabilization &amp; case management, and a range of other services for GLBTQ youth. </w:t>
      </w:r>
      <w:hyperlink r:id="rId27" w:history="1">
        <w:r w:rsidR="00E71510" w:rsidRPr="0077774E">
          <w:rPr>
            <w:rStyle w:val="Hyperlink"/>
            <w:rFonts w:asciiTheme="minorHAnsi" w:hAnsiTheme="minorHAnsi"/>
          </w:rPr>
          <w:t>http://</w:t>
        </w:r>
        <w:r w:rsidR="00E71510" w:rsidRPr="0077774E">
          <w:rPr>
            <w:rStyle w:val="Hyperlink"/>
            <w:rFonts w:asciiTheme="minorHAnsi" w:hAnsiTheme="minorHAnsi" w:cs="Times New Roman"/>
            <w:szCs w:val="21"/>
          </w:rPr>
          <w:t>www.jri.org/glass</w:t>
        </w:r>
      </w:hyperlink>
      <w:r w:rsidR="00E71510">
        <w:rPr>
          <w:rFonts w:asciiTheme="minorHAnsi" w:hAnsiTheme="minorHAnsi" w:cs="Times New Roman"/>
          <w:szCs w:val="21"/>
        </w:rPr>
        <w:t xml:space="preserve">. </w:t>
      </w:r>
    </w:p>
    <w:p w14:paraId="1C703CE1" w14:textId="77777777" w:rsidR="00E71510" w:rsidRDefault="00E71510" w:rsidP="00802131">
      <w:pPr>
        <w:ind w:left="720" w:hanging="720"/>
        <w:rPr>
          <w:rFonts w:asciiTheme="minorHAnsi" w:hAnsiTheme="minorHAnsi"/>
        </w:rPr>
      </w:pPr>
    </w:p>
    <w:p w14:paraId="63F7C76C" w14:textId="77777777" w:rsidR="00802131" w:rsidRPr="003A7CD3" w:rsidRDefault="00802131" w:rsidP="00802131">
      <w:pPr>
        <w:ind w:left="720" w:hanging="720"/>
        <w:rPr>
          <w:rFonts w:asciiTheme="minorHAnsi" w:hAnsiTheme="minorHAnsi"/>
        </w:rPr>
      </w:pPr>
      <w:r w:rsidRPr="003A7CD3">
        <w:rPr>
          <w:rFonts w:asciiTheme="minorHAnsi" w:hAnsiTheme="minorHAnsi"/>
        </w:rPr>
        <w:t xml:space="preserve">Gay, Lesbian, Bisexual and Transgender Youth Support Project and Outhealth: A Massachusetts organization providing training, technical assistance, support, resources, tools and materials to ensure safe and supportive communities for LGBTQ youth and their families. </w:t>
      </w:r>
      <w:hyperlink r:id="rId28" w:history="1">
        <w:r w:rsidRPr="003A7CD3">
          <w:rPr>
            <w:rStyle w:val="Hyperlink"/>
            <w:rFonts w:asciiTheme="minorHAnsi" w:hAnsiTheme="minorHAnsi"/>
          </w:rPr>
          <w:t>http://hcsm.org/glys/home</w:t>
        </w:r>
      </w:hyperlink>
    </w:p>
    <w:p w14:paraId="17010E66" w14:textId="77777777" w:rsidR="00802131" w:rsidRPr="003A7CD3" w:rsidRDefault="00802131" w:rsidP="00666086">
      <w:pPr>
        <w:ind w:left="720"/>
        <w:rPr>
          <w:rFonts w:asciiTheme="minorHAnsi" w:hAnsiTheme="minorHAnsi"/>
        </w:rPr>
      </w:pPr>
    </w:p>
    <w:p w14:paraId="2492535E" w14:textId="5D554B34" w:rsidR="005604C8" w:rsidRPr="003A7CD3" w:rsidRDefault="005604C8" w:rsidP="00802131">
      <w:pPr>
        <w:rPr>
          <w:rFonts w:asciiTheme="minorHAnsi" w:hAnsiTheme="minorHAnsi"/>
        </w:rPr>
      </w:pPr>
      <w:r w:rsidRPr="003A7CD3">
        <w:rPr>
          <w:rFonts w:asciiTheme="minorHAnsi" w:hAnsiTheme="minorHAnsi"/>
        </w:rPr>
        <w:t>Health Imperatives: training, assessments, tip sheets and resources</w:t>
      </w:r>
      <w:r w:rsidR="002816D2" w:rsidRPr="003A7CD3">
        <w:rPr>
          <w:rFonts w:asciiTheme="minorHAnsi" w:hAnsiTheme="minorHAnsi"/>
        </w:rPr>
        <w:t xml:space="preserve">: </w:t>
      </w:r>
      <w:hyperlink r:id="rId29" w:history="1">
        <w:r w:rsidRPr="003A7CD3">
          <w:rPr>
            <w:rStyle w:val="Hyperlink"/>
            <w:rFonts w:asciiTheme="minorHAnsi" w:hAnsiTheme="minorHAnsi"/>
          </w:rPr>
          <w:t>http://hcsm.org/glys/home</w:t>
        </w:r>
      </w:hyperlink>
    </w:p>
    <w:p w14:paraId="22FA7331" w14:textId="77777777" w:rsidR="005604C8" w:rsidRPr="003A7CD3" w:rsidRDefault="0018131C" w:rsidP="00802131">
      <w:pPr>
        <w:ind w:left="720"/>
        <w:rPr>
          <w:rStyle w:val="Hyperlink"/>
          <w:rFonts w:asciiTheme="minorHAnsi" w:hAnsiTheme="minorHAnsi"/>
        </w:rPr>
      </w:pPr>
      <w:hyperlink r:id="rId30" w:history="1">
        <w:r w:rsidR="005604C8" w:rsidRPr="003A7CD3">
          <w:rPr>
            <w:rStyle w:val="Hyperlink"/>
            <w:rFonts w:asciiTheme="minorHAnsi" w:hAnsiTheme="minorHAnsi"/>
          </w:rPr>
          <w:t>http://www.healthimperatives.org/sites/default/files/spiritweb/GLYS/Agency%20safety%20assessment%20tool.pdf</w:t>
        </w:r>
      </w:hyperlink>
    </w:p>
    <w:p w14:paraId="7F04E730" w14:textId="5F8E8260" w:rsidR="005604C8" w:rsidRPr="003A7CD3" w:rsidRDefault="00397488" w:rsidP="00802131">
      <w:pPr>
        <w:ind w:left="720"/>
        <w:rPr>
          <w:rFonts w:asciiTheme="minorHAnsi" w:hAnsiTheme="minorHAnsi"/>
        </w:rPr>
      </w:pPr>
      <w:r w:rsidRPr="003A7CD3">
        <w:rPr>
          <w:rStyle w:val="Hyperlink"/>
          <w:rFonts w:asciiTheme="minorHAnsi" w:hAnsiTheme="minorHAnsi"/>
        </w:rPr>
        <w:t>http://www.healthimperatives.org/glys/tip-sheets</w:t>
      </w:r>
    </w:p>
    <w:p w14:paraId="792C75BD" w14:textId="77777777" w:rsidR="00397488" w:rsidRPr="003A7CD3" w:rsidRDefault="00397488" w:rsidP="00666086">
      <w:pPr>
        <w:ind w:left="720"/>
        <w:rPr>
          <w:rFonts w:asciiTheme="minorHAnsi" w:hAnsiTheme="minorHAnsi"/>
        </w:rPr>
      </w:pPr>
    </w:p>
    <w:p w14:paraId="3D9035E6" w14:textId="5679C338" w:rsidR="00F57991" w:rsidRPr="003A7CD3" w:rsidRDefault="00F57991" w:rsidP="00802131">
      <w:pPr>
        <w:rPr>
          <w:rFonts w:asciiTheme="minorHAnsi" w:hAnsiTheme="minorHAnsi"/>
        </w:rPr>
      </w:pPr>
      <w:r w:rsidRPr="003A7CD3">
        <w:rPr>
          <w:rFonts w:asciiTheme="minorHAnsi" w:hAnsiTheme="minorHAnsi" w:cs="Calibri"/>
        </w:rPr>
        <w:t xml:space="preserve">Hispanic Black Gay Coalition: </w:t>
      </w:r>
      <w:hyperlink r:id="rId31" w:history="1">
        <w:r w:rsidRPr="003A7CD3">
          <w:rPr>
            <w:rFonts w:asciiTheme="minorHAnsi" w:hAnsiTheme="minorHAnsi" w:cs="Calibri"/>
            <w:color w:val="0000FF"/>
            <w:u w:val="single" w:color="0000FF"/>
          </w:rPr>
          <w:t>http://www.hbgc-boston.org/</w:t>
        </w:r>
      </w:hyperlink>
    </w:p>
    <w:p w14:paraId="60707D0A" w14:textId="77777777" w:rsidR="00F57991" w:rsidRPr="003A7CD3" w:rsidRDefault="00F57991" w:rsidP="00802131">
      <w:pPr>
        <w:rPr>
          <w:rFonts w:asciiTheme="minorHAnsi" w:hAnsiTheme="minorHAnsi"/>
        </w:rPr>
      </w:pPr>
    </w:p>
    <w:p w14:paraId="567C0721" w14:textId="06BDA0CB" w:rsidR="00C53B38" w:rsidRPr="003A7CD3" w:rsidRDefault="00802131" w:rsidP="00802131">
      <w:pPr>
        <w:rPr>
          <w:rFonts w:asciiTheme="minorHAnsi" w:hAnsiTheme="minorHAnsi"/>
        </w:rPr>
      </w:pPr>
      <w:r w:rsidRPr="003A7CD3">
        <w:rPr>
          <w:rFonts w:asciiTheme="minorHAnsi" w:hAnsiTheme="minorHAnsi"/>
        </w:rPr>
        <w:t>Homelessness</w:t>
      </w:r>
      <w:r w:rsidR="002816D2" w:rsidRPr="003A7CD3">
        <w:rPr>
          <w:rFonts w:asciiTheme="minorHAnsi" w:hAnsiTheme="minorHAnsi"/>
        </w:rPr>
        <w:t xml:space="preserve">: </w:t>
      </w:r>
      <w:hyperlink r:id="rId32" w:history="1">
        <w:r w:rsidR="00C5051E" w:rsidRPr="003A7CD3">
          <w:rPr>
            <w:rStyle w:val="Hyperlink"/>
            <w:rFonts w:asciiTheme="minorHAnsi" w:hAnsiTheme="minorHAnsi"/>
          </w:rPr>
          <w:t>http://www.massresources.org/shelters-youth.html</w:t>
        </w:r>
      </w:hyperlink>
    </w:p>
    <w:p w14:paraId="2C941B6D" w14:textId="5ED1380A" w:rsidR="00C5051E" w:rsidRPr="003A7CD3" w:rsidRDefault="00C5051E" w:rsidP="00802131">
      <w:pPr>
        <w:ind w:left="720"/>
        <w:rPr>
          <w:rFonts w:asciiTheme="minorHAnsi" w:hAnsiTheme="minorHAnsi"/>
        </w:rPr>
      </w:pPr>
      <w:r w:rsidRPr="003A7CD3">
        <w:rPr>
          <w:rFonts w:asciiTheme="minorHAnsi" w:hAnsiTheme="minorHAnsi"/>
        </w:rPr>
        <w:t>Youth on Fire</w:t>
      </w:r>
      <w:r w:rsidR="002816D2" w:rsidRPr="003A7CD3">
        <w:rPr>
          <w:rFonts w:asciiTheme="minorHAnsi" w:hAnsiTheme="minorHAnsi"/>
        </w:rPr>
        <w:t xml:space="preserve">: </w:t>
      </w:r>
      <w:hyperlink r:id="rId33" w:history="1">
        <w:r w:rsidRPr="003A7CD3">
          <w:rPr>
            <w:rStyle w:val="Hyperlink"/>
            <w:rFonts w:asciiTheme="minorHAnsi" w:hAnsiTheme="minorHAnsi"/>
          </w:rPr>
          <w:t>http://www.aac.org/about/our-work/youth-on-fire.html</w:t>
        </w:r>
      </w:hyperlink>
    </w:p>
    <w:p w14:paraId="715A7060" w14:textId="6457F01F" w:rsidR="00C137D5" w:rsidRPr="003A7CD3" w:rsidRDefault="00BC2884" w:rsidP="00802131">
      <w:pPr>
        <w:ind w:left="720"/>
        <w:rPr>
          <w:rFonts w:asciiTheme="minorHAnsi" w:hAnsiTheme="minorHAnsi"/>
        </w:rPr>
      </w:pPr>
      <w:r w:rsidRPr="003A7CD3">
        <w:rPr>
          <w:rFonts w:asciiTheme="minorHAnsi" w:hAnsiTheme="minorHAnsi"/>
        </w:rPr>
        <w:t>Dial Self: Resources for homeless youth in western Massachusetts</w:t>
      </w:r>
      <w:r w:rsidR="006608F9" w:rsidRPr="003A7CD3">
        <w:rPr>
          <w:rFonts w:asciiTheme="minorHAnsi" w:hAnsiTheme="minorHAnsi"/>
        </w:rPr>
        <w:t xml:space="preserve">: </w:t>
      </w:r>
      <w:hyperlink r:id="rId34" w:history="1">
        <w:r w:rsidRPr="003A7CD3">
          <w:rPr>
            <w:rStyle w:val="Hyperlink"/>
            <w:rFonts w:asciiTheme="minorHAnsi" w:hAnsiTheme="minorHAnsi"/>
          </w:rPr>
          <w:t>http://www.dialself.org</w:t>
        </w:r>
      </w:hyperlink>
    </w:p>
    <w:p w14:paraId="0474A909" w14:textId="54244932" w:rsidR="00BC2884" w:rsidRPr="003A7CD3" w:rsidRDefault="00BC2884" w:rsidP="00802131">
      <w:pPr>
        <w:ind w:left="720"/>
        <w:rPr>
          <w:rFonts w:asciiTheme="minorHAnsi" w:hAnsiTheme="minorHAnsi"/>
        </w:rPr>
      </w:pPr>
      <w:r w:rsidRPr="003A7CD3">
        <w:rPr>
          <w:rFonts w:asciiTheme="minorHAnsi" w:hAnsiTheme="minorHAnsi"/>
        </w:rPr>
        <w:t>Bridge Over Troubled Waters: Boston-based organization serving homeless, runaway and troubled youth</w:t>
      </w:r>
      <w:r w:rsidR="006608F9" w:rsidRPr="003A7CD3">
        <w:rPr>
          <w:rFonts w:asciiTheme="minorHAnsi" w:hAnsiTheme="minorHAnsi"/>
        </w:rPr>
        <w:t xml:space="preserve">: </w:t>
      </w:r>
      <w:hyperlink r:id="rId35" w:history="1">
        <w:r w:rsidRPr="003A7CD3">
          <w:rPr>
            <w:rStyle w:val="Hyperlink"/>
            <w:rFonts w:asciiTheme="minorHAnsi" w:hAnsiTheme="minorHAnsi"/>
          </w:rPr>
          <w:t>http://www.bridgeotw.org</w:t>
        </w:r>
      </w:hyperlink>
    </w:p>
    <w:p w14:paraId="3DF60C09" w14:textId="77777777" w:rsidR="00802131" w:rsidRPr="003A7CD3" w:rsidRDefault="00802131" w:rsidP="00364C9E">
      <w:pPr>
        <w:rPr>
          <w:rFonts w:asciiTheme="minorHAnsi" w:hAnsiTheme="minorHAnsi"/>
        </w:rPr>
      </w:pPr>
    </w:p>
    <w:p w14:paraId="4875BDC5" w14:textId="77777777" w:rsidR="00802131" w:rsidRPr="003A7CD3" w:rsidRDefault="0018131C" w:rsidP="00802131">
      <w:pPr>
        <w:tabs>
          <w:tab w:val="left" w:pos="720"/>
        </w:tabs>
        <w:ind w:left="720" w:hanging="720"/>
        <w:rPr>
          <w:rFonts w:asciiTheme="minorHAnsi" w:hAnsiTheme="minorHAnsi"/>
        </w:rPr>
      </w:pPr>
      <w:hyperlink r:id="rId36" w:history="1">
        <w:r w:rsidR="00802131" w:rsidRPr="003A7CD3">
          <w:rPr>
            <w:rStyle w:val="Hyperlink"/>
            <w:rFonts w:asciiTheme="minorHAnsi" w:hAnsiTheme="minorHAnsi" w:cs="Verdana"/>
          </w:rPr>
          <w:t>Massachusetts Transgender Political Coalition</w:t>
        </w:r>
      </w:hyperlink>
      <w:r w:rsidR="00802131" w:rsidRPr="003A7CD3">
        <w:rPr>
          <w:rFonts w:asciiTheme="minorHAnsi" w:hAnsiTheme="minorHAnsi" w:cs="Verdana"/>
        </w:rPr>
        <w:t xml:space="preserve">: An organization providing advocacy, education, activism and support in order to end discrimination on the basis of gender identity and gender expression. </w:t>
      </w:r>
      <w:hyperlink r:id="rId37" w:history="1">
        <w:r w:rsidR="00802131" w:rsidRPr="003A7CD3">
          <w:rPr>
            <w:rStyle w:val="Hyperlink"/>
            <w:rFonts w:asciiTheme="minorHAnsi" w:hAnsiTheme="minorHAnsi"/>
          </w:rPr>
          <w:t>http://www.masstpc.org</w:t>
        </w:r>
      </w:hyperlink>
    </w:p>
    <w:p w14:paraId="67FE14C4" w14:textId="77777777" w:rsidR="00802131" w:rsidRPr="003A7CD3" w:rsidRDefault="00802131" w:rsidP="00802131">
      <w:pPr>
        <w:rPr>
          <w:rFonts w:asciiTheme="minorHAnsi" w:hAnsiTheme="minorHAnsi"/>
        </w:rPr>
      </w:pPr>
    </w:p>
    <w:p w14:paraId="196F9A1E" w14:textId="77777777" w:rsidR="00802131" w:rsidRDefault="00802131" w:rsidP="00802131">
      <w:pPr>
        <w:ind w:left="720" w:hanging="720"/>
        <w:rPr>
          <w:rStyle w:val="Hyperlink"/>
          <w:rFonts w:asciiTheme="minorHAnsi" w:hAnsiTheme="minorHAnsi"/>
        </w:rPr>
      </w:pPr>
      <w:r w:rsidRPr="003A7CD3">
        <w:rPr>
          <w:rFonts w:asciiTheme="minorHAnsi" w:hAnsiTheme="minorHAnsi"/>
        </w:rPr>
        <w:t xml:space="preserve">UMass Medical School – Learning and Working During Transition to Adulthood: </w:t>
      </w:r>
      <w:hyperlink r:id="rId38" w:history="1">
        <w:r w:rsidRPr="003A7CD3">
          <w:rPr>
            <w:rStyle w:val="Hyperlink"/>
            <w:rFonts w:asciiTheme="minorHAnsi" w:hAnsiTheme="minorHAnsi"/>
          </w:rPr>
          <w:t>http://www.umassmed.edu/cmhsr/transitions-rtc/index.aspx</w:t>
        </w:r>
      </w:hyperlink>
    </w:p>
    <w:p w14:paraId="676115E5" w14:textId="77777777" w:rsidR="00695466" w:rsidRPr="003A7CD3" w:rsidRDefault="00695466" w:rsidP="00802131">
      <w:pPr>
        <w:ind w:left="720" w:hanging="720"/>
        <w:rPr>
          <w:rFonts w:asciiTheme="minorHAnsi" w:hAnsiTheme="minorHAnsi"/>
        </w:rPr>
      </w:pPr>
    </w:p>
    <w:p w14:paraId="2338788F" w14:textId="77777777" w:rsidR="00802131" w:rsidRPr="003A7CD3" w:rsidRDefault="00802131" w:rsidP="00C137D5">
      <w:pPr>
        <w:ind w:left="720"/>
        <w:rPr>
          <w:rFonts w:asciiTheme="minorHAnsi" w:hAnsiTheme="minorHAnsi"/>
        </w:rPr>
      </w:pPr>
    </w:p>
    <w:p w14:paraId="69782E7D" w14:textId="429C5717" w:rsidR="00802131" w:rsidRPr="00364C9E" w:rsidRDefault="00802131" w:rsidP="00802131">
      <w:pPr>
        <w:rPr>
          <w:rFonts w:asciiTheme="minorHAnsi" w:hAnsiTheme="minorHAnsi"/>
          <w:b/>
        </w:rPr>
      </w:pPr>
      <w:r w:rsidRPr="00364C9E">
        <w:rPr>
          <w:rFonts w:asciiTheme="minorHAnsi" w:hAnsiTheme="minorHAnsi"/>
          <w:b/>
          <w:u w:val="single"/>
        </w:rPr>
        <w:t>National:</w:t>
      </w:r>
    </w:p>
    <w:p w14:paraId="554F3286" w14:textId="77777777" w:rsidR="00E909A8" w:rsidRPr="003A7CD3" w:rsidRDefault="00E909A8" w:rsidP="00397488">
      <w:pPr>
        <w:rPr>
          <w:rFonts w:asciiTheme="minorHAnsi" w:hAnsiTheme="minorHAnsi"/>
          <w:u w:val="single"/>
        </w:rPr>
      </w:pPr>
    </w:p>
    <w:p w14:paraId="30C24712" w14:textId="77777777" w:rsidR="00D3670E" w:rsidRPr="003A7CD3" w:rsidRDefault="00D3670E" w:rsidP="00D3670E">
      <w:pPr>
        <w:rPr>
          <w:rFonts w:asciiTheme="minorHAnsi" w:hAnsiTheme="minorHAnsi"/>
        </w:rPr>
      </w:pPr>
      <w:r w:rsidRPr="003A7CD3">
        <w:rPr>
          <w:rFonts w:asciiTheme="minorHAnsi" w:hAnsiTheme="minorHAnsi"/>
        </w:rPr>
        <w:t xml:space="preserve">CDC:  </w:t>
      </w:r>
      <w:hyperlink r:id="rId39" w:history="1">
        <w:r w:rsidRPr="003A7CD3">
          <w:rPr>
            <w:rStyle w:val="Hyperlink"/>
            <w:rFonts w:asciiTheme="minorHAnsi" w:hAnsiTheme="minorHAnsi"/>
          </w:rPr>
          <w:t>http://www.cdc.gov/lgbthealth/youth-resources.htm</w:t>
        </w:r>
      </w:hyperlink>
    </w:p>
    <w:p w14:paraId="282D4C97" w14:textId="77777777" w:rsidR="00D3670E" w:rsidRPr="003A7CD3" w:rsidRDefault="00D3670E" w:rsidP="00D3670E">
      <w:pPr>
        <w:rPr>
          <w:rFonts w:asciiTheme="minorHAnsi" w:hAnsiTheme="minorHAnsi"/>
        </w:rPr>
      </w:pPr>
      <w:r w:rsidRPr="003A7CD3">
        <w:rPr>
          <w:rFonts w:asciiTheme="minorHAnsi" w:hAnsiTheme="minorHAnsi"/>
        </w:rPr>
        <w:tab/>
        <w:t>Supportive Families Health Children booklet available at this site</w:t>
      </w:r>
    </w:p>
    <w:p w14:paraId="6CE00888" w14:textId="77777777" w:rsidR="00D3670E" w:rsidRPr="003A7CD3" w:rsidRDefault="0018131C" w:rsidP="00D3670E">
      <w:pPr>
        <w:ind w:left="720"/>
        <w:rPr>
          <w:rFonts w:asciiTheme="minorHAnsi" w:hAnsiTheme="minorHAnsi"/>
        </w:rPr>
      </w:pPr>
      <w:hyperlink r:id="rId40" w:history="1">
        <w:r w:rsidR="00D3670E" w:rsidRPr="003A7CD3">
          <w:rPr>
            <w:rStyle w:val="Hyperlink"/>
            <w:rFonts w:asciiTheme="minorHAnsi" w:hAnsiTheme="minorHAnsi"/>
          </w:rPr>
          <w:t>http://www.cdc.gov/lgbthealth/youth.htm</w:t>
        </w:r>
      </w:hyperlink>
    </w:p>
    <w:p w14:paraId="69B434C7" w14:textId="77777777" w:rsidR="00D3670E" w:rsidRPr="003A7CD3" w:rsidRDefault="00D3670E" w:rsidP="00D3670E">
      <w:pPr>
        <w:ind w:left="720"/>
        <w:rPr>
          <w:rFonts w:asciiTheme="minorHAnsi" w:hAnsiTheme="minorHAnsi"/>
        </w:rPr>
      </w:pPr>
      <w:r w:rsidRPr="003A7CD3">
        <w:rPr>
          <w:rFonts w:asciiTheme="minorHAnsi" w:hAnsiTheme="minorHAnsi"/>
        </w:rPr>
        <w:t>Summary info with links</w:t>
      </w:r>
    </w:p>
    <w:p w14:paraId="41599B5F" w14:textId="77777777" w:rsidR="00D3670E" w:rsidRPr="003A7CD3" w:rsidRDefault="0018131C" w:rsidP="00D3670E">
      <w:pPr>
        <w:ind w:left="720"/>
        <w:rPr>
          <w:rFonts w:asciiTheme="minorHAnsi" w:hAnsiTheme="minorHAnsi"/>
        </w:rPr>
      </w:pPr>
      <w:hyperlink r:id="rId41" w:history="1">
        <w:r w:rsidR="00D3670E" w:rsidRPr="003A7CD3">
          <w:rPr>
            <w:rStyle w:val="Hyperlink"/>
            <w:rFonts w:asciiTheme="minorHAnsi" w:hAnsiTheme="minorHAnsi"/>
          </w:rPr>
          <w:t>http://www.cdc.gov/lgbthealth/youth-programs.htm</w:t>
        </w:r>
      </w:hyperlink>
    </w:p>
    <w:p w14:paraId="72B8A5EC" w14:textId="77777777" w:rsidR="00D3670E" w:rsidRPr="003A7CD3" w:rsidRDefault="00D3670E" w:rsidP="00397488">
      <w:pPr>
        <w:rPr>
          <w:rFonts w:asciiTheme="minorHAnsi" w:hAnsiTheme="minorHAnsi"/>
          <w:u w:val="single"/>
        </w:rPr>
      </w:pPr>
    </w:p>
    <w:p w14:paraId="0978A1AF" w14:textId="04639232" w:rsidR="00397488" w:rsidRPr="003A7CD3" w:rsidRDefault="00397488" w:rsidP="00397488">
      <w:pPr>
        <w:rPr>
          <w:rFonts w:asciiTheme="minorHAnsi" w:hAnsiTheme="minorHAnsi"/>
        </w:rPr>
      </w:pPr>
      <w:r w:rsidRPr="003A7CD3">
        <w:rPr>
          <w:rFonts w:asciiTheme="minorHAnsi" w:hAnsiTheme="minorHAnsi"/>
        </w:rPr>
        <w:t>SAMHSA</w:t>
      </w:r>
      <w:r w:rsidRPr="003A7CD3">
        <w:rPr>
          <w:rFonts w:asciiTheme="minorHAnsi" w:hAnsiTheme="minorHAnsi"/>
          <w:u w:val="single"/>
        </w:rPr>
        <w:t>:</w:t>
      </w:r>
      <w:r w:rsidRPr="003A7CD3">
        <w:rPr>
          <w:rFonts w:asciiTheme="minorHAnsi" w:hAnsiTheme="minorHAnsi"/>
        </w:rPr>
        <w:t xml:space="preserve"> </w:t>
      </w:r>
      <w:hyperlink r:id="rId42" w:history="1">
        <w:r w:rsidRPr="003A7CD3">
          <w:rPr>
            <w:rStyle w:val="Hyperlink"/>
            <w:rFonts w:asciiTheme="minorHAnsi" w:hAnsiTheme="minorHAnsi"/>
          </w:rPr>
          <w:t>http://www.samhsa.gov/obhe/lgbt.aspx</w:t>
        </w:r>
      </w:hyperlink>
    </w:p>
    <w:p w14:paraId="73DF6241" w14:textId="56927B6E" w:rsidR="00397488" w:rsidRPr="003A7CD3" w:rsidRDefault="00F32D0F" w:rsidP="00F32D0F">
      <w:pPr>
        <w:ind w:left="2160" w:hanging="1260"/>
        <w:rPr>
          <w:rFonts w:asciiTheme="minorHAnsi" w:hAnsiTheme="minorHAnsi"/>
        </w:rPr>
      </w:pPr>
      <w:r w:rsidRPr="003A7CD3">
        <w:rPr>
          <w:rFonts w:asciiTheme="minorHAnsi" w:hAnsiTheme="minorHAnsi"/>
        </w:rPr>
        <w:t xml:space="preserve">Includes: </w:t>
      </w:r>
      <w:r w:rsidRPr="003A7CD3">
        <w:rPr>
          <w:rFonts w:asciiTheme="minorHAnsi" w:hAnsiTheme="minorHAnsi"/>
        </w:rPr>
        <w:tab/>
        <w:t>Practice Brief: Providing Services and Supports to Youth who are Lesbian, Gay, Bisexual, Transgender, Questioning, or Two-Spirit</w:t>
      </w:r>
    </w:p>
    <w:p w14:paraId="5BC953D8" w14:textId="77777777" w:rsidR="00397488" w:rsidRPr="003A7CD3" w:rsidRDefault="00397488" w:rsidP="00397488">
      <w:pPr>
        <w:rPr>
          <w:rFonts w:asciiTheme="minorHAnsi" w:hAnsiTheme="minorHAnsi"/>
        </w:rPr>
      </w:pPr>
      <w:r w:rsidRPr="003A7CD3">
        <w:rPr>
          <w:rFonts w:asciiTheme="minorHAnsi" w:hAnsiTheme="minorHAnsi"/>
        </w:rPr>
        <w:tab/>
      </w:r>
      <w:r w:rsidRPr="003A7CD3">
        <w:rPr>
          <w:rFonts w:asciiTheme="minorHAnsi" w:hAnsiTheme="minorHAnsi"/>
        </w:rPr>
        <w:tab/>
      </w:r>
      <w:r w:rsidRPr="003A7CD3">
        <w:rPr>
          <w:rFonts w:asciiTheme="minorHAnsi" w:hAnsiTheme="minorHAnsi"/>
        </w:rPr>
        <w:tab/>
        <w:t>Helping families</w:t>
      </w:r>
    </w:p>
    <w:p w14:paraId="55A2659A" w14:textId="77777777" w:rsidR="00397488" w:rsidRPr="003A7CD3" w:rsidRDefault="00397488" w:rsidP="00397488">
      <w:pPr>
        <w:rPr>
          <w:rFonts w:asciiTheme="minorHAnsi" w:hAnsiTheme="minorHAnsi"/>
        </w:rPr>
      </w:pPr>
      <w:r w:rsidRPr="003A7CD3">
        <w:rPr>
          <w:rFonts w:asciiTheme="minorHAnsi" w:hAnsiTheme="minorHAnsi"/>
        </w:rPr>
        <w:tab/>
      </w:r>
      <w:r w:rsidRPr="003A7CD3">
        <w:rPr>
          <w:rFonts w:asciiTheme="minorHAnsi" w:hAnsiTheme="minorHAnsi"/>
        </w:rPr>
        <w:tab/>
      </w:r>
      <w:r w:rsidRPr="003A7CD3">
        <w:rPr>
          <w:rFonts w:asciiTheme="minorHAnsi" w:hAnsiTheme="minorHAnsi"/>
        </w:rPr>
        <w:tab/>
        <w:t>High School Gay Straight Alliances</w:t>
      </w:r>
    </w:p>
    <w:p w14:paraId="5220A082" w14:textId="77777777" w:rsidR="00397488" w:rsidRPr="003A7CD3" w:rsidRDefault="00397488" w:rsidP="00397488">
      <w:pPr>
        <w:rPr>
          <w:rFonts w:asciiTheme="minorHAnsi" w:hAnsiTheme="minorHAnsi"/>
        </w:rPr>
      </w:pPr>
      <w:r w:rsidRPr="003A7CD3">
        <w:rPr>
          <w:rFonts w:asciiTheme="minorHAnsi" w:hAnsiTheme="minorHAnsi"/>
        </w:rPr>
        <w:tab/>
        <w:t>Practitioner’s Resource: Helping families support their LGBTQ Kids</w:t>
      </w:r>
    </w:p>
    <w:p w14:paraId="48BA73B7" w14:textId="77777777" w:rsidR="00397488" w:rsidRPr="003A7CD3" w:rsidRDefault="00397488" w:rsidP="00397488">
      <w:pPr>
        <w:ind w:firstLine="720"/>
        <w:rPr>
          <w:rFonts w:asciiTheme="minorHAnsi" w:hAnsiTheme="minorHAnsi"/>
        </w:rPr>
      </w:pPr>
      <w:r w:rsidRPr="003A7CD3">
        <w:rPr>
          <w:rFonts w:asciiTheme="minorHAnsi" w:hAnsiTheme="minorHAnsi"/>
        </w:rPr>
        <w:t>http://store.samhsa.gov//product/PEP14-LGBTKIDS</w:t>
      </w:r>
    </w:p>
    <w:p w14:paraId="05CB4FD9" w14:textId="77777777" w:rsidR="00631ED9" w:rsidRPr="003A7CD3" w:rsidRDefault="00631ED9" w:rsidP="00E909A8">
      <w:pPr>
        <w:rPr>
          <w:rFonts w:asciiTheme="minorHAnsi" w:hAnsiTheme="minorHAnsi"/>
        </w:rPr>
      </w:pPr>
    </w:p>
    <w:p w14:paraId="3F058DC1" w14:textId="1E23A7F0" w:rsidR="00631ED9" w:rsidRPr="003A7CD3" w:rsidRDefault="00631ED9" w:rsidP="00397488">
      <w:pPr>
        <w:ind w:left="720"/>
        <w:rPr>
          <w:rFonts w:asciiTheme="minorHAnsi" w:hAnsiTheme="minorHAnsi"/>
        </w:rPr>
      </w:pPr>
      <w:r w:rsidRPr="003A7CD3">
        <w:rPr>
          <w:rFonts w:asciiTheme="minorHAnsi" w:hAnsiTheme="minorHAnsi"/>
        </w:rPr>
        <w:t>Top Health Issues and Toolkit</w:t>
      </w:r>
      <w:r w:rsidR="006608F9" w:rsidRPr="003A7CD3">
        <w:rPr>
          <w:rFonts w:asciiTheme="minorHAnsi" w:hAnsiTheme="minorHAnsi"/>
        </w:rPr>
        <w:t xml:space="preserve">: </w:t>
      </w:r>
      <w:hyperlink r:id="rId43" w:history="1">
        <w:r w:rsidRPr="003A7CD3">
          <w:rPr>
            <w:rStyle w:val="Hyperlink"/>
            <w:rFonts w:asciiTheme="minorHAnsi" w:hAnsiTheme="minorHAnsi"/>
          </w:rPr>
          <w:t>http://store.samhsa.gov/product/Top-Health-Issues-for-LGBT-Populations/All-New-Products/SMA12-4684</w:t>
        </w:r>
      </w:hyperlink>
    </w:p>
    <w:p w14:paraId="08FA98B2" w14:textId="77777777" w:rsidR="00631ED9" w:rsidRPr="003A7CD3" w:rsidRDefault="00631ED9" w:rsidP="00397488">
      <w:pPr>
        <w:ind w:left="720"/>
        <w:rPr>
          <w:rFonts w:asciiTheme="minorHAnsi" w:hAnsiTheme="minorHAnsi"/>
        </w:rPr>
      </w:pPr>
    </w:p>
    <w:p w14:paraId="6DEA7B28" w14:textId="2F698798" w:rsidR="00397488" w:rsidRPr="003A7CD3" w:rsidRDefault="00397488" w:rsidP="007236C7">
      <w:pPr>
        <w:ind w:left="720"/>
        <w:rPr>
          <w:rFonts w:asciiTheme="minorHAnsi" w:hAnsiTheme="minorHAnsi"/>
          <w:u w:val="single"/>
        </w:rPr>
      </w:pPr>
      <w:r w:rsidRPr="003A7CD3">
        <w:rPr>
          <w:rFonts w:asciiTheme="minorHAnsi" w:hAnsiTheme="minorHAnsi"/>
        </w:rPr>
        <w:t xml:space="preserve">Array of resources re: homeless LGBTQ </w:t>
      </w:r>
      <w:hyperlink r:id="rId44" w:history="1">
        <w:r w:rsidRPr="003A7CD3">
          <w:rPr>
            <w:rStyle w:val="Hyperlink"/>
            <w:rFonts w:asciiTheme="minorHAnsi" w:hAnsiTheme="minorHAnsi"/>
          </w:rPr>
          <w:t>http://homeless.samhsa.gov/(S(bnwiwr45jopnoen1vm0cyr45))/Search.aspx?tagId=30056&amp;search=LGBT+youth&amp;AspxAutoDetectCookieSupport=1&amp;page=0</w:t>
        </w:r>
      </w:hyperlink>
    </w:p>
    <w:p w14:paraId="7E83B040" w14:textId="77777777" w:rsidR="007236C7" w:rsidRPr="003A7CD3" w:rsidRDefault="007236C7" w:rsidP="007236C7">
      <w:pPr>
        <w:ind w:left="720"/>
        <w:rPr>
          <w:rFonts w:asciiTheme="minorHAnsi" w:hAnsiTheme="minorHAnsi"/>
          <w:u w:val="single"/>
        </w:rPr>
      </w:pPr>
    </w:p>
    <w:p w14:paraId="1D0D85E2" w14:textId="65BB2DBD" w:rsidR="007236C7" w:rsidRPr="003A7CD3" w:rsidRDefault="007236C7" w:rsidP="007236C7">
      <w:pPr>
        <w:ind w:left="720"/>
        <w:rPr>
          <w:rFonts w:asciiTheme="minorHAnsi" w:hAnsiTheme="minorHAnsi"/>
        </w:rPr>
      </w:pPr>
      <w:r w:rsidRPr="003A7CD3">
        <w:rPr>
          <w:rFonts w:asciiTheme="minorHAnsi" w:hAnsiTheme="minorHAnsi"/>
        </w:rPr>
        <w:t>A Provider’s Introduction to Substance Abuse Treatment for Lesbian, Gay, Bisexual and Transgender Individuals, available at</w:t>
      </w:r>
      <w:r w:rsidR="0092306A" w:rsidRPr="003A7CD3">
        <w:rPr>
          <w:rFonts w:asciiTheme="minorHAnsi" w:hAnsiTheme="minorHAnsi"/>
        </w:rPr>
        <w:t xml:space="preserve">: </w:t>
      </w:r>
      <w:hyperlink r:id="rId45" w:history="1">
        <w:r w:rsidRPr="003A7CD3">
          <w:rPr>
            <w:rStyle w:val="Hyperlink"/>
            <w:rFonts w:asciiTheme="minorHAnsi" w:hAnsiTheme="minorHAnsi"/>
          </w:rPr>
          <w:t>http://store.samhsa.gov/product/A-Provider-s-Introduction-to-Substance-Abuse-Treatment-for-Lesbian-Gay-Bisexual-and-Transgender-Individuals/SMA12-4104</w:t>
        </w:r>
      </w:hyperlink>
    </w:p>
    <w:p w14:paraId="62D45DED" w14:textId="77777777" w:rsidR="007236C7" w:rsidRPr="003A7CD3" w:rsidRDefault="007236C7" w:rsidP="007236C7">
      <w:pPr>
        <w:ind w:left="720"/>
        <w:rPr>
          <w:rFonts w:asciiTheme="minorHAnsi" w:hAnsiTheme="minorHAnsi"/>
        </w:rPr>
      </w:pPr>
    </w:p>
    <w:p w14:paraId="3CA4BFE9" w14:textId="77777777" w:rsidR="00D3670E" w:rsidRPr="003A7CD3" w:rsidRDefault="00D3670E" w:rsidP="00D3670E">
      <w:pPr>
        <w:rPr>
          <w:rFonts w:asciiTheme="minorHAnsi" w:hAnsiTheme="minorHAnsi"/>
        </w:rPr>
      </w:pPr>
      <w:r w:rsidRPr="003A7CD3">
        <w:rPr>
          <w:rFonts w:asciiTheme="minorHAnsi" w:hAnsiTheme="minorHAnsi"/>
        </w:rPr>
        <w:t>Family Acceptance Project:  http://familyproject.sfsu.edu/home</w:t>
      </w:r>
    </w:p>
    <w:p w14:paraId="17632204" w14:textId="0872F08D" w:rsidR="00D3670E" w:rsidRDefault="00D3670E" w:rsidP="00D3670E">
      <w:pPr>
        <w:ind w:left="720"/>
        <w:rPr>
          <w:rFonts w:asciiTheme="minorHAnsi" w:hAnsiTheme="minorHAnsi"/>
        </w:rPr>
      </w:pPr>
      <w:r w:rsidRPr="003A7CD3">
        <w:rPr>
          <w:rFonts w:asciiTheme="minorHAnsi" w:hAnsiTheme="minorHAnsi"/>
        </w:rPr>
        <w:t>Supportive Families, Healthy Children</w:t>
      </w:r>
      <w:r w:rsidR="00F46319" w:rsidRPr="003A7CD3">
        <w:rPr>
          <w:rFonts w:asciiTheme="minorHAnsi" w:hAnsiTheme="minorHAnsi"/>
        </w:rPr>
        <w:t xml:space="preserve">: </w:t>
      </w:r>
      <w:hyperlink r:id="rId46" w:history="1">
        <w:r w:rsidR="004B0DE2" w:rsidRPr="00811FAD">
          <w:rPr>
            <w:rStyle w:val="Hyperlink"/>
            <w:rFonts w:asciiTheme="minorHAnsi" w:hAnsiTheme="minorHAnsi"/>
          </w:rPr>
          <w:t>http://familyproject.sfsu.edu/files/FAP_English%20Booklet_pst.pdf</w:t>
        </w:r>
      </w:hyperlink>
    </w:p>
    <w:p w14:paraId="511CBB29" w14:textId="77777777" w:rsidR="00D3670E" w:rsidRPr="003A7CD3" w:rsidRDefault="00D3670E" w:rsidP="00D3670E">
      <w:pPr>
        <w:rPr>
          <w:rFonts w:asciiTheme="minorHAnsi" w:hAnsiTheme="minorHAnsi"/>
        </w:rPr>
      </w:pPr>
    </w:p>
    <w:p w14:paraId="2EA28746" w14:textId="77777777" w:rsidR="00D3670E" w:rsidRPr="003A7CD3" w:rsidRDefault="00D3670E" w:rsidP="00D3670E">
      <w:pPr>
        <w:tabs>
          <w:tab w:val="left" w:pos="720"/>
        </w:tabs>
        <w:ind w:left="720" w:hanging="720"/>
        <w:rPr>
          <w:rFonts w:asciiTheme="minorHAnsi" w:hAnsiTheme="minorHAnsi"/>
        </w:rPr>
      </w:pPr>
      <w:r w:rsidRPr="003A7CD3">
        <w:rPr>
          <w:rFonts w:asciiTheme="minorHAnsi" w:hAnsiTheme="minorHAnsi"/>
        </w:rPr>
        <w:t xml:space="preserve">Fenway Institute National LGBT Health Education Center:  Resources include briefs, tools and guidelines such as </w:t>
      </w:r>
    </w:p>
    <w:p w14:paraId="2C2C4306" w14:textId="77777777" w:rsidR="00D3670E" w:rsidRPr="003A7CD3" w:rsidRDefault="00D3670E" w:rsidP="00D3670E">
      <w:pPr>
        <w:ind w:left="720"/>
        <w:rPr>
          <w:rFonts w:asciiTheme="minorHAnsi" w:hAnsiTheme="minorHAnsi" w:cs="Times"/>
          <w:bCs/>
          <w:i/>
          <w:color w:val="161E4E"/>
          <w:szCs w:val="34"/>
        </w:rPr>
      </w:pPr>
      <w:r w:rsidRPr="003A7CD3">
        <w:rPr>
          <w:rFonts w:asciiTheme="minorHAnsi" w:hAnsiTheme="minorHAnsi" w:cs="Times"/>
          <w:bCs/>
          <w:i/>
          <w:color w:val="161E4E"/>
          <w:szCs w:val="34"/>
        </w:rPr>
        <w:t>Asking Patients Questions about Sexual Orientation and Gender Identity in Clinical Settings</w:t>
      </w:r>
    </w:p>
    <w:p w14:paraId="391418AB" w14:textId="77777777" w:rsidR="00D3670E" w:rsidRPr="003A7CD3" w:rsidRDefault="00D3670E" w:rsidP="00D3670E">
      <w:pPr>
        <w:ind w:left="720"/>
        <w:rPr>
          <w:rFonts w:asciiTheme="minorHAnsi" w:hAnsiTheme="minorHAnsi"/>
          <w:i/>
          <w:sz w:val="6"/>
        </w:rPr>
      </w:pPr>
      <w:r w:rsidRPr="003A7CD3">
        <w:rPr>
          <w:rFonts w:asciiTheme="minorHAnsi" w:hAnsiTheme="minorHAnsi" w:cs="Times"/>
          <w:bCs/>
          <w:i/>
          <w:color w:val="161E4E"/>
          <w:szCs w:val="34"/>
        </w:rPr>
        <w:t>Addressing the Needs of LGBT People in Community Health Centers: What the Governing Board Needs to Know</w:t>
      </w:r>
    </w:p>
    <w:p w14:paraId="530329A4" w14:textId="77777777" w:rsidR="00D3670E" w:rsidRPr="003A7CD3" w:rsidRDefault="0018131C" w:rsidP="00D3670E">
      <w:pPr>
        <w:ind w:left="720"/>
        <w:rPr>
          <w:rFonts w:asciiTheme="minorHAnsi" w:hAnsiTheme="minorHAnsi"/>
        </w:rPr>
      </w:pPr>
      <w:hyperlink r:id="rId47" w:history="1">
        <w:r w:rsidR="00D3670E" w:rsidRPr="003A7CD3">
          <w:rPr>
            <w:rStyle w:val="Hyperlink"/>
            <w:rFonts w:asciiTheme="minorHAnsi" w:hAnsiTheme="minorHAnsi"/>
          </w:rPr>
          <w:t>http://www.lgbthealtheducation.org/publications/top/</w:t>
        </w:r>
      </w:hyperlink>
    </w:p>
    <w:p w14:paraId="31CB3D87" w14:textId="77777777" w:rsidR="00580B78" w:rsidRPr="003A7CD3" w:rsidRDefault="00580B78" w:rsidP="006230EE">
      <w:pPr>
        <w:rPr>
          <w:rFonts w:asciiTheme="minorHAnsi" w:hAnsiTheme="minorHAnsi"/>
          <w:u w:val="single"/>
        </w:rPr>
      </w:pPr>
    </w:p>
    <w:p w14:paraId="06CD0500" w14:textId="77777777" w:rsidR="00D3670E" w:rsidRPr="003A7CD3" w:rsidRDefault="00D3670E" w:rsidP="00D3670E">
      <w:pPr>
        <w:ind w:left="720" w:hanging="720"/>
        <w:rPr>
          <w:rFonts w:asciiTheme="minorHAnsi" w:hAnsiTheme="minorHAnsi"/>
        </w:rPr>
      </w:pPr>
      <w:r w:rsidRPr="003A7CD3">
        <w:rPr>
          <w:rFonts w:asciiTheme="minorHAnsi" w:hAnsiTheme="minorHAnsi"/>
        </w:rPr>
        <w:t xml:space="preserve">Homelessness:  Best Practices: </w:t>
      </w:r>
      <w:hyperlink r:id="rId48" w:history="1">
        <w:r w:rsidRPr="003A7CD3">
          <w:rPr>
            <w:rStyle w:val="Hyperlink"/>
            <w:rFonts w:asciiTheme="minorHAnsi" w:hAnsiTheme="minorHAnsi"/>
          </w:rPr>
          <w:t>http://www.endhomelessness.org/library/entry/national-recommended-best-practices-for-serving-lgbt-homeless-youth</w:t>
        </w:r>
      </w:hyperlink>
    </w:p>
    <w:p w14:paraId="02457EA3" w14:textId="77777777" w:rsidR="00D3670E" w:rsidRPr="003A7CD3" w:rsidRDefault="00D3670E" w:rsidP="00D3670E">
      <w:pPr>
        <w:rPr>
          <w:rFonts w:asciiTheme="minorHAnsi" w:hAnsiTheme="minorHAnsi"/>
        </w:rPr>
      </w:pPr>
    </w:p>
    <w:p w14:paraId="3E483D33" w14:textId="77777777" w:rsidR="00D3670E" w:rsidRPr="003A7CD3" w:rsidRDefault="00D3670E" w:rsidP="00D3670E">
      <w:pPr>
        <w:ind w:left="720" w:hanging="720"/>
        <w:rPr>
          <w:rFonts w:asciiTheme="minorHAnsi" w:hAnsiTheme="minorHAnsi"/>
        </w:rPr>
      </w:pPr>
      <w:r w:rsidRPr="003A7CD3">
        <w:rPr>
          <w:rFonts w:asciiTheme="minorHAnsi" w:hAnsiTheme="minorHAnsi"/>
        </w:rPr>
        <w:t xml:space="preserve">Lambda:  Youth in the Margins: </w:t>
      </w:r>
      <w:hyperlink r:id="rId49" w:history="1">
        <w:r w:rsidRPr="003A7CD3">
          <w:rPr>
            <w:rStyle w:val="Hyperlink"/>
            <w:rFonts w:asciiTheme="minorHAnsi" w:hAnsiTheme="minorHAnsi"/>
          </w:rPr>
          <w:t>http://www.lambdalegal.org/publications/youth-in-the-margins</w:t>
        </w:r>
      </w:hyperlink>
    </w:p>
    <w:p w14:paraId="74609694" w14:textId="62C20464" w:rsidR="00D3670E" w:rsidRPr="003A7CD3" w:rsidRDefault="00D3670E" w:rsidP="00D3670E">
      <w:pPr>
        <w:ind w:left="720"/>
        <w:rPr>
          <w:rFonts w:asciiTheme="minorHAnsi" w:hAnsiTheme="minorHAnsi"/>
        </w:rPr>
      </w:pPr>
      <w:r w:rsidRPr="003A7CD3">
        <w:rPr>
          <w:rFonts w:asciiTheme="minorHAnsi" w:hAnsiTheme="minorHAnsi"/>
        </w:rPr>
        <w:t xml:space="preserve">Full document at: </w:t>
      </w:r>
      <w:hyperlink r:id="rId50" w:history="1">
        <w:r w:rsidRPr="003A7CD3">
          <w:rPr>
            <w:rStyle w:val="Hyperlink"/>
            <w:rFonts w:asciiTheme="minorHAnsi" w:hAnsiTheme="minorHAnsi"/>
          </w:rPr>
          <w:t>http://calswec.berkeley.edu/files/uploads/pdf/CalSWEC/Train_Curric_GLBTQQ_Margins.pdf</w:t>
        </w:r>
      </w:hyperlink>
    </w:p>
    <w:p w14:paraId="64519059" w14:textId="77777777" w:rsidR="00D3670E" w:rsidRPr="003A7CD3" w:rsidRDefault="00D3670E" w:rsidP="00D3670E">
      <w:pPr>
        <w:rPr>
          <w:rFonts w:asciiTheme="minorHAnsi" w:hAnsiTheme="minorHAnsi"/>
        </w:rPr>
      </w:pPr>
    </w:p>
    <w:p w14:paraId="281B9634" w14:textId="398728C4" w:rsidR="00D3670E" w:rsidRPr="003A7CD3" w:rsidRDefault="00D3670E" w:rsidP="00D3670E">
      <w:pPr>
        <w:ind w:left="720" w:hanging="720"/>
        <w:rPr>
          <w:rFonts w:asciiTheme="minorHAnsi" w:hAnsiTheme="minorHAnsi"/>
        </w:rPr>
      </w:pPr>
      <w:r w:rsidRPr="003A7CD3">
        <w:rPr>
          <w:rFonts w:asciiTheme="minorHAnsi" w:hAnsiTheme="minorHAnsi"/>
        </w:rPr>
        <w:t>National Association of Lesbian, Gay, Bisexual and Transgender Addiction Professionals and Their Allies, at</w:t>
      </w:r>
      <w:r w:rsidR="0092306A" w:rsidRPr="003A7CD3">
        <w:rPr>
          <w:rFonts w:asciiTheme="minorHAnsi" w:hAnsiTheme="minorHAnsi"/>
        </w:rPr>
        <w:t xml:space="preserve">: </w:t>
      </w:r>
      <w:hyperlink r:id="rId51" w:history="1">
        <w:r w:rsidRPr="003A7CD3">
          <w:rPr>
            <w:rStyle w:val="Hyperlink"/>
            <w:rFonts w:asciiTheme="minorHAnsi" w:hAnsiTheme="minorHAnsi"/>
          </w:rPr>
          <w:t>https://www.nalgap.org</w:t>
        </w:r>
      </w:hyperlink>
    </w:p>
    <w:p w14:paraId="76BFDC68" w14:textId="77777777" w:rsidR="00D3670E" w:rsidRPr="003A7CD3" w:rsidRDefault="00D3670E" w:rsidP="00D3670E">
      <w:pPr>
        <w:rPr>
          <w:rFonts w:asciiTheme="minorHAnsi" w:hAnsiTheme="minorHAnsi"/>
        </w:rPr>
      </w:pPr>
    </w:p>
    <w:p w14:paraId="397768CF" w14:textId="77777777" w:rsidR="00D3670E" w:rsidRPr="003A7CD3" w:rsidRDefault="00D3670E" w:rsidP="00D3670E">
      <w:pPr>
        <w:rPr>
          <w:rFonts w:asciiTheme="minorHAnsi" w:hAnsiTheme="minorHAnsi"/>
        </w:rPr>
      </w:pPr>
      <w:r w:rsidRPr="003A7CD3">
        <w:rPr>
          <w:rFonts w:asciiTheme="minorHAnsi" w:hAnsiTheme="minorHAnsi"/>
        </w:rPr>
        <w:t xml:space="preserve">National School Climate Survey: </w:t>
      </w:r>
      <w:hyperlink r:id="rId52" w:history="1">
        <w:r w:rsidRPr="003A7CD3">
          <w:rPr>
            <w:rStyle w:val="Hyperlink"/>
            <w:rFonts w:asciiTheme="minorHAnsi" w:hAnsiTheme="minorHAnsi"/>
          </w:rPr>
          <w:t>http://glsen.org/nscs</w:t>
        </w:r>
      </w:hyperlink>
    </w:p>
    <w:p w14:paraId="58A147B1" w14:textId="77777777" w:rsidR="00D3670E" w:rsidRPr="003A7CD3" w:rsidRDefault="00D3670E" w:rsidP="00D3670E">
      <w:pPr>
        <w:ind w:left="720" w:hanging="720"/>
        <w:rPr>
          <w:rFonts w:asciiTheme="minorHAnsi" w:hAnsiTheme="minorHAnsi"/>
        </w:rPr>
      </w:pPr>
    </w:p>
    <w:p w14:paraId="1C24AE49" w14:textId="25AA66A0" w:rsidR="00D3670E" w:rsidRPr="003A7CD3" w:rsidRDefault="00D3670E" w:rsidP="00D3670E">
      <w:pPr>
        <w:ind w:left="720" w:hanging="720"/>
        <w:rPr>
          <w:rFonts w:asciiTheme="minorHAnsi" w:hAnsiTheme="minorHAnsi"/>
        </w:rPr>
      </w:pPr>
      <w:r w:rsidRPr="003A7CD3">
        <w:rPr>
          <w:rFonts w:asciiTheme="minorHAnsi" w:hAnsiTheme="minorHAnsi"/>
        </w:rPr>
        <w:t xml:space="preserve">Parents, Families and Friends of Lesbians and Gays (PFLAG): A national organization aimed at supporting families, safe schools and inclusive communities.  Greater Boston Chapter: </w:t>
      </w:r>
      <w:hyperlink r:id="rId53" w:history="1">
        <w:r w:rsidRPr="003A7CD3">
          <w:rPr>
            <w:rStyle w:val="Hyperlink"/>
            <w:rFonts w:asciiTheme="minorHAnsi" w:hAnsiTheme="minorHAnsi"/>
          </w:rPr>
          <w:t>https://www.gbpflag.org</w:t>
        </w:r>
      </w:hyperlink>
    </w:p>
    <w:p w14:paraId="4DE375A7" w14:textId="77777777" w:rsidR="00D3670E" w:rsidRPr="003A7CD3" w:rsidRDefault="00D3670E" w:rsidP="00D3670E">
      <w:pPr>
        <w:rPr>
          <w:rFonts w:asciiTheme="minorHAnsi" w:hAnsiTheme="minorHAnsi"/>
        </w:rPr>
      </w:pPr>
    </w:p>
    <w:p w14:paraId="2A25621C" w14:textId="77777777" w:rsidR="00D3670E" w:rsidRPr="003A7CD3" w:rsidRDefault="00D3670E" w:rsidP="00D3670E">
      <w:pPr>
        <w:rPr>
          <w:rFonts w:asciiTheme="minorHAnsi" w:hAnsiTheme="minorHAnsi"/>
        </w:rPr>
      </w:pPr>
      <w:r w:rsidRPr="003A7CD3">
        <w:rPr>
          <w:rFonts w:asciiTheme="minorHAnsi" w:hAnsiTheme="minorHAnsi"/>
        </w:rPr>
        <w:t>Stopbully.gov</w:t>
      </w:r>
    </w:p>
    <w:p w14:paraId="773188DC" w14:textId="77777777" w:rsidR="00D3670E" w:rsidRPr="003A7CD3" w:rsidRDefault="00D3670E" w:rsidP="00D3670E">
      <w:pPr>
        <w:rPr>
          <w:rFonts w:asciiTheme="minorHAnsi" w:hAnsiTheme="minorHAnsi"/>
        </w:rPr>
      </w:pPr>
      <w:r w:rsidRPr="003A7CD3">
        <w:rPr>
          <w:rFonts w:asciiTheme="minorHAnsi" w:hAnsiTheme="minorHAnsi"/>
        </w:rPr>
        <w:tab/>
      </w:r>
      <w:hyperlink r:id="rId54" w:history="1">
        <w:r w:rsidRPr="003A7CD3">
          <w:rPr>
            <w:rStyle w:val="Hyperlink"/>
            <w:rFonts w:asciiTheme="minorHAnsi" w:hAnsiTheme="minorHAnsi"/>
          </w:rPr>
          <w:t>http://www.stopbullying.gov/at-risk/groups/lgbt/index.html</w:t>
        </w:r>
      </w:hyperlink>
    </w:p>
    <w:p w14:paraId="463EE622" w14:textId="77777777" w:rsidR="00D3670E" w:rsidRPr="003A7CD3" w:rsidRDefault="00D3670E" w:rsidP="00580B78">
      <w:pPr>
        <w:rPr>
          <w:rFonts w:asciiTheme="minorHAnsi" w:hAnsiTheme="minorHAnsi"/>
          <w:u w:val="single"/>
        </w:rPr>
      </w:pPr>
    </w:p>
    <w:p w14:paraId="5E6269E8" w14:textId="7B539A08" w:rsidR="00060AF0" w:rsidRPr="00364C9E" w:rsidRDefault="00364C9E" w:rsidP="00580B78">
      <w:pPr>
        <w:rPr>
          <w:rFonts w:asciiTheme="minorHAnsi" w:hAnsiTheme="minorHAnsi"/>
          <w:b/>
          <w:u w:val="single"/>
        </w:rPr>
      </w:pPr>
      <w:r>
        <w:rPr>
          <w:rFonts w:asciiTheme="minorHAnsi" w:hAnsiTheme="minorHAnsi"/>
          <w:b/>
          <w:u w:val="single"/>
        </w:rPr>
        <w:t>Training Resources</w:t>
      </w:r>
      <w:r w:rsidR="00060AF0" w:rsidRPr="00364C9E">
        <w:rPr>
          <w:rFonts w:asciiTheme="minorHAnsi" w:hAnsiTheme="minorHAnsi"/>
          <w:b/>
          <w:u w:val="single"/>
        </w:rPr>
        <w:t>:</w:t>
      </w:r>
    </w:p>
    <w:p w14:paraId="0085DE79" w14:textId="77777777" w:rsidR="00060AF0" w:rsidRPr="003A7CD3" w:rsidRDefault="00060AF0" w:rsidP="00580B78">
      <w:pPr>
        <w:rPr>
          <w:rFonts w:asciiTheme="minorHAnsi" w:hAnsiTheme="minorHAnsi"/>
          <w:u w:val="single"/>
        </w:rPr>
      </w:pPr>
    </w:p>
    <w:p w14:paraId="575D4AD9" w14:textId="1F4ABDC2" w:rsidR="003610A5" w:rsidRPr="003A7CD3" w:rsidRDefault="003610A5" w:rsidP="003610A5">
      <w:pPr>
        <w:rPr>
          <w:rFonts w:asciiTheme="minorHAnsi" w:hAnsiTheme="minorHAnsi"/>
        </w:rPr>
      </w:pPr>
      <w:r w:rsidRPr="003A7CD3">
        <w:rPr>
          <w:rFonts w:asciiTheme="minorHAnsi" w:hAnsiTheme="minorHAnsi"/>
        </w:rPr>
        <w:t xml:space="preserve">Gay, Lesbian, Bisexual and Transgender Youth Support Project and Outhealth: </w:t>
      </w:r>
      <w:hyperlink r:id="rId55" w:history="1">
        <w:r w:rsidRPr="003A7CD3">
          <w:rPr>
            <w:rStyle w:val="Hyperlink"/>
            <w:rFonts w:asciiTheme="minorHAnsi" w:hAnsiTheme="minorHAnsi"/>
          </w:rPr>
          <w:t>http://hcsm.org/glys/home</w:t>
        </w:r>
      </w:hyperlink>
    </w:p>
    <w:p w14:paraId="1647B0FB" w14:textId="77777777" w:rsidR="003610A5" w:rsidRPr="003A7CD3" w:rsidRDefault="003610A5" w:rsidP="00060AF0">
      <w:pPr>
        <w:rPr>
          <w:rFonts w:asciiTheme="minorHAnsi" w:hAnsiTheme="minorHAnsi"/>
        </w:rPr>
      </w:pPr>
    </w:p>
    <w:p w14:paraId="68828AB8" w14:textId="73109845" w:rsidR="00060AF0" w:rsidRPr="003A7CD3" w:rsidRDefault="00060AF0" w:rsidP="00060AF0">
      <w:pPr>
        <w:rPr>
          <w:rFonts w:asciiTheme="minorHAnsi" w:hAnsiTheme="minorHAnsi"/>
        </w:rPr>
      </w:pPr>
      <w:r w:rsidRPr="003A7CD3">
        <w:rPr>
          <w:rFonts w:asciiTheme="minorHAnsi" w:hAnsiTheme="minorHAnsi"/>
        </w:rPr>
        <w:t xml:space="preserve">SAMHSA:  Training Curricula: </w:t>
      </w:r>
      <w:hyperlink r:id="rId56" w:history="1">
        <w:r w:rsidRPr="003A7CD3">
          <w:rPr>
            <w:rStyle w:val="Hyperlink"/>
            <w:rFonts w:asciiTheme="minorHAnsi" w:hAnsiTheme="minorHAnsi"/>
          </w:rPr>
          <w:t>http://www.samhsa.gov/lgbt/curricula.aspx</w:t>
        </w:r>
      </w:hyperlink>
    </w:p>
    <w:p w14:paraId="6B95AFB4" w14:textId="77777777" w:rsidR="00060AF0" w:rsidRPr="003A7CD3" w:rsidRDefault="00060AF0" w:rsidP="00580B78">
      <w:pPr>
        <w:rPr>
          <w:rFonts w:asciiTheme="minorHAnsi" w:hAnsiTheme="minorHAnsi"/>
        </w:rPr>
      </w:pPr>
    </w:p>
    <w:p w14:paraId="07D830F4" w14:textId="77777777" w:rsidR="00060AF0" w:rsidRPr="003A7CD3" w:rsidRDefault="00060AF0" w:rsidP="00D3670E">
      <w:pPr>
        <w:ind w:left="720" w:hanging="720"/>
        <w:rPr>
          <w:rFonts w:asciiTheme="minorHAnsi" w:hAnsiTheme="minorHAnsi" w:cs="Verdana"/>
          <w:bCs/>
          <w:sz w:val="20"/>
          <w:szCs w:val="24"/>
        </w:rPr>
      </w:pPr>
      <w:r w:rsidRPr="003A7CD3">
        <w:rPr>
          <w:rFonts w:asciiTheme="minorHAnsi" w:hAnsiTheme="minorHAnsi"/>
        </w:rPr>
        <w:t xml:space="preserve">Addiction Technology Transfer Network:  </w:t>
      </w:r>
      <w:r w:rsidRPr="003A7CD3">
        <w:rPr>
          <w:rFonts w:asciiTheme="minorHAnsi" w:hAnsiTheme="minorHAnsi" w:cs="Verdana"/>
          <w:bCs/>
          <w:szCs w:val="24"/>
        </w:rPr>
        <w:t>A Provider's Introduction to Substance Abuse Treatment for Lesbian, Gay, Bisexual, and Transgender Individuals: Training Curriculum, First Edition</w:t>
      </w:r>
    </w:p>
    <w:p w14:paraId="1DF43C14" w14:textId="5A989CEE" w:rsidR="00060AF0" w:rsidRDefault="0018131C" w:rsidP="00D3670E">
      <w:pPr>
        <w:ind w:left="720"/>
        <w:rPr>
          <w:rFonts w:asciiTheme="minorHAnsi" w:hAnsiTheme="minorHAnsi"/>
        </w:rPr>
      </w:pPr>
      <w:hyperlink r:id="rId57" w:history="1">
        <w:r w:rsidR="00AB32CB" w:rsidRPr="003D2D94">
          <w:rPr>
            <w:rStyle w:val="Hyperlink"/>
            <w:rFonts w:asciiTheme="minorHAnsi" w:hAnsiTheme="minorHAnsi"/>
          </w:rPr>
          <w:t>http://www.attcnetwork.org/regcenters/generalContent.asp?rcid=12&amp;content=STCUSTOM3</w:t>
        </w:r>
      </w:hyperlink>
    </w:p>
    <w:p w14:paraId="4528FE95" w14:textId="77777777" w:rsidR="00AB32CB" w:rsidRPr="003A7CD3" w:rsidRDefault="00AB32CB" w:rsidP="00D3670E">
      <w:pPr>
        <w:ind w:left="720"/>
        <w:rPr>
          <w:rFonts w:asciiTheme="minorHAnsi" w:hAnsiTheme="minorHAnsi"/>
        </w:rPr>
      </w:pPr>
    </w:p>
    <w:p w14:paraId="3DB1870F" w14:textId="77777777" w:rsidR="00060AF0" w:rsidRPr="003A7CD3" w:rsidRDefault="00060AF0" w:rsidP="00580B78">
      <w:pPr>
        <w:rPr>
          <w:rFonts w:asciiTheme="minorHAnsi" w:hAnsiTheme="minorHAnsi"/>
        </w:rPr>
      </w:pPr>
    </w:p>
    <w:p w14:paraId="3D528D53" w14:textId="57267B7F" w:rsidR="00060AF0" w:rsidRPr="003A7CD3" w:rsidRDefault="00636D3B" w:rsidP="00D3670E">
      <w:pPr>
        <w:ind w:left="720" w:hanging="720"/>
        <w:rPr>
          <w:rFonts w:asciiTheme="minorHAnsi" w:hAnsiTheme="minorHAnsi"/>
        </w:rPr>
      </w:pPr>
      <w:r w:rsidRPr="003A7CD3">
        <w:rPr>
          <w:rFonts w:asciiTheme="minorHAnsi" w:hAnsiTheme="minorHAnsi"/>
        </w:rPr>
        <w:t xml:space="preserve">NIAA: Training Resource:  </w:t>
      </w:r>
      <w:r w:rsidR="00060AF0" w:rsidRPr="003A7CD3">
        <w:rPr>
          <w:rFonts w:asciiTheme="minorHAnsi" w:hAnsiTheme="minorHAnsi"/>
        </w:rPr>
        <w:t>Social Work Education for Prevention and Treatment of Alcohol Use Disorders:</w:t>
      </w:r>
    </w:p>
    <w:p w14:paraId="7465B5FA" w14:textId="141BCFF6" w:rsidR="00636D3B" w:rsidRPr="003A7CD3" w:rsidRDefault="0018131C" w:rsidP="00364C9E">
      <w:pPr>
        <w:ind w:left="720"/>
        <w:rPr>
          <w:rFonts w:asciiTheme="minorHAnsi" w:hAnsiTheme="minorHAnsi"/>
        </w:rPr>
      </w:pPr>
      <w:hyperlink r:id="rId58" w:history="1">
        <w:r w:rsidR="00060AF0" w:rsidRPr="003A7CD3">
          <w:rPr>
            <w:rStyle w:val="Hyperlink"/>
            <w:rFonts w:asciiTheme="minorHAnsi" w:hAnsiTheme="minorHAnsi"/>
          </w:rPr>
          <w:t>http://pubs.niaaa.nih.gov/publications/Social/Module10GSexualOrientation/Module10G.html</w:t>
        </w:r>
      </w:hyperlink>
    </w:p>
    <w:p w14:paraId="61450A26" w14:textId="77777777" w:rsidR="00BB217C" w:rsidRPr="003A7CD3" w:rsidRDefault="00BB217C" w:rsidP="006230EE">
      <w:pPr>
        <w:rPr>
          <w:rFonts w:asciiTheme="minorHAnsi" w:hAnsiTheme="minorHAnsi"/>
          <w:u w:val="single"/>
        </w:rPr>
      </w:pPr>
    </w:p>
    <w:p w14:paraId="3BD7FC41" w14:textId="7BD70F4C" w:rsidR="00DF323E" w:rsidRPr="00364C9E" w:rsidRDefault="00364C9E" w:rsidP="006230EE">
      <w:pPr>
        <w:rPr>
          <w:rFonts w:asciiTheme="minorHAnsi" w:hAnsiTheme="minorHAnsi"/>
          <w:b/>
        </w:rPr>
      </w:pPr>
      <w:r>
        <w:rPr>
          <w:rFonts w:asciiTheme="minorHAnsi" w:hAnsiTheme="minorHAnsi"/>
          <w:b/>
          <w:u w:val="single"/>
        </w:rPr>
        <w:t>Smoking:</w:t>
      </w:r>
    </w:p>
    <w:p w14:paraId="20A8B0EA" w14:textId="77777777" w:rsidR="00DF323E" w:rsidRPr="003A7CD3" w:rsidRDefault="00DF323E" w:rsidP="006230EE">
      <w:pPr>
        <w:rPr>
          <w:rFonts w:asciiTheme="minorHAnsi" w:hAnsiTheme="minorHAnsi"/>
        </w:rPr>
      </w:pPr>
    </w:p>
    <w:p w14:paraId="1EB2E176" w14:textId="4EA34687" w:rsidR="00DF323E" w:rsidRPr="003A7CD3" w:rsidRDefault="00DF323E" w:rsidP="006230EE">
      <w:pPr>
        <w:rPr>
          <w:rFonts w:asciiTheme="minorHAnsi" w:hAnsiTheme="minorHAnsi"/>
        </w:rPr>
      </w:pPr>
      <w:r w:rsidRPr="003A7CD3">
        <w:rPr>
          <w:rFonts w:asciiTheme="minorHAnsi" w:hAnsiTheme="minorHAnsi"/>
        </w:rPr>
        <w:t>National LGBT Tobacco Control</w:t>
      </w:r>
      <w:r w:rsidR="0005574F" w:rsidRPr="003A7CD3">
        <w:rPr>
          <w:rFonts w:asciiTheme="minorHAnsi" w:hAnsiTheme="minorHAnsi"/>
        </w:rPr>
        <w:t xml:space="preserve"> Network</w:t>
      </w:r>
      <w:r w:rsidR="006608F9" w:rsidRPr="003A7CD3">
        <w:rPr>
          <w:rFonts w:asciiTheme="minorHAnsi" w:hAnsiTheme="minorHAnsi"/>
        </w:rPr>
        <w:t xml:space="preserve">: </w:t>
      </w:r>
      <w:hyperlink r:id="rId59" w:history="1">
        <w:r w:rsidR="0005574F" w:rsidRPr="003A7CD3">
          <w:rPr>
            <w:rStyle w:val="Hyperlink"/>
            <w:rFonts w:asciiTheme="minorHAnsi" w:hAnsiTheme="minorHAnsi"/>
          </w:rPr>
          <w:t>http://lgbttobacco.org</w:t>
        </w:r>
      </w:hyperlink>
    </w:p>
    <w:p w14:paraId="195A691F" w14:textId="77777777" w:rsidR="0005574F" w:rsidRPr="003A7CD3" w:rsidRDefault="0005574F" w:rsidP="006230EE">
      <w:pPr>
        <w:rPr>
          <w:rFonts w:asciiTheme="minorHAnsi" w:hAnsiTheme="minorHAnsi"/>
        </w:rPr>
      </w:pPr>
    </w:p>
    <w:p w14:paraId="0297B550" w14:textId="63F673A8" w:rsidR="00DF323E" w:rsidRPr="003A7CD3" w:rsidRDefault="00DF323E" w:rsidP="00D3670E">
      <w:pPr>
        <w:ind w:left="720" w:hanging="720"/>
        <w:rPr>
          <w:rFonts w:asciiTheme="minorHAnsi" w:hAnsiTheme="minorHAnsi"/>
        </w:rPr>
      </w:pPr>
      <w:r w:rsidRPr="003A7CD3">
        <w:rPr>
          <w:rFonts w:asciiTheme="minorHAnsi" w:hAnsiTheme="minorHAnsi"/>
        </w:rPr>
        <w:t>American Legacy Foundation:  Tobacco Control in LGBT Communities; LGBT Fact Sheet</w:t>
      </w:r>
      <w:r w:rsidR="006608F9" w:rsidRPr="003A7CD3">
        <w:rPr>
          <w:rFonts w:asciiTheme="minorHAnsi" w:hAnsiTheme="minorHAnsi"/>
        </w:rPr>
        <w:t xml:space="preserve">: </w:t>
      </w:r>
      <w:hyperlink r:id="rId60" w:history="1">
        <w:r w:rsidRPr="003A7CD3">
          <w:rPr>
            <w:rStyle w:val="Hyperlink"/>
            <w:rFonts w:asciiTheme="minorHAnsi" w:hAnsiTheme="minorHAnsi"/>
          </w:rPr>
          <w:t>http://www.legacyforhealth.org/our-issues/tobacco-related-health-disparities</w:t>
        </w:r>
      </w:hyperlink>
    </w:p>
    <w:p w14:paraId="67F50EEB" w14:textId="77777777" w:rsidR="00DF323E" w:rsidRPr="003A7CD3" w:rsidRDefault="00DF323E" w:rsidP="006230EE">
      <w:pPr>
        <w:rPr>
          <w:rFonts w:asciiTheme="minorHAnsi" w:hAnsiTheme="minorHAnsi"/>
          <w:u w:val="single"/>
        </w:rPr>
      </w:pPr>
    </w:p>
    <w:p w14:paraId="59587D0D" w14:textId="452355D3" w:rsidR="00397488" w:rsidRPr="00364C9E" w:rsidRDefault="00364C9E" w:rsidP="006230EE">
      <w:pPr>
        <w:rPr>
          <w:rFonts w:asciiTheme="minorHAnsi" w:hAnsiTheme="minorHAnsi"/>
          <w:b/>
          <w:u w:val="single"/>
        </w:rPr>
      </w:pPr>
      <w:r>
        <w:rPr>
          <w:rFonts w:asciiTheme="minorHAnsi" w:hAnsiTheme="minorHAnsi"/>
          <w:b/>
          <w:u w:val="single"/>
        </w:rPr>
        <w:t>Data:</w:t>
      </w:r>
    </w:p>
    <w:p w14:paraId="79DE8C51" w14:textId="77777777" w:rsidR="00397488" w:rsidRPr="003A7CD3" w:rsidRDefault="00397488" w:rsidP="00397488">
      <w:pPr>
        <w:rPr>
          <w:rFonts w:asciiTheme="minorHAnsi" w:hAnsiTheme="minorHAnsi"/>
        </w:rPr>
      </w:pPr>
    </w:p>
    <w:p w14:paraId="593F5F27" w14:textId="77777777" w:rsidR="00364C9E" w:rsidRDefault="00364C9E" w:rsidP="00364C9E">
      <w:pPr>
        <w:rPr>
          <w:rFonts w:asciiTheme="minorHAnsi" w:hAnsiTheme="minorHAnsi"/>
        </w:rPr>
      </w:pPr>
      <w:r>
        <w:rPr>
          <w:rFonts w:asciiTheme="minorHAnsi" w:hAnsiTheme="minorHAnsi"/>
        </w:rPr>
        <w:t xml:space="preserve">NSDUH: </w:t>
      </w:r>
    </w:p>
    <w:p w14:paraId="0360CA89" w14:textId="6F3238E7" w:rsidR="00397488" w:rsidRPr="003A7CD3" w:rsidRDefault="0018131C" w:rsidP="00364C9E">
      <w:pPr>
        <w:ind w:left="720"/>
        <w:rPr>
          <w:rFonts w:asciiTheme="minorHAnsi" w:hAnsiTheme="minorHAnsi"/>
        </w:rPr>
      </w:pPr>
      <w:hyperlink r:id="rId61" w:anchor="ch2.2" w:history="1">
        <w:r w:rsidR="00397488" w:rsidRPr="003A7CD3">
          <w:rPr>
            <w:rStyle w:val="Hyperlink"/>
            <w:rFonts w:asciiTheme="minorHAnsi" w:hAnsiTheme="minorHAnsi"/>
          </w:rPr>
          <w:t>http://www.samhsa.gov/data/NSDUH/2012SummNatFindDetTables/NationalFindings/NSDUHresults2012.htm#ch2.2</w:t>
        </w:r>
      </w:hyperlink>
    </w:p>
    <w:p w14:paraId="30312AD8" w14:textId="2652DE53" w:rsidR="00397488" w:rsidRPr="003A7CD3" w:rsidRDefault="00397488" w:rsidP="006230EE">
      <w:pPr>
        <w:rPr>
          <w:rFonts w:asciiTheme="minorHAnsi" w:hAnsiTheme="minorHAnsi"/>
        </w:rPr>
      </w:pPr>
    </w:p>
    <w:p w14:paraId="5F05EB05" w14:textId="56D0D1C6" w:rsidR="00397488" w:rsidRPr="003A7CD3" w:rsidRDefault="00397488" w:rsidP="00397488">
      <w:pPr>
        <w:rPr>
          <w:rFonts w:asciiTheme="minorHAnsi" w:hAnsiTheme="minorHAnsi"/>
        </w:rPr>
      </w:pPr>
      <w:r w:rsidRPr="003A7CD3">
        <w:rPr>
          <w:rFonts w:asciiTheme="minorHAnsi" w:hAnsiTheme="minorHAnsi"/>
        </w:rPr>
        <w:t>MA YRBS</w:t>
      </w:r>
      <w:r w:rsidR="002816D2" w:rsidRPr="003A7CD3">
        <w:rPr>
          <w:rFonts w:asciiTheme="minorHAnsi" w:hAnsiTheme="minorHAnsi"/>
        </w:rPr>
        <w:t xml:space="preserve">: </w:t>
      </w:r>
      <w:hyperlink r:id="rId62" w:history="1">
        <w:r w:rsidRPr="003A7CD3">
          <w:rPr>
            <w:rStyle w:val="Hyperlink"/>
            <w:rFonts w:asciiTheme="minorHAnsi" w:hAnsiTheme="minorHAnsi"/>
          </w:rPr>
          <w:t>http://www.mass.gov/eohhs/docs/dph/behavioral-risk/yrbs-2011.pdf</w:t>
        </w:r>
      </w:hyperlink>
    </w:p>
    <w:p w14:paraId="30394EEE" w14:textId="77777777" w:rsidR="004433FE" w:rsidRPr="003A7CD3" w:rsidRDefault="004433FE" w:rsidP="006230EE">
      <w:pPr>
        <w:rPr>
          <w:rFonts w:asciiTheme="minorHAnsi" w:hAnsiTheme="minorHAnsi"/>
        </w:rPr>
      </w:pPr>
    </w:p>
    <w:p w14:paraId="13EC071A" w14:textId="77777777" w:rsidR="00FF04E0" w:rsidRPr="003A7CD3" w:rsidRDefault="00FF04E0" w:rsidP="00FF04E0">
      <w:pPr>
        <w:pStyle w:val="ListParagraph"/>
        <w:ind w:hanging="720"/>
        <w:rPr>
          <w:rFonts w:asciiTheme="minorHAnsi" w:hAnsiTheme="minorHAnsi"/>
          <w:sz w:val="24"/>
          <w:szCs w:val="24"/>
        </w:rPr>
      </w:pPr>
    </w:p>
    <w:p w14:paraId="09492371" w14:textId="77777777" w:rsidR="00CC2585" w:rsidRPr="003A7CD3" w:rsidRDefault="00FF04E0" w:rsidP="00FF04E0">
      <w:pPr>
        <w:pStyle w:val="ListParagraph"/>
        <w:ind w:hanging="720"/>
        <w:rPr>
          <w:rStyle w:val="Hyperlink"/>
          <w:rFonts w:asciiTheme="minorHAnsi" w:hAnsiTheme="minorHAnsi"/>
          <w:sz w:val="24"/>
          <w:szCs w:val="24"/>
        </w:rPr>
        <w:sectPr w:rsidR="00CC2585" w:rsidRPr="003A7CD3" w:rsidSect="00B61534">
          <w:footerReference w:type="default" r:id="rId63"/>
          <w:footerReference w:type="first" r:id="rId64"/>
          <w:pgSz w:w="12240" w:h="15840"/>
          <w:pgMar w:top="1170" w:right="1260" w:bottom="1260" w:left="1440" w:header="720" w:footer="1008" w:gutter="0"/>
          <w:cols w:space="720"/>
          <w:titlePg/>
          <w:docGrid w:linePitch="360"/>
        </w:sectPr>
      </w:pPr>
      <w:r w:rsidRPr="003A7CD3">
        <w:rPr>
          <w:rFonts w:asciiTheme="minorHAnsi" w:hAnsiTheme="minorHAnsi"/>
          <w:sz w:val="24"/>
          <w:szCs w:val="24"/>
        </w:rPr>
        <w:t xml:space="preserve">BSAS welcomes comments and suggestions.  Contact:  </w:t>
      </w:r>
      <w:hyperlink r:id="rId65" w:history="1">
        <w:r w:rsidRPr="003A7CD3">
          <w:rPr>
            <w:rStyle w:val="Hyperlink"/>
            <w:rFonts w:asciiTheme="minorHAnsi" w:hAnsiTheme="minorHAnsi"/>
            <w:sz w:val="24"/>
            <w:szCs w:val="24"/>
          </w:rPr>
          <w:t>BSAS.Feedback@state.ma.us</w:t>
        </w:r>
      </w:hyperlink>
    </w:p>
    <w:p w14:paraId="60D937DA" w14:textId="75E264FD" w:rsidR="00FF04E0" w:rsidRPr="003A7CD3" w:rsidRDefault="00FF04E0" w:rsidP="00FF04E0">
      <w:pPr>
        <w:pStyle w:val="ListParagraph"/>
        <w:ind w:hanging="720"/>
        <w:rPr>
          <w:rFonts w:asciiTheme="minorHAnsi" w:hAnsiTheme="minorHAnsi"/>
          <w:sz w:val="24"/>
          <w:szCs w:val="24"/>
        </w:rPr>
      </w:pPr>
    </w:p>
    <w:p w14:paraId="69C65784" w14:textId="1694DA0E" w:rsidR="001E547C" w:rsidRDefault="001E547C">
      <w:pPr>
        <w:rPr>
          <w:rFonts w:asciiTheme="minorHAnsi" w:hAnsiTheme="minorHAnsi"/>
          <w:b/>
        </w:rPr>
      </w:pPr>
    </w:p>
    <w:p w14:paraId="47CEF964" w14:textId="3A34C35F" w:rsidR="00E9170D" w:rsidRPr="001E547C" w:rsidRDefault="001E547C">
      <w:pPr>
        <w:rPr>
          <w:rFonts w:asciiTheme="minorHAnsi" w:hAnsiTheme="minorHAnsi"/>
          <w:b/>
        </w:rPr>
      </w:pPr>
      <w:r>
        <w:rPr>
          <w:noProof/>
        </w:rPr>
        <mc:AlternateContent>
          <mc:Choice Requires="wps">
            <w:drawing>
              <wp:anchor distT="0" distB="0" distL="114300" distR="114300" simplePos="0" relativeHeight="251671552" behindDoc="0" locked="0" layoutInCell="1" allowOverlap="1" wp14:anchorId="494151D6" wp14:editId="6978D6C9">
                <wp:simplePos x="0" y="0"/>
                <wp:positionH relativeFrom="column">
                  <wp:posOffset>0</wp:posOffset>
                </wp:positionH>
                <wp:positionV relativeFrom="paragraph">
                  <wp:posOffset>635</wp:posOffset>
                </wp:positionV>
                <wp:extent cx="829310" cy="277495"/>
                <wp:effectExtent l="76200" t="50800" r="63500" b="1035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35D1FC07" w14:textId="0E99B801" w:rsidR="00F004C0" w:rsidRDefault="00F004C0" w:rsidP="001E547C">
                            <w:pPr>
                              <w:pStyle w:val="NormalWeb"/>
                              <w:spacing w:before="0" w:beforeAutospacing="0" w:after="0" w:afterAutospacing="0"/>
                            </w:pPr>
                            <w:r>
                              <w:rPr>
                                <w:rFonts w:ascii="Calibri" w:eastAsia="MS Mincho" w:hAnsi="Calibri"/>
                                <w:smallCaps/>
                                <w:color w:val="005DAA"/>
                                <w:sz w:val="24"/>
                                <w:szCs w:val="24"/>
                              </w:rPr>
                              <w:t>GLOSSARY</w:t>
                            </w:r>
                            <w:r>
                              <w:rPr>
                                <w:rFonts w:ascii="Calibri" w:eastAsia="MS Mincho" w:hAnsi="Calibri"/>
                                <w:sz w:val="22"/>
                                <w:szCs w:val="22"/>
                              </w:rPr>
                              <w:t xml:space="preserve">  </w:t>
                            </w:r>
                          </w:p>
                        </w:txbxContent>
                      </wps:txbx>
                      <wps:bodyPr rot="0" vert="horz" wrap="none" lIns="91440" tIns="45720" rIns="91440" bIns="45720" anchor="t" anchorCtr="0" upright="1">
                        <a:spAutoFit/>
                      </wps:bodyPr>
                    </wps:wsp>
                  </a:graphicData>
                </a:graphic>
              </wp:anchor>
            </w:drawing>
          </mc:Choice>
          <mc:Fallback>
            <w:pict>
              <v:shape id="Text Box 4" o:spid="_x0000_s1036" type="#_x0000_t202" style="position:absolute;margin-left:0;margin-top:.05pt;width:65.3pt;height:21.85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3HBZt0CAADKBQAADgAAAGRycy9lMm9Eb2MueG1srFTbbtswDH0fsH8Q9J76Eudio07RJsswoLtg&#10;6bBn2ZJjYbJkSErsbti/j5LjNF0xYBjmB0OUqKND8pDXN30j0JFpw5XMcXQVYsRkqSiX+xx/edhO&#10;lhgZSyQlQkmW40dm8M3q9avrrs1YrGolKNMIQKTJujbHtbVtFgSmrFlDzJVqmYTDSumGWDD1PqCa&#10;dIDeiCAOw3nQKU1brUpmDOxuhkO88vhVxUr7saoMs0jkGLhZ/9f+X7h/sLom2V6TtubliQb5BxYN&#10;4RIePUNtiCXooPkLqIaXWhlV2atSNYGqKl4yHwNEE4W/RbOrSct8LJAc057TZP4fbPnh+EkjTnOc&#10;YCRJAyV6YL1Fd6pHictO15oMnHYtuNketqHKPlLT3qvym0FSrWsi9+xWa9XVjFBgF7mbwcXVAcc4&#10;kKJ7ryg8Qw5WeaC+0o1LHSQDATpU6fFcGUelhM1lnE4jOCnhKF4sknTmXyDZeLnVxr5lqkFukWMN&#10;hffg5HhvrCNDstHFvWWU4HTLhfCG3hdrodGRgEi2/juhP3MT0jlL5a4NiMMO8zKDZ3wQB8v0rqYd&#10;KsRBfyaQ2Pl0FgJ1yh2xOF0sp84ADc7TKEnCGCMi9tA8pdUYaWW/clv7yrssvOC33KwX0+0Qm2hr&#10;MrCGjKTLkfQQjo9ZjXS89YwppPbE2SXZa/VHGsVJeBenk+18uZgkVTKbpItwOQmj9C6dh0mabLY/&#10;3dtRktWcUibvuWRj30TJ3+ny1MGD4n3noC7H6SyeDeH+sTah/8YwL90aDmlHgjcglbMTyZwc30gK&#10;1SKZJVwM6+A5/SE1PZQPRDJmxYvX6XVQru2L3neJT7ITdqHoI6gZ6uUlCyMQFrXS3zHqYJzkWMK8&#10;w0i8k9APvtAwfbyRzBYx6EFfnhSXJ0SWAJRjC8rwy7UdJtah1XxfwztjB95CD2251/cTJ4jDGTAw&#10;fESn4eYm0qXtvZ5G8OoXAAAA//8DAFBLAwQUAAYACAAAACEAzniPGtkAAAAEAQAADwAAAGRycy9k&#10;b3ducmV2LnhtbEyPwU7DMBBE70j8g7VI3KgDhSoK2VQIKRIHOFCK4LiJlyQiXkex25q/xznBcWdG&#10;M2/LbbSjOvLsBycI16sMFEvrzCAdwv6tvspB+UBiaHTCCD/sYVudn5VUGHeSVz7uQqdSifiCEPoQ&#10;pkJr3/Zsya/cxJK8LzdbCumcO21mOqVyO+qbLNtoS4OkhZ4mfuy5/d4dLIJt7T4K5c91V9/Fl+nj&#10;s27enxAvL+LDPajAMfyFYcFP6FAlpsYdxHg1IqRHwqKqxVtnG1ANwu06B12V+j989QsAAP//AwBQ&#10;SwECLQAUAAYACAAAACEA5JnDwPsAAADhAQAAEwAAAAAAAAAAAAAAAAAAAAAAW0NvbnRlbnRfVHlw&#10;ZXNdLnhtbFBLAQItABQABgAIAAAAIQAjsmrh1wAAAJQBAAALAAAAAAAAAAAAAAAAACwBAABfcmVs&#10;cy8ucmVsc1BLAQItABQABgAIAAAAIQBHccFm3QIAAMoFAAAOAAAAAAAAAAAAAAAAACwCAABkcnMv&#10;ZTJvRG9jLnhtbFBLAQItABQABgAIAAAAIQDOeI8a2QAAAAQBAAAPAAAAAAAAAAAAAAAAADUFAABk&#10;cnMvZG93bnJldi54bWxQSwUGAAAAAAQABADzAAAAOwYAAAAA&#10;" stroked="f">
                <v:shadow on="t" color="#8dc73f" opacity="49150f" offset="-1pt"/>
                <v:textbox style="mso-fit-shape-to-text:t">
                  <w:txbxContent>
                    <w:p w14:paraId="35D1FC07" w14:textId="0E99B801" w:rsidR="00F004C0" w:rsidRDefault="00F004C0" w:rsidP="001E547C">
                      <w:pPr>
                        <w:pStyle w:val="NormalWeb"/>
                        <w:spacing w:before="0" w:beforeAutospacing="0" w:after="0" w:afterAutospacing="0"/>
                      </w:pPr>
                      <w:r>
                        <w:rPr>
                          <w:rFonts w:ascii="Calibri" w:eastAsia="MS Mincho" w:hAnsi="Calibri"/>
                          <w:smallCaps/>
                          <w:color w:val="005DAA"/>
                          <w:sz w:val="24"/>
                          <w:szCs w:val="24"/>
                        </w:rPr>
                        <w:t>GLOSSARY</w:t>
                      </w:r>
                      <w:r>
                        <w:rPr>
                          <w:rFonts w:ascii="Calibri" w:eastAsia="MS Mincho" w:hAnsi="Calibri"/>
                          <w:sz w:val="22"/>
                          <w:szCs w:val="22"/>
                        </w:rPr>
                        <w:t xml:space="preserve">  </w:t>
                      </w:r>
                    </w:p>
                  </w:txbxContent>
                </v:textbox>
                <w10:wrap type="square"/>
              </v:shape>
            </w:pict>
          </mc:Fallback>
        </mc:AlternateContent>
      </w:r>
      <w:r w:rsidR="00E9170D" w:rsidRPr="003A7CD3">
        <w:rPr>
          <w:rFonts w:asciiTheme="minorHAnsi" w:hAnsiTheme="minorHAnsi"/>
        </w:rPr>
        <w:t>Below is a list of commonly used terms and definitions.  These are drawn from established sources, readily available online</w:t>
      </w:r>
      <w:r w:rsidR="00E514C4">
        <w:rPr>
          <w:rFonts w:asciiTheme="minorHAnsi" w:hAnsiTheme="minorHAnsi"/>
        </w:rPr>
        <w:t>; sources are cited in footnotes</w:t>
      </w:r>
      <w:r w:rsidR="00E9170D" w:rsidRPr="003A7CD3">
        <w:rPr>
          <w:rFonts w:asciiTheme="minorHAnsi" w:hAnsiTheme="minorHAnsi"/>
        </w:rPr>
        <w:t>. This list is not exhaustive; more extensive sources for terms and definitions are listed at the end of this glossary.</w:t>
      </w:r>
    </w:p>
    <w:p w14:paraId="6A424146" w14:textId="77777777" w:rsidR="00E9170D" w:rsidRPr="003A7CD3" w:rsidRDefault="00E9170D">
      <w:pPr>
        <w:rPr>
          <w:rFonts w:asciiTheme="minorHAnsi" w:hAnsiTheme="minorHAnsi"/>
        </w:rPr>
      </w:pPr>
    </w:p>
    <w:p w14:paraId="0ACF135E" w14:textId="77777777" w:rsidR="00E9170D" w:rsidRPr="003A7CD3" w:rsidRDefault="00E9170D">
      <w:pPr>
        <w:rPr>
          <w:rFonts w:asciiTheme="minorHAnsi" w:hAnsiTheme="minorHAnsi"/>
        </w:rPr>
      </w:pPr>
      <w:r w:rsidRPr="003A7CD3">
        <w:rPr>
          <w:rFonts w:asciiTheme="minorHAnsi" w:hAnsiTheme="minorHAnsi"/>
        </w:rPr>
        <w:t>Note that terms are not mutually exclusive.  Gender identity and sexual orientation can come together in various ways. For example, a transgender woman’s sexual orientation could be bisexual or lesbian.</w:t>
      </w:r>
    </w:p>
    <w:p w14:paraId="4526B711" w14:textId="77777777" w:rsidR="00E9170D" w:rsidRPr="003A7CD3" w:rsidRDefault="00E9170D">
      <w:pPr>
        <w:rPr>
          <w:rFonts w:asciiTheme="minorHAnsi" w:hAnsiTheme="minorHAnsi"/>
        </w:rPr>
      </w:pPr>
    </w:p>
    <w:tbl>
      <w:tblPr>
        <w:tblStyle w:val="TableGrid"/>
        <w:tblW w:w="0" w:type="auto"/>
        <w:tblLook w:val="04A0" w:firstRow="1" w:lastRow="0" w:firstColumn="1" w:lastColumn="0" w:noHBand="0" w:noVBand="1"/>
      </w:tblPr>
      <w:tblGrid>
        <w:gridCol w:w="1908"/>
        <w:gridCol w:w="7650"/>
      </w:tblGrid>
      <w:tr w:rsidR="00E9170D" w:rsidRPr="003A7CD3" w14:paraId="196EA03E" w14:textId="77777777" w:rsidTr="00F24CFD">
        <w:trPr>
          <w:cantSplit/>
          <w:tblHeader/>
        </w:trPr>
        <w:tc>
          <w:tcPr>
            <w:tcW w:w="1908" w:type="dxa"/>
            <w:vAlign w:val="center"/>
          </w:tcPr>
          <w:p w14:paraId="7949F0AC" w14:textId="77777777" w:rsidR="00E9170D" w:rsidRPr="003A7CD3" w:rsidRDefault="00E9170D" w:rsidP="00F24CFD">
            <w:pPr>
              <w:jc w:val="center"/>
              <w:rPr>
                <w:rFonts w:asciiTheme="minorHAnsi" w:hAnsiTheme="minorHAnsi"/>
                <w:b/>
              </w:rPr>
            </w:pPr>
            <w:r w:rsidRPr="003A7CD3">
              <w:rPr>
                <w:rFonts w:asciiTheme="minorHAnsi" w:hAnsiTheme="minorHAnsi"/>
                <w:b/>
              </w:rPr>
              <w:t>Term</w:t>
            </w:r>
          </w:p>
        </w:tc>
        <w:tc>
          <w:tcPr>
            <w:tcW w:w="7650" w:type="dxa"/>
            <w:vAlign w:val="center"/>
          </w:tcPr>
          <w:p w14:paraId="24A2ED19" w14:textId="77777777" w:rsidR="00E9170D" w:rsidRPr="003A7CD3" w:rsidRDefault="00E9170D" w:rsidP="00F24CFD">
            <w:pPr>
              <w:jc w:val="center"/>
              <w:rPr>
                <w:rFonts w:asciiTheme="minorHAnsi" w:hAnsiTheme="minorHAnsi"/>
                <w:b/>
              </w:rPr>
            </w:pPr>
            <w:r w:rsidRPr="003A7CD3">
              <w:rPr>
                <w:rFonts w:asciiTheme="minorHAnsi" w:hAnsiTheme="minorHAnsi"/>
                <w:b/>
              </w:rPr>
              <w:t>Definition</w:t>
            </w:r>
          </w:p>
        </w:tc>
      </w:tr>
      <w:tr w:rsidR="00E9170D" w:rsidRPr="003A7CD3" w14:paraId="7B81255A" w14:textId="77777777" w:rsidTr="00F24CFD">
        <w:tc>
          <w:tcPr>
            <w:tcW w:w="1908" w:type="dxa"/>
          </w:tcPr>
          <w:p w14:paraId="44061AED" w14:textId="77777777" w:rsidR="00E9170D" w:rsidRPr="003A7CD3" w:rsidRDefault="00E9170D">
            <w:pPr>
              <w:rPr>
                <w:rFonts w:asciiTheme="minorHAnsi" w:hAnsiTheme="minorHAnsi"/>
              </w:rPr>
            </w:pPr>
            <w:r w:rsidRPr="003A7CD3">
              <w:rPr>
                <w:rFonts w:asciiTheme="minorHAnsi" w:hAnsiTheme="minorHAnsi"/>
              </w:rPr>
              <w:t>Gender Identity</w:t>
            </w:r>
            <w:r w:rsidRPr="003A7CD3">
              <w:rPr>
                <w:rStyle w:val="FootnoteReference"/>
                <w:rFonts w:asciiTheme="minorHAnsi" w:hAnsiTheme="minorHAnsi"/>
              </w:rPr>
              <w:footnoteReference w:id="24"/>
            </w:r>
          </w:p>
        </w:tc>
        <w:tc>
          <w:tcPr>
            <w:tcW w:w="7650" w:type="dxa"/>
          </w:tcPr>
          <w:p w14:paraId="3943DCFA" w14:textId="77777777" w:rsidR="00E9170D" w:rsidRPr="003A7CD3" w:rsidRDefault="00E9170D">
            <w:pPr>
              <w:rPr>
                <w:rFonts w:asciiTheme="minorHAnsi" w:hAnsiTheme="minorHAnsi"/>
              </w:rPr>
            </w:pPr>
            <w:r w:rsidRPr="003A7CD3">
              <w:rPr>
                <w:rFonts w:asciiTheme="minorHAnsi" w:hAnsiTheme="minorHAnsi"/>
              </w:rPr>
              <w:t>A person’s internal sense of being male, female or something else.  Since gender identity is internal, one’s gender identity is not necessarily visible to others.</w:t>
            </w:r>
          </w:p>
        </w:tc>
      </w:tr>
      <w:tr w:rsidR="00E9170D" w:rsidRPr="003A7CD3" w14:paraId="20AFE3B7" w14:textId="77777777" w:rsidTr="00F24CFD">
        <w:tc>
          <w:tcPr>
            <w:tcW w:w="1908" w:type="dxa"/>
          </w:tcPr>
          <w:p w14:paraId="2482F94A" w14:textId="77777777" w:rsidR="00E9170D" w:rsidRPr="003A7CD3" w:rsidRDefault="00E9170D">
            <w:pPr>
              <w:rPr>
                <w:rFonts w:asciiTheme="minorHAnsi" w:hAnsiTheme="minorHAnsi"/>
              </w:rPr>
            </w:pPr>
            <w:r w:rsidRPr="003A7CD3">
              <w:rPr>
                <w:rFonts w:asciiTheme="minorHAnsi" w:hAnsiTheme="minorHAnsi"/>
              </w:rPr>
              <w:t>Gender Expression</w:t>
            </w:r>
            <w:r w:rsidRPr="003A7CD3">
              <w:rPr>
                <w:rStyle w:val="FootnoteReference"/>
                <w:rFonts w:asciiTheme="minorHAnsi" w:hAnsiTheme="minorHAnsi"/>
              </w:rPr>
              <w:footnoteReference w:id="25"/>
            </w:r>
          </w:p>
        </w:tc>
        <w:tc>
          <w:tcPr>
            <w:tcW w:w="7650" w:type="dxa"/>
          </w:tcPr>
          <w:p w14:paraId="4FA24EA5" w14:textId="77777777" w:rsidR="00E9170D" w:rsidRPr="003A7CD3" w:rsidRDefault="00E9170D" w:rsidP="00F24CFD">
            <w:pPr>
              <w:rPr>
                <w:rFonts w:asciiTheme="minorHAnsi" w:hAnsiTheme="minorHAnsi"/>
                <w:i/>
              </w:rPr>
            </w:pPr>
            <w:r w:rsidRPr="003A7CD3">
              <w:rPr>
                <w:rFonts w:asciiTheme="minorHAnsi" w:hAnsiTheme="minorHAnsi"/>
              </w:rPr>
              <w:t xml:space="preserve">The manner in which a person represents or expresses their gender identity to others. </w:t>
            </w:r>
            <w:r w:rsidRPr="003A7CD3">
              <w:rPr>
                <w:rFonts w:asciiTheme="minorHAnsi" w:hAnsiTheme="minorHAnsi"/>
                <w:i/>
              </w:rPr>
              <w:t>Note: Gender expression may be conveyed through behavior, clothing, hairstyles, voice, and/or body characteristics.</w:t>
            </w:r>
          </w:p>
        </w:tc>
      </w:tr>
      <w:tr w:rsidR="00E9170D" w:rsidRPr="003A7CD3" w14:paraId="6CF3AC14" w14:textId="77777777" w:rsidTr="00F24CFD">
        <w:tc>
          <w:tcPr>
            <w:tcW w:w="1908" w:type="dxa"/>
          </w:tcPr>
          <w:p w14:paraId="16BF99CE" w14:textId="77777777" w:rsidR="00E9170D" w:rsidRPr="003A7CD3" w:rsidRDefault="00E9170D">
            <w:pPr>
              <w:rPr>
                <w:rFonts w:asciiTheme="minorHAnsi" w:hAnsiTheme="minorHAnsi"/>
              </w:rPr>
            </w:pPr>
            <w:r w:rsidRPr="003A7CD3">
              <w:rPr>
                <w:rFonts w:asciiTheme="minorHAnsi" w:hAnsiTheme="minorHAnsi"/>
              </w:rPr>
              <w:t>Lesbian</w:t>
            </w:r>
            <w:r w:rsidRPr="003A7CD3">
              <w:rPr>
                <w:rStyle w:val="FootnoteReference"/>
                <w:rFonts w:asciiTheme="minorHAnsi" w:hAnsiTheme="minorHAnsi"/>
              </w:rPr>
              <w:footnoteReference w:id="26"/>
            </w:r>
          </w:p>
        </w:tc>
        <w:tc>
          <w:tcPr>
            <w:tcW w:w="7650" w:type="dxa"/>
          </w:tcPr>
          <w:p w14:paraId="4F7C41C3" w14:textId="77777777" w:rsidR="00E9170D" w:rsidRPr="003A7CD3" w:rsidRDefault="00E9170D">
            <w:pPr>
              <w:rPr>
                <w:rFonts w:asciiTheme="minorHAnsi" w:hAnsiTheme="minorHAnsi"/>
              </w:rPr>
            </w:pPr>
            <w:r w:rsidRPr="003A7CD3">
              <w:rPr>
                <w:rFonts w:asciiTheme="minorHAnsi" w:hAnsiTheme="minorHAnsi"/>
              </w:rPr>
              <w:t>A woman who self-identifies as having an emotional, sexual, and/or relational attraction to other women.</w:t>
            </w:r>
          </w:p>
        </w:tc>
      </w:tr>
      <w:tr w:rsidR="00E9170D" w:rsidRPr="003A7CD3" w14:paraId="5A1A2FD2" w14:textId="77777777" w:rsidTr="00F24CFD">
        <w:tc>
          <w:tcPr>
            <w:tcW w:w="1908" w:type="dxa"/>
            <w:vMerge w:val="restart"/>
          </w:tcPr>
          <w:p w14:paraId="5B1D7E17" w14:textId="3A622F1B" w:rsidR="00E9170D" w:rsidRPr="003A7CD3" w:rsidRDefault="00E9170D">
            <w:pPr>
              <w:rPr>
                <w:rFonts w:asciiTheme="minorHAnsi" w:hAnsiTheme="minorHAnsi"/>
              </w:rPr>
            </w:pPr>
            <w:r w:rsidRPr="003A7CD3">
              <w:rPr>
                <w:rFonts w:asciiTheme="minorHAnsi" w:hAnsiTheme="minorHAnsi"/>
              </w:rPr>
              <w:t>Gay</w:t>
            </w:r>
            <w:r w:rsidRPr="003A7CD3">
              <w:rPr>
                <w:rStyle w:val="FootnoteReference"/>
                <w:rFonts w:asciiTheme="minorHAnsi" w:hAnsiTheme="minorHAnsi"/>
              </w:rPr>
              <w:footnoteReference w:id="27"/>
            </w:r>
          </w:p>
        </w:tc>
        <w:tc>
          <w:tcPr>
            <w:tcW w:w="7650" w:type="dxa"/>
          </w:tcPr>
          <w:p w14:paraId="157B17E4" w14:textId="77777777" w:rsidR="00E9170D" w:rsidRPr="003A7CD3" w:rsidRDefault="00E9170D">
            <w:pPr>
              <w:rPr>
                <w:rFonts w:asciiTheme="minorHAnsi" w:hAnsiTheme="minorHAnsi"/>
              </w:rPr>
            </w:pPr>
            <w:r w:rsidRPr="003A7CD3">
              <w:rPr>
                <w:rFonts w:asciiTheme="minorHAnsi" w:hAnsiTheme="minorHAnsi"/>
              </w:rPr>
              <w:t>A man who self-identifies as having an emotional, sexual, and/or relational attraction to other men. The term ‘gay’ is preferred to ‘homosexual’ which has clinical overtones that some may find offensive</w:t>
            </w:r>
          </w:p>
          <w:p w14:paraId="2E505002" w14:textId="09B9D44E" w:rsidR="00E9170D" w:rsidRPr="003A7CD3" w:rsidRDefault="00E9170D">
            <w:pPr>
              <w:rPr>
                <w:rFonts w:asciiTheme="minorHAnsi" w:hAnsiTheme="minorHAnsi"/>
                <w:i/>
              </w:rPr>
            </w:pPr>
            <w:r w:rsidRPr="003A7CD3">
              <w:rPr>
                <w:rFonts w:asciiTheme="minorHAnsi" w:hAnsiTheme="minorHAnsi"/>
                <w:i/>
              </w:rPr>
              <w:t xml:space="preserve">Note: the term gay may be used by some women who prefer it </w:t>
            </w:r>
            <w:r w:rsidR="00F46319" w:rsidRPr="003A7CD3">
              <w:rPr>
                <w:rFonts w:asciiTheme="minorHAnsi" w:hAnsiTheme="minorHAnsi"/>
                <w:i/>
              </w:rPr>
              <w:t>to</w:t>
            </w:r>
            <w:r w:rsidRPr="003A7CD3">
              <w:rPr>
                <w:rFonts w:asciiTheme="minorHAnsi" w:hAnsiTheme="minorHAnsi"/>
                <w:i/>
              </w:rPr>
              <w:t xml:space="preserve"> the term lesbian.</w:t>
            </w:r>
          </w:p>
        </w:tc>
      </w:tr>
      <w:tr w:rsidR="00E9170D" w:rsidRPr="003A7CD3" w14:paraId="3000622F" w14:textId="77777777" w:rsidTr="00F24CFD">
        <w:tc>
          <w:tcPr>
            <w:tcW w:w="1908" w:type="dxa"/>
            <w:vMerge/>
          </w:tcPr>
          <w:p w14:paraId="39A975FD" w14:textId="77777777" w:rsidR="00E9170D" w:rsidRPr="003A7CD3" w:rsidRDefault="00E9170D">
            <w:pPr>
              <w:rPr>
                <w:rFonts w:asciiTheme="minorHAnsi" w:hAnsiTheme="minorHAnsi"/>
              </w:rPr>
            </w:pPr>
          </w:p>
        </w:tc>
        <w:tc>
          <w:tcPr>
            <w:tcW w:w="7650" w:type="dxa"/>
          </w:tcPr>
          <w:p w14:paraId="35203790" w14:textId="77777777" w:rsidR="00E9170D" w:rsidRPr="003A7CD3" w:rsidRDefault="00E9170D">
            <w:pPr>
              <w:rPr>
                <w:rFonts w:asciiTheme="minorHAnsi" w:hAnsiTheme="minorHAnsi"/>
              </w:rPr>
            </w:pPr>
            <w:r w:rsidRPr="003A7CD3">
              <w:rPr>
                <w:rFonts w:asciiTheme="minorHAnsi" w:hAnsiTheme="minorHAnsi"/>
              </w:rPr>
              <w:t>Gay is also an overarching term used to refer to a broad array of sexual orientation identities other than heterosexual.</w:t>
            </w:r>
            <w:r w:rsidRPr="003A7CD3">
              <w:rPr>
                <w:rStyle w:val="FootnoteReference"/>
                <w:rFonts w:asciiTheme="minorHAnsi" w:hAnsiTheme="minorHAnsi"/>
              </w:rPr>
              <w:footnoteReference w:id="28"/>
            </w:r>
          </w:p>
        </w:tc>
      </w:tr>
      <w:tr w:rsidR="00E9170D" w:rsidRPr="003A7CD3" w14:paraId="64C19E81" w14:textId="77777777" w:rsidTr="00F24CFD">
        <w:tc>
          <w:tcPr>
            <w:tcW w:w="1908" w:type="dxa"/>
          </w:tcPr>
          <w:p w14:paraId="19C37ADF" w14:textId="77777777" w:rsidR="00E9170D" w:rsidRPr="003A7CD3" w:rsidRDefault="00E9170D">
            <w:pPr>
              <w:rPr>
                <w:rFonts w:asciiTheme="minorHAnsi" w:hAnsiTheme="minorHAnsi"/>
              </w:rPr>
            </w:pPr>
            <w:r w:rsidRPr="003A7CD3">
              <w:rPr>
                <w:rFonts w:asciiTheme="minorHAnsi" w:hAnsiTheme="minorHAnsi"/>
              </w:rPr>
              <w:t>Bisexual</w:t>
            </w:r>
            <w:r w:rsidRPr="003A7CD3">
              <w:rPr>
                <w:rStyle w:val="FootnoteReference"/>
                <w:rFonts w:asciiTheme="minorHAnsi" w:hAnsiTheme="minorHAnsi"/>
              </w:rPr>
              <w:footnoteReference w:id="29"/>
            </w:r>
          </w:p>
        </w:tc>
        <w:tc>
          <w:tcPr>
            <w:tcW w:w="7650" w:type="dxa"/>
          </w:tcPr>
          <w:p w14:paraId="7B4D6FA9" w14:textId="77777777" w:rsidR="00E9170D" w:rsidRPr="003A7CD3" w:rsidRDefault="00E9170D" w:rsidP="00F24CFD">
            <w:pPr>
              <w:rPr>
                <w:rFonts w:asciiTheme="minorHAnsi" w:hAnsiTheme="minorHAnsi"/>
              </w:rPr>
            </w:pPr>
            <w:r w:rsidRPr="003A7CD3">
              <w:rPr>
                <w:rFonts w:asciiTheme="minorHAnsi" w:hAnsiTheme="minorHAnsi"/>
              </w:rPr>
              <w:t>A person who self-identifies as having an emotional sexual, and/or relational attraction to people of their same or different gender.</w:t>
            </w:r>
          </w:p>
        </w:tc>
      </w:tr>
      <w:tr w:rsidR="00E9170D" w:rsidRPr="003A7CD3" w14:paraId="1E4C98BC" w14:textId="77777777" w:rsidTr="00F24CFD">
        <w:tc>
          <w:tcPr>
            <w:tcW w:w="1908" w:type="dxa"/>
            <w:vMerge w:val="restart"/>
          </w:tcPr>
          <w:p w14:paraId="72EA9B4B" w14:textId="77777777" w:rsidR="00E9170D" w:rsidRPr="003A7CD3" w:rsidRDefault="00E9170D">
            <w:pPr>
              <w:rPr>
                <w:rFonts w:asciiTheme="minorHAnsi" w:hAnsiTheme="minorHAnsi"/>
              </w:rPr>
            </w:pPr>
            <w:r w:rsidRPr="003A7CD3">
              <w:rPr>
                <w:rFonts w:asciiTheme="minorHAnsi" w:hAnsiTheme="minorHAnsi"/>
              </w:rPr>
              <w:t>Transgender</w:t>
            </w:r>
          </w:p>
        </w:tc>
        <w:tc>
          <w:tcPr>
            <w:tcW w:w="7650" w:type="dxa"/>
          </w:tcPr>
          <w:p w14:paraId="2D5483AF" w14:textId="77777777" w:rsidR="00E9170D" w:rsidRPr="003A7CD3" w:rsidRDefault="00E9170D">
            <w:pPr>
              <w:rPr>
                <w:rFonts w:asciiTheme="minorHAnsi" w:hAnsiTheme="minorHAnsi"/>
              </w:rPr>
            </w:pPr>
            <w:r w:rsidRPr="003A7CD3">
              <w:rPr>
                <w:rFonts w:asciiTheme="minorHAnsi" w:hAnsiTheme="minorHAnsi"/>
              </w:rPr>
              <w:t>A person whose gender identity and/or expression is different from that typically associated with their assigned sex at birth.</w:t>
            </w:r>
            <w:r w:rsidRPr="003A7CD3">
              <w:rPr>
                <w:rStyle w:val="FootnoteReference"/>
                <w:rFonts w:asciiTheme="minorHAnsi" w:hAnsiTheme="minorHAnsi"/>
              </w:rPr>
              <w:footnoteReference w:id="30"/>
            </w:r>
          </w:p>
        </w:tc>
      </w:tr>
      <w:tr w:rsidR="00E9170D" w:rsidRPr="003A7CD3" w14:paraId="35D36FE5" w14:textId="77777777" w:rsidTr="00F24CFD">
        <w:tc>
          <w:tcPr>
            <w:tcW w:w="1908" w:type="dxa"/>
            <w:vMerge/>
          </w:tcPr>
          <w:p w14:paraId="7B8C14B2" w14:textId="77777777" w:rsidR="00E9170D" w:rsidRPr="003A7CD3" w:rsidRDefault="00E9170D">
            <w:pPr>
              <w:rPr>
                <w:rFonts w:asciiTheme="minorHAnsi" w:hAnsiTheme="minorHAnsi"/>
              </w:rPr>
            </w:pPr>
          </w:p>
        </w:tc>
        <w:tc>
          <w:tcPr>
            <w:tcW w:w="7650" w:type="dxa"/>
          </w:tcPr>
          <w:p w14:paraId="4802FDE7" w14:textId="77777777" w:rsidR="00E9170D" w:rsidRPr="003A7CD3" w:rsidRDefault="00E9170D" w:rsidP="00F24CFD">
            <w:pPr>
              <w:rPr>
                <w:rFonts w:asciiTheme="minorHAnsi" w:hAnsiTheme="minorHAnsi"/>
              </w:rPr>
            </w:pPr>
            <w:r w:rsidRPr="003A7CD3">
              <w:rPr>
                <w:rFonts w:asciiTheme="minorHAnsi" w:hAnsiTheme="minorHAnsi"/>
              </w:rPr>
              <w:t>Gender identity does not determine sexual orientation. A transgender person may identify as heterosexual, lesbian, gay, bisexual, queer, questioning, asexual or something else.</w:t>
            </w:r>
            <w:r w:rsidRPr="003A7CD3">
              <w:rPr>
                <w:rStyle w:val="FootnoteReference"/>
                <w:rFonts w:asciiTheme="minorHAnsi" w:hAnsiTheme="minorHAnsi"/>
              </w:rPr>
              <w:footnoteReference w:id="31"/>
            </w:r>
          </w:p>
        </w:tc>
      </w:tr>
      <w:tr w:rsidR="00E9170D" w:rsidRPr="003A7CD3" w14:paraId="7902F858" w14:textId="77777777" w:rsidTr="00F24CFD">
        <w:tc>
          <w:tcPr>
            <w:tcW w:w="1908" w:type="dxa"/>
          </w:tcPr>
          <w:p w14:paraId="0B786A07" w14:textId="77777777" w:rsidR="00E9170D" w:rsidRPr="003A7CD3" w:rsidRDefault="00E9170D">
            <w:pPr>
              <w:rPr>
                <w:rFonts w:asciiTheme="minorHAnsi" w:hAnsiTheme="minorHAnsi"/>
              </w:rPr>
            </w:pPr>
            <w:r w:rsidRPr="003A7CD3">
              <w:rPr>
                <w:rFonts w:asciiTheme="minorHAnsi" w:hAnsiTheme="minorHAnsi"/>
              </w:rPr>
              <w:t>Transgender man</w:t>
            </w:r>
            <w:r w:rsidRPr="003A7CD3">
              <w:rPr>
                <w:rStyle w:val="FootnoteReference"/>
                <w:rFonts w:asciiTheme="minorHAnsi" w:hAnsiTheme="minorHAnsi"/>
              </w:rPr>
              <w:footnoteReference w:id="32"/>
            </w:r>
          </w:p>
        </w:tc>
        <w:tc>
          <w:tcPr>
            <w:tcW w:w="7650" w:type="dxa"/>
          </w:tcPr>
          <w:p w14:paraId="25884D1C" w14:textId="77777777" w:rsidR="00E9170D" w:rsidRPr="003A7CD3" w:rsidRDefault="00E9170D">
            <w:pPr>
              <w:rPr>
                <w:rFonts w:asciiTheme="minorHAnsi" w:hAnsiTheme="minorHAnsi"/>
              </w:rPr>
            </w:pPr>
            <w:r w:rsidRPr="003A7CD3">
              <w:rPr>
                <w:rFonts w:asciiTheme="minorHAnsi" w:hAnsiTheme="minorHAnsi"/>
              </w:rPr>
              <w:t>A transgender person who currently identifies as a man.</w:t>
            </w:r>
          </w:p>
        </w:tc>
      </w:tr>
      <w:tr w:rsidR="00E9170D" w:rsidRPr="003A7CD3" w14:paraId="27419A44" w14:textId="77777777" w:rsidTr="00F24CFD">
        <w:tc>
          <w:tcPr>
            <w:tcW w:w="1908" w:type="dxa"/>
          </w:tcPr>
          <w:p w14:paraId="01FE4B9F" w14:textId="77777777" w:rsidR="00E9170D" w:rsidRPr="003A7CD3" w:rsidRDefault="00E9170D" w:rsidP="00F24CFD">
            <w:pPr>
              <w:rPr>
                <w:rFonts w:asciiTheme="minorHAnsi" w:hAnsiTheme="minorHAnsi"/>
              </w:rPr>
            </w:pPr>
            <w:r w:rsidRPr="003A7CD3">
              <w:rPr>
                <w:rFonts w:asciiTheme="minorHAnsi" w:hAnsiTheme="minorHAnsi"/>
              </w:rPr>
              <w:t>Transgender woman</w:t>
            </w:r>
            <w:r w:rsidRPr="003A7CD3">
              <w:rPr>
                <w:rStyle w:val="FootnoteReference"/>
                <w:rFonts w:asciiTheme="minorHAnsi" w:hAnsiTheme="minorHAnsi"/>
              </w:rPr>
              <w:footnoteReference w:id="33"/>
            </w:r>
          </w:p>
        </w:tc>
        <w:tc>
          <w:tcPr>
            <w:tcW w:w="7650" w:type="dxa"/>
          </w:tcPr>
          <w:p w14:paraId="13A7CBC9" w14:textId="77777777" w:rsidR="00E9170D" w:rsidRPr="003A7CD3" w:rsidRDefault="00E9170D">
            <w:pPr>
              <w:rPr>
                <w:rFonts w:asciiTheme="minorHAnsi" w:hAnsiTheme="minorHAnsi"/>
              </w:rPr>
            </w:pPr>
            <w:r w:rsidRPr="003A7CD3">
              <w:rPr>
                <w:rFonts w:asciiTheme="minorHAnsi" w:hAnsiTheme="minorHAnsi"/>
              </w:rPr>
              <w:t>A transgender person who currently identifies as a woman</w:t>
            </w:r>
          </w:p>
        </w:tc>
      </w:tr>
      <w:tr w:rsidR="00E9170D" w:rsidRPr="003A7CD3" w14:paraId="741EEF3C" w14:textId="77777777" w:rsidTr="00F24CFD">
        <w:trPr>
          <w:cantSplit/>
        </w:trPr>
        <w:tc>
          <w:tcPr>
            <w:tcW w:w="1908" w:type="dxa"/>
          </w:tcPr>
          <w:p w14:paraId="1AC7EEAF" w14:textId="77777777" w:rsidR="00E9170D" w:rsidRPr="003A7CD3" w:rsidRDefault="00E9170D">
            <w:pPr>
              <w:rPr>
                <w:rFonts w:asciiTheme="minorHAnsi" w:hAnsiTheme="minorHAnsi"/>
              </w:rPr>
            </w:pPr>
            <w:r w:rsidRPr="003A7CD3">
              <w:rPr>
                <w:rFonts w:asciiTheme="minorHAnsi" w:hAnsiTheme="minorHAnsi"/>
              </w:rPr>
              <w:t>FTM</w:t>
            </w:r>
            <w:r w:rsidRPr="003A7CD3">
              <w:rPr>
                <w:rStyle w:val="FootnoteReference"/>
                <w:rFonts w:asciiTheme="minorHAnsi" w:hAnsiTheme="minorHAnsi"/>
              </w:rPr>
              <w:footnoteReference w:id="34"/>
            </w:r>
          </w:p>
        </w:tc>
        <w:tc>
          <w:tcPr>
            <w:tcW w:w="7650" w:type="dxa"/>
          </w:tcPr>
          <w:p w14:paraId="031C6A19" w14:textId="77777777" w:rsidR="00E9170D" w:rsidRPr="003A7CD3" w:rsidRDefault="00E9170D">
            <w:pPr>
              <w:rPr>
                <w:rFonts w:asciiTheme="minorHAnsi" w:hAnsiTheme="minorHAnsi"/>
              </w:rPr>
            </w:pPr>
            <w:r w:rsidRPr="003A7CD3">
              <w:rPr>
                <w:rFonts w:asciiTheme="minorHAnsi" w:hAnsiTheme="minorHAnsi"/>
              </w:rPr>
              <w:t>A person who transitions from female-to-male, meaning a person who was assigned the female sex at birth but identifies and lives as a man.</w:t>
            </w:r>
          </w:p>
        </w:tc>
      </w:tr>
      <w:tr w:rsidR="00E9170D" w:rsidRPr="003A7CD3" w14:paraId="28FCF44C" w14:textId="77777777" w:rsidTr="00F24CFD">
        <w:tc>
          <w:tcPr>
            <w:tcW w:w="1908" w:type="dxa"/>
          </w:tcPr>
          <w:p w14:paraId="61CCCCCE" w14:textId="77777777" w:rsidR="00E9170D" w:rsidRPr="003A7CD3" w:rsidRDefault="00E9170D">
            <w:pPr>
              <w:rPr>
                <w:rFonts w:asciiTheme="minorHAnsi" w:hAnsiTheme="minorHAnsi"/>
              </w:rPr>
            </w:pPr>
            <w:r w:rsidRPr="003A7CD3">
              <w:rPr>
                <w:rFonts w:asciiTheme="minorHAnsi" w:hAnsiTheme="minorHAnsi"/>
              </w:rPr>
              <w:t>MTF</w:t>
            </w:r>
            <w:r w:rsidRPr="003A7CD3">
              <w:rPr>
                <w:rStyle w:val="FootnoteReference"/>
                <w:rFonts w:asciiTheme="minorHAnsi" w:hAnsiTheme="minorHAnsi"/>
              </w:rPr>
              <w:footnoteReference w:id="35"/>
            </w:r>
          </w:p>
        </w:tc>
        <w:tc>
          <w:tcPr>
            <w:tcW w:w="7650" w:type="dxa"/>
          </w:tcPr>
          <w:p w14:paraId="08D9DCEC" w14:textId="77777777" w:rsidR="00E9170D" w:rsidRPr="003A7CD3" w:rsidRDefault="00E9170D">
            <w:pPr>
              <w:rPr>
                <w:rFonts w:asciiTheme="minorHAnsi" w:hAnsiTheme="minorHAnsi"/>
              </w:rPr>
            </w:pPr>
            <w:r w:rsidRPr="003A7CD3">
              <w:rPr>
                <w:rFonts w:asciiTheme="minorHAnsi" w:hAnsiTheme="minorHAnsi"/>
              </w:rPr>
              <w:t>A person who transitions from male-to-female, meaning a person who was assigned the male sex at birth, but identifies and lives as a woman.</w:t>
            </w:r>
          </w:p>
        </w:tc>
      </w:tr>
      <w:tr w:rsidR="00E9170D" w:rsidRPr="003A7CD3" w14:paraId="7BF91586" w14:textId="77777777" w:rsidTr="00F24CFD">
        <w:trPr>
          <w:cantSplit/>
        </w:trPr>
        <w:tc>
          <w:tcPr>
            <w:tcW w:w="1908" w:type="dxa"/>
          </w:tcPr>
          <w:p w14:paraId="0B34C1AF" w14:textId="77777777" w:rsidR="00E9170D" w:rsidRPr="003A7CD3" w:rsidRDefault="00E9170D">
            <w:pPr>
              <w:rPr>
                <w:rFonts w:asciiTheme="minorHAnsi" w:hAnsiTheme="minorHAnsi"/>
              </w:rPr>
            </w:pPr>
            <w:r w:rsidRPr="003A7CD3">
              <w:rPr>
                <w:rFonts w:asciiTheme="minorHAnsi" w:hAnsiTheme="minorHAnsi"/>
              </w:rPr>
              <w:t>Queer</w:t>
            </w:r>
            <w:r w:rsidRPr="003A7CD3">
              <w:rPr>
                <w:rStyle w:val="FootnoteReference"/>
                <w:rFonts w:asciiTheme="minorHAnsi" w:hAnsiTheme="minorHAnsi"/>
              </w:rPr>
              <w:footnoteReference w:id="36"/>
            </w:r>
          </w:p>
        </w:tc>
        <w:tc>
          <w:tcPr>
            <w:tcW w:w="7650" w:type="dxa"/>
          </w:tcPr>
          <w:p w14:paraId="01F7014A" w14:textId="77777777" w:rsidR="00E9170D" w:rsidRPr="003A7CD3" w:rsidRDefault="00E9170D" w:rsidP="00F24CFD">
            <w:pPr>
              <w:rPr>
                <w:rFonts w:asciiTheme="minorHAnsi" w:hAnsiTheme="minorHAnsi"/>
              </w:rPr>
            </w:pPr>
            <w:r w:rsidRPr="003A7CD3">
              <w:rPr>
                <w:rFonts w:asciiTheme="minorHAnsi" w:hAnsiTheme="minorHAnsi"/>
              </w:rPr>
              <w:t>Used as an alternative to gay in an effort to be more inclusive, since the term queer does not convey a sense of gender. Also claimed as a positive term of social and political identity. Formerly widely considered a derogatory term.</w:t>
            </w:r>
          </w:p>
        </w:tc>
      </w:tr>
      <w:tr w:rsidR="00E9170D" w:rsidRPr="003A7CD3" w14:paraId="1C21A84F" w14:textId="77777777" w:rsidTr="00F24CFD">
        <w:tc>
          <w:tcPr>
            <w:tcW w:w="1908" w:type="dxa"/>
          </w:tcPr>
          <w:p w14:paraId="1DBBA4E1" w14:textId="77777777" w:rsidR="00E9170D" w:rsidRPr="003A7CD3" w:rsidRDefault="00E9170D">
            <w:pPr>
              <w:rPr>
                <w:rFonts w:asciiTheme="minorHAnsi" w:hAnsiTheme="minorHAnsi"/>
              </w:rPr>
            </w:pPr>
            <w:r w:rsidRPr="003A7CD3">
              <w:rPr>
                <w:rFonts w:asciiTheme="minorHAnsi" w:hAnsiTheme="minorHAnsi"/>
              </w:rPr>
              <w:t>Questioning</w:t>
            </w:r>
            <w:r w:rsidRPr="003A7CD3">
              <w:rPr>
                <w:rStyle w:val="FootnoteReference"/>
                <w:rFonts w:asciiTheme="minorHAnsi" w:hAnsiTheme="minorHAnsi"/>
              </w:rPr>
              <w:footnoteReference w:id="37"/>
            </w:r>
          </w:p>
        </w:tc>
        <w:tc>
          <w:tcPr>
            <w:tcW w:w="7650" w:type="dxa"/>
          </w:tcPr>
          <w:p w14:paraId="42B10535" w14:textId="77777777" w:rsidR="00E9170D" w:rsidRPr="003A7CD3" w:rsidRDefault="00E9170D" w:rsidP="00F24CFD">
            <w:pPr>
              <w:rPr>
                <w:rFonts w:asciiTheme="minorHAnsi" w:hAnsiTheme="minorHAnsi"/>
              </w:rPr>
            </w:pPr>
            <w:r w:rsidRPr="003A7CD3">
              <w:rPr>
                <w:rFonts w:asciiTheme="minorHAnsi" w:hAnsiTheme="minorHAnsi"/>
              </w:rPr>
              <w:t>Individuals who are uncertain about their sexual orientation and/or gender identity.</w:t>
            </w:r>
          </w:p>
        </w:tc>
      </w:tr>
      <w:tr w:rsidR="00E9170D" w:rsidRPr="003A7CD3" w14:paraId="06271920" w14:textId="77777777" w:rsidTr="00F24CFD">
        <w:tc>
          <w:tcPr>
            <w:tcW w:w="1908" w:type="dxa"/>
          </w:tcPr>
          <w:p w14:paraId="5242A14F" w14:textId="77777777" w:rsidR="00E9170D" w:rsidRPr="003A7CD3" w:rsidRDefault="00E9170D">
            <w:pPr>
              <w:rPr>
                <w:rFonts w:asciiTheme="minorHAnsi" w:hAnsiTheme="minorHAnsi"/>
              </w:rPr>
            </w:pPr>
            <w:r w:rsidRPr="003A7CD3">
              <w:rPr>
                <w:rFonts w:asciiTheme="minorHAnsi" w:hAnsiTheme="minorHAnsi"/>
              </w:rPr>
              <w:t>Sexual Orientation</w:t>
            </w:r>
            <w:r w:rsidRPr="003A7CD3">
              <w:rPr>
                <w:rStyle w:val="FootnoteReference"/>
                <w:rFonts w:asciiTheme="minorHAnsi" w:hAnsiTheme="minorHAnsi"/>
              </w:rPr>
              <w:footnoteReference w:id="38"/>
            </w:r>
          </w:p>
        </w:tc>
        <w:tc>
          <w:tcPr>
            <w:tcW w:w="7650" w:type="dxa"/>
          </w:tcPr>
          <w:p w14:paraId="61333FE5" w14:textId="77777777" w:rsidR="00E9170D" w:rsidRPr="003A7CD3" w:rsidRDefault="00E9170D">
            <w:pPr>
              <w:rPr>
                <w:rFonts w:asciiTheme="minorHAnsi" w:hAnsiTheme="minorHAnsi"/>
              </w:rPr>
            </w:pPr>
            <w:r w:rsidRPr="003A7CD3">
              <w:rPr>
                <w:rFonts w:asciiTheme="minorHAnsi" w:hAnsiTheme="minorHAnsi"/>
              </w:rPr>
              <w:t>A person’s emotional, sexual, and/or relational attraction to others. Sexual orientation is usually classified as heterosexual, bisexual and homosexual (i.e. lesbian and gay).</w:t>
            </w:r>
          </w:p>
        </w:tc>
      </w:tr>
      <w:tr w:rsidR="00E9170D" w:rsidRPr="003A7CD3" w14:paraId="509D1FC4" w14:textId="77777777" w:rsidTr="00F24CFD">
        <w:tc>
          <w:tcPr>
            <w:tcW w:w="1908" w:type="dxa"/>
          </w:tcPr>
          <w:p w14:paraId="24FB8771" w14:textId="77777777" w:rsidR="00E9170D" w:rsidRPr="003A7CD3" w:rsidRDefault="00E9170D">
            <w:pPr>
              <w:rPr>
                <w:rFonts w:asciiTheme="minorHAnsi" w:hAnsiTheme="minorHAnsi"/>
              </w:rPr>
            </w:pPr>
            <w:r w:rsidRPr="003A7CD3">
              <w:rPr>
                <w:rFonts w:asciiTheme="minorHAnsi" w:hAnsiTheme="minorHAnsi"/>
              </w:rPr>
              <w:t>Intersex</w:t>
            </w:r>
            <w:r w:rsidRPr="003A7CD3">
              <w:rPr>
                <w:rStyle w:val="FootnoteReference"/>
                <w:rFonts w:asciiTheme="minorHAnsi" w:hAnsiTheme="minorHAnsi"/>
              </w:rPr>
              <w:footnoteReference w:id="39"/>
            </w:r>
          </w:p>
        </w:tc>
        <w:tc>
          <w:tcPr>
            <w:tcW w:w="7650" w:type="dxa"/>
          </w:tcPr>
          <w:p w14:paraId="6087B0F9" w14:textId="77777777" w:rsidR="00E9170D" w:rsidRPr="003A7CD3" w:rsidRDefault="00E9170D" w:rsidP="00F24CFD">
            <w:pPr>
              <w:rPr>
                <w:rFonts w:asciiTheme="minorHAnsi" w:hAnsiTheme="minorHAnsi"/>
              </w:rPr>
            </w:pPr>
            <w:r w:rsidRPr="003A7CD3">
              <w:rPr>
                <w:rFonts w:asciiTheme="minorHAnsi" w:hAnsiTheme="minorHAnsi"/>
              </w:rPr>
              <w:t>Individuals with medically defined biological attributes that are not exclusively male or female; frequently “assigned” a gender at birth, which may differ from their gender identity later in life.</w:t>
            </w:r>
          </w:p>
        </w:tc>
      </w:tr>
      <w:tr w:rsidR="00E9170D" w:rsidRPr="003A7CD3" w14:paraId="5330FDE3" w14:textId="77777777" w:rsidTr="00F24CFD">
        <w:tc>
          <w:tcPr>
            <w:tcW w:w="1908" w:type="dxa"/>
          </w:tcPr>
          <w:p w14:paraId="36D87DD7" w14:textId="77777777" w:rsidR="00E9170D" w:rsidRPr="003A7CD3" w:rsidRDefault="00E9170D">
            <w:pPr>
              <w:rPr>
                <w:rFonts w:asciiTheme="minorHAnsi" w:hAnsiTheme="minorHAnsi"/>
              </w:rPr>
            </w:pPr>
            <w:r w:rsidRPr="003A7CD3">
              <w:rPr>
                <w:rFonts w:asciiTheme="minorHAnsi" w:hAnsiTheme="minorHAnsi"/>
              </w:rPr>
              <w:t>MSM</w:t>
            </w:r>
            <w:r w:rsidRPr="003A7CD3">
              <w:rPr>
                <w:rStyle w:val="FootnoteReference"/>
                <w:rFonts w:asciiTheme="minorHAnsi" w:hAnsiTheme="minorHAnsi"/>
              </w:rPr>
              <w:footnoteReference w:id="40"/>
            </w:r>
          </w:p>
        </w:tc>
        <w:tc>
          <w:tcPr>
            <w:tcW w:w="7650" w:type="dxa"/>
          </w:tcPr>
          <w:p w14:paraId="2A608091" w14:textId="77777777" w:rsidR="00E9170D" w:rsidRPr="003A7CD3" w:rsidRDefault="00E9170D" w:rsidP="00F24CFD">
            <w:pPr>
              <w:rPr>
                <w:rFonts w:asciiTheme="minorHAnsi" w:hAnsiTheme="minorHAnsi"/>
              </w:rPr>
            </w:pPr>
            <w:r w:rsidRPr="003A7CD3">
              <w:rPr>
                <w:rFonts w:asciiTheme="minorHAnsi" w:hAnsiTheme="minorHAnsi"/>
              </w:rPr>
              <w:t>An acronym used to identify men who have sex with men. MSM is a term used to identify and describe behavior among men and is not the same as a sexual identity or sexual orientation.</w:t>
            </w:r>
          </w:p>
        </w:tc>
      </w:tr>
      <w:tr w:rsidR="00E9170D" w:rsidRPr="003A7CD3" w14:paraId="02EF24F2" w14:textId="77777777" w:rsidTr="00F24CFD">
        <w:tc>
          <w:tcPr>
            <w:tcW w:w="1908" w:type="dxa"/>
          </w:tcPr>
          <w:p w14:paraId="1988C4AF" w14:textId="77777777" w:rsidR="00E9170D" w:rsidRPr="003A7CD3" w:rsidRDefault="00E9170D">
            <w:pPr>
              <w:rPr>
                <w:rFonts w:asciiTheme="minorHAnsi" w:hAnsiTheme="minorHAnsi"/>
              </w:rPr>
            </w:pPr>
            <w:r w:rsidRPr="003A7CD3">
              <w:rPr>
                <w:rFonts w:asciiTheme="minorHAnsi" w:hAnsiTheme="minorHAnsi"/>
              </w:rPr>
              <w:t>WSW</w:t>
            </w:r>
            <w:r w:rsidRPr="003A7CD3">
              <w:rPr>
                <w:rStyle w:val="FootnoteReference"/>
                <w:rFonts w:asciiTheme="minorHAnsi" w:hAnsiTheme="minorHAnsi"/>
              </w:rPr>
              <w:footnoteReference w:id="41"/>
            </w:r>
          </w:p>
        </w:tc>
        <w:tc>
          <w:tcPr>
            <w:tcW w:w="7650" w:type="dxa"/>
          </w:tcPr>
          <w:p w14:paraId="2EEE3189" w14:textId="77777777" w:rsidR="00E9170D" w:rsidRPr="003A7CD3" w:rsidRDefault="00E9170D" w:rsidP="00F24CFD">
            <w:pPr>
              <w:rPr>
                <w:rFonts w:asciiTheme="minorHAnsi" w:hAnsiTheme="minorHAnsi"/>
              </w:rPr>
            </w:pPr>
            <w:r w:rsidRPr="003A7CD3">
              <w:rPr>
                <w:rFonts w:asciiTheme="minorHAnsi" w:hAnsiTheme="minorHAnsi"/>
              </w:rPr>
              <w:t>An acronym used to identify women who have sex with women. WSW is a term used to identify and describe behavior among women and is not the same as a sexual identity or sexual orientation.</w:t>
            </w:r>
          </w:p>
        </w:tc>
      </w:tr>
      <w:tr w:rsidR="00E9170D" w:rsidRPr="003A7CD3" w14:paraId="5262B17E" w14:textId="77777777" w:rsidTr="00F24CFD">
        <w:tc>
          <w:tcPr>
            <w:tcW w:w="1908" w:type="dxa"/>
          </w:tcPr>
          <w:p w14:paraId="2B691907" w14:textId="77777777" w:rsidR="00E9170D" w:rsidRPr="003A7CD3" w:rsidRDefault="00E9170D">
            <w:pPr>
              <w:rPr>
                <w:rFonts w:asciiTheme="minorHAnsi" w:hAnsiTheme="minorHAnsi"/>
              </w:rPr>
            </w:pPr>
            <w:r w:rsidRPr="003A7CD3">
              <w:rPr>
                <w:rFonts w:asciiTheme="minorHAnsi" w:hAnsiTheme="minorHAnsi"/>
              </w:rPr>
              <w:t>Asexual</w:t>
            </w:r>
            <w:r w:rsidRPr="003A7CD3">
              <w:rPr>
                <w:rStyle w:val="FootnoteReference"/>
                <w:rFonts w:asciiTheme="minorHAnsi" w:hAnsiTheme="minorHAnsi"/>
              </w:rPr>
              <w:footnoteReference w:id="42"/>
            </w:r>
          </w:p>
        </w:tc>
        <w:tc>
          <w:tcPr>
            <w:tcW w:w="7650" w:type="dxa"/>
          </w:tcPr>
          <w:p w14:paraId="79F1F576" w14:textId="77777777" w:rsidR="00E9170D" w:rsidRPr="003A7CD3" w:rsidRDefault="00E9170D" w:rsidP="00F24CFD">
            <w:pPr>
              <w:rPr>
                <w:rFonts w:asciiTheme="minorHAnsi" w:hAnsiTheme="minorHAnsi"/>
              </w:rPr>
            </w:pPr>
            <w:r w:rsidRPr="003A7CD3">
              <w:rPr>
                <w:rFonts w:asciiTheme="minorHAnsi" w:hAnsiTheme="minorHAnsi" w:cs="Calibri"/>
              </w:rPr>
              <w:t>A person who experiences little or no sexual attraction toward others, regardless of gender.</w:t>
            </w:r>
          </w:p>
        </w:tc>
      </w:tr>
      <w:tr w:rsidR="00E9170D" w:rsidRPr="003A7CD3" w14:paraId="1DB58397" w14:textId="77777777" w:rsidTr="00F24CFD">
        <w:tc>
          <w:tcPr>
            <w:tcW w:w="1908" w:type="dxa"/>
          </w:tcPr>
          <w:p w14:paraId="2F4011E8" w14:textId="77777777" w:rsidR="00E9170D" w:rsidRPr="003A7CD3" w:rsidRDefault="00E9170D">
            <w:pPr>
              <w:rPr>
                <w:rFonts w:asciiTheme="minorHAnsi" w:hAnsiTheme="minorHAnsi"/>
              </w:rPr>
            </w:pPr>
            <w:r w:rsidRPr="003A7CD3">
              <w:rPr>
                <w:rFonts w:asciiTheme="minorHAnsi" w:hAnsiTheme="minorHAnsi"/>
              </w:rPr>
              <w:t>Other terms</w:t>
            </w:r>
            <w:r w:rsidRPr="003A7CD3">
              <w:rPr>
                <w:rStyle w:val="FootnoteReference"/>
                <w:rFonts w:asciiTheme="minorHAnsi" w:hAnsiTheme="minorHAnsi"/>
              </w:rPr>
              <w:footnoteReference w:id="43"/>
            </w:r>
          </w:p>
        </w:tc>
        <w:tc>
          <w:tcPr>
            <w:tcW w:w="7650" w:type="dxa"/>
          </w:tcPr>
          <w:p w14:paraId="47FBB0AC" w14:textId="77777777" w:rsidR="00E9170D" w:rsidRPr="003A7CD3" w:rsidRDefault="00E9170D" w:rsidP="00F24CFD">
            <w:pPr>
              <w:rPr>
                <w:rFonts w:asciiTheme="minorHAnsi" w:hAnsiTheme="minorHAnsi"/>
              </w:rPr>
            </w:pPr>
            <w:r w:rsidRPr="003A7CD3">
              <w:rPr>
                <w:rFonts w:asciiTheme="minorHAnsi" w:hAnsiTheme="minorHAnsi" w:cs="Arial"/>
              </w:rPr>
              <w:t>Individuals also may use other terms to describe their sexual orientation and gender identity, such as homosexual, queer, gender queer, non-gendered, and asexual. Some youth may not identify a word that describes their sexual orientation, and others may view their gender as fluid and even changing over time. Some youth may avoid gender specific pronouns.</w:t>
            </w:r>
          </w:p>
        </w:tc>
      </w:tr>
    </w:tbl>
    <w:p w14:paraId="5785E7CF" w14:textId="77777777" w:rsidR="00E9170D" w:rsidRPr="003A7CD3" w:rsidRDefault="00E9170D">
      <w:pPr>
        <w:rPr>
          <w:rFonts w:asciiTheme="minorHAnsi" w:hAnsiTheme="minorHAnsi"/>
        </w:rPr>
      </w:pPr>
    </w:p>
    <w:p w14:paraId="471AD3A1" w14:textId="77777777" w:rsidR="00E9170D" w:rsidRPr="003A7CD3" w:rsidRDefault="00E9170D">
      <w:pPr>
        <w:rPr>
          <w:rFonts w:asciiTheme="minorHAnsi" w:hAnsiTheme="minorHAnsi"/>
        </w:rPr>
      </w:pPr>
      <w:r w:rsidRPr="003A7CD3">
        <w:rPr>
          <w:rFonts w:asciiTheme="minorHAnsi" w:hAnsiTheme="minorHAnsi"/>
        </w:rPr>
        <w:t>For more extensive glossaries and discussions of terms, see:</w:t>
      </w:r>
    </w:p>
    <w:p w14:paraId="6B35A2C0" w14:textId="77777777" w:rsidR="00E9170D" w:rsidRPr="003A7CD3" w:rsidRDefault="00E9170D">
      <w:pPr>
        <w:rPr>
          <w:rFonts w:asciiTheme="minorHAnsi" w:hAnsiTheme="minorHAnsi"/>
        </w:rPr>
      </w:pPr>
    </w:p>
    <w:p w14:paraId="03B182BC" w14:textId="77777777" w:rsidR="00E9170D" w:rsidRPr="003A7CD3" w:rsidRDefault="00E9170D" w:rsidP="00F24CFD">
      <w:pPr>
        <w:ind w:left="720"/>
        <w:rPr>
          <w:rFonts w:asciiTheme="minorHAnsi" w:hAnsiTheme="minorHAnsi"/>
        </w:rPr>
      </w:pPr>
      <w:r w:rsidRPr="003A7CD3">
        <w:rPr>
          <w:rFonts w:asciiTheme="minorHAnsi" w:hAnsiTheme="minorHAnsi"/>
        </w:rPr>
        <w:t xml:space="preserve">SAMHSA’s </w:t>
      </w:r>
      <w:r w:rsidRPr="003A7CD3">
        <w:rPr>
          <w:rFonts w:asciiTheme="minorHAnsi" w:hAnsiTheme="minorHAnsi"/>
          <w:i/>
        </w:rPr>
        <w:t xml:space="preserve">Top Health Issues and Toolkit </w:t>
      </w:r>
      <w:r w:rsidRPr="003A7CD3">
        <w:rPr>
          <w:rFonts w:asciiTheme="minorHAnsi" w:hAnsiTheme="minorHAnsi"/>
        </w:rPr>
        <w:t xml:space="preserve">available at: </w:t>
      </w:r>
      <w:hyperlink r:id="rId66" w:history="1">
        <w:r w:rsidRPr="003A7CD3">
          <w:rPr>
            <w:rStyle w:val="Hyperlink"/>
            <w:rFonts w:asciiTheme="minorHAnsi" w:hAnsiTheme="minorHAnsi"/>
          </w:rPr>
          <w:t>http://store.samhsa.gov/product/Top-Health-Issues-for-LGBT-Populations/All-New-Products/SMA12-4684</w:t>
        </w:r>
      </w:hyperlink>
    </w:p>
    <w:p w14:paraId="4BF117D3" w14:textId="77777777" w:rsidR="00E9170D" w:rsidRPr="003A7CD3" w:rsidRDefault="00E9170D">
      <w:pPr>
        <w:rPr>
          <w:rFonts w:asciiTheme="minorHAnsi" w:hAnsiTheme="minorHAnsi"/>
        </w:rPr>
      </w:pPr>
    </w:p>
    <w:p w14:paraId="7B2BD5F6" w14:textId="77777777" w:rsidR="00E9170D" w:rsidRPr="003A7CD3" w:rsidRDefault="00E9170D" w:rsidP="00F24CFD">
      <w:pPr>
        <w:ind w:left="720"/>
        <w:rPr>
          <w:rFonts w:asciiTheme="minorHAnsi" w:hAnsiTheme="minorHAnsi"/>
        </w:rPr>
      </w:pPr>
      <w:r w:rsidRPr="003A7CD3">
        <w:rPr>
          <w:rFonts w:asciiTheme="minorHAnsi" w:hAnsiTheme="minorHAnsi"/>
        </w:rPr>
        <w:t xml:space="preserve">Lambda Legal and Child Welfare League of America </w:t>
      </w:r>
      <w:r w:rsidRPr="003A7CD3">
        <w:rPr>
          <w:rFonts w:asciiTheme="minorHAnsi" w:hAnsiTheme="minorHAnsi"/>
          <w:i/>
        </w:rPr>
        <w:t xml:space="preserve">Getting Down to Basics </w:t>
      </w:r>
      <w:r w:rsidRPr="003A7CD3">
        <w:rPr>
          <w:rFonts w:asciiTheme="minorHAnsi" w:hAnsiTheme="minorHAnsi"/>
        </w:rPr>
        <w:t xml:space="preserve">Available at: </w:t>
      </w:r>
      <w:hyperlink r:id="rId67" w:history="1">
        <w:r w:rsidRPr="003A7CD3">
          <w:rPr>
            <w:rStyle w:val="Hyperlink"/>
            <w:rFonts w:asciiTheme="minorHAnsi" w:hAnsiTheme="minorHAnsi"/>
          </w:rPr>
          <w:t>http://www.lambdalegal.org/publications/getting-down-to-basics</w:t>
        </w:r>
      </w:hyperlink>
    </w:p>
    <w:p w14:paraId="5BBC362D" w14:textId="77777777" w:rsidR="00E9170D" w:rsidRPr="003A7CD3" w:rsidRDefault="00E9170D" w:rsidP="00F24CFD">
      <w:pPr>
        <w:rPr>
          <w:rFonts w:asciiTheme="minorHAnsi" w:hAnsiTheme="minorHAnsi"/>
        </w:rPr>
      </w:pPr>
    </w:p>
    <w:p w14:paraId="5E774745" w14:textId="77777777" w:rsidR="00E9170D" w:rsidRPr="003A7CD3" w:rsidRDefault="00E9170D" w:rsidP="00F24CFD">
      <w:pPr>
        <w:ind w:left="720"/>
        <w:rPr>
          <w:rFonts w:asciiTheme="minorHAnsi" w:hAnsiTheme="minorHAnsi"/>
        </w:rPr>
      </w:pPr>
      <w:r w:rsidRPr="003A7CD3">
        <w:rPr>
          <w:rFonts w:asciiTheme="minorHAnsi" w:hAnsiTheme="minorHAnsi"/>
        </w:rPr>
        <w:t xml:space="preserve">Practice Brief: Providing Services and Supports to Youth who are Lesbian, Gay, Bisexual, Transgender, Questioning, or Two-Spirit, available at: </w:t>
      </w:r>
      <w:hyperlink r:id="rId68" w:history="1">
        <w:r w:rsidRPr="003A7CD3">
          <w:rPr>
            <w:rStyle w:val="Hyperlink"/>
            <w:rFonts w:asciiTheme="minorHAnsi" w:hAnsiTheme="minorHAnsi"/>
          </w:rPr>
          <w:t>http://www.samhsa.gov/obhe/lgbt.aspx</w:t>
        </w:r>
      </w:hyperlink>
    </w:p>
    <w:p w14:paraId="4E31D234" w14:textId="77777777" w:rsidR="00FF04E0" w:rsidRPr="003A7CD3" w:rsidRDefault="00FF04E0" w:rsidP="009666FB">
      <w:pPr>
        <w:rPr>
          <w:rFonts w:asciiTheme="minorHAnsi" w:hAnsiTheme="minorHAnsi"/>
        </w:rPr>
      </w:pPr>
    </w:p>
    <w:sectPr w:rsidR="00FF04E0" w:rsidRPr="003A7CD3" w:rsidSect="00CF24B0">
      <w:footnotePr>
        <w:numRestart w:val="eachSect"/>
      </w:footnotePr>
      <w:pgSz w:w="12240" w:h="15840"/>
      <w:pgMar w:top="1170" w:right="1440" w:bottom="1440" w:left="1440" w:header="720" w:footer="10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3A69F" w14:textId="77777777" w:rsidR="00F004C0" w:rsidRDefault="00F004C0" w:rsidP="00420622">
      <w:r>
        <w:separator/>
      </w:r>
    </w:p>
  </w:endnote>
  <w:endnote w:type="continuationSeparator" w:id="0">
    <w:p w14:paraId="13130886" w14:textId="77777777" w:rsidR="00F004C0" w:rsidRDefault="00F004C0" w:rsidP="00420622">
      <w:r>
        <w:continuationSeparator/>
      </w:r>
    </w:p>
  </w:endnote>
  <w:endnote w:id="1">
    <w:p w14:paraId="62FB019D" w14:textId="03326DA9" w:rsidR="00F004C0" w:rsidRPr="005145E2" w:rsidRDefault="00F004C0">
      <w:pPr>
        <w:pStyle w:val="EndnoteText"/>
        <w:rPr>
          <w:sz w:val="20"/>
          <w:szCs w:val="20"/>
        </w:rPr>
      </w:pPr>
      <w:r w:rsidRPr="005145E2">
        <w:rPr>
          <w:rStyle w:val="EndnoteReference"/>
          <w:sz w:val="20"/>
          <w:szCs w:val="20"/>
        </w:rPr>
        <w:endnoteRef/>
      </w:r>
      <w:r w:rsidRPr="005145E2">
        <w:rPr>
          <w:sz w:val="20"/>
          <w:szCs w:val="20"/>
        </w:rPr>
        <w:t xml:space="preserve"> See also Mee-Lee, D., et al. </w:t>
      </w:r>
      <w:r w:rsidRPr="005145E2">
        <w:rPr>
          <w:i/>
          <w:sz w:val="20"/>
          <w:szCs w:val="20"/>
        </w:rPr>
        <w:t>The ASAM criteria: treatment criteria for addictive, substance-related and co-occurring conditions, third edition.</w:t>
      </w:r>
      <w:r w:rsidRPr="005145E2">
        <w:rPr>
          <w:sz w:val="20"/>
          <w:szCs w:val="20"/>
        </w:rPr>
        <w:t xml:space="preserve"> Cason City, NV: The Change Companies. 2013.</w:t>
      </w:r>
    </w:p>
  </w:endnote>
  <w:endnote w:id="2">
    <w:p w14:paraId="4C02939F" w14:textId="7A50948F" w:rsidR="00F004C0" w:rsidRPr="00F47B89" w:rsidRDefault="00F004C0">
      <w:pPr>
        <w:pStyle w:val="EndnoteText"/>
        <w:rPr>
          <w:rFonts w:asciiTheme="majorHAnsi" w:hAnsiTheme="majorHAnsi"/>
          <w:i/>
          <w:sz w:val="20"/>
          <w:szCs w:val="20"/>
        </w:rPr>
      </w:pPr>
      <w:r w:rsidRPr="00F47B89">
        <w:rPr>
          <w:rStyle w:val="EndnoteReference"/>
          <w:rFonts w:asciiTheme="majorHAnsi" w:hAnsiTheme="majorHAnsi"/>
          <w:sz w:val="20"/>
          <w:szCs w:val="20"/>
        </w:rPr>
        <w:endnoteRef/>
      </w:r>
      <w:r w:rsidRPr="00F47B89">
        <w:rPr>
          <w:rFonts w:asciiTheme="majorHAnsi" w:hAnsiTheme="majorHAnsi"/>
          <w:sz w:val="20"/>
          <w:szCs w:val="20"/>
        </w:rPr>
        <w:t xml:space="preserve"> A term used to describe young adulthood; ‘transition age youth’ is also used. See Arnett, J.J., </w:t>
      </w:r>
      <w:r w:rsidRPr="00F47B89">
        <w:rPr>
          <w:rFonts w:asciiTheme="majorHAnsi" w:hAnsiTheme="majorHAnsi"/>
          <w:i/>
          <w:sz w:val="20"/>
          <w:szCs w:val="20"/>
        </w:rPr>
        <w:t>Emerging Adulthood: the winding road from the late teens through the twenties</w:t>
      </w:r>
      <w:r w:rsidRPr="00F47B89">
        <w:rPr>
          <w:rFonts w:asciiTheme="majorHAnsi" w:hAnsiTheme="majorHAnsi"/>
          <w:sz w:val="20"/>
          <w:szCs w:val="20"/>
        </w:rPr>
        <w:t xml:space="preserve">. 2004. New York: Oxford University Press; Howard, A.L., et al. (2010) Paths to success in young adulthood from mental health and life transitions in emerging adulthood. </w:t>
      </w:r>
      <w:r w:rsidRPr="00F47B89">
        <w:rPr>
          <w:rFonts w:asciiTheme="majorHAnsi" w:hAnsiTheme="majorHAnsi"/>
          <w:i/>
          <w:sz w:val="20"/>
          <w:szCs w:val="20"/>
        </w:rPr>
        <w:t>Int J Beh Devel</w:t>
      </w:r>
    </w:p>
  </w:endnote>
  <w:endnote w:id="3">
    <w:p w14:paraId="7497EC8B" w14:textId="3CC63F1C" w:rsidR="00F004C0" w:rsidRPr="007F1704" w:rsidRDefault="00F004C0" w:rsidP="007F1704">
      <w:pPr>
        <w:pStyle w:val="CommentText"/>
        <w:rPr>
          <w:rFonts w:asciiTheme="majorHAnsi" w:hAnsiTheme="majorHAnsi"/>
        </w:rPr>
      </w:pPr>
      <w:r w:rsidRPr="00F47B89">
        <w:rPr>
          <w:rStyle w:val="EndnoteReference"/>
          <w:rFonts w:asciiTheme="majorHAnsi" w:hAnsiTheme="majorHAnsi"/>
        </w:rPr>
        <w:endnoteRef/>
      </w:r>
      <w:r w:rsidRPr="00F47B89">
        <w:rPr>
          <w:rFonts w:asciiTheme="majorHAnsi" w:hAnsiTheme="majorHAnsi"/>
        </w:rPr>
        <w:t xml:space="preserve"> De</w:t>
      </w:r>
      <w:r>
        <w:rPr>
          <w:rFonts w:asciiTheme="majorHAnsi" w:hAnsiTheme="majorHAnsi"/>
        </w:rPr>
        <w:t xml:space="preserve">nnis, ML, White, M., Ives, M.I. </w:t>
      </w:r>
      <w:r w:rsidRPr="00F47B89">
        <w:rPr>
          <w:rFonts w:asciiTheme="majorHAnsi" w:hAnsiTheme="majorHAnsi"/>
        </w:rPr>
        <w:t>Individual characteristics and needs associated with substance misuse of adolescents and young adults in addicti</w:t>
      </w:r>
      <w:r>
        <w:rPr>
          <w:rFonts w:asciiTheme="majorHAnsi" w:hAnsiTheme="majorHAnsi"/>
        </w:rPr>
        <w:t xml:space="preserve">on treatment. In Carl Leukefeld, et al, eds. </w:t>
      </w:r>
      <w:r>
        <w:rPr>
          <w:rFonts w:asciiTheme="majorHAnsi" w:hAnsiTheme="majorHAnsi"/>
          <w:i/>
          <w:iCs/>
        </w:rPr>
        <w:t>Adolescent substance abuse: evidence-based approaches to prevention and treatment</w:t>
      </w:r>
      <w:r w:rsidRPr="00F47B89">
        <w:rPr>
          <w:rFonts w:asciiTheme="majorHAnsi" w:hAnsiTheme="majorHAnsi"/>
        </w:rPr>
        <w:t xml:space="preserve">.   </w:t>
      </w:r>
      <w:r>
        <w:rPr>
          <w:rFonts w:asciiTheme="majorHAnsi" w:hAnsiTheme="majorHAnsi"/>
        </w:rPr>
        <w:t xml:space="preserve">2009 </w:t>
      </w:r>
      <w:r w:rsidRPr="00F47B89">
        <w:rPr>
          <w:rFonts w:asciiTheme="majorHAnsi" w:hAnsiTheme="majorHAnsi"/>
        </w:rPr>
        <w:t xml:space="preserve">New London, CT: Child and Family Agency Press.  </w:t>
      </w:r>
    </w:p>
  </w:endnote>
  <w:endnote w:id="4">
    <w:p w14:paraId="4E415E2A" w14:textId="72A11AA5" w:rsidR="00F004C0" w:rsidRPr="009E1473" w:rsidRDefault="00F004C0" w:rsidP="007F1704">
      <w:r>
        <w:rPr>
          <w:rStyle w:val="EndnoteReference"/>
        </w:rPr>
        <w:endnoteRef/>
      </w:r>
      <w:r>
        <w:t xml:space="preserve"> </w:t>
      </w:r>
      <w:r w:rsidRPr="007F1704">
        <w:rPr>
          <w:rFonts w:asciiTheme="majorHAnsi" w:hAnsiTheme="majorHAnsi" w:cs="Helvetica"/>
          <w:color w:val="262626"/>
          <w:sz w:val="20"/>
          <w:szCs w:val="24"/>
        </w:rPr>
        <w:t xml:space="preserve">Spoth, et al. Longitudinal effects of universal preventive intervention on prescription drug misuse: three randomized controlled trials with late adolescents and young adults. </w:t>
      </w:r>
      <w:r w:rsidRPr="007F1704">
        <w:rPr>
          <w:rFonts w:asciiTheme="majorHAnsi" w:hAnsiTheme="majorHAnsi" w:cs="Helvetica"/>
          <w:i/>
          <w:color w:val="262626"/>
          <w:sz w:val="20"/>
          <w:szCs w:val="24"/>
        </w:rPr>
        <w:t>Am J Pub Health</w:t>
      </w:r>
      <w:r w:rsidRPr="007F1704">
        <w:rPr>
          <w:rFonts w:asciiTheme="majorHAnsi" w:hAnsiTheme="majorHAnsi" w:cs="Helvetica"/>
          <w:color w:val="262626"/>
          <w:sz w:val="20"/>
          <w:szCs w:val="24"/>
        </w:rPr>
        <w:t xml:space="preserve"> 103(4) Apr 2013</w:t>
      </w:r>
    </w:p>
    <w:p w14:paraId="42BDE63B" w14:textId="5F318613" w:rsidR="00F004C0" w:rsidRDefault="00F004C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111B7" w14:textId="3F2AC8AB" w:rsidR="00F004C0" w:rsidRDefault="00F004C0">
    <w:pPr>
      <w:pStyle w:val="Footer"/>
    </w:pPr>
    <w:r>
      <w:t>Practice Guidance: Serving LGBTQ Youth &amp; Young Ad</w:t>
    </w:r>
    <w:r w:rsidR="00C94420">
      <w:t xml:space="preserve">ults &amp; Their Families </w:t>
    </w:r>
    <w:r w:rsidR="00695466">
      <w:t>/ Issued JuULY</w:t>
    </w:r>
    <w:r>
      <w:t>2014</w:t>
    </w:r>
    <w:r>
      <w:tab/>
    </w:r>
    <w:r>
      <w:rPr>
        <w:rStyle w:val="PageNumber"/>
      </w:rPr>
      <w:fldChar w:fldCharType="begin"/>
    </w:r>
    <w:r>
      <w:rPr>
        <w:rStyle w:val="PageNumber"/>
      </w:rPr>
      <w:instrText xml:space="preserve"> PAGE </w:instrText>
    </w:r>
    <w:r>
      <w:rPr>
        <w:rStyle w:val="PageNumber"/>
      </w:rPr>
      <w:fldChar w:fldCharType="separate"/>
    </w:r>
    <w:r w:rsidR="0018131C">
      <w:rPr>
        <w:rStyle w:val="PageNumber"/>
        <w:noProof/>
      </w:rPr>
      <w:t>13</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ED6B" w14:textId="74264D88" w:rsidR="00F004C0" w:rsidRDefault="00F004C0">
    <w:pPr>
      <w:pStyle w:val="Footer"/>
    </w:pPr>
    <w:r>
      <w:rPr>
        <w:noProof/>
      </w:rPr>
      <mc:AlternateContent>
        <mc:Choice Requires="wps">
          <w:drawing>
            <wp:anchor distT="0" distB="0" distL="114300" distR="114300" simplePos="0" relativeHeight="251665408" behindDoc="0" locked="0" layoutInCell="1" allowOverlap="1" wp14:anchorId="7396B06A" wp14:editId="76FAC48C">
              <wp:simplePos x="0" y="0"/>
              <wp:positionH relativeFrom="column">
                <wp:posOffset>-713105</wp:posOffset>
              </wp:positionH>
              <wp:positionV relativeFrom="paragraph">
                <wp:posOffset>-7893685</wp:posOffset>
              </wp:positionV>
              <wp:extent cx="533400" cy="5114925"/>
              <wp:effectExtent l="0" t="0" r="1905" b="0"/>
              <wp:wrapThrough wrapText="bothSides">
                <wp:wrapPolygon edited="0">
                  <wp:start x="-386" y="0"/>
                  <wp:lineTo x="-386" y="21520"/>
                  <wp:lineTo x="21600" y="21520"/>
                  <wp:lineTo x="21600" y="0"/>
                  <wp:lineTo x="-386" y="0"/>
                </wp:wrapPolygon>
              </wp:wrapThrough>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11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56E7B" w14:textId="77777777" w:rsidR="00F004C0" w:rsidRDefault="00F004C0" w:rsidP="00BD13A7">
                          <w:pPr>
                            <w:jc w:val="center"/>
                            <w:rPr>
                              <w:rFonts w:eastAsia="Times New Roman"/>
                              <w:b/>
                              <w:color w:val="005DAA"/>
                              <w:sz w:val="36"/>
                              <w:szCs w:val="36"/>
                            </w:rPr>
                          </w:pPr>
                          <w:r>
                            <w:rPr>
                              <w:rFonts w:eastAsia="Times New Roman"/>
                              <w:b/>
                              <w:color w:val="005DAA"/>
                              <w:sz w:val="36"/>
                              <w:szCs w:val="36"/>
                            </w:rPr>
                            <w:t xml:space="preserve">Prevent    </w:t>
                          </w:r>
                          <w:r>
                            <w:rPr>
                              <w:rFonts w:eastAsia="Times New Roman" w:cs="Calibri"/>
                              <w:b/>
                              <w:color w:val="005DAA"/>
                              <w:sz w:val="24"/>
                              <w:szCs w:val="24"/>
                            </w:rPr>
                            <w:t>●</w:t>
                          </w:r>
                          <w:r>
                            <w:rPr>
                              <w:rFonts w:eastAsia="Times New Roman" w:cs="Calibri"/>
                              <w:b/>
                              <w:color w:val="005DAA"/>
                              <w:sz w:val="36"/>
                              <w:szCs w:val="36"/>
                            </w:rPr>
                            <w:t xml:space="preserve">    </w:t>
                          </w:r>
                          <w:r>
                            <w:rPr>
                              <w:rFonts w:eastAsia="Times New Roman"/>
                              <w:b/>
                              <w:color w:val="005DAA"/>
                              <w:sz w:val="36"/>
                              <w:szCs w:val="36"/>
                            </w:rPr>
                            <w:t xml:space="preserve">Treat    </w:t>
                          </w:r>
                          <w:r>
                            <w:rPr>
                              <w:rFonts w:eastAsia="Times New Roman" w:cs="Calibri"/>
                              <w:b/>
                              <w:color w:val="005DAA"/>
                              <w:sz w:val="24"/>
                              <w:szCs w:val="24"/>
                            </w:rPr>
                            <w:t>●</w:t>
                          </w:r>
                          <w:r>
                            <w:rPr>
                              <w:rFonts w:eastAsia="Times New Roman" w:cs="Calibri"/>
                              <w:b/>
                              <w:color w:val="005DAA"/>
                              <w:sz w:val="36"/>
                              <w:szCs w:val="36"/>
                            </w:rPr>
                            <w:t xml:space="preserve">    Recover    </w:t>
                          </w:r>
                          <w:r>
                            <w:rPr>
                              <w:rFonts w:eastAsia="Times New Roman" w:cs="Calibri"/>
                              <w:b/>
                              <w:color w:val="005DAA"/>
                              <w:sz w:val="24"/>
                              <w:szCs w:val="24"/>
                            </w:rPr>
                            <w:t>●</w:t>
                          </w:r>
                          <w:r>
                            <w:rPr>
                              <w:rFonts w:eastAsia="Times New Roman"/>
                              <w:b/>
                              <w:color w:val="005DAA"/>
                              <w:sz w:val="36"/>
                              <w:szCs w:val="36"/>
                            </w:rPr>
                            <w:t xml:space="preserve">    For Life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37" type="#_x0000_t202" style="position:absolute;margin-left:-56.1pt;margin-top:-621.5pt;width:42pt;height:40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W02oECAAAUBQAADgAAAGRycy9lMm9Eb2MueG1srFRZj9sgEH6v1P+AeE98rHPYWme1R1NV2h7S&#10;bn8AARyjYqBAYq+q/vcOOMlme0hVVT9ghhm+ub7h8mroJNpz64RWNc6mKUZcUc2E2tb48+N6ssTI&#10;eaIYkVrxGj9xh69Wr19d9qbiuW61ZNwiAFGu6k2NW+9NlSSOtrwjbqoNV6BstO2IB9FuE2ZJD+id&#10;TPI0nSe9tsxYTblzcHo3KvEq4jcNp/5j0zjukawxxObjauO6CWuyuiTV1hLTCnoIg/xDFB0RCpye&#10;oO6IJ2hnxS9QnaBWO934KdVdoptGUB5zgGyy9KdsHlpieMwFiuPMqUzu/8HSD/tPFgkGvYNOKdJB&#10;jx754NGNHhAcQX164yowezBg6Ac4B9uYqzP3mn5xSOnblqgtv7ZW9y0nDOLLws3k7OqI4wLIpn+v&#10;GfghO68j0NDYLhQPyoEAHfr0dOpNiIXC4eziokhBQ0E1y7KizGfRBamOt411/i3XHQqbGlvofUQn&#10;+3vnQzSkOpoEZ05LwdZCyijY7eZWWrQnwJN1/A7oL8ykCsZKh2sj4ngCQYKPoAvhxr5/K7O8SG/y&#10;crKeLxeToilmk3KRLidpVt6U87Qoi7v19xBgVlStYIyre6H4kYNZ8Xc9PkzDyJ7IQtTXuJxBdWJe&#10;f0wyjd/vkuyEh5GUoqvx8mREqtDYN4pB2qTyRMhxn7wMP1YZanD8x6pEGoTOjxzww2YAlMCNjWZP&#10;QAiroV/QW3hHYBPWfAFiD2NZY/d1RyzHSL5TwKsyKwpQ+SgUs0UOgj3XbM41RNFWw7R7jMbtrR9n&#10;f2es2LbgbGSy0tfAxUZEmjwHdmAwjF7M5/BMhNk+l6PV82O2+gEAAP//AwBQSwMEFAAGAAgAAAAh&#10;ANo3SxniAAAADwEAAA8AAABkcnMvZG93bnJldi54bWxMj8FOwzAQRO9I/IO1SNxSJ04pVYhTFSRO&#10;SJUoEedtbOLQ2I5iNw18PdsTvc3ujmbflJvZ9mzSY+i8k5AtUmDaNV51rpVQf7wma2AholPYe6cl&#10;/OgAm+r2psRC+bN719M+toxCXChQgolxKDgPjdEWw8IP2tHty48WI41jy9WIZwq3PRdpuuIWO0cf&#10;DA76xejmuD9ZCVP6Wzc5ev62+17Vx60Rz9PuU8r7u3n7BCzqOf6b4YJP6FAR08GfnAqsl5BkmRDk&#10;vSixzKkXmRKxpt2BxDJ/fABelfy6R/UHAAD//wMAUEsBAi0AFAAGAAgAAAAhAOSZw8D7AAAA4QEA&#10;ABMAAAAAAAAAAAAAAAAAAAAAAFtDb250ZW50X1R5cGVzXS54bWxQSwECLQAUAAYACAAAACEAI7Jq&#10;4dcAAACUAQAACwAAAAAAAAAAAAAAAAAsAQAAX3JlbHMvLnJlbHNQSwECLQAUAAYACAAAACEA6NW0&#10;2oECAAAUBQAADgAAAAAAAAAAAAAAAAAsAgAAZHJzL2Uyb0RvYy54bWxQSwECLQAUAAYACAAAACEA&#10;2jdLGeIAAAAPAQAADwAAAAAAAAAAAAAAAADZBAAAZHJzL2Rvd25yZXYueG1sUEsFBgAAAAAEAAQA&#10;8wAAAOgFAAAAAA==&#10;" stroked="f">
              <v:textbox style="layout-flow:vertical;mso-layout-flow-alt:bottom-to-top">
                <w:txbxContent>
                  <w:p w14:paraId="12056E7B" w14:textId="77777777" w:rsidR="00F004C0" w:rsidRDefault="00F004C0" w:rsidP="00BD13A7">
                    <w:pPr>
                      <w:jc w:val="center"/>
                      <w:rPr>
                        <w:rFonts w:eastAsia="Times New Roman"/>
                        <w:b/>
                        <w:color w:val="005DAA"/>
                        <w:sz w:val="36"/>
                        <w:szCs w:val="36"/>
                      </w:rPr>
                    </w:pPr>
                    <w:r>
                      <w:rPr>
                        <w:rFonts w:eastAsia="Times New Roman"/>
                        <w:b/>
                        <w:color w:val="005DAA"/>
                        <w:sz w:val="36"/>
                        <w:szCs w:val="36"/>
                      </w:rPr>
                      <w:t xml:space="preserve">Prevent    </w:t>
                    </w:r>
                    <w:r>
                      <w:rPr>
                        <w:rFonts w:eastAsia="Times New Roman" w:cs="Calibri"/>
                        <w:b/>
                        <w:color w:val="005DAA"/>
                        <w:sz w:val="24"/>
                        <w:szCs w:val="24"/>
                      </w:rPr>
                      <w:t>●</w:t>
                    </w:r>
                    <w:r>
                      <w:rPr>
                        <w:rFonts w:eastAsia="Times New Roman" w:cs="Calibri"/>
                        <w:b/>
                        <w:color w:val="005DAA"/>
                        <w:sz w:val="36"/>
                        <w:szCs w:val="36"/>
                      </w:rPr>
                      <w:t xml:space="preserve">    </w:t>
                    </w:r>
                    <w:r>
                      <w:rPr>
                        <w:rFonts w:eastAsia="Times New Roman"/>
                        <w:b/>
                        <w:color w:val="005DAA"/>
                        <w:sz w:val="36"/>
                        <w:szCs w:val="36"/>
                      </w:rPr>
                      <w:t xml:space="preserve">Treat    </w:t>
                    </w:r>
                    <w:r>
                      <w:rPr>
                        <w:rFonts w:eastAsia="Times New Roman" w:cs="Calibri"/>
                        <w:b/>
                        <w:color w:val="005DAA"/>
                        <w:sz w:val="24"/>
                        <w:szCs w:val="24"/>
                      </w:rPr>
                      <w:t>●</w:t>
                    </w:r>
                    <w:r>
                      <w:rPr>
                        <w:rFonts w:eastAsia="Times New Roman" w:cs="Calibri"/>
                        <w:b/>
                        <w:color w:val="005DAA"/>
                        <w:sz w:val="36"/>
                        <w:szCs w:val="36"/>
                      </w:rPr>
                      <w:t xml:space="preserve">    Recover    </w:t>
                    </w:r>
                    <w:r>
                      <w:rPr>
                        <w:rFonts w:eastAsia="Times New Roman" w:cs="Calibri"/>
                        <w:b/>
                        <w:color w:val="005DAA"/>
                        <w:sz w:val="24"/>
                        <w:szCs w:val="24"/>
                      </w:rPr>
                      <w:t>●</w:t>
                    </w:r>
                    <w:r>
                      <w:rPr>
                        <w:rFonts w:eastAsia="Times New Roman"/>
                        <w:b/>
                        <w:color w:val="005DAA"/>
                        <w:sz w:val="36"/>
                        <w:szCs w:val="36"/>
                      </w:rPr>
                      <w:t xml:space="preserve">    For Life</w:t>
                    </w:r>
                  </w:p>
                </w:txbxContent>
              </v:textbox>
              <w10:wrap type="through"/>
            </v:shape>
          </w:pict>
        </mc:Fallback>
      </mc:AlternateContent>
    </w:r>
    <w:r>
      <w:t xml:space="preserve">Practice Guidance: Serving LGBTQ Youth &amp; Young Adults &amp; Their Families </w:t>
    </w:r>
    <w:r w:rsidR="002D5BC9">
      <w:t>/ Issues JULY</w:t>
    </w:r>
    <w:r w:rsidR="00C94420">
      <w:t xml:space="preserve"> </w:t>
    </w:r>
    <w:r>
      <w:t>2014</w:t>
    </w:r>
    <w:r>
      <w:tab/>
    </w:r>
    <w:r>
      <w:rPr>
        <w:rStyle w:val="PageNumber"/>
      </w:rPr>
      <w:fldChar w:fldCharType="begin"/>
    </w:r>
    <w:r>
      <w:rPr>
        <w:rStyle w:val="PageNumber"/>
      </w:rPr>
      <w:instrText xml:space="preserve"> PAGE </w:instrText>
    </w:r>
    <w:r>
      <w:rPr>
        <w:rStyle w:val="PageNumber"/>
      </w:rPr>
      <w:fldChar w:fldCharType="separate"/>
    </w:r>
    <w:r w:rsidR="0018131C">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8D9E4" w14:textId="77777777" w:rsidR="00F004C0" w:rsidRDefault="00F004C0" w:rsidP="00420622">
      <w:r>
        <w:separator/>
      </w:r>
    </w:p>
  </w:footnote>
  <w:footnote w:type="continuationSeparator" w:id="0">
    <w:p w14:paraId="3AEACBE3" w14:textId="77777777" w:rsidR="00F004C0" w:rsidRDefault="00F004C0" w:rsidP="00420622">
      <w:r>
        <w:continuationSeparator/>
      </w:r>
    </w:p>
  </w:footnote>
  <w:footnote w:id="1">
    <w:p w14:paraId="7EFB37AA" w14:textId="77777777" w:rsidR="00F004C0" w:rsidRDefault="00F004C0" w:rsidP="00110268">
      <w:pPr>
        <w:pStyle w:val="FootnoteText"/>
      </w:pPr>
      <w:r>
        <w:rPr>
          <w:rStyle w:val="FootnoteReference"/>
        </w:rPr>
        <w:footnoteRef/>
      </w:r>
      <w:r>
        <w:t xml:space="preserve"> Available at:  </w:t>
      </w:r>
      <w:r w:rsidRPr="00EE67B6">
        <w:t>http://www.mass.gov/eohhs/gov/departments/dph/programs/substance-abuse/providers/program-licensing/principles-of-care-and-practice-guidance.html</w:t>
      </w:r>
    </w:p>
  </w:footnote>
  <w:footnote w:id="2">
    <w:p w14:paraId="18259F14" w14:textId="352E2550" w:rsidR="00F004C0" w:rsidRDefault="00F004C0" w:rsidP="00110268">
      <w:pPr>
        <w:pStyle w:val="FootnoteText"/>
      </w:pPr>
      <w:r>
        <w:rPr>
          <w:rStyle w:val="FootnoteReference"/>
        </w:rPr>
        <w:footnoteRef/>
      </w:r>
      <w:r>
        <w:t xml:space="preserve"> Sees Executive Order no. 526 available at: </w:t>
      </w:r>
      <w:hyperlink r:id="rId1" w:history="1">
        <w:r w:rsidRPr="000513F7">
          <w:rPr>
            <w:rStyle w:val="Hyperlink"/>
          </w:rPr>
          <w:t>http://www.mass.gov/governor/legislationeexecorder/executiveorder/executive-order-no-526.html</w:t>
        </w:r>
      </w:hyperlink>
    </w:p>
  </w:footnote>
  <w:footnote w:id="3">
    <w:p w14:paraId="56AB2E56" w14:textId="25269A29" w:rsidR="00F004C0" w:rsidRDefault="00F004C0">
      <w:pPr>
        <w:pStyle w:val="FootnoteText"/>
      </w:pPr>
      <w:r>
        <w:rPr>
          <w:rStyle w:val="FootnoteReference"/>
        </w:rPr>
        <w:footnoteRef/>
      </w:r>
      <w:r>
        <w:t xml:space="preserve"> See Glossary TO BE ADDED</w:t>
      </w:r>
    </w:p>
  </w:footnote>
  <w:footnote w:id="4">
    <w:p w14:paraId="7E922F8A" w14:textId="53A3FD93" w:rsidR="00F004C0" w:rsidRPr="00535BB6" w:rsidRDefault="00F004C0" w:rsidP="00535BB6">
      <w:pPr>
        <w:rPr>
          <w:rFonts w:asciiTheme="majorHAnsi" w:hAnsiTheme="majorHAnsi"/>
          <w:sz w:val="20"/>
        </w:rPr>
      </w:pPr>
      <w:r>
        <w:rPr>
          <w:rStyle w:val="FootnoteReference"/>
        </w:rPr>
        <w:footnoteRef/>
      </w:r>
      <w:r>
        <w:t xml:space="preserve"> </w:t>
      </w:r>
      <w:r w:rsidRPr="00535BB6">
        <w:rPr>
          <w:rFonts w:asciiTheme="majorHAnsi" w:hAnsiTheme="majorHAnsi"/>
          <w:sz w:val="20"/>
        </w:rPr>
        <w:t>Massachusetts High School Students and Sexual Orientation</w:t>
      </w:r>
      <w:r>
        <w:rPr>
          <w:rFonts w:asciiTheme="majorHAnsi" w:hAnsiTheme="majorHAnsi"/>
          <w:sz w:val="20"/>
        </w:rPr>
        <w:t xml:space="preserve">: </w:t>
      </w:r>
      <w:r w:rsidRPr="00535BB6">
        <w:rPr>
          <w:rFonts w:asciiTheme="majorHAnsi" w:hAnsiTheme="majorHAnsi"/>
          <w:sz w:val="20"/>
        </w:rPr>
        <w:t>Results of the 2011 Youth Risk Behavior Survey</w:t>
      </w:r>
    </w:p>
    <w:p w14:paraId="0C9AD5AC" w14:textId="068A9DB2" w:rsidR="00F004C0" w:rsidRPr="00EF4B56" w:rsidRDefault="0018131C">
      <w:pPr>
        <w:pStyle w:val="FootnoteText"/>
      </w:pPr>
      <w:hyperlink r:id="rId2" w:history="1">
        <w:r w:rsidR="00F004C0" w:rsidRPr="00B04F07">
          <w:rPr>
            <w:rStyle w:val="Hyperlink"/>
          </w:rPr>
          <w:t>http://www.mass.gov/cgly/publications.html</w:t>
        </w:r>
      </w:hyperlink>
      <w:r w:rsidR="00F004C0">
        <w:t xml:space="preserve">; also Gay, Lesbian and Straight Education Network, </w:t>
      </w:r>
      <w:r w:rsidR="00F004C0" w:rsidRPr="00EF4B56">
        <w:rPr>
          <w:i/>
        </w:rPr>
        <w:t>2011 National School Climate Survey</w:t>
      </w:r>
      <w:r w:rsidR="00F004C0">
        <w:rPr>
          <w:i/>
        </w:rPr>
        <w:t xml:space="preserve">, </w:t>
      </w:r>
      <w:hyperlink r:id="rId3" w:history="1">
        <w:r w:rsidR="00F004C0" w:rsidRPr="00A147F7">
          <w:rPr>
            <w:rStyle w:val="Hyperlink"/>
          </w:rPr>
          <w:t>http://glsen.org/nscs</w:t>
        </w:r>
      </w:hyperlink>
    </w:p>
  </w:footnote>
  <w:footnote w:id="5">
    <w:p w14:paraId="63DC3170" w14:textId="77777777" w:rsidR="00F004C0" w:rsidRPr="002B16DF" w:rsidRDefault="00F004C0" w:rsidP="00535BB6">
      <w:pPr>
        <w:pStyle w:val="FootnoteText"/>
      </w:pPr>
      <w:r>
        <w:rPr>
          <w:rStyle w:val="FootnoteReference"/>
        </w:rPr>
        <w:footnoteRef/>
      </w:r>
      <w:r>
        <w:t xml:space="preserve"> Corliss, H.L., et a. High burden of homelessness among sexual minority adolescents: findings from a representative Massachusetts high school sample. </w:t>
      </w:r>
      <w:r>
        <w:rPr>
          <w:i/>
        </w:rPr>
        <w:t>Am J Public Health</w:t>
      </w:r>
      <w:r>
        <w:t>.</w:t>
      </w:r>
      <w:r>
        <w:rPr>
          <w:i/>
        </w:rPr>
        <w:t xml:space="preserve"> </w:t>
      </w:r>
      <w:r>
        <w:t xml:space="preserve"> Sept 2011. Available at: </w:t>
      </w:r>
      <w:r w:rsidRPr="002B16DF">
        <w:t>http://www.ncbi.nlm.nih.gov/pmc/articles/PMC3154237/#!po=41.6667</w:t>
      </w:r>
    </w:p>
  </w:footnote>
  <w:footnote w:id="6">
    <w:p w14:paraId="11617599" w14:textId="77777777" w:rsidR="00F004C0" w:rsidRPr="008C5016" w:rsidRDefault="00F004C0" w:rsidP="00535BB6">
      <w:pPr>
        <w:pStyle w:val="FootnoteText"/>
      </w:pPr>
      <w:r>
        <w:rPr>
          <w:rStyle w:val="FootnoteReference"/>
        </w:rPr>
        <w:footnoteRef/>
      </w:r>
      <w:r>
        <w:t xml:space="preserve"> Ray, N. (2006) </w:t>
      </w:r>
      <w:r>
        <w:rPr>
          <w:i/>
        </w:rPr>
        <w:t>Lesbian, gay, bisexual and transgender youth: an epidemic of homelessness</w:t>
      </w:r>
      <w:r>
        <w:t xml:space="preserve">. Available at: </w:t>
      </w:r>
      <w:hyperlink r:id="rId4" w:history="1">
        <w:r w:rsidRPr="00250E0D">
          <w:rPr>
            <w:rStyle w:val="Hyperlink"/>
          </w:rPr>
          <w:t>http://homeless.samhsa.gov/resource/lesbian-gay-bisexual-and-transgender-youth-an-epidemic-of-homelessness-32663.aspx</w:t>
        </w:r>
      </w:hyperlink>
    </w:p>
  </w:footnote>
  <w:footnote w:id="7">
    <w:p w14:paraId="19FDBCB8" w14:textId="46C64619" w:rsidR="00F004C0" w:rsidRDefault="00F004C0">
      <w:pPr>
        <w:pStyle w:val="FootnoteText"/>
      </w:pPr>
      <w:r>
        <w:rPr>
          <w:rStyle w:val="FootnoteReference"/>
        </w:rPr>
        <w:footnoteRef/>
      </w:r>
      <w:r>
        <w:t xml:space="preserve"> Massachusetts High School Students and Sexual Orientation: Results of 2011 Youth Risk Behavior Survey, op cit</w:t>
      </w:r>
    </w:p>
  </w:footnote>
  <w:footnote w:id="8">
    <w:p w14:paraId="2D4EB645" w14:textId="5489C118" w:rsidR="00F004C0" w:rsidRPr="00AA5877" w:rsidRDefault="00F004C0">
      <w:pPr>
        <w:pStyle w:val="FootnoteText"/>
      </w:pPr>
      <w:r>
        <w:rPr>
          <w:rStyle w:val="FootnoteReference"/>
        </w:rPr>
        <w:footnoteRef/>
      </w:r>
      <w:r>
        <w:t xml:space="preserve"> SAMHSA, </w:t>
      </w:r>
      <w:r>
        <w:rPr>
          <w:i/>
        </w:rPr>
        <w:t>A practitioner’s resource guide: helping families to support their LGBT children</w:t>
      </w:r>
      <w:r>
        <w:t xml:space="preserve">, available at: </w:t>
      </w:r>
      <w:hyperlink r:id="rId5" w:history="1">
        <w:r w:rsidRPr="00B2583A">
          <w:rPr>
            <w:rStyle w:val="Hyperlink"/>
          </w:rPr>
          <w:t>http://www.samhsa.gov/obhe/lgbt.aspx</w:t>
        </w:r>
      </w:hyperlink>
      <w:r>
        <w:t xml:space="preserve">; and </w:t>
      </w:r>
      <w:r>
        <w:rPr>
          <w:i/>
        </w:rPr>
        <w:t>Suicide risk and prevention for lesbian, gay, bisexual and transgender youth</w:t>
      </w:r>
      <w:r>
        <w:t xml:space="preserve">, Newton, MA: Education Development Center, Inc., available at: </w:t>
      </w:r>
      <w:hyperlink r:id="rId6" w:history="1">
        <w:r w:rsidRPr="00B2583A">
          <w:rPr>
            <w:rStyle w:val="Hyperlink"/>
          </w:rPr>
          <w:t>http://www.sprc.org/sites/sprc.org/files/library/SPRC_LGBT_Youth.pdf</w:t>
        </w:r>
      </w:hyperlink>
    </w:p>
  </w:footnote>
  <w:footnote w:id="9">
    <w:p w14:paraId="4B129044" w14:textId="77777777" w:rsidR="00F004C0" w:rsidRPr="00BB217C" w:rsidRDefault="00F004C0" w:rsidP="001B1B4A">
      <w:pPr>
        <w:rPr>
          <w:sz w:val="16"/>
        </w:rPr>
      </w:pPr>
      <w:r>
        <w:rPr>
          <w:rStyle w:val="FootnoteReference"/>
        </w:rPr>
        <w:footnoteRef/>
      </w:r>
      <w:r>
        <w:t xml:space="preserve"> </w:t>
      </w:r>
      <w:r w:rsidRPr="00BB217C">
        <w:rPr>
          <w:rFonts w:asciiTheme="majorHAnsi" w:hAnsiTheme="majorHAnsi"/>
          <w:sz w:val="20"/>
          <w:szCs w:val="20"/>
        </w:rPr>
        <w:t xml:space="preserve">Ryan, C. et al, </w:t>
      </w:r>
      <w:r w:rsidRPr="00BB217C">
        <w:rPr>
          <w:rFonts w:asciiTheme="majorHAnsi" w:hAnsiTheme="majorHAnsi" w:cs="Times New Roman"/>
          <w:sz w:val="20"/>
          <w:szCs w:val="20"/>
        </w:rPr>
        <w:t>Family Rejection as a Predictor of Negative Health Outcomes in White and Latino Lesbian, Gay and Bisexual Young Adults.</w:t>
      </w:r>
      <w:r>
        <w:rPr>
          <w:rFonts w:asciiTheme="majorHAnsi" w:hAnsiTheme="majorHAnsi" w:cs="Times New Roman"/>
          <w:sz w:val="20"/>
          <w:szCs w:val="20"/>
        </w:rPr>
        <w:t xml:space="preserve"> </w:t>
      </w:r>
      <w:r w:rsidRPr="00BB217C">
        <w:rPr>
          <w:rFonts w:asciiTheme="majorHAnsi" w:hAnsiTheme="majorHAnsi" w:cs="Times New Roman"/>
          <w:sz w:val="20"/>
          <w:szCs w:val="20"/>
        </w:rPr>
        <w:t>Pediatrics 2009; 123; 346</w:t>
      </w:r>
      <w:r>
        <w:rPr>
          <w:rFonts w:asciiTheme="majorHAnsi" w:hAnsiTheme="majorHAnsi" w:cs="Times New Roman"/>
          <w:sz w:val="20"/>
          <w:szCs w:val="20"/>
        </w:rPr>
        <w:t xml:space="preserve"> Available at: </w:t>
      </w:r>
      <w:hyperlink r:id="rId7" w:history="1">
        <w:r w:rsidRPr="00583FAE">
          <w:rPr>
            <w:rStyle w:val="Hyperlink"/>
            <w:sz w:val="16"/>
          </w:rPr>
          <w:t>http://pediatrics.aappublications.org/content/123/1/346.full?ijkey=NrncY0H897lAU&amp;keytype=ref&amp;siteid=aapjournals</w:t>
        </w:r>
      </w:hyperlink>
    </w:p>
  </w:footnote>
  <w:footnote w:id="10">
    <w:p w14:paraId="00568E74" w14:textId="77777777" w:rsidR="00F004C0" w:rsidRPr="00A165C7" w:rsidRDefault="00F004C0" w:rsidP="00272F53">
      <w:pPr>
        <w:pStyle w:val="FootnoteText"/>
      </w:pPr>
      <w:r>
        <w:rPr>
          <w:rStyle w:val="FootnoteReference"/>
        </w:rPr>
        <w:footnoteRef/>
      </w:r>
      <w:r>
        <w:t xml:space="preserve"> Institute of Medicine, </w:t>
      </w:r>
      <w:r>
        <w:rPr>
          <w:i/>
        </w:rPr>
        <w:t>The Health of Lesbian, Gay, Bisexual and Transgender People: Building a Foundation for a Better Understanding.</w:t>
      </w:r>
      <w:r>
        <w:t xml:space="preserve"> </w:t>
      </w:r>
      <w:hyperlink r:id="rId8" w:history="1">
        <w:r w:rsidRPr="00970A52">
          <w:rPr>
            <w:rStyle w:val="Hyperlink"/>
          </w:rPr>
          <w:t>http://www.nap.edu/download.php?record_id=13128</w:t>
        </w:r>
      </w:hyperlink>
    </w:p>
  </w:footnote>
  <w:footnote w:id="11">
    <w:p w14:paraId="387B3CF5" w14:textId="77777777" w:rsidR="00D93B82" w:rsidRPr="004365C7" w:rsidRDefault="00D93B82" w:rsidP="00D93B82">
      <w:pPr>
        <w:pStyle w:val="FootnoteText"/>
      </w:pPr>
      <w:r>
        <w:rPr>
          <w:rStyle w:val="FootnoteReference"/>
        </w:rPr>
        <w:footnoteRef/>
      </w:r>
      <w:r>
        <w:t xml:space="preserve"> Centers for Disease Control and Prevention, </w:t>
      </w:r>
      <w:r>
        <w:rPr>
          <w:i/>
        </w:rPr>
        <w:t>Sexual Identity, Sex of Sexual Contacts, and Health Risk Behaviors Among Students in Grades 9 – 12</w:t>
      </w:r>
      <w:r>
        <w:t xml:space="preserve">, </w:t>
      </w:r>
      <w:hyperlink r:id="rId9" w:history="1">
        <w:r w:rsidRPr="00874146">
          <w:rPr>
            <w:rStyle w:val="Hyperlink"/>
          </w:rPr>
          <w:t>http://www.cdc.gov/mmwr/pdf/ss/ss60e0606.pdf</w:t>
        </w:r>
      </w:hyperlink>
    </w:p>
  </w:footnote>
  <w:footnote w:id="12">
    <w:p w14:paraId="70CBC679" w14:textId="364829A9" w:rsidR="00D93B82" w:rsidRDefault="00D93B82">
      <w:pPr>
        <w:pStyle w:val="FootnoteText"/>
      </w:pPr>
      <w:r>
        <w:rPr>
          <w:rStyle w:val="FootnoteReference"/>
        </w:rPr>
        <w:footnoteRef/>
      </w:r>
      <w:r>
        <w:t xml:space="preserve"> Massachusetts YRBSS 2011 Report, available at: </w:t>
      </w:r>
      <w:hyperlink r:id="rId10" w:history="1">
        <w:r w:rsidRPr="0077774E">
          <w:rPr>
            <w:rStyle w:val="Hyperlink"/>
          </w:rPr>
          <w:t>http://www.doe.mass.edu/cnp/hprograms/yrbs/</w:t>
        </w:r>
      </w:hyperlink>
      <w:r>
        <w:t xml:space="preserve"> </w:t>
      </w:r>
    </w:p>
  </w:footnote>
  <w:footnote w:id="13">
    <w:p w14:paraId="7ABC4756" w14:textId="77777777" w:rsidR="00F004C0" w:rsidRDefault="00F004C0" w:rsidP="004365C7">
      <w:pPr>
        <w:pStyle w:val="FootnoteText"/>
      </w:pPr>
      <w:r>
        <w:rPr>
          <w:rStyle w:val="FootnoteReference"/>
        </w:rPr>
        <w:footnoteRef/>
      </w:r>
      <w:r>
        <w:t xml:space="preserve"> Ibid</w:t>
      </w:r>
    </w:p>
  </w:footnote>
  <w:footnote w:id="14">
    <w:p w14:paraId="5198C99D" w14:textId="77777777" w:rsidR="00F004C0" w:rsidRDefault="00F004C0" w:rsidP="00874BCD">
      <w:pPr>
        <w:pStyle w:val="FootnoteText"/>
      </w:pPr>
      <w:r>
        <w:rPr>
          <w:rStyle w:val="FootnoteReference"/>
        </w:rPr>
        <w:footnoteRef/>
      </w:r>
      <w:r>
        <w:t xml:space="preserve"> CDC op cit</w:t>
      </w:r>
    </w:p>
  </w:footnote>
  <w:footnote w:id="15">
    <w:p w14:paraId="6D7B60C7" w14:textId="77777777" w:rsidR="00F004C0" w:rsidRDefault="00F004C0" w:rsidP="00874BCD">
      <w:pPr>
        <w:pStyle w:val="FootnoteText"/>
      </w:pPr>
      <w:r>
        <w:rPr>
          <w:rStyle w:val="FootnoteReference"/>
        </w:rPr>
        <w:footnoteRef/>
      </w:r>
      <w:r>
        <w:t xml:space="preserve"> IOM op cit</w:t>
      </w:r>
    </w:p>
  </w:footnote>
  <w:footnote w:id="16">
    <w:p w14:paraId="061EE65E" w14:textId="77777777" w:rsidR="00F004C0" w:rsidRPr="00513305" w:rsidRDefault="00F004C0" w:rsidP="00D274FA">
      <w:pPr>
        <w:rPr>
          <w:sz w:val="20"/>
        </w:rPr>
      </w:pPr>
      <w:r>
        <w:rPr>
          <w:rStyle w:val="FootnoteReference"/>
        </w:rPr>
        <w:footnoteRef/>
      </w:r>
      <w:r w:rsidRPr="00513305">
        <w:rPr>
          <w:sz w:val="20"/>
        </w:rPr>
        <w:t xml:space="preserve"> 2010-2011 National Survey on Drug Use and Health:  Model-Based Prevalence Estimates  </w:t>
      </w:r>
    </w:p>
    <w:p w14:paraId="6A785A3F" w14:textId="77777777" w:rsidR="00F004C0" w:rsidRPr="00DE47C9" w:rsidRDefault="00F004C0" w:rsidP="00D274FA">
      <w:pPr>
        <w:rPr>
          <w:sz w:val="20"/>
        </w:rPr>
      </w:pPr>
      <w:r w:rsidRPr="00513305">
        <w:rPr>
          <w:sz w:val="20"/>
        </w:rPr>
        <w:t xml:space="preserve">(50 States and the District of Columbia) Available at: </w:t>
      </w:r>
      <w:hyperlink r:id="rId11" w:history="1">
        <w:r w:rsidRPr="00513305">
          <w:rPr>
            <w:rStyle w:val="Hyperlink"/>
            <w:sz w:val="20"/>
          </w:rPr>
          <w:t>https://nsduhweb.rti.org/respweb/homepage.cfm</w:t>
        </w:r>
      </w:hyperlink>
    </w:p>
  </w:footnote>
  <w:footnote w:id="17">
    <w:p w14:paraId="1B5B9597" w14:textId="1FF110EC" w:rsidR="00F004C0" w:rsidRDefault="00F004C0">
      <w:pPr>
        <w:pStyle w:val="FootnoteText"/>
      </w:pPr>
      <w:r>
        <w:rPr>
          <w:rStyle w:val="FootnoteReference"/>
        </w:rPr>
        <w:footnoteRef/>
      </w:r>
      <w:r>
        <w:t xml:space="preserve"> 2012 National Survey on Drug Use and Health Summary of National Findings. Available at: </w:t>
      </w:r>
      <w:r w:rsidRPr="007F1704">
        <w:t>http://www.samhsa.gov/data/NSDUH/2012SummNatFindDetTables/NationalFindings/NSDUHresults2012.htm</w:t>
      </w:r>
    </w:p>
  </w:footnote>
  <w:footnote w:id="18">
    <w:p w14:paraId="52242F5B" w14:textId="47B288D3" w:rsidR="00F004C0" w:rsidRPr="0014637E" w:rsidRDefault="00F004C0" w:rsidP="0014637E">
      <w:r>
        <w:rPr>
          <w:rStyle w:val="FootnoteReference"/>
        </w:rPr>
        <w:footnoteRef/>
      </w:r>
      <w:r>
        <w:t xml:space="preserve"> </w:t>
      </w:r>
      <w:r w:rsidRPr="00E514C4">
        <w:rPr>
          <w:rFonts w:asciiTheme="majorHAnsi" w:hAnsiTheme="majorHAnsi"/>
        </w:rPr>
        <w:t xml:space="preserve">Marshal, M.O., et al. </w:t>
      </w:r>
      <w:r w:rsidRPr="00E514C4">
        <w:rPr>
          <w:rFonts w:asciiTheme="majorHAnsi" w:hAnsiTheme="majorHAnsi" w:cs="Times New Roman"/>
          <w:i/>
          <w:sz w:val="20"/>
          <w:szCs w:val="28"/>
        </w:rPr>
        <w:t>Suicidality and depression disparities between sexual minority and heterosexual youth: A meta-analytic review.</w:t>
      </w:r>
      <w:r w:rsidRPr="00E514C4">
        <w:rPr>
          <w:rFonts w:asciiTheme="majorHAnsi" w:hAnsiTheme="majorHAnsi" w:cs="Times New Roman"/>
          <w:sz w:val="20"/>
          <w:szCs w:val="28"/>
        </w:rPr>
        <w:t xml:space="preserve"> J Adolesc Health, May 2009.  Available at: </w:t>
      </w:r>
      <w:hyperlink r:id="rId12" w:history="1">
        <w:r w:rsidRPr="00A147F7">
          <w:rPr>
            <w:rStyle w:val="Hyperlink"/>
          </w:rPr>
          <w:t>http://www.ncbi.nlm.nih.gov/pmc/articles/PMC3649127/</w:t>
        </w:r>
      </w:hyperlink>
    </w:p>
  </w:footnote>
  <w:footnote w:id="19">
    <w:p w14:paraId="7C361249" w14:textId="2522C622" w:rsidR="00F004C0" w:rsidRDefault="00F004C0">
      <w:pPr>
        <w:pStyle w:val="FootnoteText"/>
      </w:pPr>
      <w:r>
        <w:rPr>
          <w:rStyle w:val="FootnoteReference"/>
        </w:rPr>
        <w:footnoteRef/>
      </w:r>
      <w:r>
        <w:t xml:space="preserve"> Ryan, op cit.</w:t>
      </w:r>
    </w:p>
  </w:footnote>
  <w:footnote w:id="20">
    <w:p w14:paraId="321D6417" w14:textId="44B6B2B1" w:rsidR="00F004C0" w:rsidRDefault="00F004C0">
      <w:pPr>
        <w:pStyle w:val="FootnoteText"/>
      </w:pPr>
      <w:r>
        <w:rPr>
          <w:rStyle w:val="FootnoteReference"/>
        </w:rPr>
        <w:footnoteRef/>
      </w:r>
      <w:r>
        <w:t xml:space="preserve"> See the Family Acceptance Project at:  </w:t>
      </w:r>
      <w:r w:rsidRPr="00C95139">
        <w:t>http://familyproject.sfsu.edu/home</w:t>
      </w:r>
    </w:p>
  </w:footnote>
  <w:footnote w:id="21">
    <w:p w14:paraId="4DB57401" w14:textId="77777777" w:rsidR="00F004C0" w:rsidRPr="008A31D2" w:rsidRDefault="00F004C0" w:rsidP="00F559EE">
      <w:pPr>
        <w:autoSpaceDE w:val="0"/>
        <w:autoSpaceDN w:val="0"/>
        <w:adjustRightInd w:val="0"/>
        <w:rPr>
          <w:rFonts w:asciiTheme="majorHAnsi" w:hAnsiTheme="majorHAnsi" w:cs="Helvetica"/>
          <w:sz w:val="20"/>
          <w:szCs w:val="20"/>
        </w:rPr>
      </w:pPr>
      <w:r>
        <w:rPr>
          <w:rStyle w:val="FootnoteReference"/>
        </w:rPr>
        <w:footnoteRef/>
      </w:r>
      <w:r>
        <w:t xml:space="preserve"> </w:t>
      </w:r>
      <w:r w:rsidRPr="008A31D2">
        <w:rPr>
          <w:rFonts w:asciiTheme="majorHAnsi" w:hAnsiTheme="majorHAnsi" w:cs="Helvetica"/>
          <w:sz w:val="20"/>
          <w:szCs w:val="20"/>
        </w:rPr>
        <w:t>GLSEN (2007). Gay-Straight Alliances: Creating safer schools for LGBT students and their allies. (GLSEN</w:t>
      </w:r>
    </w:p>
    <w:p w14:paraId="45301F08" w14:textId="77777777" w:rsidR="00F004C0" w:rsidRDefault="00F004C0" w:rsidP="00F559EE">
      <w:pPr>
        <w:pStyle w:val="FootnoteText"/>
      </w:pPr>
      <w:r w:rsidRPr="008A31D2">
        <w:rPr>
          <w:rFonts w:asciiTheme="majorHAnsi" w:hAnsiTheme="majorHAnsi" w:cs="Helvetica"/>
        </w:rPr>
        <w:t>Research Brief). New York: Gay, Lesbian and Straight Education Network</w:t>
      </w:r>
      <w:r>
        <w:rPr>
          <w:rFonts w:ascii="Helvetica" w:hAnsi="Helvetica" w:cs="Helvetica"/>
          <w:sz w:val="18"/>
          <w:szCs w:val="18"/>
        </w:rPr>
        <w:t>.</w:t>
      </w:r>
    </w:p>
  </w:footnote>
  <w:footnote w:id="22">
    <w:p w14:paraId="70B949FB" w14:textId="3F0219C5" w:rsidR="00F004C0" w:rsidRDefault="00F004C0">
      <w:pPr>
        <w:pStyle w:val="FootnoteText"/>
      </w:pPr>
      <w:r>
        <w:rPr>
          <w:rStyle w:val="FootnoteReference"/>
        </w:rPr>
        <w:footnoteRef/>
      </w:r>
      <w:r>
        <w:t xml:space="preserve"> For example, see Boston Alliance of Gay, Lesbian, Bisexual and Transgender Youth at </w:t>
      </w:r>
      <w:hyperlink r:id="rId13" w:history="1">
        <w:r w:rsidRPr="00583FAE">
          <w:rPr>
            <w:rStyle w:val="Hyperlink"/>
          </w:rPr>
          <w:t>http://www.bagly.org/programs/youth-group/find-an-agly</w:t>
        </w:r>
      </w:hyperlink>
    </w:p>
  </w:footnote>
  <w:footnote w:id="23">
    <w:p w14:paraId="58B391FA" w14:textId="56BE4EB1" w:rsidR="00F004C0" w:rsidRDefault="00F004C0">
      <w:pPr>
        <w:pStyle w:val="FootnoteText"/>
      </w:pPr>
      <w:r>
        <w:rPr>
          <w:rStyle w:val="FootnoteReference"/>
        </w:rPr>
        <w:footnoteRef/>
      </w:r>
      <w:r>
        <w:t xml:space="preserve"> See:  Massachusetts Coalition for the Homeless Campaign for Unaccompanied youth at </w:t>
      </w:r>
      <w:hyperlink r:id="rId14" w:history="1">
        <w:r w:rsidRPr="00583FAE">
          <w:rPr>
            <w:rStyle w:val="Hyperlink"/>
          </w:rPr>
          <w:t>http://www.mahomeless.org/component/content/article/78-mch/189-unaccompanied-youth</w:t>
        </w:r>
      </w:hyperlink>
      <w:r>
        <w:t xml:space="preserve">, and Massachusetts Runaway and Homeless Youth Grantees at </w:t>
      </w:r>
      <w:r w:rsidRPr="003E068F">
        <w:t>http://www.acf.hhs.gov/programs/fysb/grants/massachusetts-rhy</w:t>
      </w:r>
    </w:p>
  </w:footnote>
  <w:footnote w:id="24">
    <w:p w14:paraId="2A5E38C5" w14:textId="77777777" w:rsidR="00F004C0" w:rsidRDefault="00F004C0">
      <w:pPr>
        <w:pStyle w:val="FootnoteText"/>
      </w:pPr>
      <w:r>
        <w:rPr>
          <w:rStyle w:val="FootnoteReference"/>
        </w:rPr>
        <w:footnoteRef/>
      </w:r>
      <w:r>
        <w:t xml:space="preserve"> </w:t>
      </w:r>
      <w:r w:rsidRPr="00C36C41">
        <w:rPr>
          <w:sz w:val="18"/>
        </w:rPr>
        <w:t xml:space="preserve">SAMHSA: </w:t>
      </w:r>
      <w:r w:rsidRPr="00C36C41">
        <w:rPr>
          <w:i/>
          <w:sz w:val="18"/>
        </w:rPr>
        <w:t>Top Health Issues for LGBT Populations Information and Resources Kit</w:t>
      </w:r>
    </w:p>
  </w:footnote>
  <w:footnote w:id="25">
    <w:p w14:paraId="7BB4AC03" w14:textId="77777777" w:rsidR="00F004C0" w:rsidRDefault="00F004C0">
      <w:pPr>
        <w:pStyle w:val="FootnoteText"/>
      </w:pPr>
      <w:r>
        <w:rPr>
          <w:rStyle w:val="FootnoteReference"/>
        </w:rPr>
        <w:footnoteRef/>
      </w:r>
      <w:r>
        <w:t xml:space="preserve"> </w:t>
      </w:r>
      <w:r w:rsidRPr="00C36C41">
        <w:rPr>
          <w:sz w:val="18"/>
        </w:rPr>
        <w:t>Ibid</w:t>
      </w:r>
    </w:p>
  </w:footnote>
  <w:footnote w:id="26">
    <w:p w14:paraId="5D37F61C" w14:textId="77777777" w:rsidR="00F004C0" w:rsidRDefault="00F004C0">
      <w:pPr>
        <w:pStyle w:val="FootnoteText"/>
      </w:pPr>
      <w:r>
        <w:rPr>
          <w:rStyle w:val="FootnoteReference"/>
        </w:rPr>
        <w:footnoteRef/>
      </w:r>
      <w:r>
        <w:t xml:space="preserve"> </w:t>
      </w:r>
      <w:r w:rsidRPr="00C36C41">
        <w:rPr>
          <w:sz w:val="18"/>
        </w:rPr>
        <w:t>Ibid</w:t>
      </w:r>
    </w:p>
  </w:footnote>
  <w:footnote w:id="27">
    <w:p w14:paraId="46E9764D" w14:textId="77777777" w:rsidR="00F004C0" w:rsidRDefault="00F004C0">
      <w:pPr>
        <w:pStyle w:val="FootnoteText"/>
      </w:pPr>
      <w:r>
        <w:rPr>
          <w:rStyle w:val="FootnoteReference"/>
        </w:rPr>
        <w:footnoteRef/>
      </w:r>
      <w:r>
        <w:t xml:space="preserve"> </w:t>
      </w:r>
      <w:r w:rsidRPr="00C36C41">
        <w:rPr>
          <w:sz w:val="18"/>
        </w:rPr>
        <w:t>Ibid, amended</w:t>
      </w:r>
    </w:p>
  </w:footnote>
  <w:footnote w:id="28">
    <w:p w14:paraId="056C318E" w14:textId="77777777" w:rsidR="00F004C0" w:rsidRDefault="00F004C0">
      <w:pPr>
        <w:pStyle w:val="FootnoteText"/>
      </w:pPr>
      <w:r>
        <w:rPr>
          <w:rStyle w:val="FootnoteReference"/>
        </w:rPr>
        <w:footnoteRef/>
      </w:r>
      <w:r>
        <w:t xml:space="preserve"> </w:t>
      </w:r>
      <w:r w:rsidRPr="00C36C41">
        <w:rPr>
          <w:sz w:val="18"/>
        </w:rPr>
        <w:t>SAMHSA LGBTQ2-S Practice Brief</w:t>
      </w:r>
    </w:p>
  </w:footnote>
  <w:footnote w:id="29">
    <w:p w14:paraId="22B5D64D" w14:textId="77777777" w:rsidR="00F004C0" w:rsidRDefault="00F004C0">
      <w:pPr>
        <w:pStyle w:val="FootnoteText"/>
      </w:pPr>
      <w:r>
        <w:rPr>
          <w:rStyle w:val="FootnoteReference"/>
        </w:rPr>
        <w:footnoteRef/>
      </w:r>
      <w:r>
        <w:t xml:space="preserve"> </w:t>
      </w:r>
      <w:r w:rsidRPr="00C36C41">
        <w:rPr>
          <w:sz w:val="18"/>
        </w:rPr>
        <w:t>SAMHSA: Top Health Issues, op cit</w:t>
      </w:r>
      <w:r>
        <w:rPr>
          <w:sz w:val="18"/>
        </w:rPr>
        <w:t>, amended</w:t>
      </w:r>
    </w:p>
  </w:footnote>
  <w:footnote w:id="30">
    <w:p w14:paraId="34EB06EA" w14:textId="77777777" w:rsidR="00F004C0" w:rsidRDefault="00F004C0">
      <w:pPr>
        <w:pStyle w:val="FootnoteText"/>
      </w:pPr>
      <w:r>
        <w:rPr>
          <w:rStyle w:val="FootnoteReference"/>
        </w:rPr>
        <w:footnoteRef/>
      </w:r>
      <w:r>
        <w:t xml:space="preserve"> </w:t>
      </w:r>
      <w:r w:rsidRPr="00AB0ED5">
        <w:rPr>
          <w:sz w:val="18"/>
        </w:rPr>
        <w:t>Ibid</w:t>
      </w:r>
    </w:p>
  </w:footnote>
  <w:footnote w:id="31">
    <w:p w14:paraId="377508AA" w14:textId="77777777" w:rsidR="00F004C0" w:rsidRPr="00AB0ED5" w:rsidRDefault="00F004C0">
      <w:pPr>
        <w:pStyle w:val="FootnoteText"/>
      </w:pPr>
      <w:r>
        <w:rPr>
          <w:rStyle w:val="FootnoteReference"/>
        </w:rPr>
        <w:footnoteRef/>
      </w:r>
      <w:r>
        <w:t xml:space="preserve"> </w:t>
      </w:r>
      <w:r w:rsidRPr="00AB0ED5">
        <w:rPr>
          <w:sz w:val="18"/>
        </w:rPr>
        <w:t xml:space="preserve">Lambda Legal/CWLA </w:t>
      </w:r>
      <w:r w:rsidRPr="00AB0ED5">
        <w:rPr>
          <w:i/>
          <w:sz w:val="18"/>
        </w:rPr>
        <w:t>Getting Down to Basics</w:t>
      </w:r>
      <w:r>
        <w:rPr>
          <w:i/>
          <w:sz w:val="18"/>
        </w:rPr>
        <w:t xml:space="preserve">, </w:t>
      </w:r>
      <w:r>
        <w:rPr>
          <w:sz w:val="18"/>
        </w:rPr>
        <w:t>amended</w:t>
      </w:r>
    </w:p>
  </w:footnote>
  <w:footnote w:id="32">
    <w:p w14:paraId="1FDA2A71" w14:textId="77777777" w:rsidR="00F004C0" w:rsidRPr="007F4169" w:rsidRDefault="00F004C0">
      <w:pPr>
        <w:pStyle w:val="FootnoteText"/>
      </w:pPr>
      <w:r>
        <w:rPr>
          <w:rStyle w:val="FootnoteReference"/>
        </w:rPr>
        <w:footnoteRef/>
      </w:r>
      <w:r>
        <w:t xml:space="preserve"> </w:t>
      </w:r>
      <w:r w:rsidRPr="007F4169">
        <w:rPr>
          <w:sz w:val="18"/>
        </w:rPr>
        <w:t xml:space="preserve">SAMHSA: </w:t>
      </w:r>
      <w:r w:rsidRPr="007F4169">
        <w:rPr>
          <w:i/>
          <w:sz w:val="18"/>
        </w:rPr>
        <w:t>Top Health Issues,</w:t>
      </w:r>
      <w:r w:rsidRPr="007F4169">
        <w:rPr>
          <w:sz w:val="18"/>
        </w:rPr>
        <w:t xml:space="preserve"> op cit, amended</w:t>
      </w:r>
    </w:p>
  </w:footnote>
  <w:footnote w:id="33">
    <w:p w14:paraId="0F9AEBDF" w14:textId="77777777" w:rsidR="00F004C0" w:rsidRDefault="00F004C0">
      <w:pPr>
        <w:pStyle w:val="FootnoteText"/>
      </w:pPr>
      <w:r>
        <w:rPr>
          <w:rStyle w:val="FootnoteReference"/>
        </w:rPr>
        <w:footnoteRef/>
      </w:r>
      <w:r>
        <w:t xml:space="preserve"> </w:t>
      </w:r>
      <w:r w:rsidRPr="004F32A3">
        <w:rPr>
          <w:sz w:val="18"/>
        </w:rPr>
        <w:t>Ibid</w:t>
      </w:r>
      <w:r>
        <w:rPr>
          <w:sz w:val="18"/>
        </w:rPr>
        <w:t>, amended</w:t>
      </w:r>
    </w:p>
  </w:footnote>
  <w:footnote w:id="34">
    <w:p w14:paraId="4557940A" w14:textId="77777777" w:rsidR="00F004C0" w:rsidRDefault="00F004C0">
      <w:pPr>
        <w:pStyle w:val="FootnoteText"/>
      </w:pPr>
      <w:r>
        <w:rPr>
          <w:rStyle w:val="FootnoteReference"/>
        </w:rPr>
        <w:footnoteRef/>
      </w:r>
      <w:r>
        <w:t xml:space="preserve"> </w:t>
      </w:r>
      <w:r w:rsidRPr="004F32A3">
        <w:rPr>
          <w:sz w:val="18"/>
        </w:rPr>
        <w:t>Ibid</w:t>
      </w:r>
      <w:r>
        <w:rPr>
          <w:sz w:val="18"/>
        </w:rPr>
        <w:t>, amended</w:t>
      </w:r>
    </w:p>
  </w:footnote>
  <w:footnote w:id="35">
    <w:p w14:paraId="4BD72F28" w14:textId="77777777" w:rsidR="00F004C0" w:rsidRDefault="00F004C0">
      <w:pPr>
        <w:pStyle w:val="FootnoteText"/>
      </w:pPr>
      <w:r>
        <w:rPr>
          <w:rStyle w:val="FootnoteReference"/>
        </w:rPr>
        <w:footnoteRef/>
      </w:r>
      <w:r>
        <w:t xml:space="preserve"> </w:t>
      </w:r>
      <w:r w:rsidRPr="004F32A3">
        <w:rPr>
          <w:sz w:val="18"/>
        </w:rPr>
        <w:t>Ibid</w:t>
      </w:r>
      <w:r>
        <w:rPr>
          <w:sz w:val="18"/>
        </w:rPr>
        <w:t>, amended</w:t>
      </w:r>
    </w:p>
  </w:footnote>
  <w:footnote w:id="36">
    <w:p w14:paraId="1938DE1C" w14:textId="77777777" w:rsidR="00F004C0" w:rsidRDefault="00F004C0">
      <w:pPr>
        <w:pStyle w:val="FootnoteText"/>
      </w:pPr>
      <w:r>
        <w:rPr>
          <w:rStyle w:val="FootnoteReference"/>
        </w:rPr>
        <w:footnoteRef/>
      </w:r>
      <w:r>
        <w:t xml:space="preserve"> </w:t>
      </w:r>
      <w:r w:rsidRPr="00F76A8E">
        <w:rPr>
          <w:sz w:val="18"/>
        </w:rPr>
        <w:t>Ibid</w:t>
      </w:r>
    </w:p>
  </w:footnote>
  <w:footnote w:id="37">
    <w:p w14:paraId="35ADA413" w14:textId="77777777" w:rsidR="00F004C0" w:rsidRDefault="00F004C0">
      <w:pPr>
        <w:pStyle w:val="FootnoteText"/>
      </w:pPr>
      <w:r>
        <w:rPr>
          <w:rStyle w:val="FootnoteReference"/>
        </w:rPr>
        <w:footnoteRef/>
      </w:r>
      <w:r>
        <w:t xml:space="preserve"> </w:t>
      </w:r>
      <w:r w:rsidRPr="000C5B9F">
        <w:rPr>
          <w:sz w:val="18"/>
        </w:rPr>
        <w:t>SAMHSA LGBTQ2-S op cit</w:t>
      </w:r>
    </w:p>
  </w:footnote>
  <w:footnote w:id="38">
    <w:p w14:paraId="617C46D1" w14:textId="77777777" w:rsidR="00F004C0" w:rsidRPr="009857F2" w:rsidRDefault="00F004C0">
      <w:pPr>
        <w:pStyle w:val="FootnoteText"/>
      </w:pPr>
      <w:r>
        <w:rPr>
          <w:rStyle w:val="FootnoteReference"/>
        </w:rPr>
        <w:footnoteRef/>
      </w:r>
      <w:r>
        <w:t xml:space="preserve"> </w:t>
      </w:r>
      <w:r w:rsidRPr="009857F2">
        <w:rPr>
          <w:sz w:val="18"/>
        </w:rPr>
        <w:t xml:space="preserve">SAMHSA: </w:t>
      </w:r>
      <w:r w:rsidRPr="009857F2">
        <w:rPr>
          <w:i/>
          <w:sz w:val="18"/>
        </w:rPr>
        <w:t>Top Health</w:t>
      </w:r>
      <w:r w:rsidRPr="009857F2">
        <w:rPr>
          <w:sz w:val="18"/>
        </w:rPr>
        <w:t xml:space="preserve"> op cit</w:t>
      </w:r>
    </w:p>
  </w:footnote>
  <w:footnote w:id="39">
    <w:p w14:paraId="77B59890" w14:textId="77777777" w:rsidR="00F004C0" w:rsidRDefault="00F004C0">
      <w:pPr>
        <w:pStyle w:val="FootnoteText"/>
      </w:pPr>
      <w:r>
        <w:rPr>
          <w:rStyle w:val="FootnoteReference"/>
        </w:rPr>
        <w:footnoteRef/>
      </w:r>
      <w:r>
        <w:t xml:space="preserve"> </w:t>
      </w:r>
      <w:r w:rsidRPr="00B80508">
        <w:rPr>
          <w:sz w:val="18"/>
        </w:rPr>
        <w:t>SAMHSA LGBTQ2-S</w:t>
      </w:r>
      <w:r>
        <w:rPr>
          <w:sz w:val="18"/>
        </w:rPr>
        <w:t xml:space="preserve"> op cit</w:t>
      </w:r>
    </w:p>
  </w:footnote>
  <w:footnote w:id="40">
    <w:p w14:paraId="0CAAC7F3" w14:textId="77777777" w:rsidR="00F004C0" w:rsidRDefault="00F004C0">
      <w:pPr>
        <w:pStyle w:val="FootnoteText"/>
      </w:pPr>
      <w:r>
        <w:rPr>
          <w:rStyle w:val="FootnoteReference"/>
        </w:rPr>
        <w:footnoteRef/>
      </w:r>
      <w:r>
        <w:t xml:space="preserve"> </w:t>
      </w:r>
      <w:r w:rsidRPr="00F606CC">
        <w:rPr>
          <w:sz w:val="18"/>
        </w:rPr>
        <w:t>Ibid, amended</w:t>
      </w:r>
    </w:p>
  </w:footnote>
  <w:footnote w:id="41">
    <w:p w14:paraId="0EC55DAB" w14:textId="77777777" w:rsidR="00F004C0" w:rsidRDefault="00F004C0">
      <w:pPr>
        <w:pStyle w:val="FootnoteText"/>
      </w:pPr>
      <w:r>
        <w:rPr>
          <w:rStyle w:val="FootnoteReference"/>
        </w:rPr>
        <w:footnoteRef/>
      </w:r>
      <w:r>
        <w:t xml:space="preserve"> </w:t>
      </w:r>
      <w:r w:rsidRPr="00F606CC">
        <w:rPr>
          <w:sz w:val="18"/>
        </w:rPr>
        <w:t>Ibid, amended</w:t>
      </w:r>
    </w:p>
  </w:footnote>
  <w:footnote w:id="42">
    <w:p w14:paraId="44A718ED" w14:textId="77777777" w:rsidR="00F004C0" w:rsidRDefault="00F004C0">
      <w:pPr>
        <w:pStyle w:val="FootnoteText"/>
      </w:pPr>
      <w:r>
        <w:rPr>
          <w:rStyle w:val="FootnoteReference"/>
        </w:rPr>
        <w:footnoteRef/>
      </w:r>
      <w:r>
        <w:t xml:space="preserve"> </w:t>
      </w:r>
      <w:hyperlink r:id="rId15" w:history="1">
        <w:r w:rsidRPr="008F0046">
          <w:rPr>
            <w:rFonts w:cs="Calibri"/>
            <w:color w:val="0000FF"/>
            <w:sz w:val="18"/>
            <w:szCs w:val="30"/>
            <w:u w:val="single" w:color="0000FF"/>
          </w:rPr>
          <w:t>http://www.asexuality.org/home/</w:t>
        </w:r>
      </w:hyperlink>
    </w:p>
  </w:footnote>
  <w:footnote w:id="43">
    <w:p w14:paraId="59741197" w14:textId="77777777" w:rsidR="00F004C0" w:rsidRDefault="00F004C0">
      <w:pPr>
        <w:pStyle w:val="FootnoteText"/>
      </w:pPr>
      <w:r>
        <w:rPr>
          <w:rStyle w:val="FootnoteReference"/>
        </w:rPr>
        <w:footnoteRef/>
      </w:r>
      <w:r>
        <w:t xml:space="preserve"> </w:t>
      </w:r>
      <w:r w:rsidRPr="00EE0316">
        <w:rPr>
          <w:sz w:val="18"/>
        </w:rPr>
        <w:t>SAMHSA LGBTQ2-S op cit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8D5"/>
    <w:multiLevelType w:val="hybridMultilevel"/>
    <w:tmpl w:val="A4668A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16FE37E6"/>
    <w:multiLevelType w:val="hybridMultilevel"/>
    <w:tmpl w:val="B2481D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6442F"/>
    <w:multiLevelType w:val="hybridMultilevel"/>
    <w:tmpl w:val="19AAD9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18E1134A"/>
    <w:multiLevelType w:val="hybridMultilevel"/>
    <w:tmpl w:val="7B7A9BFA"/>
    <w:lvl w:ilvl="0" w:tplc="0409000F">
      <w:start w:val="1"/>
      <w:numFmt w:val="decimal"/>
      <w:lvlText w:val="%1."/>
      <w:lvlJc w:val="left"/>
      <w:pPr>
        <w:ind w:left="389" w:hanging="360"/>
      </w:pPr>
    </w:lvl>
    <w:lvl w:ilvl="1" w:tplc="04090019">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4">
    <w:nsid w:val="232C107A"/>
    <w:multiLevelType w:val="hybridMultilevel"/>
    <w:tmpl w:val="8D6CF7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3E1D8D"/>
    <w:multiLevelType w:val="hybridMultilevel"/>
    <w:tmpl w:val="BF34D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EB03EB"/>
    <w:multiLevelType w:val="hybridMultilevel"/>
    <w:tmpl w:val="F38E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2DBC542E"/>
    <w:multiLevelType w:val="hybridMultilevel"/>
    <w:tmpl w:val="51B60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0D2ED0"/>
    <w:multiLevelType w:val="hybridMultilevel"/>
    <w:tmpl w:val="5CBC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4745A0"/>
    <w:multiLevelType w:val="hybridMultilevel"/>
    <w:tmpl w:val="8D50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3A186C6C"/>
    <w:multiLevelType w:val="hybridMultilevel"/>
    <w:tmpl w:val="993C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4B2017"/>
    <w:multiLevelType w:val="hybridMultilevel"/>
    <w:tmpl w:val="5EDA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615CF5"/>
    <w:multiLevelType w:val="hybridMultilevel"/>
    <w:tmpl w:val="E7AAF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433588"/>
    <w:multiLevelType w:val="hybridMultilevel"/>
    <w:tmpl w:val="E1E0F3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D957CB"/>
    <w:multiLevelType w:val="hybridMultilevel"/>
    <w:tmpl w:val="898AFF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EEB0F50"/>
    <w:multiLevelType w:val="hybridMultilevel"/>
    <w:tmpl w:val="2CBCA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8C4BF0"/>
    <w:multiLevelType w:val="hybridMultilevel"/>
    <w:tmpl w:val="F1F8567E"/>
    <w:lvl w:ilvl="0" w:tplc="04090003">
      <w:start w:val="1"/>
      <w:numFmt w:val="bullet"/>
      <w:lvlText w:val="o"/>
      <w:lvlJc w:val="left"/>
      <w:pPr>
        <w:ind w:left="1113"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99495B"/>
    <w:multiLevelType w:val="hybridMultilevel"/>
    <w:tmpl w:val="BDF600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3F6F30"/>
    <w:multiLevelType w:val="hybridMultilevel"/>
    <w:tmpl w:val="D25CA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9AF0162"/>
    <w:multiLevelType w:val="hybridMultilevel"/>
    <w:tmpl w:val="3C0E772A"/>
    <w:lvl w:ilvl="0" w:tplc="04090005">
      <w:start w:val="1"/>
      <w:numFmt w:val="bullet"/>
      <w:lvlText w:val=""/>
      <w:lvlJc w:val="left"/>
      <w:pPr>
        <w:ind w:left="393" w:hanging="360"/>
      </w:pPr>
      <w:rPr>
        <w:rFonts w:ascii="Wingdings" w:hAnsi="Wingdings" w:hint="default"/>
      </w:rPr>
    </w:lvl>
    <w:lvl w:ilvl="1" w:tplc="04090003">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545A44E8"/>
    <w:multiLevelType w:val="hybridMultilevel"/>
    <w:tmpl w:val="9998C728"/>
    <w:lvl w:ilvl="0" w:tplc="D88887FE">
      <w:start w:val="3"/>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FD5748"/>
    <w:multiLevelType w:val="hybridMultilevel"/>
    <w:tmpl w:val="7CB23D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8FC048A"/>
    <w:multiLevelType w:val="hybridMultilevel"/>
    <w:tmpl w:val="C3087D2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ACE4DBD"/>
    <w:multiLevelType w:val="hybridMultilevel"/>
    <w:tmpl w:val="1EB6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5FE40A00"/>
    <w:multiLevelType w:val="hybridMultilevel"/>
    <w:tmpl w:val="9FACF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950E78"/>
    <w:multiLevelType w:val="hybridMultilevel"/>
    <w:tmpl w:val="9C44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D47170"/>
    <w:multiLevelType w:val="hybridMultilevel"/>
    <w:tmpl w:val="2E26DC1E"/>
    <w:lvl w:ilvl="0" w:tplc="04090005">
      <w:start w:val="1"/>
      <w:numFmt w:val="bullet"/>
      <w:lvlText w:val=""/>
      <w:lvlJc w:val="left"/>
      <w:pPr>
        <w:ind w:left="753" w:hanging="360"/>
      </w:pPr>
      <w:rPr>
        <w:rFonts w:ascii="Wingdings" w:hAnsi="Wingdings" w:hint="default"/>
      </w:rPr>
    </w:lvl>
    <w:lvl w:ilvl="1" w:tplc="04090003">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7">
    <w:nsid w:val="67D700B7"/>
    <w:multiLevelType w:val="hybridMultilevel"/>
    <w:tmpl w:val="27F8C9F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6C653427"/>
    <w:multiLevelType w:val="hybridMultilevel"/>
    <w:tmpl w:val="D85486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DED7A0D"/>
    <w:multiLevelType w:val="hybridMultilevel"/>
    <w:tmpl w:val="3808D5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28121D7"/>
    <w:multiLevelType w:val="hybridMultilevel"/>
    <w:tmpl w:val="91C80F0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25"/>
  </w:num>
  <w:num w:numId="4">
    <w:abstractNumId w:val="11"/>
  </w:num>
  <w:num w:numId="5">
    <w:abstractNumId w:val="26"/>
  </w:num>
  <w:num w:numId="6">
    <w:abstractNumId w:val="1"/>
  </w:num>
  <w:num w:numId="7">
    <w:abstractNumId w:val="30"/>
  </w:num>
  <w:num w:numId="8">
    <w:abstractNumId w:val="19"/>
  </w:num>
  <w:num w:numId="9">
    <w:abstractNumId w:val="29"/>
  </w:num>
  <w:num w:numId="10">
    <w:abstractNumId w:val="22"/>
  </w:num>
  <w:num w:numId="11">
    <w:abstractNumId w:val="17"/>
  </w:num>
  <w:num w:numId="12">
    <w:abstractNumId w:val="16"/>
  </w:num>
  <w:num w:numId="13">
    <w:abstractNumId w:val="18"/>
  </w:num>
  <w:num w:numId="14">
    <w:abstractNumId w:val="14"/>
  </w:num>
  <w:num w:numId="15">
    <w:abstractNumId w:val="13"/>
  </w:num>
  <w:num w:numId="16">
    <w:abstractNumId w:val="21"/>
  </w:num>
  <w:num w:numId="17">
    <w:abstractNumId w:val="3"/>
  </w:num>
  <w:num w:numId="18">
    <w:abstractNumId w:val="2"/>
  </w:num>
  <w:num w:numId="19">
    <w:abstractNumId w:val="28"/>
  </w:num>
  <w:num w:numId="20">
    <w:abstractNumId w:val="0"/>
  </w:num>
  <w:num w:numId="21">
    <w:abstractNumId w:val="27"/>
  </w:num>
  <w:num w:numId="22">
    <w:abstractNumId w:val="4"/>
  </w:num>
  <w:num w:numId="23">
    <w:abstractNumId w:val="20"/>
  </w:num>
  <w:num w:numId="24">
    <w:abstractNumId w:val="12"/>
  </w:num>
  <w:num w:numId="25">
    <w:abstractNumId w:val="8"/>
  </w:num>
  <w:num w:numId="26">
    <w:abstractNumId w:val="24"/>
  </w:num>
  <w:num w:numId="27">
    <w:abstractNumId w:val="15"/>
  </w:num>
  <w:num w:numId="28">
    <w:abstractNumId w:val="6"/>
  </w:num>
  <w:num w:numId="29">
    <w:abstractNumId w:val="5"/>
  </w:num>
  <w:num w:numId="30">
    <w:abstractNumId w:val="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0B"/>
    <w:rsid w:val="00007291"/>
    <w:rsid w:val="00031E4C"/>
    <w:rsid w:val="0005574F"/>
    <w:rsid w:val="00055B10"/>
    <w:rsid w:val="000600E2"/>
    <w:rsid w:val="00060AF0"/>
    <w:rsid w:val="000A6EB9"/>
    <w:rsid w:val="000E4864"/>
    <w:rsid w:val="000F34A3"/>
    <w:rsid w:val="00107305"/>
    <w:rsid w:val="00110268"/>
    <w:rsid w:val="0014637E"/>
    <w:rsid w:val="00155A8F"/>
    <w:rsid w:val="00180736"/>
    <w:rsid w:val="0018131C"/>
    <w:rsid w:val="001840C6"/>
    <w:rsid w:val="001B1B4A"/>
    <w:rsid w:val="001B581E"/>
    <w:rsid w:val="001C782E"/>
    <w:rsid w:val="001E547C"/>
    <w:rsid w:val="002244E9"/>
    <w:rsid w:val="0023351F"/>
    <w:rsid w:val="00240C14"/>
    <w:rsid w:val="00241588"/>
    <w:rsid w:val="00242785"/>
    <w:rsid w:val="00272F53"/>
    <w:rsid w:val="00276BDC"/>
    <w:rsid w:val="002816D2"/>
    <w:rsid w:val="0029248D"/>
    <w:rsid w:val="002B16DF"/>
    <w:rsid w:val="002D3F76"/>
    <w:rsid w:val="002D5BC9"/>
    <w:rsid w:val="003038E8"/>
    <w:rsid w:val="0031017B"/>
    <w:rsid w:val="003170BD"/>
    <w:rsid w:val="00326C2C"/>
    <w:rsid w:val="003610A5"/>
    <w:rsid w:val="00364C9E"/>
    <w:rsid w:val="00367FE5"/>
    <w:rsid w:val="00393922"/>
    <w:rsid w:val="00397488"/>
    <w:rsid w:val="003A7CD3"/>
    <w:rsid w:val="003E0627"/>
    <w:rsid w:val="003E068F"/>
    <w:rsid w:val="003F131C"/>
    <w:rsid w:val="00420622"/>
    <w:rsid w:val="004365C7"/>
    <w:rsid w:val="004433FE"/>
    <w:rsid w:val="004560FD"/>
    <w:rsid w:val="00475633"/>
    <w:rsid w:val="004905AE"/>
    <w:rsid w:val="004914FB"/>
    <w:rsid w:val="004B0DE2"/>
    <w:rsid w:val="004C33EC"/>
    <w:rsid w:val="004E04B6"/>
    <w:rsid w:val="00511067"/>
    <w:rsid w:val="005145E2"/>
    <w:rsid w:val="005307E0"/>
    <w:rsid w:val="00535BB6"/>
    <w:rsid w:val="005604C8"/>
    <w:rsid w:val="00562685"/>
    <w:rsid w:val="00580B78"/>
    <w:rsid w:val="005A3F08"/>
    <w:rsid w:val="005B60BD"/>
    <w:rsid w:val="005C5FBA"/>
    <w:rsid w:val="005E186B"/>
    <w:rsid w:val="006230EE"/>
    <w:rsid w:val="00625EEA"/>
    <w:rsid w:val="00631ED9"/>
    <w:rsid w:val="00636D3B"/>
    <w:rsid w:val="006608F9"/>
    <w:rsid w:val="00666086"/>
    <w:rsid w:val="0066744A"/>
    <w:rsid w:val="00695466"/>
    <w:rsid w:val="006B7078"/>
    <w:rsid w:val="006D1E13"/>
    <w:rsid w:val="006E5A16"/>
    <w:rsid w:val="007236C7"/>
    <w:rsid w:val="00724881"/>
    <w:rsid w:val="00735285"/>
    <w:rsid w:val="00754A25"/>
    <w:rsid w:val="00773281"/>
    <w:rsid w:val="007773BD"/>
    <w:rsid w:val="00782D5E"/>
    <w:rsid w:val="007B74EF"/>
    <w:rsid w:val="007C0E7F"/>
    <w:rsid w:val="007F1704"/>
    <w:rsid w:val="00802131"/>
    <w:rsid w:val="008247EA"/>
    <w:rsid w:val="008605C6"/>
    <w:rsid w:val="008654D2"/>
    <w:rsid w:val="00874BCD"/>
    <w:rsid w:val="008B41C0"/>
    <w:rsid w:val="008C5016"/>
    <w:rsid w:val="008E3497"/>
    <w:rsid w:val="008E787E"/>
    <w:rsid w:val="00904DEA"/>
    <w:rsid w:val="0091083C"/>
    <w:rsid w:val="009158C5"/>
    <w:rsid w:val="0092306A"/>
    <w:rsid w:val="00936D56"/>
    <w:rsid w:val="00936EAF"/>
    <w:rsid w:val="0095280D"/>
    <w:rsid w:val="009666FB"/>
    <w:rsid w:val="00996349"/>
    <w:rsid w:val="009C1FC5"/>
    <w:rsid w:val="009C2B77"/>
    <w:rsid w:val="009C4DBB"/>
    <w:rsid w:val="009C779D"/>
    <w:rsid w:val="009D0A11"/>
    <w:rsid w:val="00A13DFA"/>
    <w:rsid w:val="00A165C7"/>
    <w:rsid w:val="00A26313"/>
    <w:rsid w:val="00A26FE0"/>
    <w:rsid w:val="00A404CC"/>
    <w:rsid w:val="00A8326F"/>
    <w:rsid w:val="00A85B5B"/>
    <w:rsid w:val="00AA4FF9"/>
    <w:rsid w:val="00AA5877"/>
    <w:rsid w:val="00AB32CB"/>
    <w:rsid w:val="00AD0FE8"/>
    <w:rsid w:val="00B05DF4"/>
    <w:rsid w:val="00B11E5B"/>
    <w:rsid w:val="00B61534"/>
    <w:rsid w:val="00B936B1"/>
    <w:rsid w:val="00BB217C"/>
    <w:rsid w:val="00BC0B9A"/>
    <w:rsid w:val="00BC2884"/>
    <w:rsid w:val="00BC6549"/>
    <w:rsid w:val="00BD0CAE"/>
    <w:rsid w:val="00BD13A7"/>
    <w:rsid w:val="00BE0459"/>
    <w:rsid w:val="00BE57C1"/>
    <w:rsid w:val="00C065AE"/>
    <w:rsid w:val="00C10BC1"/>
    <w:rsid w:val="00C1262A"/>
    <w:rsid w:val="00C137D5"/>
    <w:rsid w:val="00C16FA9"/>
    <w:rsid w:val="00C30486"/>
    <w:rsid w:val="00C5051E"/>
    <w:rsid w:val="00C53B38"/>
    <w:rsid w:val="00C94420"/>
    <w:rsid w:val="00C95139"/>
    <w:rsid w:val="00CA4567"/>
    <w:rsid w:val="00CC2585"/>
    <w:rsid w:val="00CC2F0B"/>
    <w:rsid w:val="00CE608F"/>
    <w:rsid w:val="00CF24B0"/>
    <w:rsid w:val="00D2003C"/>
    <w:rsid w:val="00D26277"/>
    <w:rsid w:val="00D274FA"/>
    <w:rsid w:val="00D35266"/>
    <w:rsid w:val="00D3670E"/>
    <w:rsid w:val="00D51D8B"/>
    <w:rsid w:val="00D85A87"/>
    <w:rsid w:val="00D91053"/>
    <w:rsid w:val="00D93B82"/>
    <w:rsid w:val="00DC392E"/>
    <w:rsid w:val="00DC587F"/>
    <w:rsid w:val="00DF323E"/>
    <w:rsid w:val="00E049A6"/>
    <w:rsid w:val="00E514C4"/>
    <w:rsid w:val="00E60514"/>
    <w:rsid w:val="00E629BE"/>
    <w:rsid w:val="00E70D90"/>
    <w:rsid w:val="00E71510"/>
    <w:rsid w:val="00E71D6C"/>
    <w:rsid w:val="00E909A8"/>
    <w:rsid w:val="00E9170D"/>
    <w:rsid w:val="00E91D5A"/>
    <w:rsid w:val="00EC4F27"/>
    <w:rsid w:val="00EE4E56"/>
    <w:rsid w:val="00EE67B6"/>
    <w:rsid w:val="00EF4B56"/>
    <w:rsid w:val="00F004C0"/>
    <w:rsid w:val="00F1566A"/>
    <w:rsid w:val="00F24CFD"/>
    <w:rsid w:val="00F32D0F"/>
    <w:rsid w:val="00F45820"/>
    <w:rsid w:val="00F46319"/>
    <w:rsid w:val="00F47B89"/>
    <w:rsid w:val="00F559EE"/>
    <w:rsid w:val="00F57991"/>
    <w:rsid w:val="00F769AD"/>
    <w:rsid w:val="00F803CA"/>
    <w:rsid w:val="00FA36D5"/>
    <w:rsid w:val="00FF0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CB1A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5A8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F0B"/>
    <w:pPr>
      <w:ind w:left="720"/>
      <w:contextualSpacing/>
    </w:pPr>
  </w:style>
  <w:style w:type="character" w:styleId="Hyperlink">
    <w:name w:val="Hyperlink"/>
    <w:basedOn w:val="DefaultParagraphFont"/>
    <w:uiPriority w:val="99"/>
    <w:unhideWhenUsed/>
    <w:rsid w:val="00420622"/>
    <w:rPr>
      <w:color w:val="0000FF"/>
      <w:u w:val="single"/>
    </w:rPr>
  </w:style>
  <w:style w:type="paragraph" w:styleId="FootnoteText">
    <w:name w:val="footnote text"/>
    <w:basedOn w:val="Normal"/>
    <w:link w:val="FootnoteTextChar"/>
    <w:uiPriority w:val="99"/>
    <w:unhideWhenUsed/>
    <w:rsid w:val="00420622"/>
    <w:rPr>
      <w:rFonts w:eastAsia="Calibri" w:cs="Times New Roman"/>
      <w:sz w:val="20"/>
      <w:szCs w:val="20"/>
    </w:rPr>
  </w:style>
  <w:style w:type="character" w:customStyle="1" w:styleId="FootnoteTextChar">
    <w:name w:val="Footnote Text Char"/>
    <w:basedOn w:val="DefaultParagraphFont"/>
    <w:link w:val="FootnoteText"/>
    <w:uiPriority w:val="99"/>
    <w:rsid w:val="00420622"/>
    <w:rPr>
      <w:rFonts w:eastAsia="Calibri" w:cs="Times New Roman"/>
      <w:sz w:val="20"/>
      <w:szCs w:val="20"/>
    </w:rPr>
  </w:style>
  <w:style w:type="character" w:styleId="FootnoteReference">
    <w:name w:val="footnote reference"/>
    <w:basedOn w:val="DefaultParagraphFont"/>
    <w:uiPriority w:val="99"/>
    <w:unhideWhenUsed/>
    <w:rsid w:val="00420622"/>
    <w:rPr>
      <w:vertAlign w:val="superscript"/>
    </w:rPr>
  </w:style>
  <w:style w:type="paragraph" w:styleId="EndnoteText">
    <w:name w:val="endnote text"/>
    <w:basedOn w:val="Normal"/>
    <w:link w:val="EndnoteTextChar"/>
    <w:uiPriority w:val="99"/>
    <w:unhideWhenUsed/>
    <w:rsid w:val="00C16FA9"/>
    <w:rPr>
      <w:sz w:val="24"/>
      <w:szCs w:val="24"/>
    </w:rPr>
  </w:style>
  <w:style w:type="character" w:customStyle="1" w:styleId="EndnoteTextChar">
    <w:name w:val="Endnote Text Char"/>
    <w:basedOn w:val="DefaultParagraphFont"/>
    <w:link w:val="EndnoteText"/>
    <w:uiPriority w:val="99"/>
    <w:rsid w:val="00C16FA9"/>
    <w:rPr>
      <w:sz w:val="24"/>
      <w:szCs w:val="24"/>
    </w:rPr>
  </w:style>
  <w:style w:type="character" w:styleId="EndnoteReference">
    <w:name w:val="endnote reference"/>
    <w:basedOn w:val="DefaultParagraphFont"/>
    <w:uiPriority w:val="99"/>
    <w:unhideWhenUsed/>
    <w:rsid w:val="00C16FA9"/>
    <w:rPr>
      <w:vertAlign w:val="superscript"/>
    </w:rPr>
  </w:style>
  <w:style w:type="paragraph" w:styleId="CommentText">
    <w:name w:val="annotation text"/>
    <w:basedOn w:val="Normal"/>
    <w:link w:val="CommentTextChar"/>
    <w:uiPriority w:val="99"/>
    <w:semiHidden/>
    <w:rsid w:val="00C16FA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16FA9"/>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5604C8"/>
    <w:rPr>
      <w:color w:val="800080" w:themeColor="followedHyperlink"/>
      <w:u w:val="single"/>
    </w:rPr>
  </w:style>
  <w:style w:type="paragraph" w:styleId="Header">
    <w:name w:val="header"/>
    <w:basedOn w:val="Normal"/>
    <w:link w:val="HeaderChar"/>
    <w:uiPriority w:val="99"/>
    <w:unhideWhenUsed/>
    <w:rsid w:val="005307E0"/>
    <w:pPr>
      <w:tabs>
        <w:tab w:val="center" w:pos="4320"/>
        <w:tab w:val="right" w:pos="8640"/>
      </w:tabs>
    </w:pPr>
  </w:style>
  <w:style w:type="character" w:customStyle="1" w:styleId="HeaderChar">
    <w:name w:val="Header Char"/>
    <w:basedOn w:val="DefaultParagraphFont"/>
    <w:link w:val="Header"/>
    <w:uiPriority w:val="99"/>
    <w:rsid w:val="005307E0"/>
  </w:style>
  <w:style w:type="paragraph" w:styleId="Footer">
    <w:name w:val="footer"/>
    <w:basedOn w:val="Normal"/>
    <w:link w:val="FooterChar"/>
    <w:uiPriority w:val="99"/>
    <w:unhideWhenUsed/>
    <w:rsid w:val="005307E0"/>
    <w:pPr>
      <w:tabs>
        <w:tab w:val="center" w:pos="4320"/>
        <w:tab w:val="right" w:pos="8640"/>
      </w:tabs>
    </w:pPr>
  </w:style>
  <w:style w:type="character" w:customStyle="1" w:styleId="FooterChar">
    <w:name w:val="Footer Char"/>
    <w:basedOn w:val="DefaultParagraphFont"/>
    <w:link w:val="Footer"/>
    <w:uiPriority w:val="99"/>
    <w:rsid w:val="005307E0"/>
  </w:style>
  <w:style w:type="character" w:styleId="PageNumber">
    <w:name w:val="page number"/>
    <w:basedOn w:val="DefaultParagraphFont"/>
    <w:uiPriority w:val="99"/>
    <w:semiHidden/>
    <w:unhideWhenUsed/>
    <w:rsid w:val="005307E0"/>
  </w:style>
  <w:style w:type="paragraph" w:styleId="BalloonText">
    <w:name w:val="Balloon Text"/>
    <w:basedOn w:val="Normal"/>
    <w:link w:val="BalloonTextChar"/>
    <w:uiPriority w:val="99"/>
    <w:semiHidden/>
    <w:unhideWhenUsed/>
    <w:rsid w:val="00D51D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1D8B"/>
    <w:rPr>
      <w:rFonts w:ascii="Lucida Grande" w:hAnsi="Lucida Grande" w:cs="Lucida Grande"/>
      <w:sz w:val="18"/>
      <w:szCs w:val="18"/>
    </w:rPr>
  </w:style>
  <w:style w:type="table" w:styleId="TableGrid">
    <w:name w:val="Table Grid"/>
    <w:basedOn w:val="TableNormal"/>
    <w:uiPriority w:val="59"/>
    <w:rsid w:val="00E9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55A8F"/>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AA4FF9"/>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rsid w:val="00E629BE"/>
    <w:rPr>
      <w:rFonts w:cs="Times New Roman"/>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5A8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F0B"/>
    <w:pPr>
      <w:ind w:left="720"/>
      <w:contextualSpacing/>
    </w:pPr>
  </w:style>
  <w:style w:type="character" w:styleId="Hyperlink">
    <w:name w:val="Hyperlink"/>
    <w:basedOn w:val="DefaultParagraphFont"/>
    <w:uiPriority w:val="99"/>
    <w:unhideWhenUsed/>
    <w:rsid w:val="00420622"/>
    <w:rPr>
      <w:color w:val="0000FF"/>
      <w:u w:val="single"/>
    </w:rPr>
  </w:style>
  <w:style w:type="paragraph" w:styleId="FootnoteText">
    <w:name w:val="footnote text"/>
    <w:basedOn w:val="Normal"/>
    <w:link w:val="FootnoteTextChar"/>
    <w:uiPriority w:val="99"/>
    <w:unhideWhenUsed/>
    <w:rsid w:val="00420622"/>
    <w:rPr>
      <w:rFonts w:eastAsia="Calibri" w:cs="Times New Roman"/>
      <w:sz w:val="20"/>
      <w:szCs w:val="20"/>
    </w:rPr>
  </w:style>
  <w:style w:type="character" w:customStyle="1" w:styleId="FootnoteTextChar">
    <w:name w:val="Footnote Text Char"/>
    <w:basedOn w:val="DefaultParagraphFont"/>
    <w:link w:val="FootnoteText"/>
    <w:uiPriority w:val="99"/>
    <w:rsid w:val="00420622"/>
    <w:rPr>
      <w:rFonts w:eastAsia="Calibri" w:cs="Times New Roman"/>
      <w:sz w:val="20"/>
      <w:szCs w:val="20"/>
    </w:rPr>
  </w:style>
  <w:style w:type="character" w:styleId="FootnoteReference">
    <w:name w:val="footnote reference"/>
    <w:basedOn w:val="DefaultParagraphFont"/>
    <w:uiPriority w:val="99"/>
    <w:unhideWhenUsed/>
    <w:rsid w:val="00420622"/>
    <w:rPr>
      <w:vertAlign w:val="superscript"/>
    </w:rPr>
  </w:style>
  <w:style w:type="paragraph" w:styleId="EndnoteText">
    <w:name w:val="endnote text"/>
    <w:basedOn w:val="Normal"/>
    <w:link w:val="EndnoteTextChar"/>
    <w:uiPriority w:val="99"/>
    <w:unhideWhenUsed/>
    <w:rsid w:val="00C16FA9"/>
    <w:rPr>
      <w:sz w:val="24"/>
      <w:szCs w:val="24"/>
    </w:rPr>
  </w:style>
  <w:style w:type="character" w:customStyle="1" w:styleId="EndnoteTextChar">
    <w:name w:val="Endnote Text Char"/>
    <w:basedOn w:val="DefaultParagraphFont"/>
    <w:link w:val="EndnoteText"/>
    <w:uiPriority w:val="99"/>
    <w:rsid w:val="00C16FA9"/>
    <w:rPr>
      <w:sz w:val="24"/>
      <w:szCs w:val="24"/>
    </w:rPr>
  </w:style>
  <w:style w:type="character" w:styleId="EndnoteReference">
    <w:name w:val="endnote reference"/>
    <w:basedOn w:val="DefaultParagraphFont"/>
    <w:uiPriority w:val="99"/>
    <w:unhideWhenUsed/>
    <w:rsid w:val="00C16FA9"/>
    <w:rPr>
      <w:vertAlign w:val="superscript"/>
    </w:rPr>
  </w:style>
  <w:style w:type="paragraph" w:styleId="CommentText">
    <w:name w:val="annotation text"/>
    <w:basedOn w:val="Normal"/>
    <w:link w:val="CommentTextChar"/>
    <w:uiPriority w:val="99"/>
    <w:semiHidden/>
    <w:rsid w:val="00C16FA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16FA9"/>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5604C8"/>
    <w:rPr>
      <w:color w:val="800080" w:themeColor="followedHyperlink"/>
      <w:u w:val="single"/>
    </w:rPr>
  </w:style>
  <w:style w:type="paragraph" w:styleId="Header">
    <w:name w:val="header"/>
    <w:basedOn w:val="Normal"/>
    <w:link w:val="HeaderChar"/>
    <w:uiPriority w:val="99"/>
    <w:unhideWhenUsed/>
    <w:rsid w:val="005307E0"/>
    <w:pPr>
      <w:tabs>
        <w:tab w:val="center" w:pos="4320"/>
        <w:tab w:val="right" w:pos="8640"/>
      </w:tabs>
    </w:pPr>
  </w:style>
  <w:style w:type="character" w:customStyle="1" w:styleId="HeaderChar">
    <w:name w:val="Header Char"/>
    <w:basedOn w:val="DefaultParagraphFont"/>
    <w:link w:val="Header"/>
    <w:uiPriority w:val="99"/>
    <w:rsid w:val="005307E0"/>
  </w:style>
  <w:style w:type="paragraph" w:styleId="Footer">
    <w:name w:val="footer"/>
    <w:basedOn w:val="Normal"/>
    <w:link w:val="FooterChar"/>
    <w:uiPriority w:val="99"/>
    <w:unhideWhenUsed/>
    <w:rsid w:val="005307E0"/>
    <w:pPr>
      <w:tabs>
        <w:tab w:val="center" w:pos="4320"/>
        <w:tab w:val="right" w:pos="8640"/>
      </w:tabs>
    </w:pPr>
  </w:style>
  <w:style w:type="character" w:customStyle="1" w:styleId="FooterChar">
    <w:name w:val="Footer Char"/>
    <w:basedOn w:val="DefaultParagraphFont"/>
    <w:link w:val="Footer"/>
    <w:uiPriority w:val="99"/>
    <w:rsid w:val="005307E0"/>
  </w:style>
  <w:style w:type="character" w:styleId="PageNumber">
    <w:name w:val="page number"/>
    <w:basedOn w:val="DefaultParagraphFont"/>
    <w:uiPriority w:val="99"/>
    <w:semiHidden/>
    <w:unhideWhenUsed/>
    <w:rsid w:val="005307E0"/>
  </w:style>
  <w:style w:type="paragraph" w:styleId="BalloonText">
    <w:name w:val="Balloon Text"/>
    <w:basedOn w:val="Normal"/>
    <w:link w:val="BalloonTextChar"/>
    <w:uiPriority w:val="99"/>
    <w:semiHidden/>
    <w:unhideWhenUsed/>
    <w:rsid w:val="00D51D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1D8B"/>
    <w:rPr>
      <w:rFonts w:ascii="Lucida Grande" w:hAnsi="Lucida Grande" w:cs="Lucida Grande"/>
      <w:sz w:val="18"/>
      <w:szCs w:val="18"/>
    </w:rPr>
  </w:style>
  <w:style w:type="table" w:styleId="TableGrid">
    <w:name w:val="Table Grid"/>
    <w:basedOn w:val="TableNormal"/>
    <w:uiPriority w:val="59"/>
    <w:rsid w:val="00E9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55A8F"/>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AA4FF9"/>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rsid w:val="00E629BE"/>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6197">
      <w:bodyDiv w:val="1"/>
      <w:marLeft w:val="0"/>
      <w:marRight w:val="0"/>
      <w:marTop w:val="0"/>
      <w:marBottom w:val="0"/>
      <w:divBdr>
        <w:top w:val="none" w:sz="0" w:space="0" w:color="auto"/>
        <w:left w:val="none" w:sz="0" w:space="0" w:color="auto"/>
        <w:bottom w:val="none" w:sz="0" w:space="0" w:color="auto"/>
        <w:right w:val="none" w:sz="0" w:space="0" w:color="auto"/>
      </w:divBdr>
    </w:div>
    <w:div w:id="754477605">
      <w:bodyDiv w:val="1"/>
      <w:marLeft w:val="0"/>
      <w:marRight w:val="0"/>
      <w:marTop w:val="0"/>
      <w:marBottom w:val="0"/>
      <w:divBdr>
        <w:top w:val="none" w:sz="0" w:space="0" w:color="auto"/>
        <w:left w:val="none" w:sz="0" w:space="0" w:color="auto"/>
        <w:bottom w:val="none" w:sz="0" w:space="0" w:color="auto"/>
        <w:right w:val="none" w:sz="0" w:space="0" w:color="auto"/>
      </w:divBdr>
    </w:div>
    <w:div w:id="1439719421">
      <w:bodyDiv w:val="1"/>
      <w:marLeft w:val="0"/>
      <w:marRight w:val="0"/>
      <w:marTop w:val="0"/>
      <w:marBottom w:val="0"/>
      <w:divBdr>
        <w:top w:val="none" w:sz="0" w:space="0" w:color="auto"/>
        <w:left w:val="none" w:sz="0" w:space="0" w:color="auto"/>
        <w:bottom w:val="none" w:sz="0" w:space="0" w:color="auto"/>
        <w:right w:val="none" w:sz="0" w:space="0" w:color="auto"/>
      </w:divBdr>
    </w:div>
    <w:div w:id="16859348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lgbthealtheducation.org/publications/top/"/>
  <Relationship Id="rId11" Type="http://schemas.openxmlformats.org/officeDocument/2006/relationships/hyperlink" TargetMode="External" Target="http://www.chestnut.org/li/gain/"/>
  <Relationship Id="rId12" Type="http://schemas.openxmlformats.org/officeDocument/2006/relationships/hyperlink" TargetMode="External" Target="http://www.hcsm.org/glys/tools.htm"/>
  <Relationship Id="rId13" Type="http://schemas.openxmlformats.org/officeDocument/2006/relationships/hyperlink" TargetMode="External" Target="http://hcsm.org/glys/assessment-tools"/>
  <Relationship Id="rId14" Type="http://schemas.openxmlformats.org/officeDocument/2006/relationships/hyperlink" TargetMode="External" Target="http://www11.georgetown.edu/research/gucchd/nccc/documents/Final%20LGBTQ%20Checklist.pdf"/>
  <Relationship Id="rId15" Type="http://schemas.openxmlformats.org/officeDocument/2006/relationships/hyperlink" TargetMode="External" Target="http://www.ippfwhr.org/sites/default/files/SexualDiversityToolKit_Section4.pdf"/>
  <Relationship Id="rId16" Type="http://schemas.openxmlformats.org/officeDocument/2006/relationships/hyperlink" TargetMode="External" Target="http://www.ippfwhr.org/sites/default/files/SexualDiversityToolKit_Section4.pdf"/>
  <Relationship Id="rId17" Type="http://schemas.openxmlformats.org/officeDocument/2006/relationships/hyperlink" TargetMode="External" Target="http://www.mass.gov/eohhs/gov/departments/dph/programs/substance-abuse/providers/program-licensing/principles-of-care-and-practice-guidance.html"/>
  <Relationship Id="rId18" Type="http://schemas.openxmlformats.org/officeDocument/2006/relationships/hyperlink" TargetMode="External" Target="http://www.mass.gov/eohhs/gov/departments/dph/programs/community-health/dvip/injury-prevention/suicide-prevention/"/>
  <Relationship Id="rId19" Type="http://schemas.openxmlformats.org/officeDocument/2006/relationships/hyperlink" TargetMode="External" Target="http://www.mass.gov/eohhs/gov/departments/dph/programs/community-health/dvip/violence/safe-spaces.html"/>
  <Relationship Id="rId2" Type="http://schemas.openxmlformats.org/officeDocument/2006/relationships/styles" Target="styles.xml"/>
  <Relationship Id="rId20" Type="http://schemas.openxmlformats.org/officeDocument/2006/relationships/hyperlink" TargetMode="External" Target="http://www.mass.gov/maclearinghouse"/>
  <Relationship Id="rId21" Type="http://schemas.openxmlformats.org/officeDocument/2006/relationships/hyperlink" TargetMode="External" Target="http://www.doe.mass.edu/ssce/lgbtq/"/>
  <Relationship Id="rId22" Type="http://schemas.openxmlformats.org/officeDocument/2006/relationships/hyperlink" TargetMode="External" Target="http://www.doe.mass.edu/ssce/GenderIdentity.pdf"/>
  <Relationship Id="rId23" Type="http://schemas.openxmlformats.org/officeDocument/2006/relationships/hyperlink" TargetMode="External" Target="http://www.mass.gov/dmh/tay"/>
  <Relationship Id="rId24" Type="http://schemas.openxmlformats.org/officeDocument/2006/relationships/hyperlink" TargetMode="External" Target="http://www.mass.gov/eohhs/docs/dmh/publications/young-adult-resource-guide.pdf"/>
  <Relationship Id="rId25" Type="http://schemas.openxmlformats.org/officeDocument/2006/relationships/hyperlink" TargetMode="External" Target="http://www.mass.gov/cgly/"/>
  <Relationship Id="rId26" Type="http://schemas.openxmlformats.org/officeDocument/2006/relationships/hyperlink" TargetMode="External" Target="http://www.bagly.org"/>
  <Relationship Id="rId27" Type="http://schemas.openxmlformats.org/officeDocument/2006/relationships/hyperlink" TargetMode="External" Target="http://www.jri.org/glass"/>
  <Relationship Id="rId28" Type="http://schemas.openxmlformats.org/officeDocument/2006/relationships/hyperlink" TargetMode="External" Target="http://hcsm.org/glys/home"/>
  <Relationship Id="rId29" Type="http://schemas.openxmlformats.org/officeDocument/2006/relationships/hyperlink" TargetMode="External" Target="http://hcsm.org/glys/home"/>
  <Relationship Id="rId3" Type="http://schemas.microsoft.com/office/2007/relationships/stylesWithEffects" Target="stylesWithEffects.xml"/>
  <Relationship Id="rId30" Type="http://schemas.openxmlformats.org/officeDocument/2006/relationships/hyperlink" TargetMode="External" Target="http://www.healthimperatives.org/sites/default/files/spiritweb/GLYS/Agency%20safety%20assessment%20tool.pdf"/>
  <Relationship Id="rId31" Type="http://schemas.openxmlformats.org/officeDocument/2006/relationships/hyperlink" TargetMode="External" Target="http://www.hbgc-boston.org/"/>
  <Relationship Id="rId32" Type="http://schemas.openxmlformats.org/officeDocument/2006/relationships/hyperlink" TargetMode="External" Target="http://www.massresources.org/shelters-youth.html"/>
  <Relationship Id="rId33" Type="http://schemas.openxmlformats.org/officeDocument/2006/relationships/hyperlink" TargetMode="External" Target="http://www.aac.org/about/our-work/youth-on-fire.html"/>
  <Relationship Id="rId34" Type="http://schemas.openxmlformats.org/officeDocument/2006/relationships/hyperlink" TargetMode="External" Target="http://www.dialself.org"/>
  <Relationship Id="rId35" Type="http://schemas.openxmlformats.org/officeDocument/2006/relationships/hyperlink" TargetMode="External" Target="http://www.bridgeotw.org"/>
  <Relationship Id="rId36" Type="http://schemas.openxmlformats.org/officeDocument/2006/relationships/hyperlink" TargetMode="External" Target="http://www.masstpc.org"/>
  <Relationship Id="rId37" Type="http://schemas.openxmlformats.org/officeDocument/2006/relationships/hyperlink" TargetMode="External" Target="http://www.masstpc.org"/>
  <Relationship Id="rId38" Type="http://schemas.openxmlformats.org/officeDocument/2006/relationships/hyperlink" TargetMode="External" Target="http://www.umassmed.edu/cmhsr/transitions-rtc/index.aspx"/>
  <Relationship Id="rId39" Type="http://schemas.openxmlformats.org/officeDocument/2006/relationships/hyperlink" TargetMode="External" Target="http://www.cdc.gov/lgbthealth/youth-resources.htm"/>
  <Relationship Id="rId4" Type="http://schemas.openxmlformats.org/officeDocument/2006/relationships/settings" Target="settings.xml"/>
  <Relationship Id="rId40" Type="http://schemas.openxmlformats.org/officeDocument/2006/relationships/hyperlink" TargetMode="External" Target="http://www.cdc.gov/lgbthealth/youth.htm"/>
  <Relationship Id="rId41" Type="http://schemas.openxmlformats.org/officeDocument/2006/relationships/hyperlink" TargetMode="External" Target="http://www.cdc.gov/lgbthealth/youth-programs.htm"/>
  <Relationship Id="rId42" Type="http://schemas.openxmlformats.org/officeDocument/2006/relationships/hyperlink" TargetMode="External" Target="http://www.samhsa.gov/obhe/lgbt.aspx"/>
  <Relationship Id="rId43" Type="http://schemas.openxmlformats.org/officeDocument/2006/relationships/hyperlink" TargetMode="External" Target="http://store.samhsa.gov/product/Top-Health-Issues-for-LGBT-Populations/All-New-Products/SMA12-4684"/>
  <Relationship Id="rId44" Type="http://schemas.openxmlformats.org/officeDocument/2006/relationships/hyperlink" TargetMode="External" Target="http://homeless.samhsa.gov/(S(bnwiwr45jopnoen1vm0cyr45))/Search.aspx?tagId=30056&amp;search=LGBT+youth&amp;AspxAutoDetectCookieSupport=1&amp;page=0"/>
  <Relationship Id="rId45" Type="http://schemas.openxmlformats.org/officeDocument/2006/relationships/hyperlink" TargetMode="External" Target="http://store.samhsa.gov/product/A-Provider-s-Introduction-to-Substance-Abuse-Treatment-for-Lesbian-Gay-Bisexual-and-Transgender-Individuals/SMA12-4104"/>
  <Relationship Id="rId46" Type="http://schemas.openxmlformats.org/officeDocument/2006/relationships/hyperlink" TargetMode="External" Target="http://familyproject.sfsu.edu/files/FAP_English%20Booklet_pst.pdf"/>
  <Relationship Id="rId47" Type="http://schemas.openxmlformats.org/officeDocument/2006/relationships/hyperlink" TargetMode="External" Target="http://www.lgbthealtheducation.org/publications/top/"/>
  <Relationship Id="rId48" Type="http://schemas.openxmlformats.org/officeDocument/2006/relationships/hyperlink" TargetMode="External" Target="http://www.endhomelessness.org/library/entry/national-recommended-best-practices-for-serving-lgbt-homeless-youth"/>
  <Relationship Id="rId49" Type="http://schemas.openxmlformats.org/officeDocument/2006/relationships/hyperlink" TargetMode="External" Target="http://www.lambdalegal.org/publications/youth-in-the-margins"/>
  <Relationship Id="rId5" Type="http://schemas.openxmlformats.org/officeDocument/2006/relationships/webSettings" Target="webSettings.xml"/>
  <Relationship Id="rId50" Type="http://schemas.openxmlformats.org/officeDocument/2006/relationships/hyperlink" TargetMode="External" Target="http://calswec.berkeley.edu/files/uploads/pdf/CalSWEC/Train_Curric_GLBTQQ_Margins.pdf"/>
  <Relationship Id="rId51" Type="http://schemas.openxmlformats.org/officeDocument/2006/relationships/hyperlink" TargetMode="External" Target="https://www.nalgap.org"/>
  <Relationship Id="rId52" Type="http://schemas.openxmlformats.org/officeDocument/2006/relationships/hyperlink" TargetMode="External" Target="http://glsen.org/nscs"/>
  <Relationship Id="rId53" Type="http://schemas.openxmlformats.org/officeDocument/2006/relationships/hyperlink" TargetMode="External" Target="https://www.gbpflag.org"/>
  <Relationship Id="rId54" Type="http://schemas.openxmlformats.org/officeDocument/2006/relationships/hyperlink" TargetMode="External" Target="http://www.stopbullying.gov/at-risk/groups/lgbt/index.html"/>
  <Relationship Id="rId55" Type="http://schemas.openxmlformats.org/officeDocument/2006/relationships/hyperlink" TargetMode="External" Target="http://hcsm.org/glys/home"/>
  <Relationship Id="rId56" Type="http://schemas.openxmlformats.org/officeDocument/2006/relationships/hyperlink" TargetMode="External" Target="http://www.samhsa.gov/lgbt/curricula.aspx"/>
  <Relationship Id="rId57" Type="http://schemas.openxmlformats.org/officeDocument/2006/relationships/hyperlink" TargetMode="External" Target="http://www.attcnetwork.org/regcenters/generalContent.asp?rcid=12&amp;content=STCUSTOM3"/>
  <Relationship Id="rId58" Type="http://schemas.openxmlformats.org/officeDocument/2006/relationships/hyperlink" TargetMode="External" Target="http://pubs.niaaa.nih.gov/publications/Social/Module10GSexualOrientation/Module10G.html"/>
  <Relationship Id="rId59" Type="http://schemas.openxmlformats.org/officeDocument/2006/relationships/hyperlink" TargetMode="External" Target="http://lgbttobacco.org"/>
  <Relationship Id="rId6" Type="http://schemas.openxmlformats.org/officeDocument/2006/relationships/footnotes" Target="footnotes.xml"/>
  <Relationship Id="rId60" Type="http://schemas.openxmlformats.org/officeDocument/2006/relationships/hyperlink" TargetMode="External" Target="http://www.legacyforhealth.org/our-issues/tobacco-related-health-disparities"/>
  <Relationship Id="rId61" Type="http://schemas.openxmlformats.org/officeDocument/2006/relationships/hyperlink" TargetMode="External" Target="http://www.samhsa.gov/data/NSDUH/2012SummNatFindDetTables/NationalFindings/NSDUHresults2012.htm"/>
  <Relationship Id="rId62" Type="http://schemas.openxmlformats.org/officeDocument/2006/relationships/hyperlink" TargetMode="External" Target="http://www.mass.gov/eohhs/docs/dph/behavioral-risk/yrbs-2011.pdf"/>
  <Relationship Id="rId63" Type="http://schemas.openxmlformats.org/officeDocument/2006/relationships/footer" Target="footer1.xml"/>
  <Relationship Id="rId64" Type="http://schemas.openxmlformats.org/officeDocument/2006/relationships/footer" Target="footer2.xml"/>
  <Relationship Id="rId65" Type="http://schemas.openxmlformats.org/officeDocument/2006/relationships/hyperlink" TargetMode="External" Target="mailto:BSAS.Feedback@state.ma.us"/>
  <Relationship Id="rId66" Type="http://schemas.openxmlformats.org/officeDocument/2006/relationships/hyperlink" TargetMode="External" Target="http://store.samhsa.gov/product/Top-Health-Issues-for-LGBT-Populations/All-New-Products/SMA12-4684"/>
  <Relationship Id="rId67" Type="http://schemas.openxmlformats.org/officeDocument/2006/relationships/hyperlink" TargetMode="External" Target="http://www.lambdalegal.org/publications/getting-down-to-basics"/>
  <Relationship Id="rId68" Type="http://schemas.openxmlformats.org/officeDocument/2006/relationships/hyperlink" TargetMode="External" Target="http://www.samhsa.gov/obhe/lgbt.aspx"/>
  <Relationship Id="rId69" Type="http://schemas.openxmlformats.org/officeDocument/2006/relationships/fontTable" Target="fontTable.xml"/>
  <Relationship Id="rId7" Type="http://schemas.openxmlformats.org/officeDocument/2006/relationships/endnotes" Target="endnotes.xml"/>
  <Relationship Id="rId70" Type="http://schemas.openxmlformats.org/officeDocument/2006/relationships/theme" Target="theme/theme1.xml"/>
  <Relationship Id="rId8" Type="http://schemas.openxmlformats.org/officeDocument/2006/relationships/image" Target="media/image1.jpeg"/>
  <Relationship Id="rId9" Type="http://schemas.openxmlformats.org/officeDocument/2006/relationships/image" Target="media/image2.jpeg"/>
</Relationships>

</file>

<file path=word/_rels/footnotes.xml.rels><?xml version="1.0" encoding="UTF-8"?>

<Relationships xmlns="http://schemas.openxmlformats.org/package/2006/relationships">
  <Relationship Id="rId1" Type="http://schemas.openxmlformats.org/officeDocument/2006/relationships/hyperlink" TargetMode="External" Target="http://www.mass.gov/governor/legislationeexecorder/executiveorder/executive-order-no-526.html"/>
  <Relationship Id="rId10" Type="http://schemas.openxmlformats.org/officeDocument/2006/relationships/hyperlink" TargetMode="External" Target="http://www.doe.mass.edu/cnp/hprograms/yrbs/"/>
  <Relationship Id="rId11" Type="http://schemas.openxmlformats.org/officeDocument/2006/relationships/hyperlink" TargetMode="External" Target="https://nsduhweb.rti.org/respweb/homepage.cfm"/>
  <Relationship Id="rId12" Type="http://schemas.openxmlformats.org/officeDocument/2006/relationships/hyperlink" TargetMode="External" Target="http://www.ncbi.nlm.nih.gov/pmc/articles/PMC3649127/"/>
  <Relationship Id="rId13" Type="http://schemas.openxmlformats.org/officeDocument/2006/relationships/hyperlink" TargetMode="External" Target="http://www.bagly.org/programs/youth-group/find-an-agly"/>
  <Relationship Id="rId14" Type="http://schemas.openxmlformats.org/officeDocument/2006/relationships/hyperlink" TargetMode="External" Target="http://www.mahomeless.org/component/content/article/78-mch/189-unaccompanied-youth"/>
  <Relationship Id="rId15" Type="http://schemas.openxmlformats.org/officeDocument/2006/relationships/hyperlink" TargetMode="External" Target="http://www.asexuality.org/home/"/>
  <Relationship Id="rId2" Type="http://schemas.openxmlformats.org/officeDocument/2006/relationships/hyperlink" TargetMode="External" Target="http://www.mass.gov/cgly/publications.html"/>
  <Relationship Id="rId3" Type="http://schemas.openxmlformats.org/officeDocument/2006/relationships/hyperlink" TargetMode="External" Target="http://glsen.org/nscs"/>
  <Relationship Id="rId4" Type="http://schemas.openxmlformats.org/officeDocument/2006/relationships/hyperlink" TargetMode="External" Target="http://homeless.samhsa.gov/resource/lesbian-gay-bisexual-and-transgender-youth-an-epidemic-of-homelessness-32663.aspx"/>
  <Relationship Id="rId5" Type="http://schemas.openxmlformats.org/officeDocument/2006/relationships/hyperlink" TargetMode="External" Target="http://www.samhsa.gov/obhe/lgbt.aspx"/>
  <Relationship Id="rId6" Type="http://schemas.openxmlformats.org/officeDocument/2006/relationships/hyperlink" TargetMode="External" Target="http://www.sprc.org/sites/sprc.org/files/library/SPRC_LGBT_Youth.pdf"/>
  <Relationship Id="rId7" Type="http://schemas.openxmlformats.org/officeDocument/2006/relationships/hyperlink" TargetMode="External" Target="http://pediatrics.aappublications.org/content/123/1/346.full?ijkey=NrncY0H897lAU&amp;keytype=ref&amp;siteid=aapjournals"/>
  <Relationship Id="rId8" Type="http://schemas.openxmlformats.org/officeDocument/2006/relationships/hyperlink" TargetMode="External" Target="http://www.nap.edu/download.php?record_id=13128"/>
  <Relationship Id="rId9" Type="http://schemas.openxmlformats.org/officeDocument/2006/relationships/hyperlink" TargetMode="External" Target="http://www.cdc.gov/mmwr/pdf/ss/ss60e0606.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5152</Words>
  <Characters>29369</Characters>
  <Application>Microsoft Macintosh Word</Application>
  <DocSecurity>0</DocSecurity>
  <Lines>244</Lines>
  <Paragraphs>68</Paragraphs>
  <ScaleCrop>false</ScaleCrop>
  <Company>Jane Moore Consulting</Company>
  <LinksUpToDate>false</LinksUpToDate>
  <CharactersWithSpaces>34453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2014-07-11T14:55:00Z</dcterms:created>
  <dc:creator>Jane Moore</dc:creator>
  <lastModifiedBy>Jane Moore</lastModifiedBy>
  <lastPrinted>2014-03-18T16:52:00Z</lastPrinted>
  <dcterms:modified xsi:type="dcterms:W3CDTF">2014-07-14T23:44:00Z</dcterms:modified>
  <revision>7</revision>
</coreProperties>
</file>