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BE2C" w14:textId="1E1871CE" w:rsidR="00906BB1" w:rsidRPr="00F843B9" w:rsidRDefault="00906BB1" w:rsidP="00F843B9">
      <w:pPr>
        <w:pStyle w:val="NoSpacing"/>
        <w:jc w:val="center"/>
        <w:rPr>
          <w:b/>
          <w:bCs/>
          <w:color w:val="2F5496" w:themeColor="accent1" w:themeShade="BF"/>
          <w:sz w:val="40"/>
          <w:szCs w:val="40"/>
        </w:rPr>
      </w:pPr>
      <w:r w:rsidRPr="00F843B9">
        <w:rPr>
          <w:b/>
          <w:bCs/>
          <w:color w:val="2F5496" w:themeColor="accent1" w:themeShade="BF"/>
          <w:sz w:val="40"/>
          <w:szCs w:val="40"/>
        </w:rPr>
        <w:t>Sewage Notification Data System Instructions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shd w:val="clear" w:color="auto" w:fill="E6E6E6"/>
        </w:rPr>
        <w:id w:val="996465924"/>
        <w:docPartObj>
          <w:docPartGallery w:val="Table of Contents"/>
          <w:docPartUnique/>
        </w:docPartObj>
      </w:sdtPr>
      <w:sdtContent>
        <w:p w14:paraId="21C4152E" w14:textId="427B4702" w:rsidR="00713538" w:rsidRPr="00713538" w:rsidRDefault="00713538">
          <w:pPr>
            <w:pStyle w:val="TOCHeading"/>
            <w:rPr>
              <w:rStyle w:val="Heading1Char"/>
            </w:rPr>
          </w:pPr>
          <w:r w:rsidRPr="013BC1F1">
            <w:rPr>
              <w:rStyle w:val="Heading1Char"/>
            </w:rPr>
            <w:t>Contents</w:t>
          </w:r>
        </w:p>
        <w:p w14:paraId="36D87426" w14:textId="1A002D0E" w:rsidR="0076628F" w:rsidRDefault="00816B1B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rPr>
              <w:color w:val="2B579A"/>
              <w:shd w:val="clear" w:color="auto" w:fill="E6E6E6"/>
            </w:rPr>
            <w:fldChar w:fldCharType="begin"/>
          </w:r>
          <w:r w:rsidR="00713538">
            <w:instrText>TOC \o "1-3" \h \z \u</w:instrText>
          </w:r>
          <w:r>
            <w:rPr>
              <w:color w:val="2B579A"/>
              <w:shd w:val="clear" w:color="auto" w:fill="E6E6E6"/>
            </w:rPr>
            <w:fldChar w:fldCharType="separate"/>
          </w:r>
          <w:hyperlink w:anchor="_Toc114573579" w:history="1">
            <w:r w:rsidR="0076628F" w:rsidRPr="00A93FDB">
              <w:rPr>
                <w:rStyle w:val="Hyperlink"/>
                <w:noProof/>
              </w:rPr>
              <w:t>Quick Tips for reports</w:t>
            </w:r>
            <w:r w:rsidR="0076628F">
              <w:rPr>
                <w:noProof/>
                <w:webHidden/>
              </w:rPr>
              <w:tab/>
            </w:r>
            <w:r w:rsidR="0076628F">
              <w:rPr>
                <w:noProof/>
                <w:webHidden/>
              </w:rPr>
              <w:fldChar w:fldCharType="begin"/>
            </w:r>
            <w:r w:rsidR="0076628F">
              <w:rPr>
                <w:noProof/>
                <w:webHidden/>
              </w:rPr>
              <w:instrText xml:space="preserve"> PAGEREF _Toc114573579 \h </w:instrText>
            </w:r>
            <w:r w:rsidR="0076628F">
              <w:rPr>
                <w:noProof/>
                <w:webHidden/>
              </w:rPr>
            </w:r>
            <w:r w:rsidR="0076628F">
              <w:rPr>
                <w:noProof/>
                <w:webHidden/>
              </w:rPr>
              <w:fldChar w:fldCharType="separate"/>
            </w:r>
            <w:r w:rsidR="00291BF4">
              <w:rPr>
                <w:noProof/>
                <w:webHidden/>
              </w:rPr>
              <w:t>1</w:t>
            </w:r>
            <w:r w:rsidR="0076628F">
              <w:rPr>
                <w:noProof/>
                <w:webHidden/>
              </w:rPr>
              <w:fldChar w:fldCharType="end"/>
            </w:r>
          </w:hyperlink>
        </w:p>
        <w:p w14:paraId="28EC9DBD" w14:textId="2DEAE604" w:rsidR="0076628F" w:rsidRDefault="0076628F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14573580" w:history="1">
            <w:r w:rsidRPr="00A93FDB">
              <w:rPr>
                <w:rStyle w:val="Hyperlink"/>
                <w:noProof/>
              </w:rPr>
              <w:t>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_Toc114573580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1BF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C1D86" w14:textId="7F160543" w:rsidR="0076628F" w:rsidRDefault="0076628F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14573581" w:history="1">
            <w:r w:rsidRPr="00A93FDB">
              <w:rPr>
                <w:rStyle w:val="Hyperlink"/>
                <w:noProof/>
              </w:rPr>
              <w:t>More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_Toc114573581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1BF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56A8F" w14:textId="23367266" w:rsidR="0076628F" w:rsidRDefault="0076628F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14573582" w:history="1">
            <w:r w:rsidRPr="00A93FDB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_Toc114573582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1BF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C8DDF" w14:textId="78C5B15C" w:rsidR="00816B1B" w:rsidRDefault="00816B1B" w:rsidP="013BC1F1">
          <w:pPr>
            <w:pStyle w:val="TOC1"/>
            <w:tabs>
              <w:tab w:val="right" w:leader="dot" w:pos="9360"/>
            </w:tabs>
            <w:rPr>
              <w:noProof/>
            </w:rPr>
          </w:pPr>
          <w:r>
            <w:rPr>
              <w:color w:val="2B579A"/>
              <w:shd w:val="clear" w:color="auto" w:fill="E6E6E6"/>
            </w:rPr>
            <w:fldChar w:fldCharType="end"/>
          </w:r>
        </w:p>
      </w:sdtContent>
    </w:sdt>
    <w:p w14:paraId="2633CD45" w14:textId="2E4C04E4" w:rsidR="00381E89" w:rsidRDefault="0062791A" w:rsidP="00381E89">
      <w:pPr>
        <w:pStyle w:val="Heading1"/>
      </w:pPr>
      <w:bookmarkStart w:id="0" w:name="_Toc114573579"/>
      <w:r>
        <w:t>Quick Tips</w:t>
      </w:r>
      <w:r w:rsidR="000B38BC">
        <w:t xml:space="preserve"> for reports</w:t>
      </w:r>
      <w:bookmarkEnd w:id="0"/>
    </w:p>
    <w:p w14:paraId="1572B4BC" w14:textId="26B54168" w:rsidR="000B38BC" w:rsidRDefault="000B38BC" w:rsidP="0076628F">
      <w:pPr>
        <w:pStyle w:val="ListParagraph"/>
        <w:numPr>
          <w:ilvl w:val="0"/>
          <w:numId w:val="8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 xml:space="preserve">Fill out each field </w:t>
      </w:r>
      <w:r w:rsidRPr="0076628F">
        <w:rPr>
          <w:u w:val="single"/>
        </w:rPr>
        <w:t xml:space="preserve">in </w:t>
      </w:r>
      <w:proofErr w:type="gramStart"/>
      <w:r w:rsidRPr="0076628F">
        <w:rPr>
          <w:u w:val="single"/>
        </w:rPr>
        <w:t>order</w:t>
      </w:r>
      <w:r>
        <w:t>:</w:t>
      </w:r>
      <w:proofErr w:type="gramEnd"/>
      <w:r>
        <w:t xml:space="preserve"> left to right, top to bottom.  </w:t>
      </w:r>
      <w:r w:rsidR="00DE5920">
        <w:br/>
      </w:r>
    </w:p>
    <w:p w14:paraId="02BB263D" w14:textId="129AF4A5" w:rsidR="000D1BAB" w:rsidRDefault="000B38BC" w:rsidP="00381E89">
      <w:pPr>
        <w:pStyle w:val="ListParagraph"/>
        <w:numPr>
          <w:ilvl w:val="0"/>
          <w:numId w:val="8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240"/>
      </w:pPr>
      <w:r>
        <w:t xml:space="preserve">As you </w:t>
      </w:r>
      <w:r w:rsidR="000D1BAB">
        <w:t>go</w:t>
      </w:r>
      <w:r>
        <w:t xml:space="preserve"> through the form, </w:t>
      </w:r>
      <w:r w:rsidRPr="0076628F">
        <w:rPr>
          <w:u w:val="single"/>
        </w:rPr>
        <w:t>fill out any editable fields</w:t>
      </w:r>
      <w:r>
        <w:t xml:space="preserve">.  </w:t>
      </w:r>
      <w:r w:rsidR="0076628F">
        <w:br/>
      </w:r>
      <w:r>
        <w:t xml:space="preserve">You do not need to fill out pre-filled or grayed-out fields.  </w:t>
      </w:r>
      <w:r w:rsidR="00DE5920">
        <w:br/>
      </w:r>
    </w:p>
    <w:p w14:paraId="636A1AF1" w14:textId="5DA82AD1" w:rsidR="0062791A" w:rsidRPr="0062791A" w:rsidRDefault="000D1BAB" w:rsidP="00381E89">
      <w:pPr>
        <w:pStyle w:val="ListParagraph"/>
        <w:numPr>
          <w:ilvl w:val="0"/>
          <w:numId w:val="8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240"/>
      </w:pPr>
      <w:r>
        <w:t xml:space="preserve">Once all fields are filled out or gray, click </w:t>
      </w:r>
      <w:r w:rsidRPr="000D1BAB">
        <w:rPr>
          <w:b/>
          <w:bCs/>
        </w:rPr>
        <w:t>Next</w:t>
      </w:r>
      <w:r>
        <w:t xml:space="preserve">.  </w:t>
      </w:r>
      <w:r w:rsidR="00DE5920">
        <w:br/>
      </w:r>
      <w:r w:rsidR="0076628F">
        <w:br/>
      </w:r>
      <w:r w:rsidR="009271A1">
        <w:rPr>
          <w:noProof/>
        </w:rPr>
        <w:drawing>
          <wp:inline distT="0" distB="0" distL="0" distR="0" wp14:anchorId="55AA3810" wp14:editId="3A820C5A">
            <wp:extent cx="4152900" cy="2749374"/>
            <wp:effectExtent l="0" t="0" r="0" b="0"/>
            <wp:docPr id="2" name="Picture 2" descr="Timel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07" cy="27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D417A" w14:textId="77777777" w:rsidR="0076628F" w:rsidRDefault="0076628F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bookmarkStart w:id="1" w:name="_Toc114573580"/>
      <w:r>
        <w:br w:type="page"/>
      </w:r>
    </w:p>
    <w:p w14:paraId="338EBAF5" w14:textId="1BB232A2" w:rsidR="00A1097A" w:rsidRDefault="00A1097A" w:rsidP="121B5D3A">
      <w:pPr>
        <w:pStyle w:val="Heading1"/>
      </w:pPr>
      <w:r>
        <w:lastRenderedPageBreak/>
        <w:t>Instructions</w:t>
      </w:r>
      <w:bookmarkEnd w:id="1"/>
      <w:r>
        <w:t xml:space="preserve"> </w:t>
      </w:r>
    </w:p>
    <w:p w14:paraId="2820CE25" w14:textId="4AB3FAA7" w:rsidR="001717E8" w:rsidRPr="001717E8" w:rsidRDefault="006B3994" w:rsidP="00451477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121B5D3A">
        <w:rPr>
          <w:b/>
          <w:bCs/>
        </w:rPr>
        <w:t>M</w:t>
      </w:r>
      <w:r w:rsidR="00392F4B">
        <w:rPr>
          <w:b/>
          <w:bCs/>
        </w:rPr>
        <w:t>y</w:t>
      </w:r>
      <w:r w:rsidRPr="121B5D3A">
        <w:rPr>
          <w:b/>
          <w:bCs/>
        </w:rPr>
        <w:t xml:space="preserve"> Incidents</w:t>
      </w:r>
      <w:r>
        <w:t xml:space="preserve"> </w:t>
      </w:r>
      <w:r w:rsidR="003E748E">
        <w:br/>
        <w:t>This i</w:t>
      </w:r>
      <w:r>
        <w:t xml:space="preserve">s where you can view </w:t>
      </w:r>
      <w:proofErr w:type="gramStart"/>
      <w:r>
        <w:t>all of</w:t>
      </w:r>
      <w:proofErr w:type="gramEnd"/>
      <w:r>
        <w:t xml:space="preserve"> your submitted and saved reports</w:t>
      </w:r>
      <w:r w:rsidR="003E748E">
        <w:t xml:space="preserve">.  </w:t>
      </w:r>
      <w:r w:rsidR="00451477">
        <w:br/>
      </w:r>
      <w:r w:rsidR="00646397">
        <w:rPr>
          <w:noProof/>
          <w:color w:val="2B579A"/>
          <w:shd w:val="clear" w:color="auto" w:fill="E6E6E6"/>
        </w:rPr>
        <w:drawing>
          <wp:inline distT="0" distB="0" distL="0" distR="0" wp14:anchorId="647BA3B8" wp14:editId="31EB644E">
            <wp:extent cx="4979876" cy="2000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689" cy="200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8CA8" w14:textId="77777777" w:rsidR="001717E8" w:rsidRPr="001717E8" w:rsidRDefault="00AC66E0" w:rsidP="001717E8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451477">
        <w:rPr>
          <w:b/>
          <w:bCs/>
        </w:rPr>
        <w:t>Saved Incident Reports</w:t>
      </w:r>
      <w:r>
        <w:t xml:space="preserve"> can be edited </w:t>
      </w:r>
    </w:p>
    <w:p w14:paraId="6D403BF7" w14:textId="77777777" w:rsidR="001717E8" w:rsidRPr="001717E8" w:rsidRDefault="00630A0A" w:rsidP="001717E8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451477">
        <w:rPr>
          <w:b/>
          <w:bCs/>
        </w:rPr>
        <w:t xml:space="preserve">Submitted Incident Reports </w:t>
      </w:r>
      <w:r>
        <w:t>can be viewed, but not edited</w:t>
      </w:r>
    </w:p>
    <w:p w14:paraId="0462C19D" w14:textId="54495316" w:rsidR="00630A0A" w:rsidRPr="001717E8" w:rsidRDefault="00543A62" w:rsidP="001717E8">
      <w:pPr>
        <w:pStyle w:val="ListParagraph"/>
        <w:numPr>
          <w:ilvl w:val="1"/>
          <w:numId w:val="7"/>
        </w:numPr>
        <w:rPr>
          <w:rFonts w:eastAsiaTheme="minorEastAsia"/>
        </w:rPr>
      </w:pPr>
      <w:r>
        <w:t>Reports must be submitted to satisfy the regulatory requirements</w:t>
      </w:r>
    </w:p>
    <w:p w14:paraId="1C05639D" w14:textId="4EECE2EE" w:rsidR="001717E8" w:rsidRPr="00451477" w:rsidRDefault="001717E8" w:rsidP="001717E8">
      <w:pPr>
        <w:pStyle w:val="ListParagraph"/>
        <w:numPr>
          <w:ilvl w:val="1"/>
          <w:numId w:val="7"/>
        </w:numPr>
        <w:rPr>
          <w:rFonts w:eastAsiaTheme="minorEastAsia"/>
        </w:rPr>
      </w:pPr>
      <w:r>
        <w:t xml:space="preserve">Columns </w:t>
      </w:r>
      <w:r w:rsidR="00D951AC">
        <w:t>can be sorted by clicking on the column title</w:t>
      </w:r>
    </w:p>
    <w:p w14:paraId="17F970A0" w14:textId="17DC6960" w:rsidR="00713538" w:rsidRPr="006B3994" w:rsidRDefault="00543A62" w:rsidP="121B5D3A">
      <w:pPr>
        <w:pStyle w:val="ListParagraph"/>
        <w:numPr>
          <w:ilvl w:val="0"/>
          <w:numId w:val="7"/>
        </w:numPr>
      </w:pPr>
      <w:r w:rsidRPr="121B5D3A">
        <w:rPr>
          <w:b/>
          <w:bCs/>
        </w:rPr>
        <w:t>New Incident</w:t>
      </w:r>
      <w:r w:rsidR="00713538">
        <w:br/>
      </w:r>
      <w:r w:rsidR="121B5D3A">
        <w:t xml:space="preserve">Click </w:t>
      </w:r>
      <w:r w:rsidR="121B5D3A" w:rsidRPr="121B5D3A">
        <w:rPr>
          <w:b/>
          <w:bCs/>
        </w:rPr>
        <w:t>New Incident</w:t>
      </w:r>
      <w:r w:rsidR="121B5D3A">
        <w:t xml:space="preserve"> to add </w:t>
      </w:r>
      <w:r w:rsidR="00230DC3">
        <w:t>the first</w:t>
      </w:r>
      <w:r w:rsidR="121B5D3A">
        <w:t xml:space="preserve"> </w:t>
      </w:r>
      <w:r w:rsidR="00CB22AB" w:rsidRPr="00CB22AB">
        <w:rPr>
          <w:b/>
          <w:bCs/>
        </w:rPr>
        <w:t>Public Notification</w:t>
      </w:r>
      <w:r w:rsidR="121B5D3A" w:rsidRPr="121B5D3A">
        <w:rPr>
          <w:b/>
          <w:bCs/>
        </w:rPr>
        <w:t xml:space="preserve"> Report</w:t>
      </w:r>
      <w:r w:rsidR="121B5D3A">
        <w:t xml:space="preserve"> for an event (soon after the event), or to add a </w:t>
      </w:r>
      <w:r w:rsidR="121B5D3A" w:rsidRPr="121B5D3A">
        <w:rPr>
          <w:b/>
          <w:bCs/>
        </w:rPr>
        <w:t xml:space="preserve">Verified Event Data report </w:t>
      </w:r>
      <w:r w:rsidR="121B5D3A">
        <w:t xml:space="preserve">(to satisfy the monthly reporting requirement).  </w:t>
      </w:r>
      <w:r w:rsidR="00713538">
        <w:br/>
      </w:r>
      <w:r w:rsidR="00B1765D">
        <w:rPr>
          <w:noProof/>
          <w:color w:val="2B579A"/>
          <w:shd w:val="clear" w:color="auto" w:fill="E6E6E6"/>
        </w:rPr>
        <w:drawing>
          <wp:inline distT="0" distB="0" distL="0" distR="0" wp14:anchorId="78C80AE2" wp14:editId="13D6DAA7">
            <wp:extent cx="5191125" cy="208510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083" cy="209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B297" w14:textId="378D6BBF" w:rsidR="121B5D3A" w:rsidRDefault="121B5D3A" w:rsidP="121B5D3A">
      <w:pPr>
        <w:pStyle w:val="ListParagraph"/>
        <w:numPr>
          <w:ilvl w:val="1"/>
          <w:numId w:val="7"/>
        </w:numPr>
        <w:rPr>
          <w:rFonts w:eastAsiaTheme="minorEastAsia"/>
          <w:b/>
          <w:bCs/>
        </w:rPr>
      </w:pPr>
      <w:r w:rsidRPr="121B5D3A">
        <w:rPr>
          <w:b/>
          <w:bCs/>
        </w:rPr>
        <w:t>Incident Information</w:t>
      </w:r>
      <w:r>
        <w:br/>
        <w:t xml:space="preserve">Fill out </w:t>
      </w:r>
      <w:r w:rsidR="00656458">
        <w:t>each field left to right, top to bottom</w:t>
      </w:r>
      <w:r>
        <w:t xml:space="preserve">, then hit </w:t>
      </w:r>
      <w:r w:rsidRPr="121B5D3A">
        <w:rPr>
          <w:b/>
          <w:bCs/>
        </w:rPr>
        <w:t>Next</w:t>
      </w:r>
      <w:r>
        <w:t xml:space="preserve">.  </w:t>
      </w:r>
      <w:r w:rsidR="00656458">
        <w:t>Based on your inputs, subsequent fields may become pre-filled or gr</w:t>
      </w:r>
      <w:r w:rsidR="001C0353">
        <w:t>a</w:t>
      </w:r>
      <w:r w:rsidR="00656458">
        <w:t>yed out – these are not required to be entered by hand.</w:t>
      </w:r>
      <w:r w:rsidR="00656458">
        <w:t xml:space="preserve">  </w:t>
      </w:r>
      <w:r w:rsidR="002718E1">
        <w:t>Look at</w:t>
      </w:r>
      <w:r w:rsidR="00990D01">
        <w:t xml:space="preserve"> the </w:t>
      </w:r>
      <w:r w:rsidR="00990D01">
        <w:lastRenderedPageBreak/>
        <w:t xml:space="preserve">Definitions section of this document for explanations </w:t>
      </w:r>
      <w:r w:rsidR="002718E1">
        <w:t>of what</w:t>
      </w:r>
      <w:r w:rsidR="00990D01">
        <w:t xml:space="preserve"> each field</w:t>
      </w:r>
      <w:r w:rsidR="002718E1">
        <w:t xml:space="preserve"> means</w:t>
      </w:r>
      <w:r w:rsidR="00990D01">
        <w:t xml:space="preserve">.  </w:t>
      </w:r>
      <w:r>
        <w:br/>
      </w:r>
      <w:r w:rsidR="009518A8">
        <w:rPr>
          <w:noProof/>
          <w:color w:val="2B579A"/>
          <w:shd w:val="clear" w:color="auto" w:fill="E6E6E6"/>
        </w:rPr>
        <w:drawing>
          <wp:inline distT="0" distB="0" distL="0" distR="0" wp14:anchorId="25485132" wp14:editId="5725B70E">
            <wp:extent cx="4572000" cy="38252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391" cy="385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475A7" w14:textId="791CA698" w:rsidR="121B5D3A" w:rsidRDefault="00255E1B" w:rsidP="121B5D3A">
      <w:pPr>
        <w:pStyle w:val="ListParagraph"/>
        <w:numPr>
          <w:ilvl w:val="1"/>
          <w:numId w:val="7"/>
        </w:numPr>
        <w:rPr>
          <w:rFonts w:eastAsiaTheme="minorEastAsia"/>
          <w:b/>
          <w:bCs/>
        </w:rPr>
      </w:pPr>
      <w:r>
        <w:rPr>
          <w:b/>
          <w:bCs/>
        </w:rPr>
        <w:t>Public Advisory Notification</w:t>
      </w:r>
      <w:r w:rsidR="121B5D3A" w:rsidRPr="121B5D3A">
        <w:rPr>
          <w:b/>
          <w:bCs/>
        </w:rPr>
        <w:t xml:space="preserve"> </w:t>
      </w:r>
      <w:r w:rsidR="00F92AB0">
        <w:rPr>
          <w:b/>
          <w:bCs/>
        </w:rPr>
        <w:t>Q</w:t>
      </w:r>
      <w:r w:rsidR="121B5D3A" w:rsidRPr="121B5D3A">
        <w:rPr>
          <w:b/>
          <w:bCs/>
        </w:rPr>
        <w:t>uestions</w:t>
      </w:r>
      <w:r w:rsidR="121B5D3A">
        <w:br/>
        <w:t>Answer each of the questions</w:t>
      </w:r>
      <w:r>
        <w:t xml:space="preserve"> if you are submitting a </w:t>
      </w:r>
      <w:r w:rsidR="00F92AB0" w:rsidRPr="00F92AB0">
        <w:rPr>
          <w:b/>
          <w:bCs/>
        </w:rPr>
        <w:t>Public Notification Report</w:t>
      </w:r>
      <w:r w:rsidR="121B5D3A">
        <w:t xml:space="preserve">.  These are to confirm whether you have complied with all notification requirements.  Include an explanation if you answered “No” for any question.  </w:t>
      </w:r>
      <w:r w:rsidR="121B5D3A">
        <w:br/>
      </w:r>
      <w:r>
        <w:rPr>
          <w:noProof/>
          <w:color w:val="2B579A"/>
          <w:shd w:val="clear" w:color="auto" w:fill="E6E6E6"/>
        </w:rPr>
        <w:drawing>
          <wp:inline distT="0" distB="0" distL="0" distR="0" wp14:anchorId="1A74ADBC" wp14:editId="08FB2446">
            <wp:extent cx="4692379" cy="24669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276" cy="24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A927A" w14:textId="35EB8154" w:rsidR="121B5D3A" w:rsidRDefault="121B5D3A" w:rsidP="74FADDD1">
      <w:pPr>
        <w:pStyle w:val="ListParagraph"/>
        <w:numPr>
          <w:ilvl w:val="1"/>
          <w:numId w:val="7"/>
        </w:numPr>
        <w:rPr>
          <w:rFonts w:eastAsiaTheme="minorEastAsia"/>
          <w:b/>
          <w:bCs/>
        </w:rPr>
      </w:pPr>
      <w:r w:rsidRPr="74FADDD1">
        <w:rPr>
          <w:b/>
          <w:bCs/>
        </w:rPr>
        <w:t>Supporting Documents</w:t>
      </w:r>
      <w:r>
        <w:br/>
        <w:t xml:space="preserve">For </w:t>
      </w:r>
      <w:r w:rsidR="00F34B97" w:rsidRPr="74FADDD1">
        <w:rPr>
          <w:b/>
          <w:bCs/>
        </w:rPr>
        <w:t>Public</w:t>
      </w:r>
      <w:r w:rsidRPr="74FADDD1">
        <w:rPr>
          <w:b/>
          <w:bCs/>
        </w:rPr>
        <w:t xml:space="preserve"> Notification</w:t>
      </w:r>
      <w:r w:rsidR="00F34B97" w:rsidRPr="74FADDD1">
        <w:rPr>
          <w:b/>
          <w:bCs/>
        </w:rPr>
        <w:t xml:space="preserve"> Reports</w:t>
      </w:r>
      <w:r>
        <w:t xml:space="preserve">, </w:t>
      </w:r>
      <w:r w:rsidR="00D207C7">
        <w:t xml:space="preserve">you must </w:t>
      </w:r>
      <w:r>
        <w:t xml:space="preserve">attach a copy of </w:t>
      </w:r>
      <w:r w:rsidR="00D207C7">
        <w:t>your</w:t>
      </w:r>
      <w:r>
        <w:t xml:space="preserve"> Public Advisory Notification. Depending </w:t>
      </w:r>
      <w:r>
        <w:lastRenderedPageBreak/>
        <w:t>on the timing of your data entry, you may need to attach multiple Public Advisory Notifications.</w:t>
      </w:r>
      <w:r>
        <w:br/>
      </w:r>
      <w:r w:rsidR="00F34B97">
        <w:rPr>
          <w:noProof/>
          <w:color w:val="2B579A"/>
          <w:shd w:val="clear" w:color="auto" w:fill="E6E6E6"/>
        </w:rPr>
        <w:drawing>
          <wp:inline distT="0" distB="0" distL="0" distR="0" wp14:anchorId="29EA09C0" wp14:editId="298503AA">
            <wp:extent cx="4694511" cy="34309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511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9ED4A" w14:textId="78879926" w:rsidR="121B5D3A" w:rsidRDefault="121B5D3A" w:rsidP="121B5D3A">
      <w:pPr>
        <w:pStyle w:val="ListParagraph"/>
        <w:numPr>
          <w:ilvl w:val="1"/>
          <w:numId w:val="7"/>
        </w:numPr>
        <w:rPr>
          <w:rFonts w:eastAsiaTheme="minorEastAsia"/>
          <w:b/>
          <w:bCs/>
        </w:rPr>
      </w:pPr>
      <w:r w:rsidRPr="121B5D3A">
        <w:rPr>
          <w:b/>
          <w:bCs/>
        </w:rPr>
        <w:t>Review and Submit</w:t>
      </w:r>
      <w:r>
        <w:br/>
        <w:t xml:space="preserve">Click </w:t>
      </w:r>
      <w:r w:rsidRPr="121B5D3A">
        <w:rPr>
          <w:b/>
          <w:bCs/>
        </w:rPr>
        <w:t>Save for later</w:t>
      </w:r>
      <w:r>
        <w:t xml:space="preserve"> to return later and finalize the report.  </w:t>
      </w:r>
      <w:r>
        <w:br/>
        <w:t xml:space="preserve">Click </w:t>
      </w:r>
      <w:r w:rsidRPr="121B5D3A">
        <w:rPr>
          <w:b/>
          <w:bCs/>
        </w:rPr>
        <w:t>Submit</w:t>
      </w:r>
      <w:r>
        <w:t xml:space="preserve"> to submit the report and satisfy regulatory requirements.  Submitted reports can be viewed on the public database.  </w:t>
      </w:r>
      <w:r>
        <w:br/>
      </w:r>
      <w:r w:rsidR="00E239B6">
        <w:rPr>
          <w:noProof/>
          <w:color w:val="2B579A"/>
          <w:shd w:val="clear" w:color="auto" w:fill="E6E6E6"/>
        </w:rPr>
        <w:drawing>
          <wp:inline distT="0" distB="0" distL="0" distR="0" wp14:anchorId="2CCB8EE1" wp14:editId="3869E71B">
            <wp:extent cx="4754975" cy="254127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341" cy="255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5DFEB" w14:textId="166DB91B" w:rsidR="121B5D3A" w:rsidRDefault="121B5D3A" w:rsidP="004B6245">
      <w:pPr>
        <w:pStyle w:val="ListParagraph"/>
        <w:keepNext/>
        <w:keepLines/>
        <w:numPr>
          <w:ilvl w:val="0"/>
          <w:numId w:val="7"/>
        </w:numPr>
        <w:spacing w:after="0"/>
        <w:rPr>
          <w:rFonts w:eastAsiaTheme="minorEastAsia"/>
        </w:rPr>
      </w:pPr>
      <w:r>
        <w:lastRenderedPageBreak/>
        <w:t xml:space="preserve">Click </w:t>
      </w:r>
      <w:r w:rsidRPr="121B5D3A">
        <w:rPr>
          <w:b/>
          <w:bCs/>
        </w:rPr>
        <w:t>Manage</w:t>
      </w:r>
      <w:r>
        <w:t xml:space="preserve"> to view details on submitted reports</w:t>
      </w:r>
      <w:r>
        <w:br/>
      </w:r>
      <w:r w:rsidR="00D975DA">
        <w:rPr>
          <w:noProof/>
          <w:color w:val="2B579A"/>
          <w:shd w:val="clear" w:color="auto" w:fill="E6E6E6"/>
        </w:rPr>
        <w:drawing>
          <wp:inline distT="0" distB="0" distL="0" distR="0" wp14:anchorId="3C7B4CE5" wp14:editId="6903AA76">
            <wp:extent cx="5086350" cy="204301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479" cy="205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67A2E" w14:textId="3412F925" w:rsidR="121B5D3A" w:rsidRDefault="121B5D3A" w:rsidP="121B5D3A">
      <w:pPr>
        <w:pStyle w:val="ListParagraph"/>
        <w:numPr>
          <w:ilvl w:val="1"/>
          <w:numId w:val="7"/>
        </w:numPr>
        <w:spacing w:after="0"/>
        <w:rPr>
          <w:rFonts w:eastAsiaTheme="minorEastAsia"/>
        </w:rPr>
      </w:pPr>
      <w:r>
        <w:t xml:space="preserve">Details can be viewed under </w:t>
      </w:r>
      <w:r w:rsidRPr="121B5D3A">
        <w:rPr>
          <w:b/>
          <w:bCs/>
        </w:rPr>
        <w:t xml:space="preserve">Incident Details </w:t>
      </w:r>
      <w:r>
        <w:t xml:space="preserve">and </w:t>
      </w:r>
      <w:r w:rsidRPr="121B5D3A">
        <w:rPr>
          <w:b/>
          <w:bCs/>
        </w:rPr>
        <w:t>Supporting Documents</w:t>
      </w:r>
      <w:r>
        <w:br/>
      </w:r>
      <w:r w:rsidR="004D5A5E">
        <w:rPr>
          <w:noProof/>
          <w:color w:val="2B579A"/>
          <w:shd w:val="clear" w:color="auto" w:fill="E6E6E6"/>
        </w:rPr>
        <w:drawing>
          <wp:inline distT="0" distB="0" distL="0" distR="0" wp14:anchorId="0AA3987A" wp14:editId="5EDCB5A4">
            <wp:extent cx="5095875" cy="146978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908" cy="148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07F06" w14:textId="4F41CFC7" w:rsidR="121B5D3A" w:rsidRDefault="121B5D3A" w:rsidP="4C785C0F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>
        <w:t xml:space="preserve">Add </w:t>
      </w:r>
      <w:r w:rsidRPr="4EF2497C">
        <w:rPr>
          <w:b/>
          <w:bCs/>
        </w:rPr>
        <w:t xml:space="preserve">Update Reports </w:t>
      </w:r>
      <w:r>
        <w:t>if applicable</w:t>
      </w:r>
      <w:r>
        <w:br/>
        <w:t xml:space="preserve">If the event is still ongoing at the time of the first </w:t>
      </w:r>
      <w:r w:rsidR="007C2471" w:rsidRPr="4EF2497C">
        <w:rPr>
          <w:b/>
          <w:bCs/>
        </w:rPr>
        <w:t>Public</w:t>
      </w:r>
      <w:r w:rsidRPr="4EF2497C">
        <w:rPr>
          <w:b/>
          <w:bCs/>
        </w:rPr>
        <w:t xml:space="preserve"> Notification Report</w:t>
      </w:r>
      <w:r>
        <w:t xml:space="preserve">, an </w:t>
      </w:r>
      <w:r w:rsidRPr="4EF2497C">
        <w:rPr>
          <w:b/>
          <w:bCs/>
        </w:rPr>
        <w:t>Update Report</w:t>
      </w:r>
      <w:r>
        <w:t xml:space="preserve"> must be added if there are additional updates associated with the event.</w:t>
      </w:r>
      <w:r w:rsidR="007A4309">
        <w:t xml:space="preserve">  </w:t>
      </w:r>
      <w:r w:rsidR="007A4309" w:rsidRPr="007A4309">
        <w:t>In the</w:t>
      </w:r>
      <w:r w:rsidR="007A4309">
        <w:rPr>
          <w:b/>
          <w:bCs/>
        </w:rPr>
        <w:t xml:space="preserve"> </w:t>
      </w:r>
      <w:r w:rsidR="007A4309" w:rsidRPr="007A4309">
        <w:t>Data System</w:t>
      </w:r>
      <w:r w:rsidR="007A4309">
        <w:t xml:space="preserve">, the </w:t>
      </w:r>
      <w:r w:rsidR="007A4309" w:rsidRPr="007A4309">
        <w:rPr>
          <w:b/>
          <w:bCs/>
        </w:rPr>
        <w:t>Public Notification Report</w:t>
      </w:r>
      <w:r w:rsidR="007A4309">
        <w:t xml:space="preserve"> is </w:t>
      </w:r>
      <w:r w:rsidR="00AE5337">
        <w:t>a</w:t>
      </w:r>
      <w:r w:rsidR="007A4309">
        <w:t xml:space="preserve"> parent report, and the </w:t>
      </w:r>
      <w:r w:rsidR="007A4309" w:rsidRPr="007A4309">
        <w:rPr>
          <w:b/>
          <w:bCs/>
        </w:rPr>
        <w:t>Update Report</w:t>
      </w:r>
      <w:r w:rsidR="007A4309">
        <w:t xml:space="preserve"> is a child report.  </w:t>
      </w:r>
    </w:p>
    <w:p w14:paraId="3A0A0D79" w14:textId="6F39A85C" w:rsidR="121B5D3A" w:rsidRDefault="121B5D3A" w:rsidP="121B5D3A">
      <w:pPr>
        <w:pStyle w:val="ListParagraph"/>
        <w:numPr>
          <w:ilvl w:val="1"/>
          <w:numId w:val="7"/>
        </w:numPr>
        <w:rPr>
          <w:rFonts w:eastAsiaTheme="minorEastAsia"/>
          <w:b/>
          <w:bCs/>
        </w:rPr>
      </w:pPr>
      <w:r>
        <w:t xml:space="preserve">Go to </w:t>
      </w:r>
      <w:r w:rsidR="00AE5337">
        <w:rPr>
          <w:b/>
          <w:bCs/>
        </w:rPr>
        <w:t>My Incidents</w:t>
      </w:r>
      <w:r>
        <w:t xml:space="preserve">. Find the </w:t>
      </w:r>
      <w:r w:rsidRPr="121B5D3A">
        <w:rPr>
          <w:b/>
          <w:bCs/>
        </w:rPr>
        <w:t>Initial Notification Report</w:t>
      </w:r>
      <w:r>
        <w:t xml:space="preserve"> associated with the event, and click </w:t>
      </w:r>
      <w:r w:rsidRPr="121B5D3A">
        <w:rPr>
          <w:b/>
          <w:bCs/>
        </w:rPr>
        <w:t>Manage</w:t>
      </w:r>
      <w:r>
        <w:br/>
      </w:r>
      <w:r w:rsidR="0051663F">
        <w:rPr>
          <w:noProof/>
          <w:color w:val="2B579A"/>
          <w:shd w:val="clear" w:color="auto" w:fill="E6E6E6"/>
        </w:rPr>
        <w:drawing>
          <wp:inline distT="0" distB="0" distL="0" distR="0" wp14:anchorId="09B5EC2F" wp14:editId="233285B7">
            <wp:extent cx="5086350" cy="204301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479" cy="205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98AD8" w14:textId="68F864CC" w:rsidR="121B5D3A" w:rsidRDefault="121B5D3A" w:rsidP="121B5D3A">
      <w:pPr>
        <w:pStyle w:val="ListParagraph"/>
        <w:numPr>
          <w:ilvl w:val="1"/>
          <w:numId w:val="7"/>
        </w:numPr>
        <w:rPr>
          <w:rFonts w:eastAsiaTheme="minorEastAsia"/>
        </w:rPr>
      </w:pPr>
      <w:r>
        <w:t xml:space="preserve">Go to </w:t>
      </w:r>
      <w:r w:rsidRPr="121B5D3A">
        <w:rPr>
          <w:b/>
          <w:bCs/>
        </w:rPr>
        <w:t>Update Reports</w:t>
      </w:r>
      <w:r>
        <w:br/>
        <w:t xml:space="preserve">View previously saved or submitted </w:t>
      </w:r>
      <w:r w:rsidRPr="121B5D3A">
        <w:rPr>
          <w:b/>
          <w:bCs/>
        </w:rPr>
        <w:t>Update Reports</w:t>
      </w:r>
      <w:r>
        <w:t xml:space="preserve"> in the table. </w:t>
      </w:r>
      <w:r>
        <w:br/>
      </w:r>
      <w:r>
        <w:lastRenderedPageBreak/>
        <w:t xml:space="preserve">Click </w:t>
      </w:r>
      <w:r w:rsidRPr="121B5D3A">
        <w:rPr>
          <w:b/>
          <w:bCs/>
        </w:rPr>
        <w:t>New Update Report</w:t>
      </w:r>
      <w:r>
        <w:t xml:space="preserve"> to add a new </w:t>
      </w:r>
      <w:r w:rsidRPr="121B5D3A">
        <w:rPr>
          <w:b/>
          <w:bCs/>
        </w:rPr>
        <w:t>Update Report</w:t>
      </w:r>
      <w:r w:rsidR="007A4309" w:rsidRPr="007A4309">
        <w:t xml:space="preserve"> as a child report</w:t>
      </w:r>
      <w:r>
        <w:t xml:space="preserve">.  </w:t>
      </w:r>
      <w:r w:rsidR="00731AF4">
        <w:br/>
      </w:r>
      <w:r w:rsidR="008E426B">
        <w:rPr>
          <w:noProof/>
          <w:color w:val="2B579A"/>
          <w:shd w:val="clear" w:color="auto" w:fill="E6E6E6"/>
        </w:rPr>
        <w:drawing>
          <wp:inline distT="0" distB="0" distL="0" distR="0" wp14:anchorId="18C7F68D" wp14:editId="0D81A055">
            <wp:extent cx="5076825" cy="17392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0218" cy="175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FAB6E" w14:textId="1ED856BE" w:rsidR="121B5D3A" w:rsidRDefault="00491109" w:rsidP="121B5D3A">
      <w:pPr>
        <w:pStyle w:val="ListParagraph"/>
        <w:numPr>
          <w:ilvl w:val="1"/>
          <w:numId w:val="7"/>
        </w:numPr>
        <w:rPr>
          <w:rFonts w:eastAsiaTheme="minorEastAsia"/>
        </w:rPr>
      </w:pPr>
      <w:r>
        <w:t xml:space="preserve">Fill out each field left to right, top to bottom, then hit </w:t>
      </w:r>
      <w:r w:rsidRPr="121B5D3A">
        <w:rPr>
          <w:b/>
          <w:bCs/>
        </w:rPr>
        <w:t>Next</w:t>
      </w:r>
      <w:r>
        <w:t xml:space="preserve">.  </w:t>
      </w:r>
      <w:r w:rsidR="00C14D72">
        <w:t>Based on your inputs, subsequent fields may become pre-filled or gr</w:t>
      </w:r>
      <w:r>
        <w:t>a</w:t>
      </w:r>
      <w:r w:rsidR="00C14D72">
        <w:t xml:space="preserve">yed out – these are not required to be entered by hand.  </w:t>
      </w:r>
      <w:r w:rsidR="121B5D3A">
        <w:br/>
      </w:r>
      <w:r w:rsidR="000D7D24">
        <w:rPr>
          <w:noProof/>
          <w:color w:val="2B579A"/>
          <w:shd w:val="clear" w:color="auto" w:fill="E6E6E6"/>
        </w:rPr>
        <w:drawing>
          <wp:inline distT="0" distB="0" distL="0" distR="0" wp14:anchorId="0181B8D3" wp14:editId="45655FB7">
            <wp:extent cx="5467680" cy="45624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79196" cy="45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B7CCD" w14:textId="343A87CB" w:rsidR="121B5D3A" w:rsidRDefault="121B5D3A" w:rsidP="121B5D3A">
      <w:pPr>
        <w:pStyle w:val="ListParagraph"/>
        <w:numPr>
          <w:ilvl w:val="1"/>
          <w:numId w:val="7"/>
        </w:numPr>
      </w:pPr>
      <w:r>
        <w:t xml:space="preserve">Continue to add </w:t>
      </w:r>
      <w:r w:rsidRPr="121B5D3A">
        <w:rPr>
          <w:b/>
          <w:bCs/>
        </w:rPr>
        <w:t>Update Reports</w:t>
      </w:r>
      <w:r>
        <w:t xml:space="preserve"> for each 8-hour update until the event has ceased.  </w:t>
      </w:r>
      <w:r>
        <w:br/>
      </w:r>
    </w:p>
    <w:p w14:paraId="0CCDA93B" w14:textId="5A2DE795" w:rsidR="121B5D3A" w:rsidRDefault="121B5D3A">
      <w:r>
        <w:br w:type="page"/>
      </w:r>
      <w:bookmarkStart w:id="2" w:name="_Toc114573581"/>
      <w:r w:rsidR="000B38BC">
        <w:rPr>
          <w:rStyle w:val="Heading1Char"/>
        </w:rPr>
        <w:lastRenderedPageBreak/>
        <w:t>More T</w:t>
      </w:r>
      <w:r w:rsidRPr="013BC1F1">
        <w:rPr>
          <w:rStyle w:val="Heading1Char"/>
        </w:rPr>
        <w:t>ips</w:t>
      </w:r>
      <w:bookmarkEnd w:id="2"/>
    </w:p>
    <w:p w14:paraId="1C900588" w14:textId="6F730DE3" w:rsidR="121B5D3A" w:rsidRDefault="121B5D3A" w:rsidP="74FADDD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If your system has any CSOs, the </w:t>
      </w:r>
      <w:r w:rsidRPr="74FADDD1">
        <w:rPr>
          <w:b/>
          <w:bCs/>
        </w:rPr>
        <w:t>Permittee Class</w:t>
      </w:r>
      <w:r>
        <w:t xml:space="preserve"> is </w:t>
      </w:r>
      <w:r w:rsidRPr="74FADDD1">
        <w:rPr>
          <w:b/>
          <w:bCs/>
        </w:rPr>
        <w:t>CSO</w:t>
      </w:r>
      <w:r>
        <w:t xml:space="preserve">, even if you are reporting a non-CSO event.  </w:t>
      </w:r>
    </w:p>
    <w:p w14:paraId="460F0D49" w14:textId="6BEF32B9" w:rsidR="121B5D3A" w:rsidRDefault="121B5D3A" w:rsidP="121B5D3A">
      <w:pPr>
        <w:pStyle w:val="ListParagraph"/>
        <w:numPr>
          <w:ilvl w:val="0"/>
          <w:numId w:val="1"/>
        </w:numPr>
      </w:pPr>
      <w:r>
        <w:t xml:space="preserve">You </w:t>
      </w:r>
      <w:proofErr w:type="gramStart"/>
      <w:r>
        <w:t>are able to</w:t>
      </w:r>
      <w:proofErr w:type="gramEnd"/>
      <w:r>
        <w:t xml:space="preserve"> view the reports that you have saved or submitted.  If someone else has submitted an event for your facility through a different account, you will not be able to view it in your account.</w:t>
      </w:r>
    </w:p>
    <w:p w14:paraId="104B21ED" w14:textId="52A48291" w:rsidR="00471382" w:rsidRDefault="00471382" w:rsidP="74FADDD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Permittees have up to 18 hours after the Public Advisory Notification is issued to submit the </w:t>
      </w:r>
      <w:r w:rsidRPr="4EF2497C">
        <w:rPr>
          <w:b/>
          <w:bCs/>
        </w:rPr>
        <w:t>Public Notification Report</w:t>
      </w:r>
      <w:r>
        <w:t>.</w:t>
      </w:r>
      <w:r w:rsidR="00855E63">
        <w:t xml:space="preserve">  </w:t>
      </w:r>
      <w:r w:rsidR="006635DC">
        <w:t xml:space="preserve">See also the </w:t>
      </w:r>
      <w:hyperlink r:id="rId19" w:history="1">
        <w:r w:rsidR="006635DC" w:rsidRPr="006635DC">
          <w:rPr>
            <w:rStyle w:val="Hyperlink"/>
          </w:rPr>
          <w:t>Sewage Notification Timeline document</w:t>
        </w:r>
      </w:hyperlink>
      <w:r w:rsidR="006635DC">
        <w:t xml:space="preserve"> for help understanding the required timelines.  </w:t>
      </w:r>
      <w:r w:rsidR="00855E63">
        <w:t xml:space="preserve">  </w:t>
      </w:r>
    </w:p>
    <w:p w14:paraId="2A0BFD35" w14:textId="3D7ABBA7" w:rsidR="74FADDD1" w:rsidRDefault="74FADDD1" w:rsidP="74FADDD1">
      <w:pPr>
        <w:pStyle w:val="ListParagraph"/>
        <w:numPr>
          <w:ilvl w:val="0"/>
          <w:numId w:val="1"/>
        </w:numPr>
      </w:pPr>
      <w:r>
        <w:t xml:space="preserve">If you have issued multiple Public Advisory Notifications by the </w:t>
      </w:r>
      <w:proofErr w:type="gramStart"/>
      <w:r>
        <w:t>time</w:t>
      </w:r>
      <w:proofErr w:type="gramEnd"/>
      <w:r>
        <w:t xml:space="preserve"> you submit a report into the Data System, you can combine them into one </w:t>
      </w:r>
      <w:r w:rsidRPr="4EF2497C">
        <w:rPr>
          <w:b/>
          <w:bCs/>
        </w:rPr>
        <w:t>Public Notification Report</w:t>
      </w:r>
      <w:r>
        <w:t xml:space="preserve">.  You should attach </w:t>
      </w:r>
      <w:proofErr w:type="gramStart"/>
      <w:r>
        <w:t>all of</w:t>
      </w:r>
      <w:proofErr w:type="gramEnd"/>
      <w:r>
        <w:t xml:space="preserve"> the Public Advisory Notifications in the report, either as separate attachments or one combined attachment.  </w:t>
      </w:r>
    </w:p>
    <w:p w14:paraId="0BD713A2" w14:textId="5018C76A" w:rsidR="00972430" w:rsidRDefault="00972430" w:rsidP="121B5D3A">
      <w:pPr>
        <w:pStyle w:val="ListParagraph"/>
        <w:numPr>
          <w:ilvl w:val="0"/>
          <w:numId w:val="1"/>
        </w:numPr>
      </w:pPr>
      <w:r>
        <w:t xml:space="preserve">If the first </w:t>
      </w:r>
      <w:r w:rsidRPr="4EF2497C">
        <w:rPr>
          <w:b/>
          <w:bCs/>
        </w:rPr>
        <w:t xml:space="preserve">Public Notification Report </w:t>
      </w:r>
      <w:r>
        <w:t xml:space="preserve">is </w:t>
      </w:r>
      <w:r w:rsidRPr="4EF2497C">
        <w:rPr>
          <w:b/>
          <w:bCs/>
        </w:rPr>
        <w:t>Initial</w:t>
      </w:r>
      <w:r w:rsidR="00525A09" w:rsidRPr="4EF2497C">
        <w:rPr>
          <w:b/>
          <w:bCs/>
        </w:rPr>
        <w:t>-</w:t>
      </w:r>
      <w:r w:rsidRPr="4EF2497C">
        <w:rPr>
          <w:b/>
          <w:bCs/>
        </w:rPr>
        <w:t>Ongoing</w:t>
      </w:r>
      <w:r>
        <w:t xml:space="preserve">, you should add </w:t>
      </w:r>
      <w:r w:rsidRPr="4EF2497C">
        <w:rPr>
          <w:b/>
          <w:bCs/>
        </w:rPr>
        <w:t xml:space="preserve">Update Reports </w:t>
      </w:r>
      <w:r>
        <w:t xml:space="preserve">until the </w:t>
      </w:r>
      <w:r w:rsidR="00585BE0">
        <w:t xml:space="preserve">event ceases.  Below is an example for an event that was ongoing at the time of the first </w:t>
      </w:r>
      <w:r w:rsidR="00585BE0" w:rsidRPr="4EF2497C">
        <w:rPr>
          <w:b/>
          <w:bCs/>
        </w:rPr>
        <w:t>Public Notification Report</w:t>
      </w:r>
      <w:r w:rsidR="00585BE0">
        <w:t xml:space="preserve">, ongoing at the time of the next </w:t>
      </w:r>
      <w:r w:rsidR="00585BE0" w:rsidRPr="4EF2497C">
        <w:rPr>
          <w:b/>
          <w:bCs/>
        </w:rPr>
        <w:t>Public Notification Report</w:t>
      </w:r>
      <w:r w:rsidR="00585BE0">
        <w:t xml:space="preserve">, and ceased by the time of the third </w:t>
      </w:r>
      <w:r w:rsidR="00585BE0" w:rsidRPr="4EF2497C">
        <w:rPr>
          <w:b/>
          <w:bCs/>
        </w:rPr>
        <w:t>Public Notification Report</w:t>
      </w:r>
      <w:r w:rsidR="00585BE0">
        <w:t>:</w:t>
      </w:r>
    </w:p>
    <w:p w14:paraId="4711DC68" w14:textId="03374261" w:rsidR="00585BE0" w:rsidRDefault="00B403D5" w:rsidP="00585BE0">
      <w:pPr>
        <w:pStyle w:val="ListParagraph"/>
        <w:numPr>
          <w:ilvl w:val="1"/>
          <w:numId w:val="1"/>
        </w:numPr>
      </w:pPr>
      <w:r>
        <w:t>First</w:t>
      </w:r>
      <w:r w:rsidR="00307DDA">
        <w:t xml:space="preserve"> report:</w:t>
      </w:r>
      <w:r>
        <w:t xml:space="preserve"> Public Notification Report</w:t>
      </w:r>
      <w:r w:rsidR="00307DDA">
        <w:t>,</w:t>
      </w:r>
      <w:r>
        <w:t xml:space="preserve"> Initial-Ongoing</w:t>
      </w:r>
    </w:p>
    <w:p w14:paraId="5C63A5B0" w14:textId="23B3B6DD" w:rsidR="008934D1" w:rsidRDefault="008934D1" w:rsidP="00585BE0">
      <w:pPr>
        <w:pStyle w:val="ListParagraph"/>
        <w:numPr>
          <w:ilvl w:val="1"/>
          <w:numId w:val="1"/>
        </w:numPr>
      </w:pPr>
      <w:r>
        <w:t xml:space="preserve">Update Report: </w:t>
      </w:r>
      <w:r w:rsidR="00307DDA">
        <w:t>Public Notification Report, Ongoing</w:t>
      </w:r>
    </w:p>
    <w:p w14:paraId="407AF29C" w14:textId="11323642" w:rsidR="00307DDA" w:rsidRDefault="00307DDA" w:rsidP="74FADDD1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Update Report: Public Notification Report, Ceased</w:t>
      </w:r>
    </w:p>
    <w:p w14:paraId="34BD4FA2" w14:textId="4AF36583" w:rsidR="00525A09" w:rsidRDefault="00525A09" w:rsidP="00525A09">
      <w:pPr>
        <w:pStyle w:val="ListParagraph"/>
        <w:numPr>
          <w:ilvl w:val="0"/>
          <w:numId w:val="1"/>
        </w:numPr>
      </w:pPr>
      <w:r>
        <w:t xml:space="preserve">If the first </w:t>
      </w:r>
      <w:r w:rsidRPr="74FADDD1">
        <w:rPr>
          <w:b/>
          <w:bCs/>
        </w:rPr>
        <w:t xml:space="preserve">Public Notification Report </w:t>
      </w:r>
      <w:r>
        <w:t xml:space="preserve">is </w:t>
      </w:r>
      <w:proofErr w:type="gramStart"/>
      <w:r w:rsidRPr="74FADDD1">
        <w:rPr>
          <w:b/>
          <w:bCs/>
        </w:rPr>
        <w:t>Initial-Ceased</w:t>
      </w:r>
      <w:proofErr w:type="gramEnd"/>
      <w:r>
        <w:t xml:space="preserve">, you </w:t>
      </w:r>
      <w:r w:rsidR="00F6440F">
        <w:t>do</w:t>
      </w:r>
      <w:r>
        <w:t xml:space="preserve"> not need to add any </w:t>
      </w:r>
      <w:r w:rsidRPr="74FADDD1">
        <w:rPr>
          <w:b/>
          <w:bCs/>
        </w:rPr>
        <w:t>Update Reports</w:t>
      </w:r>
      <w:r>
        <w:t xml:space="preserve">. </w:t>
      </w:r>
    </w:p>
    <w:p w14:paraId="3E358D2D" w14:textId="12107FDA" w:rsidR="00525A09" w:rsidRDefault="006627A3" w:rsidP="00525A09">
      <w:pPr>
        <w:pStyle w:val="ListParagraph"/>
        <w:numPr>
          <w:ilvl w:val="0"/>
          <w:numId w:val="1"/>
        </w:numPr>
      </w:pPr>
      <w:r>
        <w:t xml:space="preserve">Each </w:t>
      </w:r>
      <w:r w:rsidRPr="74FADDD1">
        <w:rPr>
          <w:b/>
          <w:bCs/>
        </w:rPr>
        <w:t xml:space="preserve">Verified Data Report </w:t>
      </w:r>
      <w:r w:rsidR="00094935">
        <w:t xml:space="preserve">includes details </w:t>
      </w:r>
      <w:r>
        <w:t xml:space="preserve">for the entire </w:t>
      </w:r>
      <w:r w:rsidR="00094935">
        <w:t xml:space="preserve">discharge or overflow event.  </w:t>
      </w:r>
      <w:r w:rsidR="00094935" w:rsidRPr="74FADDD1">
        <w:rPr>
          <w:b/>
          <w:bCs/>
        </w:rPr>
        <w:t xml:space="preserve">Update Reports </w:t>
      </w:r>
      <w:r w:rsidR="00094935">
        <w:t xml:space="preserve">are not applicable to </w:t>
      </w:r>
      <w:r w:rsidR="00094935" w:rsidRPr="74FADDD1">
        <w:rPr>
          <w:b/>
          <w:bCs/>
        </w:rPr>
        <w:t>Verified Data Reports</w:t>
      </w:r>
      <w:r w:rsidR="00094935">
        <w:t xml:space="preserve">.  </w:t>
      </w:r>
    </w:p>
    <w:p w14:paraId="1E058BCA" w14:textId="6EB54ED6" w:rsidR="00381E89" w:rsidRDefault="0002658F" w:rsidP="00525A09">
      <w:pPr>
        <w:pStyle w:val="ListParagraph"/>
        <w:numPr>
          <w:ilvl w:val="0"/>
          <w:numId w:val="1"/>
        </w:numPr>
      </w:pPr>
      <w:r>
        <w:t>Report a retraction into the Data System as a</w:t>
      </w:r>
      <w:r w:rsidR="00381E89">
        <w:t xml:space="preserve"> </w:t>
      </w:r>
      <w:r w:rsidR="00381E89">
        <w:rPr>
          <w:b/>
          <w:bCs/>
        </w:rPr>
        <w:t>Verified Data Report</w:t>
      </w:r>
      <w:r w:rsidR="00381E89">
        <w:t xml:space="preserve"> with Volume = 0, Rainfall = 0, and Duration = 0.  </w:t>
      </w:r>
    </w:p>
    <w:p w14:paraId="42789623" w14:textId="3F9C0899" w:rsidR="00E17EC3" w:rsidRDefault="00DF318B" w:rsidP="00B36630">
      <w:pPr>
        <w:pStyle w:val="ListParagraph"/>
        <w:numPr>
          <w:ilvl w:val="0"/>
          <w:numId w:val="1"/>
        </w:numPr>
      </w:pPr>
      <w:r>
        <w:t xml:space="preserve">Below are how the different Report Classes and Report Types </w:t>
      </w:r>
      <w:proofErr w:type="gramStart"/>
      <w:r>
        <w:t>relate</w:t>
      </w:r>
      <w:proofErr w:type="gramEnd"/>
      <w:r>
        <w:t xml:space="preserve"> to each other</w:t>
      </w:r>
      <w:r w:rsidR="006C377C">
        <w:t>:</w:t>
      </w:r>
      <w:r>
        <w:br/>
      </w:r>
      <w:r w:rsidR="00237ECC">
        <w:rPr>
          <w:noProof/>
          <w:color w:val="2B579A"/>
          <w:shd w:val="clear" w:color="auto" w:fill="E6E6E6"/>
        </w:rPr>
        <w:drawing>
          <wp:inline distT="0" distB="0" distL="0" distR="0" wp14:anchorId="6002AB60" wp14:editId="2290722A">
            <wp:extent cx="6858000" cy="18313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51F98" w14:textId="315E6517" w:rsidR="121B5D3A" w:rsidRDefault="121B5D3A">
      <w:r>
        <w:br w:type="page"/>
      </w:r>
    </w:p>
    <w:p w14:paraId="118E3194" w14:textId="66C112C1" w:rsidR="008F1FC1" w:rsidRDefault="008F1FC1" w:rsidP="008F1FC1">
      <w:pPr>
        <w:pStyle w:val="Heading1"/>
      </w:pPr>
      <w:bookmarkStart w:id="3" w:name="_Toc114573582"/>
      <w:r>
        <w:lastRenderedPageBreak/>
        <w:t>Definitions</w:t>
      </w:r>
      <w:bookmarkEnd w:id="3"/>
    </w:p>
    <w:p w14:paraId="337B6112" w14:textId="34613350" w:rsidR="008F1FC1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00E79E0">
        <w:rPr>
          <w:b/>
          <w:bCs/>
        </w:rPr>
        <w:t>Report Class</w:t>
      </w:r>
    </w:p>
    <w:p w14:paraId="47191265" w14:textId="124003BE" w:rsidR="00581311" w:rsidRDefault="005C3FE1" w:rsidP="00581311">
      <w:pPr>
        <w:pStyle w:val="ListParagraph"/>
        <w:numPr>
          <w:ilvl w:val="1"/>
          <w:numId w:val="2"/>
        </w:numPr>
      </w:pPr>
      <w:r w:rsidRPr="74FADDD1">
        <w:rPr>
          <w:b/>
          <w:bCs/>
        </w:rPr>
        <w:t>Public</w:t>
      </w:r>
      <w:r w:rsidR="00581311" w:rsidRPr="74FADDD1">
        <w:rPr>
          <w:b/>
          <w:bCs/>
        </w:rPr>
        <w:t xml:space="preserve"> Notification</w:t>
      </w:r>
      <w:r w:rsidRPr="74FADDD1">
        <w:rPr>
          <w:b/>
          <w:bCs/>
        </w:rPr>
        <w:t xml:space="preserve"> Report</w:t>
      </w:r>
      <w:r w:rsidR="00581311">
        <w:t xml:space="preserve"> is submitted </w:t>
      </w:r>
      <w:r w:rsidR="007977D7">
        <w:t>after issuing the Public Advisory Notification</w:t>
      </w:r>
      <w:r w:rsidR="0086181F">
        <w:t>,</w:t>
      </w:r>
      <w:r w:rsidR="007977D7">
        <w:t xml:space="preserve"> soon after discovering the discharge or overflow event</w:t>
      </w:r>
      <w:r w:rsidR="00581311">
        <w:t xml:space="preserve">. </w:t>
      </w:r>
      <w:r w:rsidR="00471382">
        <w:t>Permittees have up to 18 hours after the Public Advisory Notification is issued to submit the Public Notification Report.</w:t>
      </w:r>
    </w:p>
    <w:p w14:paraId="0FFA464D" w14:textId="3536EEBC" w:rsidR="00581311" w:rsidRPr="00581311" w:rsidRDefault="00581311" w:rsidP="00581311">
      <w:pPr>
        <w:pStyle w:val="ListParagraph"/>
        <w:numPr>
          <w:ilvl w:val="1"/>
          <w:numId w:val="2"/>
        </w:numPr>
      </w:pPr>
      <w:r w:rsidRPr="74FADDD1">
        <w:rPr>
          <w:b/>
          <w:bCs/>
        </w:rPr>
        <w:t>Verified Data</w:t>
      </w:r>
      <w:r w:rsidR="00EF1AB5" w:rsidRPr="74FADDD1">
        <w:rPr>
          <w:b/>
          <w:bCs/>
        </w:rPr>
        <w:t xml:space="preserve"> Report</w:t>
      </w:r>
      <w:r>
        <w:t xml:space="preserve"> is submitted during the month following the event</w:t>
      </w:r>
      <w:r w:rsidR="00471382">
        <w:t xml:space="preserve"> by the 15</w:t>
      </w:r>
      <w:r w:rsidR="00471382" w:rsidRPr="74FADDD1">
        <w:rPr>
          <w:vertAlign w:val="superscript"/>
        </w:rPr>
        <w:t>th</w:t>
      </w:r>
      <w:r w:rsidR="00471382">
        <w:t xml:space="preserve"> of the month,</w:t>
      </w:r>
      <w:r>
        <w:t xml:space="preserve"> and includes updated data compared with the </w:t>
      </w:r>
      <w:r w:rsidRPr="74FADDD1">
        <w:rPr>
          <w:b/>
          <w:bCs/>
        </w:rPr>
        <w:t>Public Notification Report</w:t>
      </w:r>
      <w:r>
        <w:t xml:space="preserve">.  </w:t>
      </w:r>
    </w:p>
    <w:p w14:paraId="1AC79DFF" w14:textId="3260C423" w:rsidR="001947BB" w:rsidRPr="002E58DA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00E79E0">
        <w:rPr>
          <w:b/>
          <w:bCs/>
        </w:rPr>
        <w:t>Incident Date, Incident Time, AM or PM</w:t>
      </w:r>
    </w:p>
    <w:p w14:paraId="45514CDB" w14:textId="1F331090" w:rsidR="002E58DA" w:rsidRPr="000E79E0" w:rsidRDefault="002E58DA" w:rsidP="002E58DA">
      <w:pPr>
        <w:pStyle w:val="ListParagraph"/>
        <w:numPr>
          <w:ilvl w:val="1"/>
          <w:numId w:val="2"/>
        </w:numPr>
        <w:rPr>
          <w:b/>
          <w:bCs/>
        </w:rPr>
      </w:pPr>
      <w:r>
        <w:t>Date and time the event began</w:t>
      </w:r>
      <w:r w:rsidR="00A163BA">
        <w:t xml:space="preserve">.  </w:t>
      </w:r>
      <w:r w:rsidR="00A163BA" w:rsidRPr="0B5F15F5">
        <w:rPr>
          <w:b/>
          <w:bCs/>
        </w:rPr>
        <w:t>Update Reports</w:t>
      </w:r>
      <w:r w:rsidR="00A163BA">
        <w:t xml:space="preserve"> should use the same date and time as the first Public Notification Report.  </w:t>
      </w:r>
    </w:p>
    <w:p w14:paraId="49D23C37" w14:textId="77777777" w:rsidR="00FB765C" w:rsidRDefault="001947BB" w:rsidP="00FB765C">
      <w:pPr>
        <w:pStyle w:val="ListParagraph"/>
        <w:numPr>
          <w:ilvl w:val="0"/>
          <w:numId w:val="2"/>
        </w:numPr>
        <w:rPr>
          <w:b/>
          <w:bCs/>
        </w:rPr>
      </w:pPr>
      <w:r w:rsidRPr="000E79E0">
        <w:rPr>
          <w:b/>
          <w:bCs/>
        </w:rPr>
        <w:t>Reporter Name</w:t>
      </w:r>
    </w:p>
    <w:p w14:paraId="752734CF" w14:textId="2F78D6B9" w:rsidR="002E58DA" w:rsidRPr="00FB765C" w:rsidRDefault="00E10A7A" w:rsidP="00FB765C">
      <w:pPr>
        <w:pStyle w:val="ListParagraph"/>
        <w:numPr>
          <w:ilvl w:val="1"/>
          <w:numId w:val="2"/>
        </w:numPr>
        <w:rPr>
          <w:b/>
          <w:bCs/>
        </w:rPr>
      </w:pPr>
      <w:r>
        <w:t>Th</w:t>
      </w:r>
      <w:r w:rsidR="000D7255">
        <w:t xml:space="preserve">e account used to submit the report.  This field is pre-populated based on the account used to submit the report. </w:t>
      </w:r>
    </w:p>
    <w:p w14:paraId="3B7D7551" w14:textId="132CC0BA" w:rsidR="001947BB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00E79E0">
        <w:rPr>
          <w:b/>
          <w:bCs/>
        </w:rPr>
        <w:t>Report Type</w:t>
      </w:r>
    </w:p>
    <w:p w14:paraId="6D4ADDB0" w14:textId="6E6A2DF1" w:rsidR="004F48D9" w:rsidRPr="004F48D9" w:rsidRDefault="004F48D9" w:rsidP="004F48D9">
      <w:pPr>
        <w:pStyle w:val="ListParagraph"/>
        <w:numPr>
          <w:ilvl w:val="1"/>
          <w:numId w:val="2"/>
        </w:numPr>
      </w:pPr>
      <w:r>
        <w:t xml:space="preserve">For a </w:t>
      </w:r>
      <w:r w:rsidRPr="0B5F15F5">
        <w:rPr>
          <w:b/>
          <w:bCs/>
        </w:rPr>
        <w:t>Public Notification Report</w:t>
      </w:r>
      <w:r>
        <w:t xml:space="preserve">, this describes the status of the discharge or overflow event.  This is not applicable for </w:t>
      </w:r>
      <w:r w:rsidRPr="0B5F15F5">
        <w:rPr>
          <w:b/>
          <w:bCs/>
        </w:rPr>
        <w:t>Verified Data Report</w:t>
      </w:r>
      <w:r>
        <w:t xml:space="preserve">.  </w:t>
      </w:r>
    </w:p>
    <w:p w14:paraId="42AB9519" w14:textId="460E6932" w:rsidR="00317793" w:rsidRDefault="00654272" w:rsidP="004F48D9">
      <w:pPr>
        <w:pStyle w:val="ListParagraph"/>
        <w:numPr>
          <w:ilvl w:val="1"/>
          <w:numId w:val="2"/>
        </w:numPr>
      </w:pPr>
      <w:r>
        <w:t xml:space="preserve">For the first </w:t>
      </w:r>
      <w:r w:rsidRPr="0B5F15F5">
        <w:rPr>
          <w:b/>
          <w:bCs/>
        </w:rPr>
        <w:t xml:space="preserve">Public Notification Report </w:t>
      </w:r>
      <w:r>
        <w:t>submitted for an event, there are two options:</w:t>
      </w:r>
    </w:p>
    <w:p w14:paraId="15804BD1" w14:textId="3CFE1E4A" w:rsidR="0064591C" w:rsidRDefault="005662AC" w:rsidP="00654272">
      <w:pPr>
        <w:pStyle w:val="ListParagraph"/>
        <w:numPr>
          <w:ilvl w:val="2"/>
          <w:numId w:val="2"/>
        </w:numPr>
      </w:pPr>
      <w:r w:rsidRPr="74FADDD1">
        <w:rPr>
          <w:b/>
          <w:bCs/>
        </w:rPr>
        <w:t>Initial</w:t>
      </w:r>
      <w:r w:rsidR="008934D1" w:rsidRPr="74FADDD1">
        <w:rPr>
          <w:b/>
          <w:bCs/>
        </w:rPr>
        <w:t>-</w:t>
      </w:r>
      <w:r w:rsidRPr="74FADDD1">
        <w:rPr>
          <w:b/>
          <w:bCs/>
        </w:rPr>
        <w:t>Ongoing</w:t>
      </w:r>
      <w:r>
        <w:t xml:space="preserve"> should be used when </w:t>
      </w:r>
      <w:r w:rsidR="0064591C">
        <w:t xml:space="preserve">the event is ongoing at the time the </w:t>
      </w:r>
      <w:r w:rsidR="000A144E">
        <w:t>data is entered into the system</w:t>
      </w:r>
      <w:r w:rsidR="0064591C">
        <w:t xml:space="preserve">.  </w:t>
      </w:r>
    </w:p>
    <w:p w14:paraId="6B0C5B6F" w14:textId="63B2A1C7" w:rsidR="0064591C" w:rsidRDefault="0064591C" w:rsidP="74FADDD1">
      <w:pPr>
        <w:pStyle w:val="ListParagraph"/>
        <w:numPr>
          <w:ilvl w:val="2"/>
          <w:numId w:val="2"/>
        </w:numPr>
        <w:rPr>
          <w:rFonts w:eastAsiaTheme="minorEastAsia"/>
        </w:rPr>
      </w:pPr>
      <w:r w:rsidRPr="74FADDD1">
        <w:rPr>
          <w:b/>
          <w:bCs/>
        </w:rPr>
        <w:t>Initial</w:t>
      </w:r>
      <w:r w:rsidR="008934D1" w:rsidRPr="74FADDD1">
        <w:rPr>
          <w:b/>
          <w:bCs/>
        </w:rPr>
        <w:t>-</w:t>
      </w:r>
      <w:r w:rsidRPr="74FADDD1">
        <w:rPr>
          <w:b/>
          <w:bCs/>
        </w:rPr>
        <w:t>Ceased</w:t>
      </w:r>
      <w:r>
        <w:t xml:space="preserve"> should be used when the event has ceased by the time the </w:t>
      </w:r>
      <w:r w:rsidR="000A144E">
        <w:t>data is entered into the system</w:t>
      </w:r>
      <w:r>
        <w:t xml:space="preserve">.  </w:t>
      </w:r>
    </w:p>
    <w:p w14:paraId="7B5ADA0A" w14:textId="4A3076F6" w:rsidR="00654272" w:rsidRDefault="00654272" w:rsidP="004F48D9">
      <w:pPr>
        <w:pStyle w:val="ListParagraph"/>
        <w:numPr>
          <w:ilvl w:val="1"/>
          <w:numId w:val="2"/>
        </w:numPr>
      </w:pPr>
      <w:r>
        <w:t xml:space="preserve">If any </w:t>
      </w:r>
      <w:r w:rsidR="003F3D09">
        <w:t xml:space="preserve">further </w:t>
      </w:r>
      <w:r w:rsidR="002845D4">
        <w:t>data reports are entered into the system for a given event</w:t>
      </w:r>
      <w:r w:rsidR="003F3D09">
        <w:t xml:space="preserve">, an </w:t>
      </w:r>
      <w:r w:rsidR="003F3D09" w:rsidRPr="4EF2497C">
        <w:rPr>
          <w:b/>
          <w:bCs/>
        </w:rPr>
        <w:t xml:space="preserve">Update Report </w:t>
      </w:r>
      <w:r w:rsidR="003F3D09">
        <w:t xml:space="preserve">must be submitted.  There are two types of </w:t>
      </w:r>
      <w:r w:rsidR="003F3D09" w:rsidRPr="4EF2497C">
        <w:rPr>
          <w:b/>
          <w:bCs/>
        </w:rPr>
        <w:t>Update Reports</w:t>
      </w:r>
      <w:r w:rsidR="003F3D09">
        <w:t>:</w:t>
      </w:r>
    </w:p>
    <w:p w14:paraId="44904BDF" w14:textId="2ABC5C8A" w:rsidR="003F3D09" w:rsidRDefault="003F3D09" w:rsidP="74FADDD1">
      <w:pPr>
        <w:pStyle w:val="ListParagraph"/>
        <w:numPr>
          <w:ilvl w:val="2"/>
          <w:numId w:val="2"/>
        </w:numPr>
        <w:rPr>
          <w:rFonts w:eastAsiaTheme="minorEastAsia"/>
        </w:rPr>
      </w:pPr>
      <w:r w:rsidRPr="74FADDD1">
        <w:rPr>
          <w:b/>
          <w:bCs/>
        </w:rPr>
        <w:t>Ongoing</w:t>
      </w:r>
      <w:r>
        <w:t xml:space="preserve"> should be used when </w:t>
      </w:r>
      <w:r w:rsidR="008A2220">
        <w:t xml:space="preserve">the event is ongoing at the time </w:t>
      </w:r>
      <w:r w:rsidR="0064591C">
        <w:t xml:space="preserve">the </w:t>
      </w:r>
      <w:r w:rsidR="002845D4">
        <w:t>data is entered into the system</w:t>
      </w:r>
      <w:r w:rsidR="0064591C">
        <w:t xml:space="preserve">.  </w:t>
      </w:r>
    </w:p>
    <w:p w14:paraId="6101B665" w14:textId="43524FB6" w:rsidR="008A2220" w:rsidRDefault="008A2220" w:rsidP="74FADDD1">
      <w:pPr>
        <w:pStyle w:val="ListParagraph"/>
        <w:numPr>
          <w:ilvl w:val="2"/>
          <w:numId w:val="2"/>
        </w:numPr>
        <w:rPr>
          <w:rFonts w:eastAsiaTheme="minorEastAsia"/>
        </w:rPr>
      </w:pPr>
      <w:r w:rsidRPr="74FADDD1">
        <w:rPr>
          <w:b/>
          <w:bCs/>
        </w:rPr>
        <w:t>Ceased</w:t>
      </w:r>
      <w:r>
        <w:t xml:space="preserve"> should be used when the event has ceased by the time </w:t>
      </w:r>
      <w:r w:rsidR="0064591C">
        <w:t xml:space="preserve">the </w:t>
      </w:r>
      <w:r w:rsidR="002845D4">
        <w:t>data is entered into the system</w:t>
      </w:r>
      <w:r w:rsidR="0064591C">
        <w:t xml:space="preserve">.  </w:t>
      </w:r>
    </w:p>
    <w:p w14:paraId="684D0F5E" w14:textId="11978DA6" w:rsidR="001947BB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00E79E0">
        <w:rPr>
          <w:b/>
          <w:bCs/>
        </w:rPr>
        <w:t>Event Type</w:t>
      </w:r>
    </w:p>
    <w:p w14:paraId="5839B73F" w14:textId="370AC874" w:rsidR="001368DA" w:rsidRDefault="0045469F" w:rsidP="0045469F">
      <w:pPr>
        <w:pStyle w:val="ListParagraph"/>
        <w:numPr>
          <w:ilvl w:val="1"/>
          <w:numId w:val="2"/>
        </w:numPr>
      </w:pPr>
      <w:r>
        <w:t>The type of discharge or overflow event.</w:t>
      </w:r>
      <w:r w:rsidR="00855E63">
        <w:t xml:space="preserve">  For help deciding which </w:t>
      </w:r>
      <w:r w:rsidR="00855E63">
        <w:rPr>
          <w:b/>
          <w:bCs/>
        </w:rPr>
        <w:t>Event Type</w:t>
      </w:r>
      <w:r w:rsidR="00855E63">
        <w:t xml:space="preserve"> to choose, see the </w:t>
      </w:r>
      <w:hyperlink r:id="rId21" w:history="1">
        <w:r w:rsidR="00855E63" w:rsidRPr="00855E63">
          <w:rPr>
            <w:rStyle w:val="Hyperlink"/>
          </w:rPr>
          <w:t>Reportable Events Flowchart</w:t>
        </w:r>
      </w:hyperlink>
      <w:r w:rsidR="00855E63">
        <w:t xml:space="preserve">. </w:t>
      </w:r>
    </w:p>
    <w:p w14:paraId="636715FD" w14:textId="668E370F" w:rsidR="0065293F" w:rsidRDefault="0045469F" w:rsidP="001368DA">
      <w:pPr>
        <w:pStyle w:val="ListParagraph"/>
        <w:numPr>
          <w:ilvl w:val="2"/>
          <w:numId w:val="2"/>
        </w:numPr>
      </w:pPr>
      <w:r>
        <w:t xml:space="preserve">CSO (Combined Sewer Overflow) is discharge from a sewer system that conveys sanitary wastewater and stormwater </w:t>
      </w:r>
      <w:proofErr w:type="gramStart"/>
      <w:r>
        <w:t>mixed together</w:t>
      </w:r>
      <w:proofErr w:type="gramEnd"/>
      <w:r>
        <w:t xml:space="preserve">.  There are two CSO </w:t>
      </w:r>
      <w:r w:rsidRPr="0B5F15F5">
        <w:rPr>
          <w:b/>
          <w:bCs/>
        </w:rPr>
        <w:t>Event Types</w:t>
      </w:r>
      <w:r>
        <w:t xml:space="preserve">: </w:t>
      </w:r>
    </w:p>
    <w:p w14:paraId="2F468BB4" w14:textId="5F8D7698" w:rsidR="0065293F" w:rsidRDefault="0065293F" w:rsidP="0065293F">
      <w:pPr>
        <w:pStyle w:val="ListParagraph"/>
        <w:numPr>
          <w:ilvl w:val="3"/>
          <w:numId w:val="2"/>
        </w:numPr>
      </w:pPr>
      <w:r w:rsidRPr="0B5F15F5">
        <w:rPr>
          <w:b/>
          <w:bCs/>
        </w:rPr>
        <w:t>CSO – Treated</w:t>
      </w:r>
      <w:r>
        <w:t xml:space="preserve"> </w:t>
      </w:r>
    </w:p>
    <w:p w14:paraId="28470C0F" w14:textId="6793B362" w:rsidR="0065293F" w:rsidRDefault="0065293F" w:rsidP="0065293F">
      <w:pPr>
        <w:pStyle w:val="ListParagraph"/>
        <w:numPr>
          <w:ilvl w:val="3"/>
          <w:numId w:val="2"/>
        </w:numPr>
      </w:pPr>
      <w:r w:rsidRPr="0B5F15F5">
        <w:rPr>
          <w:b/>
          <w:bCs/>
        </w:rPr>
        <w:t>CSO – Untreated</w:t>
      </w:r>
      <w:r>
        <w:t xml:space="preserve"> </w:t>
      </w:r>
    </w:p>
    <w:p w14:paraId="32452835" w14:textId="02D049DD" w:rsidR="0065293F" w:rsidRDefault="0045469F" w:rsidP="001368DA">
      <w:pPr>
        <w:pStyle w:val="ListParagraph"/>
        <w:numPr>
          <w:ilvl w:val="2"/>
          <w:numId w:val="2"/>
        </w:numPr>
      </w:pPr>
      <w:r>
        <w:t xml:space="preserve">Partially Treated discharge is sanitary wastewater that has not received full treatment.  There are two Partially Treated </w:t>
      </w:r>
      <w:r w:rsidRPr="0B5F15F5">
        <w:rPr>
          <w:b/>
          <w:bCs/>
        </w:rPr>
        <w:t>Event Types</w:t>
      </w:r>
      <w:r>
        <w:t xml:space="preserve">:  </w:t>
      </w:r>
    </w:p>
    <w:p w14:paraId="6D1CAC55" w14:textId="166A596A" w:rsidR="0065293F" w:rsidRDefault="0065293F" w:rsidP="0B5F15F5">
      <w:pPr>
        <w:pStyle w:val="ListParagraph"/>
        <w:numPr>
          <w:ilvl w:val="3"/>
          <w:numId w:val="2"/>
        </w:numPr>
        <w:rPr>
          <w:b/>
          <w:bCs/>
        </w:rPr>
      </w:pPr>
      <w:r w:rsidRPr="74FADDD1">
        <w:rPr>
          <w:b/>
          <w:bCs/>
        </w:rPr>
        <w:t xml:space="preserve">Partially Treated – Blended </w:t>
      </w:r>
      <w:r>
        <w:t>events are when treatment plant receives water from a combined sewer system, and intentionally diverts part of the stream around secondary treatment units during wet weather events.  This water counts as “blended” even if it meets effluent limits.</w:t>
      </w:r>
      <w:r w:rsidR="004B1662">
        <w:t xml:space="preserve"> This option should only be selected for systems with CSOs.</w:t>
      </w:r>
      <w:r>
        <w:t xml:space="preserve">  </w:t>
      </w:r>
    </w:p>
    <w:p w14:paraId="0B30E270" w14:textId="28434DEC" w:rsidR="0065293F" w:rsidRDefault="0065293F" w:rsidP="0B5F15F5">
      <w:pPr>
        <w:pStyle w:val="ListParagraph"/>
        <w:numPr>
          <w:ilvl w:val="3"/>
          <w:numId w:val="2"/>
        </w:numPr>
        <w:rPr>
          <w:b/>
          <w:bCs/>
        </w:rPr>
      </w:pPr>
      <w:r w:rsidRPr="0B5F15F5">
        <w:rPr>
          <w:b/>
          <w:bCs/>
        </w:rPr>
        <w:t>Partially Treated – Other</w:t>
      </w:r>
    </w:p>
    <w:p w14:paraId="7E21DC36" w14:textId="339538F8" w:rsidR="0045469F" w:rsidRDefault="0045469F" w:rsidP="001368DA">
      <w:pPr>
        <w:pStyle w:val="ListParagraph"/>
        <w:numPr>
          <w:ilvl w:val="2"/>
          <w:numId w:val="2"/>
        </w:numPr>
      </w:pPr>
      <w:r>
        <w:t xml:space="preserve">SSO (Sanitary Sewer Overflow) is any discharge or overflow of untreated or partially treated wastewater from a sanitary sewer system.  There are three </w:t>
      </w:r>
      <w:r w:rsidRPr="0B5F15F5">
        <w:rPr>
          <w:b/>
          <w:bCs/>
        </w:rPr>
        <w:t>SSO Event Types</w:t>
      </w:r>
      <w:r>
        <w:t xml:space="preserve">: </w:t>
      </w:r>
    </w:p>
    <w:p w14:paraId="7093308F" w14:textId="77777777" w:rsidR="001368DA" w:rsidRDefault="001368DA" w:rsidP="0B5F15F5">
      <w:pPr>
        <w:pStyle w:val="ListParagraph"/>
        <w:numPr>
          <w:ilvl w:val="3"/>
          <w:numId w:val="2"/>
        </w:numPr>
        <w:rPr>
          <w:b/>
          <w:bCs/>
        </w:rPr>
      </w:pPr>
      <w:r w:rsidRPr="0B5F15F5">
        <w:rPr>
          <w:b/>
          <w:bCs/>
        </w:rPr>
        <w:t>SSO – Discharge Through Wastewater Outfall</w:t>
      </w:r>
    </w:p>
    <w:p w14:paraId="59BAC0A1" w14:textId="77777777" w:rsidR="001368DA" w:rsidRDefault="001368DA" w:rsidP="0B5F15F5">
      <w:pPr>
        <w:pStyle w:val="ListParagraph"/>
        <w:numPr>
          <w:ilvl w:val="3"/>
          <w:numId w:val="2"/>
        </w:numPr>
        <w:rPr>
          <w:b/>
          <w:bCs/>
        </w:rPr>
      </w:pPr>
      <w:r w:rsidRPr="0B5F15F5">
        <w:rPr>
          <w:b/>
          <w:bCs/>
        </w:rPr>
        <w:t>SSO – System Surcharging Under High Flow Conditions</w:t>
      </w:r>
    </w:p>
    <w:p w14:paraId="2C9D9740" w14:textId="6C7CC2DE" w:rsidR="001368DA" w:rsidRPr="0045469F" w:rsidRDefault="001368DA" w:rsidP="0B5F15F5">
      <w:pPr>
        <w:pStyle w:val="ListParagraph"/>
        <w:numPr>
          <w:ilvl w:val="3"/>
          <w:numId w:val="2"/>
        </w:numPr>
        <w:rPr>
          <w:b/>
          <w:bCs/>
        </w:rPr>
      </w:pPr>
      <w:r w:rsidRPr="0B5F15F5">
        <w:rPr>
          <w:b/>
          <w:bCs/>
        </w:rPr>
        <w:t>SSO – Failure of Pump Station or Associated Force Main</w:t>
      </w:r>
    </w:p>
    <w:p w14:paraId="38E044F4" w14:textId="59CF003B" w:rsidR="001947BB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00E79E0">
        <w:rPr>
          <w:b/>
          <w:bCs/>
        </w:rPr>
        <w:t>Permittee Class</w:t>
      </w:r>
    </w:p>
    <w:p w14:paraId="724561E0" w14:textId="791F3D54" w:rsidR="00A1097A" w:rsidRDefault="009F1C3F" w:rsidP="009F1C3F">
      <w:pPr>
        <w:pStyle w:val="ListParagraph"/>
        <w:numPr>
          <w:ilvl w:val="1"/>
          <w:numId w:val="2"/>
        </w:numPr>
      </w:pPr>
      <w:r w:rsidRPr="0B5F15F5">
        <w:rPr>
          <w:b/>
          <w:bCs/>
        </w:rPr>
        <w:lastRenderedPageBreak/>
        <w:t>CSO permittees</w:t>
      </w:r>
      <w:r>
        <w:t xml:space="preserve"> hold permits for outfalls connected to systems that convey both sanitary wastewater and stormwater.  CSO permittees may also hold permits for wastewater treatment facilities​.  </w:t>
      </w:r>
    </w:p>
    <w:p w14:paraId="7548C187" w14:textId="49A7CD60" w:rsidR="009F1C3F" w:rsidRPr="009F1C3F" w:rsidRDefault="009F1C3F" w:rsidP="009F1C3F">
      <w:pPr>
        <w:pStyle w:val="ListParagraph"/>
        <w:numPr>
          <w:ilvl w:val="1"/>
          <w:numId w:val="2"/>
        </w:numPr>
      </w:pPr>
      <w:r w:rsidRPr="0B5F15F5">
        <w:rPr>
          <w:b/>
          <w:bCs/>
        </w:rPr>
        <w:t>Non-CSO permittees</w:t>
      </w:r>
      <w:r>
        <w:t xml:space="preserve"> hold permits for wastewater treatment facilities ​and/or own or operate sanitary sewer systems.  </w:t>
      </w:r>
    </w:p>
    <w:p w14:paraId="198D1D8C" w14:textId="25036EF3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>Permittee Name</w:t>
      </w:r>
    </w:p>
    <w:p w14:paraId="3D562D26" w14:textId="4D57EF1C" w:rsidR="0B5F15F5" w:rsidRDefault="0B5F15F5" w:rsidP="0B5F15F5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The entity responsible for the discharge or overflow event.  </w:t>
      </w:r>
    </w:p>
    <w:p w14:paraId="0FC42284" w14:textId="3CEEFDCD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>Permittee ID</w:t>
      </w:r>
    </w:p>
    <w:p w14:paraId="49C4483B" w14:textId="75F5DC01" w:rsidR="0B5F15F5" w:rsidRDefault="0B5F15F5" w:rsidP="0B5F15F5">
      <w:pPr>
        <w:pStyle w:val="ListParagraph"/>
        <w:numPr>
          <w:ilvl w:val="1"/>
          <w:numId w:val="2"/>
        </w:numPr>
        <w:rPr>
          <w:b/>
          <w:bCs/>
        </w:rPr>
      </w:pPr>
      <w:r w:rsidRPr="74FADDD1">
        <w:rPr>
          <w:rFonts w:ascii="Calibri" w:eastAsia="Calibri" w:hAnsi="Calibri" w:cs="Calibri"/>
        </w:rPr>
        <w:t>The permittee's NPDES or Groundwater Discharge permit number, where applicable.</w:t>
      </w:r>
      <w:r w:rsidR="004A0CEA" w:rsidRPr="74FADDD1">
        <w:rPr>
          <w:rFonts w:ascii="Calibri" w:eastAsia="Calibri" w:hAnsi="Calibri" w:cs="Calibri"/>
        </w:rPr>
        <w:t xml:space="preserve"> Sewer systems without a treatment plant or CSO will not have a permit number.</w:t>
      </w:r>
      <w:r w:rsidRPr="74FADDD1">
        <w:rPr>
          <w:rFonts w:ascii="Calibri" w:eastAsia="Calibri" w:hAnsi="Calibri" w:cs="Calibri"/>
        </w:rPr>
        <w:t xml:space="preserve">  </w:t>
      </w:r>
    </w:p>
    <w:p w14:paraId="378B7CF7" w14:textId="401D484C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>Outfall ID</w:t>
      </w:r>
    </w:p>
    <w:p w14:paraId="02601415" w14:textId="2F31E7AE" w:rsidR="0B5F15F5" w:rsidRDefault="0B5F15F5" w:rsidP="0B5F15F5">
      <w:pPr>
        <w:pStyle w:val="ListParagraph"/>
        <w:numPr>
          <w:ilvl w:val="1"/>
          <w:numId w:val="2"/>
        </w:numPr>
        <w:rPr>
          <w:rFonts w:eastAsiaTheme="minorEastAsia"/>
          <w:b/>
          <w:bCs/>
        </w:rPr>
      </w:pPr>
      <w:r w:rsidRPr="0B5F15F5">
        <w:rPr>
          <w:rFonts w:ascii="Calibri" w:eastAsia="Calibri" w:hAnsi="Calibri" w:cs="Calibri"/>
        </w:rPr>
        <w:t>The permittee's ID for the outlet from which the discharge or overflow flowed into the water body, where applicable.</w:t>
      </w:r>
    </w:p>
    <w:p w14:paraId="3E6B69F2" w14:textId="1A1D2651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>Municipality</w:t>
      </w:r>
    </w:p>
    <w:p w14:paraId="2BA88F3D" w14:textId="701653A3" w:rsidR="0B5F15F5" w:rsidRDefault="0B5F15F5" w:rsidP="0B5F15F5">
      <w:pPr>
        <w:pStyle w:val="ListParagraph"/>
        <w:numPr>
          <w:ilvl w:val="1"/>
          <w:numId w:val="2"/>
        </w:numPr>
        <w:rPr>
          <w:b/>
          <w:bCs/>
        </w:rPr>
      </w:pPr>
      <w:r w:rsidRPr="0B5F15F5">
        <w:rPr>
          <w:rFonts w:ascii="Calibri" w:eastAsia="Calibri" w:hAnsi="Calibri" w:cs="Calibri"/>
        </w:rPr>
        <w:t>The city or town where the discharge or overflow occurred.</w:t>
      </w:r>
    </w:p>
    <w:p w14:paraId="6B53A9D8" w14:textId="30B6B8D9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>Location</w:t>
      </w:r>
    </w:p>
    <w:p w14:paraId="10502D34" w14:textId="167943EF" w:rsidR="0B5F15F5" w:rsidRDefault="0B5F15F5" w:rsidP="0B5F15F5">
      <w:pPr>
        <w:pStyle w:val="ListParagraph"/>
        <w:numPr>
          <w:ilvl w:val="1"/>
          <w:numId w:val="2"/>
        </w:numPr>
        <w:rPr>
          <w:rFonts w:eastAsiaTheme="minorEastAsia"/>
          <w:b/>
          <w:bCs/>
        </w:rPr>
      </w:pPr>
      <w:r w:rsidRPr="0B5F15F5">
        <w:rPr>
          <w:rFonts w:ascii="Calibri" w:eastAsia="Calibri" w:hAnsi="Calibri" w:cs="Calibri"/>
        </w:rPr>
        <w:t>A description of the location where the discharge or overflow event occurred.</w:t>
      </w:r>
    </w:p>
    <w:p w14:paraId="6CDE24FC" w14:textId="1907CDAB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>Latitude, Longitude</w:t>
      </w:r>
    </w:p>
    <w:p w14:paraId="5073177C" w14:textId="4776A939" w:rsidR="0B5F15F5" w:rsidRDefault="0B5F15F5" w:rsidP="0B5F15F5">
      <w:pPr>
        <w:pStyle w:val="ListParagraph"/>
        <w:numPr>
          <w:ilvl w:val="1"/>
          <w:numId w:val="2"/>
        </w:numPr>
        <w:rPr>
          <w:rFonts w:eastAsiaTheme="minorEastAsia"/>
          <w:b/>
          <w:bCs/>
        </w:rPr>
      </w:pPr>
      <w:r w:rsidRPr="0B5F15F5">
        <w:rPr>
          <w:rFonts w:ascii="Calibri" w:eastAsia="Calibri" w:hAnsi="Calibri" w:cs="Calibri"/>
        </w:rPr>
        <w:t>Coordinates of the location where the discharge or overflow event occurred.</w:t>
      </w:r>
    </w:p>
    <w:p w14:paraId="5B69DFA1" w14:textId="5604366B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>Water Body</w:t>
      </w:r>
    </w:p>
    <w:p w14:paraId="36357F95" w14:textId="78B79AFD" w:rsidR="0B5F15F5" w:rsidRDefault="0B5F15F5" w:rsidP="0B5F15F5">
      <w:pPr>
        <w:pStyle w:val="ListParagraph"/>
        <w:numPr>
          <w:ilvl w:val="1"/>
          <w:numId w:val="2"/>
        </w:numPr>
        <w:rPr>
          <w:rFonts w:eastAsiaTheme="minorEastAsia"/>
          <w:b/>
          <w:bCs/>
        </w:rPr>
      </w:pPr>
      <w:r w:rsidRPr="0B5F15F5">
        <w:rPr>
          <w:rFonts w:ascii="Calibri" w:eastAsia="Calibri" w:hAnsi="Calibri" w:cs="Calibri"/>
        </w:rPr>
        <w:t>Water body where the discharge or overflow occurred.</w:t>
      </w:r>
    </w:p>
    <w:p w14:paraId="7AA88C05" w14:textId="7D9D36F2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>Water Body Description</w:t>
      </w:r>
    </w:p>
    <w:p w14:paraId="393F2329" w14:textId="44D21B9D" w:rsidR="0B5F15F5" w:rsidRDefault="00FD47FE" w:rsidP="0B5F15F5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Water body where the discharge or overflow occurred.  </w:t>
      </w:r>
      <w:r w:rsidR="0B5F15F5">
        <w:t xml:space="preserve">Manually enter </w:t>
      </w:r>
      <w:r>
        <w:t>this field i</w:t>
      </w:r>
      <w:r w:rsidR="0B5F15F5">
        <w:t xml:space="preserve">f </w:t>
      </w:r>
      <w:r w:rsidR="0B5F15F5" w:rsidRPr="0B5F15F5">
        <w:rPr>
          <w:b/>
          <w:bCs/>
        </w:rPr>
        <w:t>Water Body</w:t>
      </w:r>
      <w:r w:rsidR="0B5F15F5">
        <w:t xml:space="preserve"> prefills as </w:t>
      </w:r>
      <w:r w:rsidR="0B5F15F5" w:rsidRPr="0B5F15F5">
        <w:rPr>
          <w:b/>
          <w:bCs/>
        </w:rPr>
        <w:t>Other</w:t>
      </w:r>
    </w:p>
    <w:p w14:paraId="1351D90E" w14:textId="64E5CF6B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>Volume (in gallons) of Event</w:t>
      </w:r>
    </w:p>
    <w:p w14:paraId="672430BB" w14:textId="362A2B60" w:rsidR="0B5F15F5" w:rsidRDefault="0B5F15F5" w:rsidP="0B5F15F5">
      <w:pPr>
        <w:pStyle w:val="ListParagraph"/>
        <w:numPr>
          <w:ilvl w:val="1"/>
          <w:numId w:val="2"/>
        </w:numPr>
      </w:pPr>
      <w:r>
        <w:t xml:space="preserve">Volume of the discharge or overflow.  </w:t>
      </w:r>
    </w:p>
    <w:p w14:paraId="24EF1BEF" w14:textId="33123C9B" w:rsidR="0B5F15F5" w:rsidRDefault="0B5F15F5" w:rsidP="0B5F15F5">
      <w:pPr>
        <w:pStyle w:val="ListParagraph"/>
        <w:numPr>
          <w:ilvl w:val="1"/>
          <w:numId w:val="2"/>
        </w:numPr>
      </w:pPr>
      <w:r>
        <w:t xml:space="preserve">This field is only applicable for </w:t>
      </w:r>
      <w:r w:rsidRPr="0B5F15F5">
        <w:rPr>
          <w:b/>
          <w:bCs/>
        </w:rPr>
        <w:t>Verified Data Reports</w:t>
      </w:r>
      <w:r>
        <w:t xml:space="preserve">.  For </w:t>
      </w:r>
      <w:r w:rsidRPr="0B5F15F5">
        <w:rPr>
          <w:b/>
          <w:bCs/>
        </w:rPr>
        <w:t>Public Notification Reports</w:t>
      </w:r>
      <w:r>
        <w:t xml:space="preserve">, volume information should be included in the attached public advisory notification document.  </w:t>
      </w:r>
    </w:p>
    <w:p w14:paraId="5F532824" w14:textId="10B774B4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>Rainfall Data (in inches)</w:t>
      </w:r>
    </w:p>
    <w:p w14:paraId="7E8C2A41" w14:textId="5A9A5DD6" w:rsidR="0B5F15F5" w:rsidRDefault="0B5F15F5" w:rsidP="0B5F15F5">
      <w:pPr>
        <w:pStyle w:val="ListParagraph"/>
        <w:numPr>
          <w:ilvl w:val="1"/>
          <w:numId w:val="2"/>
        </w:numPr>
        <w:rPr>
          <w:b/>
          <w:bCs/>
        </w:rPr>
      </w:pPr>
      <w:r w:rsidRPr="0B5F15F5">
        <w:rPr>
          <w:rFonts w:ascii="Calibri" w:eastAsia="Calibri" w:hAnsi="Calibri" w:cs="Calibri"/>
        </w:rPr>
        <w:t xml:space="preserve">Rainfall data for the storm event associated with the discharge or overflow event, if applicable.  </w:t>
      </w:r>
    </w:p>
    <w:p w14:paraId="0631FF12" w14:textId="10C50C8A" w:rsidR="0B5F15F5" w:rsidRDefault="0B5F15F5" w:rsidP="74FADDD1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t xml:space="preserve">This field is only applicable for </w:t>
      </w:r>
      <w:r w:rsidRPr="74FADDD1">
        <w:rPr>
          <w:b/>
          <w:bCs/>
        </w:rPr>
        <w:t>Verified Data Reports</w:t>
      </w:r>
      <w:r>
        <w:t xml:space="preserve">.    </w:t>
      </w:r>
    </w:p>
    <w:p w14:paraId="774A0D74" w14:textId="47213897" w:rsidR="0B5F15F5" w:rsidRDefault="0B5F15F5" w:rsidP="0B5F15F5">
      <w:pPr>
        <w:pStyle w:val="ListParagraph"/>
        <w:numPr>
          <w:ilvl w:val="1"/>
          <w:numId w:val="2"/>
        </w:numPr>
        <w:spacing w:after="0"/>
        <w:rPr>
          <w:rFonts w:eastAsiaTheme="minorEastAsia"/>
        </w:rPr>
      </w:pPr>
      <w:r>
        <w:t xml:space="preserve">For SSO events unrelated to wet weather, </w:t>
      </w:r>
      <w:r w:rsidRPr="0B5F15F5">
        <w:rPr>
          <w:b/>
          <w:bCs/>
        </w:rPr>
        <w:t>Rainfall Data</w:t>
      </w:r>
      <w:r>
        <w:t xml:space="preserve"> can be input as “0”. </w:t>
      </w:r>
    </w:p>
    <w:p w14:paraId="6904E7F1" w14:textId="2C250C10" w:rsidR="001947BB" w:rsidRPr="000E79E0" w:rsidRDefault="001947BB" w:rsidP="001947BB">
      <w:pPr>
        <w:pStyle w:val="ListParagraph"/>
        <w:numPr>
          <w:ilvl w:val="0"/>
          <w:numId w:val="2"/>
        </w:numPr>
        <w:rPr>
          <w:b/>
          <w:bCs/>
        </w:rPr>
      </w:pPr>
      <w:r w:rsidRPr="0B5F15F5">
        <w:rPr>
          <w:b/>
          <w:bCs/>
        </w:rPr>
        <w:t xml:space="preserve">Duration of Event Hours </w:t>
      </w:r>
      <w:r>
        <w:t xml:space="preserve">and </w:t>
      </w:r>
      <w:r w:rsidRPr="0B5F15F5">
        <w:rPr>
          <w:b/>
          <w:bCs/>
        </w:rPr>
        <w:t>Duration of Event Minutes</w:t>
      </w:r>
    </w:p>
    <w:p w14:paraId="35302629" w14:textId="3CC63624" w:rsidR="0B5F15F5" w:rsidRDefault="0B5F15F5" w:rsidP="0B5F15F5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t xml:space="preserve">Duration of the discharge or overflow.  </w:t>
      </w:r>
    </w:p>
    <w:p w14:paraId="1E881EAB" w14:textId="6B8D2943" w:rsidR="0B5F15F5" w:rsidRDefault="0B5F15F5" w:rsidP="0B5F15F5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t xml:space="preserve">This field is only applicable for </w:t>
      </w:r>
      <w:r w:rsidRPr="0B5F15F5">
        <w:rPr>
          <w:b/>
          <w:bCs/>
        </w:rPr>
        <w:t>Verified Data Reports</w:t>
      </w:r>
      <w:r>
        <w:t xml:space="preserve">.  For </w:t>
      </w:r>
      <w:r w:rsidRPr="0B5F15F5">
        <w:rPr>
          <w:b/>
          <w:bCs/>
        </w:rPr>
        <w:t>Public Notification Reports</w:t>
      </w:r>
      <w:r>
        <w:t xml:space="preserve">, duration should be included in the attached public advisory notification document.  </w:t>
      </w:r>
    </w:p>
    <w:p w14:paraId="72A03BB7" w14:textId="6B1E5322" w:rsidR="0B5F15F5" w:rsidRDefault="0B5F15F5" w:rsidP="0B5F15F5">
      <w:pPr>
        <w:pStyle w:val="ListParagraph"/>
        <w:numPr>
          <w:ilvl w:val="1"/>
          <w:numId w:val="2"/>
        </w:numPr>
      </w:pPr>
      <w:r>
        <w:t>For an event that lasted one and a half hours, this would be input as:</w:t>
      </w:r>
    </w:p>
    <w:p w14:paraId="16440354" w14:textId="05982108" w:rsidR="0B5F15F5" w:rsidRDefault="0B5F15F5" w:rsidP="0B5F15F5">
      <w:pPr>
        <w:pStyle w:val="ListParagraph"/>
        <w:numPr>
          <w:ilvl w:val="2"/>
          <w:numId w:val="2"/>
        </w:numPr>
      </w:pPr>
      <w:r w:rsidRPr="0B5F15F5">
        <w:rPr>
          <w:b/>
          <w:bCs/>
        </w:rPr>
        <w:t xml:space="preserve">Duration of Event Hours: </w:t>
      </w:r>
      <w:r>
        <w:t>1</w:t>
      </w:r>
    </w:p>
    <w:p w14:paraId="02EE485E" w14:textId="017759CC" w:rsidR="0B5F15F5" w:rsidRDefault="0B5F15F5" w:rsidP="0B5F15F5">
      <w:pPr>
        <w:pStyle w:val="ListParagraph"/>
        <w:numPr>
          <w:ilvl w:val="2"/>
          <w:numId w:val="2"/>
        </w:numPr>
      </w:pPr>
      <w:r w:rsidRPr="0B5F15F5">
        <w:rPr>
          <w:b/>
          <w:bCs/>
        </w:rPr>
        <w:t xml:space="preserve">Duration of Event Minutes: </w:t>
      </w:r>
      <w:r>
        <w:t>30</w:t>
      </w:r>
    </w:p>
    <w:p w14:paraId="6D071336" w14:textId="4378F694" w:rsidR="008F1FC1" w:rsidRDefault="008F1FC1" w:rsidP="008F1FC1"/>
    <w:p w14:paraId="20D2DEDA" w14:textId="5E752D98" w:rsidR="008F1FC1" w:rsidRPr="008F1FC1" w:rsidRDefault="008F1FC1" w:rsidP="003004E1"/>
    <w:sectPr w:rsidR="008F1FC1" w:rsidRPr="008F1FC1" w:rsidSect="00C7589D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3FFB" w14:textId="77777777" w:rsidR="0039292F" w:rsidRDefault="0039292F" w:rsidP="00B148EA">
      <w:pPr>
        <w:spacing w:after="0" w:line="240" w:lineRule="auto"/>
      </w:pPr>
      <w:r>
        <w:separator/>
      </w:r>
    </w:p>
  </w:endnote>
  <w:endnote w:type="continuationSeparator" w:id="0">
    <w:p w14:paraId="05AEED6C" w14:textId="77777777" w:rsidR="0039292F" w:rsidRDefault="0039292F" w:rsidP="00B148EA">
      <w:pPr>
        <w:spacing w:after="0" w:line="240" w:lineRule="auto"/>
      </w:pPr>
      <w:r>
        <w:continuationSeparator/>
      </w:r>
    </w:p>
  </w:endnote>
  <w:endnote w:type="continuationNotice" w:id="1">
    <w:p w14:paraId="29CE85F5" w14:textId="77777777" w:rsidR="0039292F" w:rsidRDefault="003929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2263" w14:textId="64FA11AA" w:rsidR="00425B24" w:rsidRDefault="00425B24" w:rsidP="000B12D0">
    <w:pPr>
      <w:pStyle w:val="Footer"/>
      <w:jc w:val="right"/>
    </w:pPr>
    <w:r>
      <w:t>Sewage Notification Data System Instructions</w:t>
    </w:r>
    <w:r w:rsidR="000B12D0">
      <w:t xml:space="preserve"> | </w:t>
    </w:r>
    <w:sdt>
      <w:sdtPr>
        <w:rPr>
          <w:color w:val="2B579A"/>
          <w:shd w:val="clear" w:color="auto" w:fill="E6E6E6"/>
        </w:rPr>
        <w:id w:val="750696960"/>
        <w:docPartObj>
          <w:docPartGallery w:val="Page Numbers (Bottom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sdtContent>
    </w:sdt>
  </w:p>
  <w:p w14:paraId="3D461AB8" w14:textId="77777777" w:rsidR="00425B24" w:rsidRDefault="00425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AAD44" w14:textId="77777777" w:rsidR="0039292F" w:rsidRDefault="0039292F" w:rsidP="00B148EA">
      <w:pPr>
        <w:spacing w:after="0" w:line="240" w:lineRule="auto"/>
      </w:pPr>
      <w:r>
        <w:separator/>
      </w:r>
    </w:p>
  </w:footnote>
  <w:footnote w:type="continuationSeparator" w:id="0">
    <w:p w14:paraId="158F6183" w14:textId="77777777" w:rsidR="0039292F" w:rsidRDefault="0039292F" w:rsidP="00B148EA">
      <w:pPr>
        <w:spacing w:after="0" w:line="240" w:lineRule="auto"/>
      </w:pPr>
      <w:r>
        <w:continuationSeparator/>
      </w:r>
    </w:p>
  </w:footnote>
  <w:footnote w:type="continuationNotice" w:id="1">
    <w:p w14:paraId="6A9C3C56" w14:textId="77777777" w:rsidR="0039292F" w:rsidRDefault="003929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7CE"/>
    <w:multiLevelType w:val="hybridMultilevel"/>
    <w:tmpl w:val="A6AA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47A"/>
    <w:multiLevelType w:val="hybridMultilevel"/>
    <w:tmpl w:val="760C49C4"/>
    <w:lvl w:ilvl="0" w:tplc="6406B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7ED0"/>
    <w:multiLevelType w:val="hybridMultilevel"/>
    <w:tmpl w:val="A148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CA5B8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258A3"/>
    <w:multiLevelType w:val="hybridMultilevel"/>
    <w:tmpl w:val="73E21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535B"/>
    <w:multiLevelType w:val="hybridMultilevel"/>
    <w:tmpl w:val="3E56D964"/>
    <w:lvl w:ilvl="0" w:tplc="886626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0646C"/>
    <w:multiLevelType w:val="hybridMultilevel"/>
    <w:tmpl w:val="B7DAD504"/>
    <w:lvl w:ilvl="0" w:tplc="BBDEE844">
      <w:start w:val="1"/>
      <w:numFmt w:val="decimal"/>
      <w:lvlText w:val="%1."/>
      <w:lvlJc w:val="left"/>
      <w:pPr>
        <w:ind w:left="720" w:hanging="360"/>
      </w:pPr>
    </w:lvl>
    <w:lvl w:ilvl="1" w:tplc="30B4E642">
      <w:start w:val="1"/>
      <w:numFmt w:val="lowerLetter"/>
      <w:lvlText w:val="%2."/>
      <w:lvlJc w:val="left"/>
      <w:pPr>
        <w:ind w:left="1440" w:hanging="360"/>
      </w:pPr>
    </w:lvl>
    <w:lvl w:ilvl="2" w:tplc="1CDEC6F8">
      <w:start w:val="1"/>
      <w:numFmt w:val="lowerRoman"/>
      <w:lvlText w:val="%3."/>
      <w:lvlJc w:val="right"/>
      <w:pPr>
        <w:ind w:left="2160" w:hanging="180"/>
      </w:pPr>
    </w:lvl>
    <w:lvl w:ilvl="3" w:tplc="A352EC10">
      <w:start w:val="1"/>
      <w:numFmt w:val="decimal"/>
      <w:lvlText w:val="%4."/>
      <w:lvlJc w:val="left"/>
      <w:pPr>
        <w:ind w:left="2880" w:hanging="360"/>
      </w:pPr>
    </w:lvl>
    <w:lvl w:ilvl="4" w:tplc="D2663AF4">
      <w:start w:val="1"/>
      <w:numFmt w:val="lowerLetter"/>
      <w:lvlText w:val="%5."/>
      <w:lvlJc w:val="left"/>
      <w:pPr>
        <w:ind w:left="3600" w:hanging="360"/>
      </w:pPr>
    </w:lvl>
    <w:lvl w:ilvl="5" w:tplc="EDB4D212">
      <w:start w:val="1"/>
      <w:numFmt w:val="lowerRoman"/>
      <w:lvlText w:val="%6."/>
      <w:lvlJc w:val="right"/>
      <w:pPr>
        <w:ind w:left="4320" w:hanging="180"/>
      </w:pPr>
    </w:lvl>
    <w:lvl w:ilvl="6" w:tplc="BC882EF8">
      <w:start w:val="1"/>
      <w:numFmt w:val="decimal"/>
      <w:lvlText w:val="%7."/>
      <w:lvlJc w:val="left"/>
      <w:pPr>
        <w:ind w:left="5040" w:hanging="360"/>
      </w:pPr>
    </w:lvl>
    <w:lvl w:ilvl="7" w:tplc="573E72C2">
      <w:start w:val="1"/>
      <w:numFmt w:val="lowerLetter"/>
      <w:lvlText w:val="%8."/>
      <w:lvlJc w:val="left"/>
      <w:pPr>
        <w:ind w:left="5760" w:hanging="360"/>
      </w:pPr>
    </w:lvl>
    <w:lvl w:ilvl="8" w:tplc="DA220C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0DF9"/>
    <w:multiLevelType w:val="hybridMultilevel"/>
    <w:tmpl w:val="92BCA984"/>
    <w:lvl w:ilvl="0" w:tplc="886626C8">
      <w:start w:val="1"/>
      <w:numFmt w:val="decimal"/>
      <w:lvlText w:val="%1."/>
      <w:lvlJc w:val="left"/>
      <w:pPr>
        <w:ind w:left="360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6A4B0FFB"/>
    <w:multiLevelType w:val="hybridMultilevel"/>
    <w:tmpl w:val="A6AA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02357">
    <w:abstractNumId w:val="5"/>
  </w:num>
  <w:num w:numId="2" w16cid:durableId="765929868">
    <w:abstractNumId w:val="3"/>
  </w:num>
  <w:num w:numId="3" w16cid:durableId="2112620640">
    <w:abstractNumId w:val="0"/>
  </w:num>
  <w:num w:numId="4" w16cid:durableId="1177158046">
    <w:abstractNumId w:val="4"/>
  </w:num>
  <w:num w:numId="5" w16cid:durableId="1429428963">
    <w:abstractNumId w:val="6"/>
  </w:num>
  <w:num w:numId="6" w16cid:durableId="1307583525">
    <w:abstractNumId w:val="7"/>
  </w:num>
  <w:num w:numId="7" w16cid:durableId="576206392">
    <w:abstractNumId w:val="2"/>
  </w:num>
  <w:num w:numId="8" w16cid:durableId="163108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91"/>
    <w:rsid w:val="0002658F"/>
    <w:rsid w:val="0002690A"/>
    <w:rsid w:val="000349D6"/>
    <w:rsid w:val="00094935"/>
    <w:rsid w:val="000A144E"/>
    <w:rsid w:val="000B12D0"/>
    <w:rsid w:val="000B38BC"/>
    <w:rsid w:val="000D1BAB"/>
    <w:rsid w:val="000D7255"/>
    <w:rsid w:val="000D7D24"/>
    <w:rsid w:val="000E79E0"/>
    <w:rsid w:val="0013049D"/>
    <w:rsid w:val="001368DA"/>
    <w:rsid w:val="00150F02"/>
    <w:rsid w:val="001717E8"/>
    <w:rsid w:val="00182BE4"/>
    <w:rsid w:val="001865BA"/>
    <w:rsid w:val="00190D01"/>
    <w:rsid w:val="001947BB"/>
    <w:rsid w:val="001B56AF"/>
    <w:rsid w:val="001C0353"/>
    <w:rsid w:val="001F016C"/>
    <w:rsid w:val="00230DC3"/>
    <w:rsid w:val="002342D6"/>
    <w:rsid w:val="00237ECC"/>
    <w:rsid w:val="00255E1B"/>
    <w:rsid w:val="002718E1"/>
    <w:rsid w:val="00273E3C"/>
    <w:rsid w:val="002845D4"/>
    <w:rsid w:val="00291BF4"/>
    <w:rsid w:val="002B4675"/>
    <w:rsid w:val="002B5077"/>
    <w:rsid w:val="002E58DA"/>
    <w:rsid w:val="002E71F1"/>
    <w:rsid w:val="003004E1"/>
    <w:rsid w:val="00307DDA"/>
    <w:rsid w:val="00317793"/>
    <w:rsid w:val="00381E89"/>
    <w:rsid w:val="0039292F"/>
    <w:rsid w:val="00392F4B"/>
    <w:rsid w:val="0039483B"/>
    <w:rsid w:val="003E748E"/>
    <w:rsid w:val="003F3D09"/>
    <w:rsid w:val="004053B0"/>
    <w:rsid w:val="00406323"/>
    <w:rsid w:val="00425B24"/>
    <w:rsid w:val="00440506"/>
    <w:rsid w:val="0044242C"/>
    <w:rsid w:val="00443651"/>
    <w:rsid w:val="00451477"/>
    <w:rsid w:val="0045469F"/>
    <w:rsid w:val="00471382"/>
    <w:rsid w:val="00491109"/>
    <w:rsid w:val="004A0CEA"/>
    <w:rsid w:val="004B1662"/>
    <w:rsid w:val="004B6245"/>
    <w:rsid w:val="004C820C"/>
    <w:rsid w:val="004D5A5E"/>
    <w:rsid w:val="004F48D9"/>
    <w:rsid w:val="0051663F"/>
    <w:rsid w:val="00525A09"/>
    <w:rsid w:val="00535A4B"/>
    <w:rsid w:val="00543A62"/>
    <w:rsid w:val="005551B6"/>
    <w:rsid w:val="005662AC"/>
    <w:rsid w:val="00581311"/>
    <w:rsid w:val="00585BE0"/>
    <w:rsid w:val="00596498"/>
    <w:rsid w:val="005C3FE1"/>
    <w:rsid w:val="005E7BB8"/>
    <w:rsid w:val="005F3897"/>
    <w:rsid w:val="005F6D04"/>
    <w:rsid w:val="0060148C"/>
    <w:rsid w:val="0062791A"/>
    <w:rsid w:val="00630A0A"/>
    <w:rsid w:val="00634FFB"/>
    <w:rsid w:val="0064343D"/>
    <w:rsid w:val="0064591C"/>
    <w:rsid w:val="00646397"/>
    <w:rsid w:val="0065293F"/>
    <w:rsid w:val="00654272"/>
    <w:rsid w:val="00656458"/>
    <w:rsid w:val="006627A3"/>
    <w:rsid w:val="006635DC"/>
    <w:rsid w:val="00685BDA"/>
    <w:rsid w:val="006B3994"/>
    <w:rsid w:val="006C377C"/>
    <w:rsid w:val="006D0E57"/>
    <w:rsid w:val="00713538"/>
    <w:rsid w:val="00731AF4"/>
    <w:rsid w:val="0076628F"/>
    <w:rsid w:val="00772ADD"/>
    <w:rsid w:val="00781415"/>
    <w:rsid w:val="007977D7"/>
    <w:rsid w:val="007A4309"/>
    <w:rsid w:val="007C2471"/>
    <w:rsid w:val="007C5DC1"/>
    <w:rsid w:val="007E6830"/>
    <w:rsid w:val="00816B1B"/>
    <w:rsid w:val="00855E63"/>
    <w:rsid w:val="0086181F"/>
    <w:rsid w:val="00886C13"/>
    <w:rsid w:val="008934D1"/>
    <w:rsid w:val="008A2220"/>
    <w:rsid w:val="008B4043"/>
    <w:rsid w:val="008E426B"/>
    <w:rsid w:val="008F1FC1"/>
    <w:rsid w:val="00902567"/>
    <w:rsid w:val="00906BB1"/>
    <w:rsid w:val="009240DC"/>
    <w:rsid w:val="009271A1"/>
    <w:rsid w:val="009518A8"/>
    <w:rsid w:val="00962478"/>
    <w:rsid w:val="00972430"/>
    <w:rsid w:val="00974D41"/>
    <w:rsid w:val="00976DC6"/>
    <w:rsid w:val="00990D01"/>
    <w:rsid w:val="009A0E6A"/>
    <w:rsid w:val="009B0E86"/>
    <w:rsid w:val="009B5D91"/>
    <w:rsid w:val="009F1C3F"/>
    <w:rsid w:val="00A1097A"/>
    <w:rsid w:val="00A163BA"/>
    <w:rsid w:val="00A70757"/>
    <w:rsid w:val="00AA743F"/>
    <w:rsid w:val="00AB786D"/>
    <w:rsid w:val="00AC66E0"/>
    <w:rsid w:val="00AD3681"/>
    <w:rsid w:val="00AE03D3"/>
    <w:rsid w:val="00AE5337"/>
    <w:rsid w:val="00AF6AC6"/>
    <w:rsid w:val="00B148EA"/>
    <w:rsid w:val="00B1765D"/>
    <w:rsid w:val="00B403D5"/>
    <w:rsid w:val="00B41BF2"/>
    <w:rsid w:val="00BF7971"/>
    <w:rsid w:val="00C01258"/>
    <w:rsid w:val="00C11903"/>
    <w:rsid w:val="00C14D72"/>
    <w:rsid w:val="00C37F52"/>
    <w:rsid w:val="00C4195F"/>
    <w:rsid w:val="00C61B33"/>
    <w:rsid w:val="00C7206D"/>
    <w:rsid w:val="00C7589D"/>
    <w:rsid w:val="00CB22AB"/>
    <w:rsid w:val="00CC4439"/>
    <w:rsid w:val="00D00404"/>
    <w:rsid w:val="00D207C7"/>
    <w:rsid w:val="00D53B13"/>
    <w:rsid w:val="00D53F3C"/>
    <w:rsid w:val="00D55BD9"/>
    <w:rsid w:val="00D81858"/>
    <w:rsid w:val="00D951AC"/>
    <w:rsid w:val="00D975DA"/>
    <w:rsid w:val="00DA00AF"/>
    <w:rsid w:val="00DB3517"/>
    <w:rsid w:val="00DE5920"/>
    <w:rsid w:val="00DF318B"/>
    <w:rsid w:val="00E10A7A"/>
    <w:rsid w:val="00E11CAC"/>
    <w:rsid w:val="00E17EC3"/>
    <w:rsid w:val="00E239B6"/>
    <w:rsid w:val="00E5274C"/>
    <w:rsid w:val="00EB1300"/>
    <w:rsid w:val="00EE65E0"/>
    <w:rsid w:val="00EF1AB5"/>
    <w:rsid w:val="00F32F88"/>
    <w:rsid w:val="00F34B97"/>
    <w:rsid w:val="00F6440F"/>
    <w:rsid w:val="00F843B9"/>
    <w:rsid w:val="00F92AB0"/>
    <w:rsid w:val="00FA116E"/>
    <w:rsid w:val="00FB14E0"/>
    <w:rsid w:val="00FB765C"/>
    <w:rsid w:val="00FD47FE"/>
    <w:rsid w:val="00FF7392"/>
    <w:rsid w:val="01160000"/>
    <w:rsid w:val="013BC1F1"/>
    <w:rsid w:val="01563192"/>
    <w:rsid w:val="02062C86"/>
    <w:rsid w:val="0380C9CA"/>
    <w:rsid w:val="03A109D1"/>
    <w:rsid w:val="03BA6E9C"/>
    <w:rsid w:val="044747CE"/>
    <w:rsid w:val="05819547"/>
    <w:rsid w:val="05943ACF"/>
    <w:rsid w:val="0695A0C1"/>
    <w:rsid w:val="06D8AA93"/>
    <w:rsid w:val="07678FA4"/>
    <w:rsid w:val="09078EE5"/>
    <w:rsid w:val="0A030B92"/>
    <w:rsid w:val="0AC10476"/>
    <w:rsid w:val="0ACC2EE3"/>
    <w:rsid w:val="0B1CE633"/>
    <w:rsid w:val="0B5F15F5"/>
    <w:rsid w:val="0BCF28C3"/>
    <w:rsid w:val="0C7E1884"/>
    <w:rsid w:val="0CD5223C"/>
    <w:rsid w:val="102E8517"/>
    <w:rsid w:val="107F8CD9"/>
    <w:rsid w:val="108B7573"/>
    <w:rsid w:val="10F9786D"/>
    <w:rsid w:val="1110B916"/>
    <w:rsid w:val="121B5D3A"/>
    <w:rsid w:val="124C72E8"/>
    <w:rsid w:val="12B05EB8"/>
    <w:rsid w:val="139EC36B"/>
    <w:rsid w:val="13D300D0"/>
    <w:rsid w:val="141620CD"/>
    <w:rsid w:val="144E0032"/>
    <w:rsid w:val="1492CEE8"/>
    <w:rsid w:val="14BC521A"/>
    <w:rsid w:val="1632D41B"/>
    <w:rsid w:val="1768B9F1"/>
    <w:rsid w:val="17A928EC"/>
    <w:rsid w:val="1A1EF6FC"/>
    <w:rsid w:val="1FED0BA4"/>
    <w:rsid w:val="2116976A"/>
    <w:rsid w:val="217F9E5C"/>
    <w:rsid w:val="22B267CB"/>
    <w:rsid w:val="25C4D716"/>
    <w:rsid w:val="26DA8EF3"/>
    <w:rsid w:val="26FE16EB"/>
    <w:rsid w:val="27235A57"/>
    <w:rsid w:val="282354BC"/>
    <w:rsid w:val="28C310F8"/>
    <w:rsid w:val="29F44D8E"/>
    <w:rsid w:val="2A3740AC"/>
    <w:rsid w:val="2AFEF838"/>
    <w:rsid w:val="2B0CBDF1"/>
    <w:rsid w:val="2D76115E"/>
    <w:rsid w:val="2DA77F00"/>
    <w:rsid w:val="2F9868EB"/>
    <w:rsid w:val="2FB923C4"/>
    <w:rsid w:val="302F59B7"/>
    <w:rsid w:val="3127AF36"/>
    <w:rsid w:val="3134394C"/>
    <w:rsid w:val="31D23512"/>
    <w:rsid w:val="320F75F2"/>
    <w:rsid w:val="32664522"/>
    <w:rsid w:val="34160257"/>
    <w:rsid w:val="35DC725A"/>
    <w:rsid w:val="3807FDA8"/>
    <w:rsid w:val="390546AF"/>
    <w:rsid w:val="3A991754"/>
    <w:rsid w:val="3E6D9DBE"/>
    <w:rsid w:val="41CFDE22"/>
    <w:rsid w:val="41D9E532"/>
    <w:rsid w:val="42F5E83B"/>
    <w:rsid w:val="430DFFFA"/>
    <w:rsid w:val="43C250F3"/>
    <w:rsid w:val="44C2F8B8"/>
    <w:rsid w:val="453BBC49"/>
    <w:rsid w:val="4559CB4F"/>
    <w:rsid w:val="460E1C48"/>
    <w:rsid w:val="466928B4"/>
    <w:rsid w:val="473E349F"/>
    <w:rsid w:val="47A9ECA9"/>
    <w:rsid w:val="47CF7C76"/>
    <w:rsid w:val="489D54AB"/>
    <w:rsid w:val="4AADB4C6"/>
    <w:rsid w:val="4AB354F6"/>
    <w:rsid w:val="4C4F2557"/>
    <w:rsid w:val="4C785C0F"/>
    <w:rsid w:val="4EF2497C"/>
    <w:rsid w:val="50B5E2C1"/>
    <w:rsid w:val="512D27C3"/>
    <w:rsid w:val="524491E2"/>
    <w:rsid w:val="525BD64F"/>
    <w:rsid w:val="53C90AFF"/>
    <w:rsid w:val="54D2859C"/>
    <w:rsid w:val="55045F2F"/>
    <w:rsid w:val="554DFA2F"/>
    <w:rsid w:val="55B4AA2E"/>
    <w:rsid w:val="572F4772"/>
    <w:rsid w:val="574F8779"/>
    <w:rsid w:val="5C23B6C9"/>
    <w:rsid w:val="5C23EBB2"/>
    <w:rsid w:val="5DA693B6"/>
    <w:rsid w:val="5E6F821E"/>
    <w:rsid w:val="5EB7C779"/>
    <w:rsid w:val="60297A38"/>
    <w:rsid w:val="61B7C63F"/>
    <w:rsid w:val="62624841"/>
    <w:rsid w:val="637730A6"/>
    <w:rsid w:val="63955036"/>
    <w:rsid w:val="63AB0E0A"/>
    <w:rsid w:val="642EFD97"/>
    <w:rsid w:val="646FB8F6"/>
    <w:rsid w:val="64C4DD18"/>
    <w:rsid w:val="6599E903"/>
    <w:rsid w:val="66A74297"/>
    <w:rsid w:val="68166464"/>
    <w:rsid w:val="6960C9C7"/>
    <w:rsid w:val="6975ACA9"/>
    <w:rsid w:val="6A1A30F4"/>
    <w:rsid w:val="6D506751"/>
    <w:rsid w:val="6D994EBC"/>
    <w:rsid w:val="6DD7F74F"/>
    <w:rsid w:val="6E343AEA"/>
    <w:rsid w:val="6EF9C568"/>
    <w:rsid w:val="6FE59AD5"/>
    <w:rsid w:val="704C4AD4"/>
    <w:rsid w:val="71AE1AC5"/>
    <w:rsid w:val="7286E45B"/>
    <w:rsid w:val="73036692"/>
    <w:rsid w:val="73408626"/>
    <w:rsid w:val="73A68078"/>
    <w:rsid w:val="74FADDD1"/>
    <w:rsid w:val="78451913"/>
    <w:rsid w:val="79124D31"/>
    <w:rsid w:val="79C24825"/>
    <w:rsid w:val="7A6B48A9"/>
    <w:rsid w:val="7BBF2013"/>
    <w:rsid w:val="7C9AF5B5"/>
    <w:rsid w:val="7E737570"/>
    <w:rsid w:val="7FEDC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73106"/>
  <w15:chartTrackingRefBased/>
  <w15:docId w15:val="{92051EBB-875C-4F4F-AE66-9CD4CB2D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6BB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BB1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06BB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13538"/>
    <w:pPr>
      <w:outlineLvl w:val="9"/>
    </w:pPr>
    <w:rPr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71353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135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47BB"/>
    <w:pPr>
      <w:ind w:left="720"/>
      <w:contextualSpacing/>
    </w:pPr>
  </w:style>
  <w:style w:type="table" w:styleId="TableGrid">
    <w:name w:val="Table Grid"/>
    <w:basedOn w:val="TableNormal"/>
    <w:uiPriority w:val="59"/>
    <w:rsid w:val="001F01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14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EA"/>
  </w:style>
  <w:style w:type="paragraph" w:styleId="Footer">
    <w:name w:val="footer"/>
    <w:basedOn w:val="Normal"/>
    <w:link w:val="FooterChar"/>
    <w:uiPriority w:val="99"/>
    <w:unhideWhenUsed/>
    <w:rsid w:val="00B14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EA"/>
  </w:style>
  <w:style w:type="paragraph" w:styleId="CommentText">
    <w:name w:val="annotation text"/>
    <w:basedOn w:val="Normal"/>
    <w:link w:val="CommentTextChar"/>
    <w:uiPriority w:val="99"/>
    <w:semiHidden/>
    <w:unhideWhenUsed/>
    <w:rsid w:val="00E11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C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1C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49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6279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55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s://www.mass.gov/doc/reportable-events-flowchart/download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mass.gov/doc/sewage-notification-timeline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B39B-CBB7-43B8-A525-4FCF95E8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9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Galambos, Nicole (DEP)</dc:creator>
  <cp:keywords/>
  <dc:description/>
  <cp:lastModifiedBy>Galambos, Nicole (DEP)</cp:lastModifiedBy>
  <cp:revision>16</cp:revision>
  <cp:lastPrinted>2022-09-21T14:02:00Z</cp:lastPrinted>
  <dcterms:created xsi:type="dcterms:W3CDTF">2022-09-20T17:40:00Z</dcterms:created>
  <dcterms:modified xsi:type="dcterms:W3CDTF">2022-09-21T14:03:00Z</dcterms:modified>
</cp:coreProperties>
</file>