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B8B8B" w14:textId="77777777" w:rsidR="0096020B" w:rsidRPr="00640B90" w:rsidRDefault="0096020B" w:rsidP="00B43EA4">
      <w:pPr>
        <w:rPr>
          <w:b/>
          <w:bCs/>
          <w:sz w:val="10"/>
          <w:szCs w:val="10"/>
        </w:rPr>
      </w:pPr>
    </w:p>
    <w:p w14:paraId="041FA338" w14:textId="17752E3D" w:rsidR="003B2A0B" w:rsidRPr="00031103" w:rsidRDefault="003B2A0B" w:rsidP="00B43EA4">
      <w:pPr>
        <w:rPr>
          <w:b/>
          <w:bCs/>
          <w:sz w:val="26"/>
          <w:szCs w:val="26"/>
        </w:rPr>
      </w:pPr>
      <w:r w:rsidRPr="00031103">
        <w:rPr>
          <w:b/>
          <w:bCs/>
          <w:sz w:val="26"/>
          <w:szCs w:val="26"/>
        </w:rPr>
        <w:t>Background:</w:t>
      </w:r>
    </w:p>
    <w:p w14:paraId="0732B4BA" w14:textId="1BB293DF" w:rsidR="0081517B" w:rsidRDefault="00B40706" w:rsidP="00B43EA4">
      <w:r>
        <w:t xml:space="preserve">Sharps injuries are a common hazard </w:t>
      </w:r>
      <w:r w:rsidR="00AF63D1">
        <w:t>faced</w:t>
      </w:r>
      <w:r>
        <w:t xml:space="preserve"> by healthcare workers in a variety of settings, putting workers at risk of acquiring HCV, HBV, HIV and other diseases. Studies have shown an i</w:t>
      </w:r>
      <w:r w:rsidR="003B2A0B">
        <w:t>ncreased risk of sharps injuries during vaccination clinics</w:t>
      </w:r>
      <w:r>
        <w:t>, with one study</w:t>
      </w:r>
      <w:r w:rsidR="00B43EA4">
        <w:t xml:space="preserve"> finding a 5-fold increase at county mass vaccination clinics </w:t>
      </w:r>
      <w:r>
        <w:t xml:space="preserve">during the </w:t>
      </w:r>
      <w:r w:rsidR="00772E4A">
        <w:t>influenza A (</w:t>
      </w:r>
      <w:r>
        <w:t>H1N1</w:t>
      </w:r>
      <w:r w:rsidR="00772E4A">
        <w:t>) pandemic</w:t>
      </w:r>
      <w:r>
        <w:t xml:space="preserve"> in 200</w:t>
      </w:r>
      <w:r w:rsidR="00772E4A">
        <w:t>9</w:t>
      </w:r>
      <w:r>
        <w:t>.</w:t>
      </w:r>
      <w:r w:rsidR="0081517B" w:rsidRPr="00B40706">
        <w:rPr>
          <w:rStyle w:val="FootnoteReference"/>
        </w:rPr>
        <w:footnoteReference w:id="1"/>
      </w:r>
      <w:r w:rsidR="0081517B" w:rsidRPr="00B40706">
        <w:rPr>
          <w:vertAlign w:val="superscript"/>
        </w:rPr>
        <w:t>,</w:t>
      </w:r>
      <w:r w:rsidR="0081517B">
        <w:rPr>
          <w:vertAlign w:val="superscript"/>
        </w:rPr>
        <w:t xml:space="preserve"> </w:t>
      </w:r>
      <w:r w:rsidR="0081517B">
        <w:rPr>
          <w:rStyle w:val="FootnoteReference"/>
        </w:rPr>
        <w:footnoteReference w:id="2"/>
      </w:r>
      <w:r w:rsidR="0081517B">
        <w:t xml:space="preserve"> Massachusetts data demonstrates that injection procedures account for the most sharps injuries in hospital settings, with 25% of those </w:t>
      </w:r>
      <w:r w:rsidR="00B43EA4">
        <w:t>involving</w:t>
      </w:r>
      <w:r w:rsidR="0081517B">
        <w:t xml:space="preserve"> intramuscular injections.</w:t>
      </w:r>
      <w:r w:rsidR="0081517B">
        <w:rPr>
          <w:rStyle w:val="FootnoteReference"/>
        </w:rPr>
        <w:footnoteReference w:id="3"/>
      </w:r>
    </w:p>
    <w:p w14:paraId="268E41E3" w14:textId="77777777" w:rsidR="00225C3A" w:rsidRPr="00B43EA4" w:rsidRDefault="00225C3A" w:rsidP="00B43EA4">
      <w:pPr>
        <w:pStyle w:val="ListParagraph"/>
        <w:ind w:left="907" w:right="547"/>
        <w:contextualSpacing w:val="0"/>
        <w:rPr>
          <w:sz w:val="28"/>
          <w:szCs w:val="28"/>
        </w:rPr>
      </w:pPr>
    </w:p>
    <w:p w14:paraId="76D734C4" w14:textId="74082140" w:rsidR="003B2A0B" w:rsidRPr="00DD0C6A" w:rsidRDefault="003B2A0B" w:rsidP="00B43EA4">
      <w:pPr>
        <w:rPr>
          <w:b/>
          <w:bCs/>
          <w:sz w:val="26"/>
          <w:szCs w:val="26"/>
        </w:rPr>
      </w:pPr>
      <w:r w:rsidRPr="00DD0C6A">
        <w:rPr>
          <w:b/>
          <w:bCs/>
          <w:sz w:val="26"/>
          <w:szCs w:val="26"/>
        </w:rPr>
        <w:t>Regulatory Requirements</w:t>
      </w:r>
      <w:r w:rsidR="00A750C7" w:rsidRPr="00DD0C6A">
        <w:rPr>
          <w:b/>
          <w:bCs/>
          <w:sz w:val="26"/>
          <w:szCs w:val="26"/>
        </w:rPr>
        <w:t>:</w:t>
      </w:r>
    </w:p>
    <w:p w14:paraId="62A64F46" w14:textId="0296FB9A" w:rsidR="00DD0C6A" w:rsidRPr="00DD0C6A" w:rsidRDefault="00DD0C6A" w:rsidP="00B43EA4">
      <w:pPr>
        <w:rPr>
          <w:rFonts w:cs="Segoe UI"/>
        </w:rPr>
      </w:pPr>
      <w:r w:rsidRPr="00DD0C6A">
        <w:rPr>
          <w:rFonts w:cs="Segoe UI"/>
        </w:rPr>
        <w:t>The OSHA Bloodborne Pathogens Standard (29 CFR 1910.</w:t>
      </w:r>
      <w:r w:rsidRPr="00B1335E">
        <w:rPr>
          <w:rFonts w:cs="Segoe UI"/>
        </w:rPr>
        <w:t xml:space="preserve">1030 </w:t>
      </w:r>
      <w:hyperlink r:id="rId8" w:history="1">
        <w:r w:rsidR="00B1335E" w:rsidRPr="00B1335E">
          <w:rPr>
            <w:rStyle w:val="Hyperlink"/>
            <w:rFonts w:cs="Segoe UI"/>
            <w:u w:val="none"/>
          </w:rPr>
          <w:t>www.osha.gov/bloodborne-pathogens</w:t>
        </w:r>
      </w:hyperlink>
      <w:r w:rsidRPr="00B1335E">
        <w:rPr>
          <w:rFonts w:cs="Segoe UI"/>
        </w:rPr>
        <w:t xml:space="preserve">) covers all private sector workers. </w:t>
      </w:r>
      <w:r w:rsidR="00CF1E63" w:rsidRPr="00B1335E">
        <w:rPr>
          <w:rFonts w:cs="Segoe UI"/>
        </w:rPr>
        <w:t>S</w:t>
      </w:r>
      <w:r w:rsidRPr="00B1335E">
        <w:rPr>
          <w:rFonts w:cs="Segoe UI"/>
        </w:rPr>
        <w:t xml:space="preserve">tate and municipal workers are covered by the Massachusetts </w:t>
      </w:r>
      <w:r w:rsidRPr="00DD0C6A">
        <w:rPr>
          <w:rFonts w:cs="Segoe UI"/>
        </w:rPr>
        <w:t>Department of Labor Standards, which requires compliance with OSHA standards</w:t>
      </w:r>
      <w:r w:rsidR="00B43EA4">
        <w:rPr>
          <w:rFonts w:cs="Segoe UI"/>
        </w:rPr>
        <w:t>.</w:t>
      </w:r>
      <w:r w:rsidR="00B43EA4">
        <w:rPr>
          <w:rStyle w:val="FootnoteReference"/>
          <w:rFonts w:cs="Segoe UI"/>
        </w:rPr>
        <w:footnoteReference w:id="4"/>
      </w:r>
      <w:r w:rsidRPr="00DD0C6A">
        <w:rPr>
          <w:rFonts w:cs="Segoe UI"/>
        </w:rPr>
        <w:t xml:space="preserve"> Both private and public sector employers must comply with the </w:t>
      </w:r>
      <w:r w:rsidR="00CF1E63">
        <w:rPr>
          <w:rFonts w:cs="Segoe UI"/>
        </w:rPr>
        <w:t>OSHA Bloodborne Pathogens Standard</w:t>
      </w:r>
      <w:r w:rsidRPr="00DD0C6A">
        <w:rPr>
          <w:rFonts w:cs="Segoe UI"/>
        </w:rPr>
        <w:t>.</w:t>
      </w:r>
    </w:p>
    <w:p w14:paraId="47FDBE2D" w14:textId="77777777" w:rsidR="00031103" w:rsidRPr="00B43EA4" w:rsidRDefault="00031103" w:rsidP="00B43EA4">
      <w:pPr>
        <w:pStyle w:val="ListParagraph"/>
        <w:ind w:left="907" w:right="547"/>
        <w:contextualSpacing w:val="0"/>
        <w:rPr>
          <w:sz w:val="28"/>
          <w:szCs w:val="28"/>
        </w:rPr>
      </w:pPr>
    </w:p>
    <w:p w14:paraId="7362392E" w14:textId="1120F531" w:rsidR="003B2A0B" w:rsidRPr="00031103" w:rsidRDefault="001037CB" w:rsidP="00B43EA4">
      <w:pPr>
        <w:rPr>
          <w:b/>
          <w:bCs/>
          <w:sz w:val="26"/>
          <w:szCs w:val="26"/>
        </w:rPr>
      </w:pPr>
      <w:r w:rsidRPr="00031103">
        <w:rPr>
          <w:b/>
          <w:bCs/>
          <w:sz w:val="26"/>
          <w:szCs w:val="26"/>
        </w:rPr>
        <w:t>Components of a Sharps Injury Prevention Program:</w:t>
      </w:r>
    </w:p>
    <w:p w14:paraId="5B61EDD1" w14:textId="07B79CBC" w:rsidR="001037CB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1037CB">
        <w:t xml:space="preserve">Offer </w:t>
      </w:r>
      <w:r w:rsidR="001037CB" w:rsidRPr="00A750C7">
        <w:t xml:space="preserve">HBV vaccination </w:t>
      </w:r>
      <w:r w:rsidR="001037CB">
        <w:t xml:space="preserve">free of charge to all workers with possible </w:t>
      </w:r>
      <w:r w:rsidR="001037CB" w:rsidRPr="00A750C7">
        <w:t>occupational exposure</w:t>
      </w:r>
    </w:p>
    <w:p w14:paraId="2A0480FC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14C28968" w14:textId="4BA76191" w:rsidR="00E7640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E76407" w:rsidRPr="00E76407">
        <w:t>Establish an exposure control plan with site specific information</w:t>
      </w:r>
      <w:r w:rsidR="00B1335E">
        <w:t>.</w:t>
      </w:r>
      <w:r w:rsidR="00121847">
        <w:t xml:space="preserve"> (A detailed sample exposure control plan is available at: URL)</w:t>
      </w:r>
    </w:p>
    <w:p w14:paraId="4DB5E914" w14:textId="711D2EE6" w:rsidR="004C0786" w:rsidRPr="00E76407" w:rsidRDefault="004C0786" w:rsidP="00B43EA4">
      <w:pPr>
        <w:pStyle w:val="ListParagraph"/>
        <w:ind w:left="907" w:right="547"/>
        <w:contextualSpacing w:val="0"/>
      </w:pPr>
    </w:p>
    <w:p w14:paraId="60EF60EA" w14:textId="2BD18AAA" w:rsidR="00E7640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E76407" w:rsidRPr="00E76407">
        <w:t>Identify and use engineering controls</w:t>
      </w:r>
      <w:r w:rsidR="005129CA">
        <w:t xml:space="preserve">, including </w:t>
      </w:r>
      <w:r w:rsidR="00A7168E">
        <w:t>sharps with engineered sharps injury protections</w:t>
      </w:r>
      <w:r w:rsidR="00B1335E">
        <w:t>.</w:t>
      </w:r>
    </w:p>
    <w:p w14:paraId="3B8435CB" w14:textId="77777777" w:rsidR="004C0786" w:rsidRPr="00E76407" w:rsidRDefault="004C0786" w:rsidP="00B43EA4">
      <w:pPr>
        <w:pStyle w:val="ListParagraph"/>
        <w:ind w:left="907" w:right="547"/>
        <w:contextualSpacing w:val="0"/>
      </w:pPr>
    </w:p>
    <w:p w14:paraId="1A7F46A6" w14:textId="73E4DFC7" w:rsidR="00135721" w:rsidRDefault="00CB5243" w:rsidP="00B43EA4">
      <w:pPr>
        <w:pStyle w:val="ListParagraph"/>
        <w:numPr>
          <w:ilvl w:val="0"/>
          <w:numId w:val="1"/>
        </w:numPr>
        <w:ind w:right="547"/>
        <w:contextualSpacing w:val="0"/>
      </w:pPr>
      <w:r>
        <w:t xml:space="preserve">   </w:t>
      </w:r>
      <w:r w:rsidR="00A750C7" w:rsidRPr="00A750C7">
        <w:t>Identify and ensure use of work practice controls</w:t>
      </w:r>
      <w:r w:rsidR="00B1335E">
        <w:t>.</w:t>
      </w:r>
    </w:p>
    <w:p w14:paraId="0AE1034F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40F7EABE" w14:textId="6F56D45C" w:rsidR="00A750C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A750C7" w:rsidRPr="00A750C7">
        <w:t xml:space="preserve">Provide </w:t>
      </w:r>
      <w:r w:rsidR="00A502CE">
        <w:t xml:space="preserve">appropriate </w:t>
      </w:r>
      <w:r w:rsidR="00757FFB">
        <w:t>personal protective equipment (P</w:t>
      </w:r>
      <w:r w:rsidR="00A750C7" w:rsidRPr="00A750C7">
        <w:t>PE</w:t>
      </w:r>
      <w:r w:rsidR="00757FFB">
        <w:t>)</w:t>
      </w:r>
      <w:r w:rsidR="00A750C7" w:rsidRPr="00A750C7">
        <w:t xml:space="preserve"> (i.e., gloves</w:t>
      </w:r>
      <w:r w:rsidR="001037CB">
        <w:t>, masks)</w:t>
      </w:r>
      <w:r w:rsidR="00B1335E">
        <w:t>.</w:t>
      </w:r>
      <w:r w:rsidR="00A750C7" w:rsidRPr="00A750C7">
        <w:t xml:space="preserve"> </w:t>
      </w:r>
      <w:r w:rsidR="00A502CE">
        <w:t>Latex free gloves are</w:t>
      </w:r>
      <w:r>
        <w:t xml:space="preserve"> </w:t>
      </w:r>
      <w:r w:rsidR="00A502CE">
        <w:t>preferred</w:t>
      </w:r>
      <w:r w:rsidR="00B1335E">
        <w:t>.</w:t>
      </w:r>
    </w:p>
    <w:p w14:paraId="16A6C434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618103ED" w14:textId="777213FF" w:rsidR="00A750C7" w:rsidRDefault="00CB5243" w:rsidP="00AF63D1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1037CB">
        <w:t>Provide sharps d</w:t>
      </w:r>
      <w:r w:rsidR="00A750C7" w:rsidRPr="00A750C7">
        <w:t xml:space="preserve">isposal containers </w:t>
      </w:r>
      <w:r w:rsidR="001037CB">
        <w:t>that are c</w:t>
      </w:r>
      <w:r w:rsidR="00A750C7" w:rsidRPr="00A750C7">
        <w:t>losable, puncture resistant, leakproof,</w:t>
      </w:r>
      <w:r w:rsidR="001037CB">
        <w:t xml:space="preserve"> and</w:t>
      </w:r>
      <w:r w:rsidR="00A750C7" w:rsidRPr="00A750C7">
        <w:t xml:space="preserve"> labeled</w:t>
      </w:r>
      <w:r w:rsidR="001037CB">
        <w:t>.</w:t>
      </w:r>
      <w:r>
        <w:t xml:space="preserve"> </w:t>
      </w:r>
      <w:r w:rsidR="001037CB">
        <w:t>Containers should be l</w:t>
      </w:r>
      <w:r w:rsidR="005129CA">
        <w:t xml:space="preserve">ocated at the </w:t>
      </w:r>
      <w:r w:rsidR="00A750C7" w:rsidRPr="00A750C7">
        <w:t xml:space="preserve">point of use, </w:t>
      </w:r>
      <w:r w:rsidR="005129CA">
        <w:t xml:space="preserve">stand </w:t>
      </w:r>
      <w:r w:rsidR="00A750C7" w:rsidRPr="00A750C7">
        <w:t xml:space="preserve">upright, </w:t>
      </w:r>
      <w:r w:rsidR="005129CA">
        <w:t xml:space="preserve">and </w:t>
      </w:r>
      <w:r w:rsidR="00A750C7" w:rsidRPr="00A750C7">
        <w:t>replaced routinel</w:t>
      </w:r>
      <w:r w:rsidR="00A7168E">
        <w:t>y when ¾ full</w:t>
      </w:r>
      <w:r w:rsidR="00AF63D1">
        <w:t xml:space="preserve">. Information about </w:t>
      </w:r>
      <w:r w:rsidR="00AF63D1" w:rsidRPr="00B1335E">
        <w:t xml:space="preserve">the selection and use of sharps containers is available from NIOSH at </w:t>
      </w:r>
      <w:hyperlink r:id="rId9" w:history="1">
        <w:r w:rsidR="00AF63D1" w:rsidRPr="00B1335E">
          <w:rPr>
            <w:rStyle w:val="Hyperlink"/>
            <w:u w:val="none"/>
          </w:rPr>
          <w:t>https://www.cdc.gov/niosh/docs/97-111/default.html</w:t>
        </w:r>
      </w:hyperlink>
      <w:r w:rsidR="00AF63D1" w:rsidRPr="00B1335E">
        <w:t>.</w:t>
      </w:r>
      <w:r w:rsidR="00757FFB">
        <w:t xml:space="preserve"> </w:t>
      </w:r>
    </w:p>
    <w:p w14:paraId="12660D88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461081FD" w14:textId="711DC1B5" w:rsidR="00A750C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F6381E">
        <w:t xml:space="preserve">Establish site specific protocols for reporting a sharps injury. </w:t>
      </w:r>
      <w:r w:rsidR="00A750C7" w:rsidRPr="00A750C7">
        <w:t xml:space="preserve">Conduct a post-exposure evaluation </w:t>
      </w:r>
      <w:r w:rsidR="00F6381E">
        <w:t>and i</w:t>
      </w:r>
      <w:r w:rsidR="00A750C7" w:rsidRPr="00A750C7">
        <w:t>dentify where to send injured workers</w:t>
      </w:r>
      <w:r w:rsidR="00A7168E">
        <w:t xml:space="preserve"> for </w:t>
      </w:r>
      <w:r w:rsidR="00B43EA4">
        <w:t xml:space="preserve">clinical </w:t>
      </w:r>
      <w:r w:rsidR="00A7168E">
        <w:t>follow-up</w:t>
      </w:r>
      <w:r w:rsidR="00B1335E">
        <w:t>.</w:t>
      </w:r>
    </w:p>
    <w:p w14:paraId="07BC544F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02579E81" w14:textId="1D9D395D" w:rsidR="00A750C7" w:rsidRDefault="00CB5243" w:rsidP="00B43EA4">
      <w:pPr>
        <w:pStyle w:val="ListParagraph"/>
        <w:numPr>
          <w:ilvl w:val="0"/>
          <w:numId w:val="1"/>
        </w:numPr>
        <w:ind w:right="547"/>
        <w:contextualSpacing w:val="0"/>
      </w:pPr>
      <w:r>
        <w:t xml:space="preserve">   </w:t>
      </w:r>
      <w:r w:rsidR="00A750C7" w:rsidRPr="00A750C7">
        <w:t>Use labels and signs to communicate hazards</w:t>
      </w:r>
      <w:r w:rsidR="00B1335E">
        <w:t>.</w:t>
      </w:r>
    </w:p>
    <w:p w14:paraId="76CD184B" w14:textId="77777777" w:rsidR="004C0786" w:rsidRPr="00A750C7" w:rsidRDefault="004C0786" w:rsidP="00B43EA4">
      <w:pPr>
        <w:pStyle w:val="ListParagraph"/>
        <w:ind w:left="907" w:right="547"/>
        <w:contextualSpacing w:val="0"/>
      </w:pPr>
    </w:p>
    <w:p w14:paraId="76687B4C" w14:textId="6875F7C2" w:rsidR="00A750C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 </w:t>
      </w:r>
      <w:r w:rsidR="00A750C7" w:rsidRPr="00A750C7">
        <w:t xml:space="preserve">Provide information and training to </w:t>
      </w:r>
      <w:r w:rsidR="00F6381E">
        <w:t xml:space="preserve">all </w:t>
      </w:r>
      <w:r w:rsidR="00A750C7" w:rsidRPr="00A750C7">
        <w:t>workers</w:t>
      </w:r>
      <w:r w:rsidR="00F32D30">
        <w:t>. Training sessions should have a competent individual available to answer questions</w:t>
      </w:r>
      <w:r w:rsidR="00F6381E">
        <w:t xml:space="preserve"> in real time</w:t>
      </w:r>
      <w:r w:rsidR="00F32D30">
        <w:t xml:space="preserve"> and should include</w:t>
      </w:r>
      <w:r w:rsidR="00F6381E">
        <w:t xml:space="preserve"> risks of bloodborne pathogens, location of PPE, use of devices with sharps injury prevention features, and procedures for reporting sharps injuries and other exposure incidents.</w:t>
      </w:r>
    </w:p>
    <w:p w14:paraId="10AEB2A2" w14:textId="77777777" w:rsidR="004C0786" w:rsidRDefault="004C0786" w:rsidP="00B43EA4">
      <w:pPr>
        <w:pStyle w:val="ListParagraph"/>
        <w:ind w:left="907" w:right="547"/>
        <w:contextualSpacing w:val="0"/>
      </w:pPr>
    </w:p>
    <w:p w14:paraId="214F1AE9" w14:textId="57A3ADFD" w:rsidR="00A750C7" w:rsidRPr="00A750C7" w:rsidRDefault="00CB5243" w:rsidP="00B43EA4">
      <w:pPr>
        <w:pStyle w:val="ListParagraph"/>
        <w:numPr>
          <w:ilvl w:val="0"/>
          <w:numId w:val="1"/>
        </w:numPr>
        <w:ind w:left="900" w:right="547" w:hanging="540"/>
        <w:contextualSpacing w:val="0"/>
      </w:pPr>
      <w:r>
        <w:t xml:space="preserve">  </w:t>
      </w:r>
      <w:r w:rsidR="00AF63D1">
        <w:t>Maintain records</w:t>
      </w:r>
      <w:r w:rsidR="00F6381E">
        <w:t xml:space="preserve"> regarding sharps injuries</w:t>
      </w:r>
      <w:r w:rsidR="00AF63D1">
        <w:t>,</w:t>
      </w:r>
      <w:r w:rsidR="00F6381E">
        <w:t xml:space="preserve"> HBV vaccinations and training provide</w:t>
      </w:r>
      <w:r w:rsidR="00AF63D1">
        <w:t>.</w:t>
      </w:r>
    </w:p>
    <w:p w14:paraId="4443A6C5" w14:textId="47FF463E" w:rsidR="00A750C7" w:rsidRPr="00031103" w:rsidRDefault="004C0786" w:rsidP="00B43EA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W</w:t>
      </w:r>
      <w:r w:rsidR="00A750C7" w:rsidRPr="00031103">
        <w:rPr>
          <w:b/>
          <w:bCs/>
          <w:sz w:val="26"/>
          <w:szCs w:val="26"/>
        </w:rPr>
        <w:t>hat to do if there is a sharps injury:</w:t>
      </w:r>
    </w:p>
    <w:p w14:paraId="4B6856E7" w14:textId="456B87A7" w:rsidR="00B34B31" w:rsidRDefault="00B34B31" w:rsidP="00B43EA4">
      <w:r>
        <w:t>Designate one person for each shift responsible for managing exposure incidents.</w:t>
      </w:r>
      <w:r w:rsidR="00E6392E">
        <w:t xml:space="preserve"> </w:t>
      </w:r>
      <w:r w:rsidR="00B43EA4">
        <w:t>Designate</w:t>
      </w:r>
      <w:r w:rsidR="00E6392E">
        <w:t xml:space="preserve"> an area away from others to begin the post-exposure protocols.</w:t>
      </w:r>
      <w:r w:rsidR="00C34AFF">
        <w:t xml:space="preserve"> Identify a medical provider</w:t>
      </w:r>
      <w:r w:rsidR="00121847">
        <w:t xml:space="preserve"> </w:t>
      </w:r>
      <w:r w:rsidR="00AF63D1">
        <w:t xml:space="preserve">(e.g., a hospital or urgent care center) </w:t>
      </w:r>
      <w:r w:rsidR="00121847">
        <w:t>within close proximity to the clinic capable of providing post-exposure follow-up</w:t>
      </w:r>
      <w:r w:rsidR="00AF63D1">
        <w:t xml:space="preserve"> and </w:t>
      </w:r>
      <w:r w:rsidR="00121847">
        <w:t>testing for both the source individual and the injured worker</w:t>
      </w:r>
      <w:r w:rsidR="00AF63D1">
        <w:t>.</w:t>
      </w:r>
      <w:r w:rsidR="00121847">
        <w:t xml:space="preserve"> </w:t>
      </w:r>
    </w:p>
    <w:p w14:paraId="6F7A6598" w14:textId="77777777" w:rsidR="00F1346B" w:rsidRDefault="00F1346B" w:rsidP="00B43EA4">
      <w:pPr>
        <w:pStyle w:val="ListParagraph"/>
        <w:ind w:left="907" w:right="547"/>
        <w:contextualSpacing w:val="0"/>
      </w:pPr>
    </w:p>
    <w:p w14:paraId="2908B51A" w14:textId="52250212" w:rsidR="00A750C7" w:rsidRPr="00F1346B" w:rsidRDefault="00A750C7" w:rsidP="00B43EA4">
      <w:pPr>
        <w:rPr>
          <w:u w:val="single"/>
        </w:rPr>
      </w:pPr>
      <w:r w:rsidRPr="00F1346B">
        <w:rPr>
          <w:u w:val="single"/>
        </w:rPr>
        <w:t>Post-exposure protocols for injured worker:</w:t>
      </w:r>
    </w:p>
    <w:p w14:paraId="70CD4BB2" w14:textId="7299F6F7" w:rsidR="00B34B31" w:rsidRDefault="00B34B31" w:rsidP="00B43EA4">
      <w:pPr>
        <w:pStyle w:val="ListParagraph"/>
        <w:numPr>
          <w:ilvl w:val="0"/>
          <w:numId w:val="8"/>
        </w:numPr>
        <w:contextualSpacing w:val="0"/>
      </w:pPr>
      <w:r>
        <w:t>Clean the wound with soap and water</w:t>
      </w:r>
    </w:p>
    <w:p w14:paraId="17A450A1" w14:textId="77777777" w:rsidR="004C0786" w:rsidRDefault="004C0786" w:rsidP="00B43EA4">
      <w:pPr>
        <w:pStyle w:val="ListParagraph"/>
        <w:ind w:left="907" w:right="547"/>
        <w:contextualSpacing w:val="0"/>
      </w:pPr>
    </w:p>
    <w:p w14:paraId="2206B1BB" w14:textId="529125AE" w:rsidR="00B34B31" w:rsidRDefault="00B34B31" w:rsidP="00B43EA4">
      <w:pPr>
        <w:pStyle w:val="ListParagraph"/>
        <w:numPr>
          <w:ilvl w:val="0"/>
          <w:numId w:val="8"/>
        </w:numPr>
        <w:contextualSpacing w:val="0"/>
      </w:pPr>
      <w:r>
        <w:t>Provide information to the worker about where to go to receive post-exposure care, including baseline testing for HBV, HCV, and HIV, counseling on the risk of transmission</w:t>
      </w:r>
      <w:r w:rsidR="00E6392E">
        <w:t xml:space="preserve"> of disease</w:t>
      </w:r>
      <w:r>
        <w:t>, and if necessary post-exposure prophylaxis</w:t>
      </w:r>
      <w:r w:rsidR="00E6392E">
        <w:t>.</w:t>
      </w:r>
      <w:r w:rsidR="00CD1557">
        <w:t xml:space="preserve">  </w:t>
      </w:r>
      <w:r w:rsidR="00833F01">
        <w:t xml:space="preserve">It is important to know the </w:t>
      </w:r>
      <w:r w:rsidR="00504C10">
        <w:t>name of the</w:t>
      </w:r>
      <w:r w:rsidR="00CD1557">
        <w:t xml:space="preserve"> treating </w:t>
      </w:r>
      <w:r w:rsidR="00833F01">
        <w:t xml:space="preserve">provider </w:t>
      </w:r>
      <w:r w:rsidR="00CD1557">
        <w:t>so that the source patient’s test results can be shared with the physician; this information is necessary for determining a course of treatment for the injured healthcare worker.</w:t>
      </w:r>
    </w:p>
    <w:p w14:paraId="0B4C3DFB" w14:textId="77777777" w:rsidR="004C0786" w:rsidRDefault="004C0786" w:rsidP="00B43EA4">
      <w:pPr>
        <w:pStyle w:val="ListParagraph"/>
        <w:ind w:left="907" w:right="547"/>
        <w:contextualSpacing w:val="0"/>
      </w:pPr>
    </w:p>
    <w:p w14:paraId="19A6B7C7" w14:textId="76D6DFA2" w:rsidR="00E6392E" w:rsidRDefault="00E6392E" w:rsidP="00B43EA4">
      <w:pPr>
        <w:pStyle w:val="ListParagraph"/>
        <w:numPr>
          <w:ilvl w:val="0"/>
          <w:numId w:val="8"/>
        </w:numPr>
        <w:contextualSpacing w:val="0"/>
      </w:pPr>
      <w:r>
        <w:t>Maintain a record of the circumstances of the exposure incident.</w:t>
      </w:r>
    </w:p>
    <w:p w14:paraId="15F763D7" w14:textId="4EBDE760" w:rsidR="00A750C7" w:rsidRDefault="00A750C7" w:rsidP="00B43EA4">
      <w:pPr>
        <w:pStyle w:val="ListParagraph"/>
        <w:ind w:left="907" w:right="547"/>
        <w:contextualSpacing w:val="0"/>
      </w:pPr>
    </w:p>
    <w:p w14:paraId="66623786" w14:textId="76D0E550" w:rsidR="00A750C7" w:rsidRPr="00F1346B" w:rsidRDefault="00A750C7" w:rsidP="00B43EA4">
      <w:pPr>
        <w:rPr>
          <w:u w:val="single"/>
        </w:rPr>
      </w:pPr>
      <w:r w:rsidRPr="00F1346B">
        <w:rPr>
          <w:u w:val="single"/>
        </w:rPr>
        <w:t xml:space="preserve">Dealing with the source patient </w:t>
      </w:r>
      <w:r w:rsidR="00CD1557">
        <w:rPr>
          <w:u w:val="single"/>
        </w:rPr>
        <w:t>(</w:t>
      </w:r>
      <w:r w:rsidRPr="00F1346B">
        <w:rPr>
          <w:u w:val="single"/>
        </w:rPr>
        <w:t>individual being vaccinated</w:t>
      </w:r>
      <w:r w:rsidR="00CD1557">
        <w:rPr>
          <w:u w:val="single"/>
        </w:rPr>
        <w:t>)</w:t>
      </w:r>
      <w:r w:rsidRPr="00F1346B">
        <w:rPr>
          <w:u w:val="single"/>
        </w:rPr>
        <w:t>:</w:t>
      </w:r>
    </w:p>
    <w:p w14:paraId="704A44D0" w14:textId="148E31BE" w:rsidR="00B34B31" w:rsidRDefault="004512BC" w:rsidP="00B43EA4">
      <w:pPr>
        <w:pStyle w:val="ListParagraph"/>
        <w:numPr>
          <w:ilvl w:val="0"/>
          <w:numId w:val="9"/>
        </w:numPr>
        <w:contextualSpacing w:val="0"/>
      </w:pPr>
      <w:r>
        <w:t>Let the individual being vaccinated know that a healthcare worker was stuck with needle used to administer their vaccine</w:t>
      </w:r>
      <w:r w:rsidR="007A26A0">
        <w:t xml:space="preserve"> and</w:t>
      </w:r>
      <w:r>
        <w:t xml:space="preserve"> reassure them that none of the healthcare worker’s blood got on them.  </w:t>
      </w:r>
      <w:r w:rsidR="00B34B31">
        <w:t>Ask the individual</w:t>
      </w:r>
      <w:r w:rsidR="00CD1557">
        <w:t xml:space="preserve"> </w:t>
      </w:r>
      <w:r w:rsidR="00833F01">
        <w:t>t</w:t>
      </w:r>
      <w:r w:rsidR="00B34B31">
        <w:t>o come to a private area with</w:t>
      </w:r>
      <w:r w:rsidR="00833F01">
        <w:t xml:space="preserve">in the clinic </w:t>
      </w:r>
      <w:r>
        <w:t xml:space="preserve">so that </w:t>
      </w:r>
      <w:r w:rsidR="00833F01">
        <w:t>the designated person ca</w:t>
      </w:r>
      <w:r>
        <w:t>n ask some questions</w:t>
      </w:r>
      <w:r w:rsidR="00833F01">
        <w:t xml:space="preserve">, </w:t>
      </w:r>
      <w:r w:rsidR="00A40A1B">
        <w:t>provide counseling on the exposure incident</w:t>
      </w:r>
      <w:r w:rsidR="00833F01">
        <w:t>,</w:t>
      </w:r>
      <w:r w:rsidR="00A40A1B">
        <w:t xml:space="preserve"> and discuss testing for HBV, HCV and HIV</w:t>
      </w:r>
      <w:r>
        <w:t xml:space="preserve">. Let them know that the test results </w:t>
      </w:r>
      <w:r w:rsidR="00F271A7">
        <w:t xml:space="preserve">are critical for </w:t>
      </w:r>
      <w:r>
        <w:t xml:space="preserve">making decisions about </w:t>
      </w:r>
      <w:r w:rsidR="00F271A7">
        <w:t>treatment for</w:t>
      </w:r>
      <w:r>
        <w:t xml:space="preserve"> the injured worker.</w:t>
      </w:r>
      <w:r w:rsidR="00CD1557">
        <w:t xml:space="preserve"> </w:t>
      </w:r>
      <w:r w:rsidR="00F271A7">
        <w:t xml:space="preserve">Provide </w:t>
      </w:r>
      <w:r w:rsidR="00E6392E">
        <w:t xml:space="preserve">information about where to go for </w:t>
      </w:r>
      <w:r w:rsidR="00CD1557">
        <w:t>testing. Be clear with the individual about the means for paying for this testing.</w:t>
      </w:r>
    </w:p>
    <w:p w14:paraId="78FC0068" w14:textId="76A87DDB" w:rsidR="00A750C7" w:rsidRPr="00B1335E" w:rsidRDefault="00A750C7" w:rsidP="00B43EA4">
      <w:pPr>
        <w:pStyle w:val="ListParagraph"/>
        <w:ind w:left="907" w:right="547"/>
        <w:contextualSpacing w:val="0"/>
        <w:rPr>
          <w:sz w:val="28"/>
          <w:szCs w:val="28"/>
        </w:rPr>
      </w:pPr>
    </w:p>
    <w:p w14:paraId="38F11FF0" w14:textId="1231359A" w:rsidR="00A750C7" w:rsidRPr="00031103" w:rsidRDefault="00A750C7" w:rsidP="00B43EA4">
      <w:pPr>
        <w:rPr>
          <w:b/>
          <w:bCs/>
          <w:sz w:val="26"/>
          <w:szCs w:val="26"/>
        </w:rPr>
      </w:pPr>
      <w:r w:rsidRPr="00031103">
        <w:rPr>
          <w:b/>
          <w:bCs/>
          <w:sz w:val="26"/>
          <w:szCs w:val="26"/>
        </w:rPr>
        <w:t>Reporting product feedback:</w:t>
      </w:r>
    </w:p>
    <w:p w14:paraId="09BE6243" w14:textId="638E7323" w:rsidR="00225C3A" w:rsidRPr="00B1335E" w:rsidRDefault="00A750C7" w:rsidP="00B43EA4">
      <w:r>
        <w:t>Serious injuries to patients or workers</w:t>
      </w:r>
      <w:r w:rsidR="00225C3A">
        <w:t xml:space="preserve"> (including sharps injuries)</w:t>
      </w:r>
      <w:r>
        <w:t xml:space="preserve"> and device malfunctions can be reported to the </w:t>
      </w:r>
      <w:r w:rsidRPr="00B1335E">
        <w:t>FDA using</w:t>
      </w:r>
      <w:r w:rsidR="0081517B" w:rsidRPr="00B1335E">
        <w:t xml:space="preserve"> </w:t>
      </w:r>
      <w:r w:rsidRPr="00B1335E">
        <w:t>FDA Manufacturer and User Facility Device Experience (MAUDE)</w:t>
      </w:r>
      <w:r w:rsidR="0081517B" w:rsidRPr="00B1335E">
        <w:t xml:space="preserve"> </w:t>
      </w:r>
      <w:hyperlink r:id="rId10" w:history="1">
        <w:r w:rsidR="0081517B" w:rsidRPr="00B1335E">
          <w:rPr>
            <w:rStyle w:val="Hyperlink"/>
            <w:u w:val="none"/>
          </w:rPr>
          <w:t>http://www.accessdata.fda.gov/scripts/cdrh/cfdocs/cfmaude/search.cf</w:t>
        </w:r>
      </w:hyperlink>
      <w:r w:rsidR="0081517B" w:rsidRPr="00B1335E">
        <w:t xml:space="preserve">  or F</w:t>
      </w:r>
      <w:r w:rsidRPr="00B1335E">
        <w:t>DA Medwatch</w:t>
      </w:r>
      <w:r w:rsidR="0081517B" w:rsidRPr="00B1335E">
        <w:t xml:space="preserve"> </w:t>
      </w:r>
      <w:hyperlink r:id="rId11" w:history="1">
        <w:r w:rsidR="00225C3A" w:rsidRPr="00B1335E">
          <w:rPr>
            <w:rStyle w:val="Hyperlink"/>
            <w:u w:val="none"/>
          </w:rPr>
          <w:t>https://www.fda.gov/safety/medwatch-fda-safety-information-and-adverse-event-reporting-program</w:t>
        </w:r>
      </w:hyperlink>
      <w:r w:rsidR="0081517B" w:rsidRPr="00B1335E">
        <w:t xml:space="preserve">. </w:t>
      </w:r>
    </w:p>
    <w:p w14:paraId="342201EB" w14:textId="40D7371A" w:rsidR="00A750C7" w:rsidRPr="00B1335E" w:rsidRDefault="00A750C7" w:rsidP="00B43EA4">
      <w:r w:rsidRPr="00B1335E">
        <w:t xml:space="preserve">Information can also be provided </w:t>
      </w:r>
      <w:r w:rsidR="00833F01" w:rsidRPr="00B1335E">
        <w:t xml:space="preserve">directly </w:t>
      </w:r>
      <w:r w:rsidRPr="00B1335E">
        <w:t>to the device manufacturer. Additio</w:t>
      </w:r>
      <w:r w:rsidR="00F6381E" w:rsidRPr="00B1335E">
        <w:t>n</w:t>
      </w:r>
      <w:r w:rsidRPr="00B1335E">
        <w:t>al information about sharing feedback on devices can be found</w:t>
      </w:r>
      <w:r w:rsidR="00225C3A" w:rsidRPr="00B1335E">
        <w:t xml:space="preserve"> at UMass Lowell’s Sustainable Hospitals Program</w:t>
      </w:r>
      <w:r w:rsidRPr="00B1335E">
        <w:t xml:space="preserve"> (</w:t>
      </w:r>
      <w:hyperlink r:id="rId12" w:history="1">
        <w:r w:rsidR="00225C3A" w:rsidRPr="00B1335E">
          <w:rPr>
            <w:rStyle w:val="Hyperlink"/>
            <w:u w:val="none"/>
          </w:rPr>
          <w:t>https://www.uml.edu/docs/medwatch%20for%Sharps%20052215_tcm18-187544.pdf</w:t>
        </w:r>
      </w:hyperlink>
      <w:r w:rsidR="00EA46D5" w:rsidRPr="00B1335E">
        <w:t>)</w:t>
      </w:r>
    </w:p>
    <w:p w14:paraId="2729AD42" w14:textId="77777777" w:rsidR="00A750C7" w:rsidRPr="004C0786" w:rsidRDefault="00A750C7" w:rsidP="00B43EA4">
      <w:pPr>
        <w:pStyle w:val="ListParagraph"/>
        <w:ind w:left="907" w:right="547"/>
        <w:contextualSpacing w:val="0"/>
        <w:rPr>
          <w:rFonts w:eastAsia="Times New Roman" w:cs="Arial"/>
        </w:rPr>
      </w:pPr>
    </w:p>
    <w:p w14:paraId="25785895" w14:textId="546CFA77" w:rsidR="00A750C7" w:rsidRDefault="00A750C7" w:rsidP="00B43EA4">
      <w:pPr>
        <w:rPr>
          <w:b/>
          <w:bCs/>
          <w:sz w:val="26"/>
          <w:szCs w:val="26"/>
        </w:rPr>
      </w:pPr>
      <w:r w:rsidRPr="00031103">
        <w:rPr>
          <w:b/>
          <w:bCs/>
          <w:sz w:val="26"/>
          <w:szCs w:val="26"/>
        </w:rPr>
        <w:t>Additional resources</w:t>
      </w:r>
    </w:p>
    <w:p w14:paraId="0EA848D7" w14:textId="77777777" w:rsidR="00F6381E" w:rsidRPr="00225C3A" w:rsidRDefault="00F6381E" w:rsidP="00B43EA4">
      <w:pPr>
        <w:rPr>
          <w:rFonts w:cs="Arial"/>
        </w:rPr>
      </w:pPr>
      <w:bookmarkStart w:id="0" w:name="_Hlk72913432"/>
      <w:r w:rsidRPr="00225C3A">
        <w:rPr>
          <w:rFonts w:cs="Arial"/>
        </w:rPr>
        <w:t xml:space="preserve">OSHA: </w:t>
      </w:r>
    </w:p>
    <w:p w14:paraId="68FF1B26" w14:textId="1DF30D6C" w:rsidR="00F6381E" w:rsidRPr="00B1335E" w:rsidRDefault="00F6381E" w:rsidP="00B43EA4">
      <w:pPr>
        <w:pStyle w:val="ListParagraph"/>
        <w:numPr>
          <w:ilvl w:val="0"/>
          <w:numId w:val="11"/>
        </w:numPr>
        <w:ind w:left="360"/>
        <w:contextualSpacing w:val="0"/>
        <w:rPr>
          <w:rFonts w:eastAsia="Times New Roman" w:cs="Arial"/>
        </w:rPr>
      </w:pPr>
      <w:r w:rsidRPr="00B1335E">
        <w:rPr>
          <w:rFonts w:eastAsia="Times New Roman" w:cs="Arial"/>
        </w:rPr>
        <w:t xml:space="preserve">Keeping workers safe at COVID-19 vaccination sites </w:t>
      </w:r>
      <w:hyperlink r:id="rId13" w:history="1">
        <w:r w:rsidRPr="00B1335E">
          <w:rPr>
            <w:rStyle w:val="Hyperlink"/>
            <w:rFonts w:eastAsia="Times New Roman" w:cs="Arial"/>
            <w:u w:val="none"/>
          </w:rPr>
          <w:t>https://www.osha.gov/sites/default/files/publications/OSHA4109.pdf</w:t>
        </w:r>
      </w:hyperlink>
      <w:r w:rsidRPr="00B1335E">
        <w:rPr>
          <w:rFonts w:eastAsia="Times New Roman" w:cs="Arial"/>
        </w:rPr>
        <w:t xml:space="preserve"> </w:t>
      </w:r>
    </w:p>
    <w:p w14:paraId="68A37AF4" w14:textId="77777777" w:rsidR="00B1335E" w:rsidRPr="00B1335E" w:rsidRDefault="00B1335E" w:rsidP="00B43EA4">
      <w:pPr>
        <w:rPr>
          <w:rFonts w:cs="Arial"/>
          <w:sz w:val="16"/>
          <w:szCs w:val="16"/>
        </w:rPr>
      </w:pPr>
    </w:p>
    <w:p w14:paraId="1E82B4D2" w14:textId="5F415695" w:rsidR="00F6381E" w:rsidRPr="00B1335E" w:rsidRDefault="00F6381E" w:rsidP="00B43EA4">
      <w:pPr>
        <w:rPr>
          <w:rFonts w:cs="Arial"/>
        </w:rPr>
      </w:pPr>
      <w:r w:rsidRPr="00B1335E">
        <w:rPr>
          <w:rFonts w:cs="Arial"/>
        </w:rPr>
        <w:t>NIOSH:</w:t>
      </w:r>
    </w:p>
    <w:p w14:paraId="7FBA76A9" w14:textId="6D61CA33" w:rsidR="004C0786" w:rsidRPr="00B1335E" w:rsidRDefault="00F6381E" w:rsidP="00B43EA4">
      <w:pPr>
        <w:pStyle w:val="ListParagraph"/>
        <w:numPr>
          <w:ilvl w:val="0"/>
          <w:numId w:val="11"/>
        </w:numPr>
        <w:ind w:left="360"/>
        <w:contextualSpacing w:val="0"/>
        <w:rPr>
          <w:rStyle w:val="Hyperlink"/>
          <w:rFonts w:eastAsia="Times New Roman" w:cs="Arial"/>
          <w:color w:val="auto"/>
          <w:u w:val="none"/>
        </w:rPr>
      </w:pPr>
      <w:r w:rsidRPr="00B1335E">
        <w:rPr>
          <w:rFonts w:eastAsia="Times New Roman" w:cs="Arial"/>
        </w:rPr>
        <w:t xml:space="preserve">Needlestick Injuries are Preventable </w:t>
      </w:r>
      <w:hyperlink r:id="rId14" w:history="1">
        <w:r w:rsidRPr="00B1335E">
          <w:rPr>
            <w:rStyle w:val="Hyperlink"/>
            <w:rFonts w:eastAsia="Times New Roman" w:cs="Arial"/>
            <w:u w:val="none"/>
          </w:rPr>
          <w:t>https://www.cdc.gov/niosh/newsroom/feature/needlestick_disposal.html</w:t>
        </w:r>
      </w:hyperlink>
    </w:p>
    <w:p w14:paraId="31E524BA" w14:textId="77777777" w:rsidR="00B1335E" w:rsidRPr="00B1335E" w:rsidRDefault="00B1335E" w:rsidP="00B43EA4">
      <w:pPr>
        <w:rPr>
          <w:rFonts w:cs="Arial"/>
          <w:sz w:val="16"/>
          <w:szCs w:val="16"/>
        </w:rPr>
      </w:pPr>
    </w:p>
    <w:p w14:paraId="4C09369C" w14:textId="62B0C0E6" w:rsidR="00F6381E" w:rsidRPr="00B1335E" w:rsidRDefault="00F6381E" w:rsidP="00B43EA4">
      <w:pPr>
        <w:rPr>
          <w:rFonts w:cs="Arial"/>
        </w:rPr>
      </w:pPr>
      <w:r w:rsidRPr="00B1335E">
        <w:rPr>
          <w:rFonts w:cs="Arial"/>
        </w:rPr>
        <w:t>NIEHS</w:t>
      </w:r>
    </w:p>
    <w:p w14:paraId="243DD166" w14:textId="77777777" w:rsidR="00F6381E" w:rsidRPr="00B1335E" w:rsidRDefault="00F6381E" w:rsidP="00B43EA4">
      <w:pPr>
        <w:pStyle w:val="ListParagraph"/>
        <w:numPr>
          <w:ilvl w:val="0"/>
          <w:numId w:val="11"/>
        </w:numPr>
        <w:ind w:left="360"/>
        <w:contextualSpacing w:val="0"/>
        <w:rPr>
          <w:rFonts w:eastAsia="Times New Roman" w:cs="Arial"/>
        </w:rPr>
      </w:pPr>
      <w:r w:rsidRPr="00B1335E">
        <w:rPr>
          <w:rFonts w:eastAsia="Times New Roman" w:cs="Arial"/>
        </w:rPr>
        <w:t xml:space="preserve">Key Elements of a Model Workplace Safety and Health COVID-19 Vaccination Program </w:t>
      </w:r>
      <w:hyperlink r:id="rId15" w:history="1">
        <w:r w:rsidRPr="00B1335E">
          <w:rPr>
            <w:rStyle w:val="Hyperlink"/>
            <w:rFonts w:eastAsia="Times New Roman" w:cs="Arial"/>
            <w:u w:val="none"/>
          </w:rPr>
          <w:t>https://tools.niehs.nih.gov/wetp/public/hasl_get_blob.cfm?ID=12621</w:t>
        </w:r>
      </w:hyperlink>
    </w:p>
    <w:p w14:paraId="7296FCDC" w14:textId="5B44D807" w:rsidR="00F6381E" w:rsidRPr="00B1335E" w:rsidRDefault="00F6381E" w:rsidP="00B43EA4">
      <w:pPr>
        <w:pStyle w:val="ListParagraph"/>
        <w:numPr>
          <w:ilvl w:val="0"/>
          <w:numId w:val="11"/>
        </w:numPr>
        <w:ind w:left="360"/>
        <w:contextualSpacing w:val="0"/>
        <w:rPr>
          <w:rFonts w:eastAsia="Times New Roman" w:cs="Arial"/>
        </w:rPr>
      </w:pPr>
      <w:r w:rsidRPr="00B1335E">
        <w:rPr>
          <w:rFonts w:eastAsia="Times New Roman" w:cs="Arial"/>
        </w:rPr>
        <w:t>Injection Safety for COVID-19 Vaccinators &amp; Vaccine Administrators Preventing Needlesticks and Blood Exposures</w:t>
      </w:r>
      <w:r w:rsidR="0096020B" w:rsidRPr="00B1335E">
        <w:rPr>
          <w:rFonts w:eastAsia="Times New Roman" w:cs="Arial"/>
        </w:rPr>
        <w:t xml:space="preserve"> </w:t>
      </w:r>
      <w:hyperlink r:id="rId16" w:history="1">
        <w:r w:rsidR="0096020B" w:rsidRPr="00B1335E">
          <w:rPr>
            <w:rStyle w:val="Hyperlink"/>
            <w:rFonts w:eastAsia="Times New Roman" w:cs="Arial"/>
            <w:u w:val="none"/>
          </w:rPr>
          <w:t>https://tools.niehs.nih.gov/wetp/public/hasl_get_blob.cfm?ID=12601</w:t>
        </w:r>
      </w:hyperlink>
    </w:p>
    <w:bookmarkEnd w:id="0"/>
    <w:p w14:paraId="4D7E5A44" w14:textId="0359B56E" w:rsidR="00225C3A" w:rsidRPr="00B1335E" w:rsidRDefault="00225C3A" w:rsidP="00B43EA4">
      <w:pPr>
        <w:rPr>
          <w:sz w:val="28"/>
          <w:szCs w:val="28"/>
        </w:rPr>
      </w:pPr>
    </w:p>
    <w:p w14:paraId="082C2336" w14:textId="204F70A3" w:rsidR="00225C3A" w:rsidRPr="00031103" w:rsidRDefault="00225C3A" w:rsidP="00B43EA4">
      <w:pPr>
        <w:jc w:val="center"/>
        <w:rPr>
          <w:b/>
          <w:bCs/>
          <w:sz w:val="26"/>
          <w:szCs w:val="26"/>
        </w:rPr>
      </w:pPr>
      <w:r w:rsidRPr="00031103">
        <w:rPr>
          <w:b/>
          <w:bCs/>
          <w:sz w:val="26"/>
          <w:szCs w:val="26"/>
        </w:rPr>
        <w:t>Questions?</w:t>
      </w:r>
    </w:p>
    <w:p w14:paraId="292E7D12" w14:textId="51CAB537" w:rsidR="00031103" w:rsidRDefault="00225C3A" w:rsidP="00B43EA4">
      <w:pPr>
        <w:jc w:val="center"/>
      </w:pPr>
      <w:r>
        <w:t>Email</w:t>
      </w:r>
      <w:r w:rsidR="00135721">
        <w:t xml:space="preserve"> </w:t>
      </w:r>
      <w:r>
        <w:t>the Sharps Injury Surveillance Project at</w:t>
      </w:r>
      <w:r w:rsidRPr="00F34CF2">
        <w:t xml:space="preserve"> </w:t>
      </w:r>
      <w:hyperlink r:id="rId17" w:history="1">
        <w:r w:rsidRPr="00F34CF2">
          <w:rPr>
            <w:rStyle w:val="Hyperlink"/>
            <w:u w:val="none"/>
          </w:rPr>
          <w:t>sharps.injury@mass.gov</w:t>
        </w:r>
      </w:hyperlink>
    </w:p>
    <w:sectPr w:rsidR="00031103" w:rsidSect="009602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42060" w14:textId="77777777" w:rsidR="004E0032" w:rsidRDefault="004E0032" w:rsidP="003B2A0B">
      <w:r>
        <w:separator/>
      </w:r>
    </w:p>
  </w:endnote>
  <w:endnote w:type="continuationSeparator" w:id="0">
    <w:p w14:paraId="5832B2D6" w14:textId="77777777" w:rsidR="004E0032" w:rsidRDefault="004E0032" w:rsidP="003B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63180f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Regular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B24C" w14:textId="77777777" w:rsidR="00126772" w:rsidRDefault="00126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B58EB" w14:textId="44F9BE99" w:rsidR="000A12BA" w:rsidRDefault="00F161B4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4D98FF" wp14:editId="3C90CA1B">
          <wp:simplePos x="0" y="0"/>
          <wp:positionH relativeFrom="column">
            <wp:posOffset>5946775</wp:posOffset>
          </wp:positionH>
          <wp:positionV relativeFrom="paragraph">
            <wp:posOffset>43180</wp:posOffset>
          </wp:positionV>
          <wp:extent cx="346075" cy="346075"/>
          <wp:effectExtent l="0" t="0" r="0" b="0"/>
          <wp:wrapTight wrapText="bothSides">
            <wp:wrapPolygon edited="0">
              <wp:start x="0" y="0"/>
              <wp:lineTo x="0" y="20213"/>
              <wp:lineTo x="20213" y="20213"/>
              <wp:lineTo x="202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CF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86EA" wp14:editId="094C1136">
              <wp:simplePos x="0" y="0"/>
              <wp:positionH relativeFrom="column">
                <wp:posOffset>-6350</wp:posOffset>
              </wp:positionH>
              <wp:positionV relativeFrom="paragraph">
                <wp:posOffset>-7620</wp:posOffset>
              </wp:positionV>
              <wp:extent cx="6407150" cy="0"/>
              <wp:effectExtent l="0" t="1905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15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F93344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-.6pt" to="7in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" strokecolor="#4472c4 [3204]" strokeweight="2.25pt">
              <v:stroke joinstyle="miter"/>
            </v:line>
          </w:pict>
        </mc:Fallback>
      </mc:AlternateContent>
    </w:r>
    <w:r w:rsidR="003B2A0B">
      <w:t xml:space="preserve">MDPH-Occupational Health Surveillance Program </w:t>
    </w:r>
    <w:r w:rsidR="003B2A0B">
      <w:tab/>
    </w:r>
  </w:p>
  <w:p w14:paraId="700717B5" w14:textId="180D114D" w:rsidR="003B2A0B" w:rsidRDefault="00126772">
    <w:pPr>
      <w:pStyle w:val="Footer"/>
    </w:pPr>
    <w:r>
      <w:t>August</w:t>
    </w:r>
    <w:r w:rsidR="003B2A0B">
      <w:t xml:space="preserve"> 2021</w:t>
    </w:r>
    <w:r w:rsidR="00135721">
      <w:tab/>
    </w:r>
    <w:r w:rsidR="00135721">
      <w:tab/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0D24" w14:textId="77777777" w:rsidR="00126772" w:rsidRDefault="00126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23A99" w14:textId="77777777" w:rsidR="004E0032" w:rsidRDefault="004E0032" w:rsidP="003B2A0B">
      <w:r>
        <w:separator/>
      </w:r>
    </w:p>
  </w:footnote>
  <w:footnote w:type="continuationSeparator" w:id="0">
    <w:p w14:paraId="42E0D086" w14:textId="77777777" w:rsidR="004E0032" w:rsidRDefault="004E0032" w:rsidP="003B2A0B">
      <w:r>
        <w:continuationSeparator/>
      </w:r>
    </w:p>
  </w:footnote>
  <w:footnote w:id="1">
    <w:p w14:paraId="37396885" w14:textId="4BC089FB" w:rsidR="0081517B" w:rsidRPr="00DE0FB0" w:rsidRDefault="0081517B" w:rsidP="00DE0FB0">
      <w:pPr>
        <w:pStyle w:val="FootnoteText"/>
        <w:rPr>
          <w:sz w:val="16"/>
          <w:szCs w:val="16"/>
        </w:rPr>
      </w:pPr>
      <w:r w:rsidRPr="00DE0FB0">
        <w:rPr>
          <w:rStyle w:val="FootnoteReference"/>
          <w:sz w:val="16"/>
          <w:szCs w:val="16"/>
        </w:rPr>
        <w:footnoteRef/>
      </w:r>
      <w:r w:rsidRPr="00DE0FB0">
        <w:rPr>
          <w:sz w:val="16"/>
          <w:szCs w:val="16"/>
        </w:rPr>
        <w:t xml:space="preserve"> </w:t>
      </w:r>
      <w:r w:rsidRPr="00DE0FB0">
        <w:rPr>
          <w:rFonts w:ascii="AdvOT863180fb" w:hAnsi="AdvOT863180fb" w:cs="AdvOT863180fb"/>
          <w:sz w:val="15"/>
          <w:szCs w:val="15"/>
        </w:rPr>
        <w:t xml:space="preserve">Williams NJ, Ghosh TS, and Vogt RL. </w:t>
      </w:r>
      <w:r w:rsidRPr="00DE0FB0">
        <w:rPr>
          <w:sz w:val="16"/>
          <w:szCs w:val="16"/>
        </w:rPr>
        <w:t xml:space="preserve">Needlestick injury surveillance during mass vaccination clinics: Lessons learned and why more is needed Tri-County (Denver Metropolitan) region, Colorado, 2009. </w:t>
      </w:r>
      <w:r w:rsidRPr="00DE0FB0">
        <w:rPr>
          <w:rFonts w:ascii="AdvOT863180fb" w:hAnsi="AdvOT863180fb" w:cs="AdvOT863180fb"/>
          <w:sz w:val="16"/>
          <w:szCs w:val="16"/>
        </w:rPr>
        <w:t>American Journal of Infection Control 40 (2012) 768-70</w:t>
      </w:r>
    </w:p>
  </w:footnote>
  <w:footnote w:id="2">
    <w:p w14:paraId="29834A7C" w14:textId="5BC7A9F8" w:rsidR="0081517B" w:rsidRPr="00B43EA4" w:rsidRDefault="0081517B">
      <w:pPr>
        <w:pStyle w:val="FootnoteText"/>
        <w:rPr>
          <w:sz w:val="16"/>
          <w:szCs w:val="16"/>
        </w:rPr>
      </w:pPr>
      <w:r w:rsidRPr="00DE0FB0">
        <w:rPr>
          <w:rStyle w:val="FootnoteReference"/>
          <w:sz w:val="16"/>
          <w:szCs w:val="16"/>
        </w:rPr>
        <w:footnoteRef/>
      </w:r>
      <w:r w:rsidRPr="00DE0FB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Perio MA. Needlestick Injuries among Employees at a National Retail Pharmacy Chain, 2000-2011. </w:t>
      </w:r>
      <w:r w:rsidRPr="00DE0FB0">
        <w:rPr>
          <w:rFonts w:ascii="Minion-RegularSC" w:hAnsi="Minion-RegularSC" w:cs="Minion-RegularSC"/>
          <w:sz w:val="16"/>
          <w:szCs w:val="16"/>
        </w:rPr>
        <w:t>Infect Control Hosp Epidemiol 2012;33(11):1156-1158</w:t>
      </w:r>
    </w:p>
  </w:footnote>
  <w:footnote w:id="3">
    <w:p w14:paraId="0BC94830" w14:textId="68954EA0" w:rsidR="0081517B" w:rsidRPr="00B43EA4" w:rsidRDefault="0081517B">
      <w:pPr>
        <w:pStyle w:val="FootnoteText"/>
        <w:rPr>
          <w:sz w:val="16"/>
          <w:szCs w:val="16"/>
        </w:rPr>
      </w:pPr>
      <w:r w:rsidRPr="00B43EA4">
        <w:rPr>
          <w:rStyle w:val="FootnoteReference"/>
          <w:sz w:val="16"/>
          <w:szCs w:val="16"/>
        </w:rPr>
        <w:footnoteRef/>
      </w:r>
      <w:r w:rsidRPr="00B43EA4">
        <w:rPr>
          <w:sz w:val="16"/>
          <w:szCs w:val="16"/>
        </w:rPr>
        <w:t xml:space="preserve"> MDPH Sharps Injury Surveillance System (unpublished)</w:t>
      </w:r>
    </w:p>
  </w:footnote>
  <w:footnote w:id="4">
    <w:p w14:paraId="33BBE3EA" w14:textId="621DCF1A" w:rsidR="00B43EA4" w:rsidRDefault="00B43EA4">
      <w:pPr>
        <w:pStyle w:val="FootnoteText"/>
      </w:pPr>
      <w:r w:rsidRPr="00B43EA4">
        <w:rPr>
          <w:rStyle w:val="FootnoteReference"/>
          <w:sz w:val="16"/>
          <w:szCs w:val="16"/>
        </w:rPr>
        <w:footnoteRef/>
      </w:r>
      <w:r w:rsidR="00640B90">
        <w:rPr>
          <w:sz w:val="16"/>
          <w:szCs w:val="16"/>
        </w:rPr>
        <w:t xml:space="preserve"> </w:t>
      </w:r>
      <w:r w:rsidRPr="00B43EA4">
        <w:rPr>
          <w:sz w:val="16"/>
          <w:szCs w:val="16"/>
        </w:rPr>
        <w:t xml:space="preserve">M.G.L. c149 §6-1/2 </w:t>
      </w:r>
      <w:hyperlink r:id="rId1" w:history="1">
        <w:r w:rsidRPr="00B1335E">
          <w:rPr>
            <w:rStyle w:val="Hyperlink"/>
            <w:sz w:val="16"/>
            <w:szCs w:val="16"/>
            <w:u w:val="none"/>
          </w:rPr>
          <w:t>www.mass.gov/info-details/mass-general-laws-c149-ss-6-12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6A590" w14:textId="77777777" w:rsidR="00126772" w:rsidRDefault="0012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8D7F3" w14:textId="77777777" w:rsidR="00126772" w:rsidRDefault="00126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1B92" w14:textId="42C5F1EB" w:rsidR="0096020B" w:rsidRPr="00A7168E" w:rsidRDefault="0096020B" w:rsidP="0096020B">
    <w:pPr>
      <w:jc w:val="center"/>
      <w:rPr>
        <w:sz w:val="40"/>
        <w:szCs w:val="40"/>
      </w:rPr>
    </w:pPr>
    <w:r w:rsidRPr="00A7168E">
      <w:rPr>
        <w:sz w:val="40"/>
        <w:szCs w:val="40"/>
      </w:rPr>
      <w:t xml:space="preserve">Sharps Injury Prevention </w:t>
    </w:r>
    <w:r w:rsidR="00640B90">
      <w:rPr>
        <w:sz w:val="40"/>
        <w:szCs w:val="40"/>
      </w:rPr>
      <w:t xml:space="preserve">Information </w:t>
    </w:r>
    <w:r w:rsidRPr="00A7168E">
      <w:rPr>
        <w:sz w:val="40"/>
        <w:szCs w:val="40"/>
      </w:rPr>
      <w:t>for Vaccine Clinics</w:t>
    </w:r>
  </w:p>
  <w:p w14:paraId="62BA757A" w14:textId="55560A35" w:rsidR="0096020B" w:rsidRDefault="0096020B" w:rsidP="0096020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1EEFF" wp14:editId="1863ED3C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413500" cy="0"/>
              <wp:effectExtent l="0" t="1905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35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0DF6C71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25pt" to="5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" strokecolor="#4472c4 [32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style="width:15.6pt;height:5.4pt" o:bullet="t">
        <v:imagedata r:id="rId1" o:title="Needle icon"/>
      </v:shape>
    </w:pict>
  </w:numPicBullet>
  <w:abstractNum w:abstractNumId="0" w15:restartNumberingAfterBreak="0">
    <w:nsid w:val="337602CE"/>
    <w:multiLevelType w:val="hybridMultilevel"/>
    <w:tmpl w:val="8A7AE526"/>
    <w:lvl w:ilvl="0" w:tplc="91642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2FC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C9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66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62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0D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A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5132C5"/>
    <w:multiLevelType w:val="hybridMultilevel"/>
    <w:tmpl w:val="3CA4B918"/>
    <w:lvl w:ilvl="0" w:tplc="716462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A3FCA"/>
    <w:multiLevelType w:val="hybridMultilevel"/>
    <w:tmpl w:val="DB6A25FC"/>
    <w:lvl w:ilvl="0" w:tplc="A7EA3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430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CA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4A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7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0B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8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A7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CC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6C3080"/>
    <w:multiLevelType w:val="hybridMultilevel"/>
    <w:tmpl w:val="A074F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D34B6"/>
    <w:multiLevelType w:val="hybridMultilevel"/>
    <w:tmpl w:val="B24EF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F58EE"/>
    <w:multiLevelType w:val="hybridMultilevel"/>
    <w:tmpl w:val="51D60428"/>
    <w:lvl w:ilvl="0" w:tplc="CCD45C7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5C6FD8"/>
    <w:multiLevelType w:val="hybridMultilevel"/>
    <w:tmpl w:val="F16E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198E"/>
    <w:multiLevelType w:val="hybridMultilevel"/>
    <w:tmpl w:val="4AB2FB10"/>
    <w:lvl w:ilvl="0" w:tplc="4AF6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ECB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24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2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04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6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A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0E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AB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A32F18"/>
    <w:multiLevelType w:val="hybridMultilevel"/>
    <w:tmpl w:val="FF4A5B72"/>
    <w:lvl w:ilvl="0" w:tplc="AD702D66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B32F7A"/>
    <w:multiLevelType w:val="hybridMultilevel"/>
    <w:tmpl w:val="3DA661D0"/>
    <w:lvl w:ilvl="0" w:tplc="5798F5E4"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16"/>
        <w:szCs w:val="16"/>
      </w:rPr>
    </w:lvl>
    <w:lvl w:ilvl="1" w:tplc="AD702D66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0B"/>
    <w:rsid w:val="00031103"/>
    <w:rsid w:val="000A12BA"/>
    <w:rsid w:val="001037CB"/>
    <w:rsid w:val="00121847"/>
    <w:rsid w:val="00126772"/>
    <w:rsid w:val="001273D4"/>
    <w:rsid w:val="00135721"/>
    <w:rsid w:val="00147C9D"/>
    <w:rsid w:val="00182262"/>
    <w:rsid w:val="002066AC"/>
    <w:rsid w:val="00221A01"/>
    <w:rsid w:val="00225C3A"/>
    <w:rsid w:val="002F19CE"/>
    <w:rsid w:val="003B2A0B"/>
    <w:rsid w:val="003D233F"/>
    <w:rsid w:val="004512BC"/>
    <w:rsid w:val="004C0786"/>
    <w:rsid w:val="004E0032"/>
    <w:rsid w:val="00504C10"/>
    <w:rsid w:val="005129CA"/>
    <w:rsid w:val="00552ECE"/>
    <w:rsid w:val="005931F7"/>
    <w:rsid w:val="00640B90"/>
    <w:rsid w:val="00651DBD"/>
    <w:rsid w:val="00691B78"/>
    <w:rsid w:val="0069522D"/>
    <w:rsid w:val="00757FFB"/>
    <w:rsid w:val="00772E4A"/>
    <w:rsid w:val="007A26A0"/>
    <w:rsid w:val="007B0703"/>
    <w:rsid w:val="0081517B"/>
    <w:rsid w:val="00833F01"/>
    <w:rsid w:val="0096020B"/>
    <w:rsid w:val="009929AC"/>
    <w:rsid w:val="00A26BAB"/>
    <w:rsid w:val="00A40A1B"/>
    <w:rsid w:val="00A502CE"/>
    <w:rsid w:val="00A7168E"/>
    <w:rsid w:val="00A750C7"/>
    <w:rsid w:val="00A843F7"/>
    <w:rsid w:val="00AB605B"/>
    <w:rsid w:val="00AF63D1"/>
    <w:rsid w:val="00AF6900"/>
    <w:rsid w:val="00B1335E"/>
    <w:rsid w:val="00B34B31"/>
    <w:rsid w:val="00B40706"/>
    <w:rsid w:val="00B43EA4"/>
    <w:rsid w:val="00C34AFF"/>
    <w:rsid w:val="00C73CEF"/>
    <w:rsid w:val="00CB5243"/>
    <w:rsid w:val="00CB7A45"/>
    <w:rsid w:val="00CD1557"/>
    <w:rsid w:val="00CF1E63"/>
    <w:rsid w:val="00D6355C"/>
    <w:rsid w:val="00DD0C6A"/>
    <w:rsid w:val="00DE0FB0"/>
    <w:rsid w:val="00E6392E"/>
    <w:rsid w:val="00E76407"/>
    <w:rsid w:val="00EA46D5"/>
    <w:rsid w:val="00F1346B"/>
    <w:rsid w:val="00F161B4"/>
    <w:rsid w:val="00F271A7"/>
    <w:rsid w:val="00F32D30"/>
    <w:rsid w:val="00F34CF2"/>
    <w:rsid w:val="00F6381E"/>
    <w:rsid w:val="00F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3210"/>
  <w15:chartTrackingRefBased/>
  <w15:docId w15:val="{90A54F11-C74C-4868-AE93-CA33438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A0B"/>
  </w:style>
  <w:style w:type="paragraph" w:styleId="Footer">
    <w:name w:val="footer"/>
    <w:basedOn w:val="Normal"/>
    <w:link w:val="FooterChar"/>
    <w:uiPriority w:val="99"/>
    <w:unhideWhenUsed/>
    <w:rsid w:val="003B2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A0B"/>
  </w:style>
  <w:style w:type="paragraph" w:styleId="ListParagraph">
    <w:name w:val="List Paragraph"/>
    <w:basedOn w:val="Normal"/>
    <w:uiPriority w:val="34"/>
    <w:qFormat/>
    <w:rsid w:val="003B2A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C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07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7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07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1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1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17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3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1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3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gov/bloodborne-pathogens" TargetMode="External"/><Relationship Id="rId13" Type="http://schemas.openxmlformats.org/officeDocument/2006/relationships/hyperlink" Target="https://www.osha.gov/sites/default/files/publications/OSHA4109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uml.edu/docs/medwatch%20for%25Sharps%20052215_tcm18-187544.pdf" TargetMode="External"/><Relationship Id="rId17" Type="http://schemas.openxmlformats.org/officeDocument/2006/relationships/hyperlink" Target="mailto:sharps.injury@mass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ools.niehs.nih.gov/wetp/public/hasl_get_blob.cfm?ID=126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safety/medwatch-fda-safety-information-and-adverse-event-reporting-progra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ols.niehs.nih.gov/wetp/public/hasl_get_blob.cfm?ID=12621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accessdata.fda.gov/scripts/cdrh/cfdocs/cfmaude/search.cf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dc.gov/niosh/docs/97-111/default.html" TargetMode="External"/><Relationship Id="rId14" Type="http://schemas.openxmlformats.org/officeDocument/2006/relationships/hyperlink" Target="https://www.cdc.gov/niosh/newsroom/feature/needlestick_disposal.htm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info-details/mass-general-laws-c149-ss-6-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4436-57C3-4F7A-8F9D-06DBA074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Laramie, Angela (DPH)</dc:creator>
  <cp:keywords/>
  <dc:description/>
  <cp:lastModifiedBy>Lujan, Cecilia (DPH)</cp:lastModifiedBy>
  <cp:revision>3</cp:revision>
  <dcterms:created xsi:type="dcterms:W3CDTF">2021-08-10T22:31:00Z</dcterms:created>
  <dcterms:modified xsi:type="dcterms:W3CDTF">2021-08-10T22:31:00Z</dcterms:modified>
</cp:coreProperties>
</file>