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6C08" w14:textId="539A2707" w:rsidR="00DE1F22" w:rsidRPr="00DE1F22" w:rsidRDefault="187432F3" w:rsidP="00DE1F22">
      <w:pPr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110FFF8C"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</w:rPr>
        <w:t>Notification to Tenant: Tenant Outreach Letter </w:t>
      </w:r>
      <w:r w:rsidR="5850EB4F" w:rsidRPr="110FFF8C"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</w:rPr>
        <w:t xml:space="preserve">– </w:t>
      </w:r>
      <w:r w:rsidR="6EFF8185" w:rsidRPr="110FFF8C"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</w:rPr>
        <w:t>No Arrears</w:t>
      </w:r>
      <w:r w:rsidR="32D4F821" w:rsidRPr="110FFF8C"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</w:rPr>
        <w:t>, Interim Recertification</w:t>
      </w:r>
    </w:p>
    <w:p w14:paraId="7C93375C" w14:textId="0071A6EB" w:rsidR="00DE1F22" w:rsidRPr="00DE1F22" w:rsidRDefault="00DE1F22" w:rsidP="00DE1F2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2C0CB2A4">
        <w:rPr>
          <w:rFonts w:ascii="Calibri" w:eastAsia="Times New Roman" w:hAnsi="Calibri" w:cs="Calibri"/>
        </w:rPr>
        <w:t>Last Updated: </w:t>
      </w:r>
      <w:r w:rsidR="6A86BAFE" w:rsidRPr="2C0CB2A4">
        <w:rPr>
          <w:rFonts w:ascii="Calibri" w:eastAsia="Times New Roman" w:hAnsi="Calibri" w:cs="Calibri"/>
        </w:rPr>
        <w:t xml:space="preserve">June </w:t>
      </w:r>
      <w:r w:rsidR="3A8040E7" w:rsidRPr="2C0CB2A4">
        <w:rPr>
          <w:rFonts w:ascii="Calibri" w:eastAsia="Times New Roman" w:hAnsi="Calibri" w:cs="Calibri"/>
        </w:rPr>
        <w:t>30</w:t>
      </w:r>
      <w:r w:rsidRPr="2C0CB2A4">
        <w:rPr>
          <w:rFonts w:ascii="Calibri" w:eastAsia="Times New Roman" w:hAnsi="Calibri" w:cs="Calibri"/>
        </w:rPr>
        <w:t>, 2021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630"/>
      </w:tblGrid>
      <w:tr w:rsidR="00DE1F22" w:rsidRPr="00DE1F22" w14:paraId="422CF008" w14:textId="77777777" w:rsidTr="00631072">
        <w:trPr>
          <w:trHeight w:val="990"/>
        </w:trPr>
        <w:tc>
          <w:tcPr>
            <w:tcW w:w="2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6BFB710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Purpose: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DEB75A" w14:textId="6D8ACDE5" w:rsidR="00DE1F22" w:rsidRPr="00DE1F22" w:rsidRDefault="60407221" w:rsidP="057ECEB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2C0CB2A4">
              <w:rPr>
                <w:rFonts w:ascii="Calibri" w:eastAsia="Times New Roman" w:hAnsi="Calibri" w:cs="Calibri"/>
                <w:sz w:val="22"/>
                <w:szCs w:val="22"/>
              </w:rPr>
              <w:t>Owner</w:t>
            </w:r>
            <w:r w:rsidRPr="2C0CB2A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 may</w:t>
            </w:r>
            <w:r w:rsidR="00DE1F22" w:rsidRPr="2C0CB2A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distribute this letter (on its letterhead) to all </w:t>
            </w:r>
            <w:r w:rsidR="00DE1F22" w:rsidRPr="2C0CB2A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tenants</w:t>
            </w:r>
            <w:r w:rsidR="1E069F51" w:rsidRPr="2C0CB2A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with income-based rent</w:t>
            </w:r>
            <w:r w:rsidR="00DE1F22" w:rsidRPr="2C0CB2A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32DCC216" w:rsidRPr="2C0CB2A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who </w:t>
            </w:r>
            <w:r w:rsidR="32DCC216" w:rsidRPr="2C0CB2A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DO NOT have </w:t>
            </w:r>
            <w:r w:rsidR="00DE1F22" w:rsidRPr="2C0CB2A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arrearages </w:t>
            </w:r>
            <w:r w:rsidR="3A881E98" w:rsidRPr="2C0CB2A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on record </w:t>
            </w:r>
            <w:r w:rsidR="3AEF0991" w:rsidRPr="2C0CB2A4">
              <w:rPr>
                <w:rFonts w:ascii="Calibri" w:eastAsia="Times New Roman" w:hAnsi="Calibri" w:cs="Calibri"/>
                <w:sz w:val="22"/>
                <w:szCs w:val="22"/>
              </w:rPr>
              <w:t>during the eligible SHERA Period</w:t>
            </w:r>
            <w:r w:rsidR="00DE1F22" w:rsidRPr="2C0CB2A4">
              <w:rPr>
                <w:rFonts w:ascii="Calibri" w:eastAsia="Times New Roman" w:hAnsi="Calibri" w:cs="Calibri"/>
                <w:sz w:val="22"/>
                <w:szCs w:val="22"/>
              </w:rPr>
              <w:t xml:space="preserve"> in participating properties. This letter explains </w:t>
            </w:r>
            <w:r w:rsidR="368D2F83" w:rsidRPr="2C0CB2A4">
              <w:rPr>
                <w:rFonts w:ascii="Calibri" w:eastAsia="Times New Roman" w:hAnsi="Calibri" w:cs="Calibri"/>
                <w:sz w:val="22"/>
                <w:szCs w:val="22"/>
              </w:rPr>
              <w:t>that tenants even if they do not have arrears should come in for a</w:t>
            </w:r>
            <w:r w:rsidR="60111FB0" w:rsidRPr="2C0CB2A4">
              <w:rPr>
                <w:rFonts w:ascii="Calibri" w:eastAsia="Times New Roman" w:hAnsi="Calibri" w:cs="Calibri"/>
                <w:sz w:val="22"/>
                <w:szCs w:val="22"/>
              </w:rPr>
              <w:t>n interim recertification</w:t>
            </w:r>
            <w:r w:rsidR="07A75498" w:rsidRPr="2C0CB2A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368D2F83" w:rsidRPr="2C0CB2A4">
              <w:rPr>
                <w:rFonts w:ascii="Calibri" w:eastAsia="Times New Roman" w:hAnsi="Calibri" w:cs="Calibri"/>
                <w:sz w:val="22"/>
                <w:szCs w:val="22"/>
              </w:rPr>
              <w:t xml:space="preserve">to report change in income since </w:t>
            </w:r>
            <w:r w:rsidR="00DE1F22" w:rsidRPr="2C0CB2A4">
              <w:rPr>
                <w:rFonts w:ascii="Calibri" w:eastAsia="Times New Roman" w:hAnsi="Calibri" w:cs="Calibri"/>
                <w:sz w:val="22"/>
                <w:szCs w:val="22"/>
              </w:rPr>
              <w:t>the</w:t>
            </w:r>
            <w:r w:rsidR="69BBD058" w:rsidRPr="2C0CB2A4">
              <w:rPr>
                <w:rFonts w:ascii="Calibri" w:eastAsia="Times New Roman" w:hAnsi="Calibri" w:cs="Calibri"/>
                <w:sz w:val="22"/>
                <w:szCs w:val="22"/>
              </w:rPr>
              <w:t>n any previously owed rent could count as arrears and be covered by SHERA</w:t>
            </w:r>
            <w:r w:rsidR="00DE1F22" w:rsidRPr="2C0CB2A4">
              <w:rPr>
                <w:rFonts w:ascii="Calibri" w:eastAsia="Times New Roman" w:hAnsi="Calibri" w:cs="Calibri"/>
                <w:sz w:val="22"/>
                <w:szCs w:val="22"/>
              </w:rPr>
              <w:t>.  </w:t>
            </w:r>
          </w:p>
        </w:tc>
      </w:tr>
      <w:tr w:rsidR="00DE1F22" w:rsidRPr="00DE1F22" w14:paraId="5F8BB195" w14:textId="77777777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10131F4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E64FAF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Tenant Head of Household  </w:t>
            </w:r>
          </w:p>
        </w:tc>
      </w:tr>
      <w:tr w:rsidR="00DE1F22" w:rsidRPr="00DE1F22" w14:paraId="5369D34D" w14:textId="77777777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D288623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From: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AE9A7E" w14:textId="39796A53" w:rsidR="00DE1F22" w:rsidRPr="00DE1F22" w:rsidRDefault="70401A86" w:rsidP="2C0CB2A4">
            <w:pPr>
              <w:spacing w:line="259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2C0CB2A4">
              <w:rPr>
                <w:rFonts w:ascii="Calibri" w:eastAsia="Times New Roman" w:hAnsi="Calibri" w:cs="Calibri"/>
                <w:sz w:val="22"/>
                <w:szCs w:val="22"/>
              </w:rPr>
              <w:t>Owner / Property Manager</w:t>
            </w:r>
          </w:p>
        </w:tc>
      </w:tr>
      <w:tr w:rsidR="00DE1F22" w:rsidRPr="00DE1F22" w14:paraId="7638DDA8" w14:textId="77777777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DDC10A9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Timing (When to send):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77D526" w14:textId="12934B8D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2C0CB2A4">
              <w:rPr>
                <w:rFonts w:ascii="Calibri" w:eastAsia="Times New Roman" w:hAnsi="Calibri" w:cs="Calibri"/>
                <w:sz w:val="22"/>
                <w:szCs w:val="22"/>
              </w:rPr>
              <w:t xml:space="preserve">When </w:t>
            </w:r>
            <w:r w:rsidR="7F638FCE" w:rsidRPr="2C0CB2A4">
              <w:rPr>
                <w:rFonts w:ascii="Calibri" w:eastAsia="Times New Roman" w:hAnsi="Calibri" w:cs="Calibri"/>
                <w:sz w:val="22"/>
                <w:szCs w:val="22"/>
              </w:rPr>
              <w:t xml:space="preserve">Owner </w:t>
            </w:r>
            <w:r w:rsidRPr="2C0CB2A4">
              <w:rPr>
                <w:rFonts w:ascii="Calibri" w:eastAsia="Times New Roman" w:hAnsi="Calibri" w:cs="Calibri"/>
                <w:sz w:val="22"/>
                <w:szCs w:val="22"/>
              </w:rPr>
              <w:t>plans to participate in SHERA and is starting the application process </w:t>
            </w:r>
          </w:p>
        </w:tc>
      </w:tr>
      <w:tr w:rsidR="00DE1F22" w:rsidRPr="00DE1F22" w14:paraId="5290DA16" w14:textId="77777777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E9C617A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Subject: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547171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Emergency Rental Assistance (SHERA) Program announcement </w:t>
            </w:r>
          </w:p>
        </w:tc>
      </w:tr>
      <w:tr w:rsidR="00DE1F22" w:rsidRPr="00DE1F22" w14:paraId="4DB91468" w14:textId="77777777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A0B5643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Attachments: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F8FAC4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SHERA Tenant Overview Reference Guide </w:t>
            </w:r>
          </w:p>
        </w:tc>
      </w:tr>
    </w:tbl>
    <w:p w14:paraId="5050C680" w14:textId="77777777" w:rsidR="00DE1F22" w:rsidRPr="00DE1F22" w:rsidRDefault="00DE1F22" w:rsidP="00DE1F2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E1F22">
        <w:rPr>
          <w:rFonts w:ascii="Calibri" w:eastAsia="Times New Roman" w:hAnsi="Calibri" w:cs="Calibri"/>
        </w:rPr>
        <w:t> </w:t>
      </w:r>
    </w:p>
    <w:p w14:paraId="45DC0BD8" w14:textId="556A5E1F" w:rsidR="00DE1F22" w:rsidRPr="00DE1F22" w:rsidRDefault="6104962D" w:rsidP="3C056A87">
      <w:pPr>
        <w:textAlignment w:val="baseline"/>
        <w:rPr>
          <w:rFonts w:ascii="Calibri" w:eastAsia="Times New Roman" w:hAnsi="Calibri" w:cs="Calibri"/>
        </w:rPr>
      </w:pPr>
      <w:r w:rsidRPr="2C0CB2A4">
        <w:rPr>
          <w:rFonts w:ascii="Calibri" w:eastAsia="Times New Roman" w:hAnsi="Calibri" w:cs="Calibri"/>
          <w:b/>
          <w:bCs/>
          <w:i/>
          <w:iCs/>
          <w:u w:val="single"/>
        </w:rPr>
        <w:t xml:space="preserve">MODEL </w:t>
      </w:r>
      <w:r w:rsidR="00DE1F22" w:rsidRPr="2C0CB2A4">
        <w:rPr>
          <w:rFonts w:ascii="Calibri" w:eastAsia="Times New Roman" w:hAnsi="Calibri" w:cs="Calibri"/>
          <w:b/>
          <w:bCs/>
          <w:i/>
          <w:iCs/>
          <w:u w:val="single"/>
        </w:rPr>
        <w:t>TEXT BELOW</w:t>
      </w:r>
      <w:r w:rsidR="00DE1F22" w:rsidRPr="2C0CB2A4">
        <w:rPr>
          <w:rFonts w:ascii="Calibri" w:eastAsia="Times New Roman" w:hAnsi="Calibri" w:cs="Calibri"/>
        </w:rPr>
        <w:t> </w:t>
      </w:r>
    </w:p>
    <w:p w14:paraId="17F08C85" w14:textId="44DEE4F4" w:rsidR="3C056A87" w:rsidRDefault="3C056A87" w:rsidP="3C056A87">
      <w:pPr>
        <w:rPr>
          <w:rFonts w:ascii="Calibri" w:eastAsia="Times New Roman" w:hAnsi="Calibri" w:cs="Calibri"/>
        </w:rPr>
      </w:pPr>
    </w:p>
    <w:p w14:paraId="35BDF1AB" w14:textId="7D96A319" w:rsidR="6E8122FD" w:rsidRDefault="6E8122FD" w:rsidP="32B32D15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29B38326" w14:textId="02E53ECE" w:rsidR="25E1E077" w:rsidRDefault="00C14C28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Chè</w:t>
      </w:r>
      <w:r w:rsidR="25E1E077" w:rsidRPr="486BDD3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103DD2" w:rsidRPr="486BDD37">
        <w:rPr>
          <w:rFonts w:ascii="Calibri" w:eastAsia="Calibri" w:hAnsi="Calibri" w:cs="Calibri"/>
          <w:color w:val="000000" w:themeColor="text1"/>
          <w:sz w:val="22"/>
          <w:szCs w:val="22"/>
        </w:rPr>
        <w:t>___________</w:t>
      </w:r>
      <w:r w:rsidR="25E1E077" w:rsidRPr="486BDD37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14:paraId="6A00AE9C" w14:textId="130EBB29" w:rsidR="25E1E077" w:rsidRDefault="00C14C28" w:rsidP="486BDD3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Nou oblije enfòme w entansyon nou pou nou patisipe nan </w:t>
      </w:r>
      <w:r w:rsidRPr="00C14C28">
        <w:rPr>
          <w:rFonts w:ascii="Calibri" w:eastAsia="Calibri" w:hAnsi="Calibri" w:cs="Calibri"/>
          <w:b/>
          <w:bCs/>
          <w:sz w:val="22"/>
          <w:szCs w:val="22"/>
        </w:rPr>
        <w:t>pwogram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8866140" w:rsidRPr="3C056A87">
        <w:rPr>
          <w:rFonts w:ascii="Calibri" w:eastAsia="Calibri" w:hAnsi="Calibri" w:cs="Calibri"/>
          <w:b/>
          <w:bCs/>
          <w:sz w:val="22"/>
          <w:szCs w:val="22"/>
        </w:rPr>
        <w:t xml:space="preserve">Subsidized Housing Emergency Rental Assistance (SHERA) </w:t>
      </w:r>
      <w:r>
        <w:rPr>
          <w:rFonts w:ascii="Calibri" w:eastAsia="Calibri" w:hAnsi="Calibri" w:cs="Calibri"/>
          <w:sz w:val="22"/>
          <w:szCs w:val="22"/>
        </w:rPr>
        <w:t>nan</w:t>
      </w:r>
      <w:r w:rsidR="08866140" w:rsidRPr="00C14C28">
        <w:rPr>
          <w:rFonts w:ascii="Calibri" w:eastAsia="Calibri" w:hAnsi="Calibri" w:cs="Calibri"/>
          <w:sz w:val="22"/>
          <w:szCs w:val="22"/>
        </w:rPr>
        <w:t>.</w:t>
      </w:r>
      <w:r w:rsidR="08866140" w:rsidRPr="3C056A8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Pwogram sa a ki finanse pa gouvènman federal la gen entansyon ede rezidan ki te tonbe dèyè sou lwaye yo poutèt pandemi </w:t>
      </w:r>
      <w:r w:rsidR="08866140" w:rsidRPr="3C056A87">
        <w:rPr>
          <w:rFonts w:ascii="Calibri" w:eastAsia="Calibri" w:hAnsi="Calibri" w:cs="Calibri"/>
          <w:sz w:val="22"/>
          <w:szCs w:val="22"/>
        </w:rPr>
        <w:t xml:space="preserve">COVID-19 </w:t>
      </w:r>
      <w:r>
        <w:rPr>
          <w:rFonts w:ascii="Calibri" w:eastAsia="Calibri" w:hAnsi="Calibri" w:cs="Calibri"/>
          <w:sz w:val="22"/>
          <w:szCs w:val="22"/>
        </w:rPr>
        <w:t>la</w:t>
      </w:r>
      <w:r w:rsidR="08866140" w:rsidRPr="3C056A87">
        <w:rPr>
          <w:rFonts w:ascii="Calibri" w:eastAsia="Calibri" w:hAnsi="Calibri" w:cs="Calibri"/>
          <w:sz w:val="22"/>
          <w:szCs w:val="22"/>
        </w:rPr>
        <w:t xml:space="preserve">. </w:t>
      </w:r>
    </w:p>
    <w:p w14:paraId="047D7329" w14:textId="4DCFC8D8" w:rsidR="25E1E077" w:rsidRDefault="00C14C28" w:rsidP="3C056A87">
      <w:pPr>
        <w:spacing w:after="160" w:line="259" w:lineRule="auto"/>
      </w:pPr>
      <w:r>
        <w:rPr>
          <w:rFonts w:ascii="Calibri" w:eastAsia="Calibri" w:hAnsi="Calibri" w:cs="Calibri"/>
          <w:sz w:val="22"/>
          <w:szCs w:val="22"/>
        </w:rPr>
        <w:t xml:space="preserve">Si w ap resevwa lèt sa a, nou </w:t>
      </w:r>
      <w:r w:rsidR="003D77B2">
        <w:rPr>
          <w:rFonts w:ascii="Calibri" w:eastAsia="Calibri" w:hAnsi="Calibri" w:cs="Calibri"/>
          <w:sz w:val="22"/>
          <w:szCs w:val="22"/>
        </w:rPr>
        <w:t xml:space="preserve">pa atann ou elijib pou pwogram sa a, paske dosye pa nou yo endike ou te peye tout lwaye w depi 1e avril </w:t>
      </w:r>
      <w:r w:rsidR="08866140" w:rsidRPr="2C0CB2A4">
        <w:rPr>
          <w:rFonts w:ascii="Calibri" w:eastAsia="Calibri" w:hAnsi="Calibri" w:cs="Calibri"/>
          <w:sz w:val="22"/>
          <w:szCs w:val="22"/>
        </w:rPr>
        <w:t>2020</w:t>
      </w:r>
      <w:r w:rsidR="00A61F6A" w:rsidRPr="2C0CB2A4">
        <w:rPr>
          <w:rFonts w:ascii="Calibri" w:eastAsia="Calibri" w:hAnsi="Calibri" w:cs="Calibri"/>
          <w:sz w:val="22"/>
          <w:szCs w:val="22"/>
        </w:rPr>
        <w:t>.</w:t>
      </w:r>
      <w:r w:rsidR="6EE515C7" w:rsidRPr="2C0CB2A4">
        <w:rPr>
          <w:rFonts w:ascii="Calibri" w:eastAsia="Calibri" w:hAnsi="Calibri" w:cs="Calibri"/>
          <w:sz w:val="22"/>
          <w:szCs w:val="22"/>
        </w:rPr>
        <w:t xml:space="preserve"> </w:t>
      </w:r>
      <w:r w:rsidR="08866140" w:rsidRPr="2C0CB2A4">
        <w:rPr>
          <w:rFonts w:ascii="Calibri" w:eastAsia="Calibri" w:hAnsi="Calibri" w:cs="Calibri"/>
          <w:sz w:val="22"/>
          <w:szCs w:val="22"/>
        </w:rPr>
        <w:t xml:space="preserve"> </w:t>
      </w:r>
      <w:r w:rsidR="003D77B2">
        <w:rPr>
          <w:rFonts w:ascii="Calibri" w:eastAsia="Calibri" w:hAnsi="Calibri" w:cs="Calibri"/>
          <w:sz w:val="22"/>
          <w:szCs w:val="22"/>
        </w:rPr>
        <w:t>Sepandan</w:t>
      </w:r>
      <w:r w:rsidR="1C1F58AE" w:rsidRPr="2C0CB2A4">
        <w:rPr>
          <w:rFonts w:ascii="Calibri" w:eastAsia="Calibri" w:hAnsi="Calibri" w:cs="Calibri"/>
          <w:sz w:val="22"/>
          <w:szCs w:val="22"/>
        </w:rPr>
        <w:t xml:space="preserve">, </w:t>
      </w:r>
      <w:r w:rsidR="003D77B2">
        <w:rPr>
          <w:rFonts w:ascii="Calibri" w:eastAsia="Calibri" w:hAnsi="Calibri" w:cs="Calibri"/>
          <w:sz w:val="22"/>
          <w:szCs w:val="22"/>
        </w:rPr>
        <w:t>si w santi w elijib, tanpri kontakte manadjè pwopriyete w</w:t>
      </w:r>
      <w:r w:rsidR="758AC252" w:rsidRPr="2C0CB2A4">
        <w:rPr>
          <w:rFonts w:ascii="Calibri" w:eastAsia="Calibri" w:hAnsi="Calibri" w:cs="Calibri"/>
          <w:sz w:val="22"/>
          <w:szCs w:val="22"/>
        </w:rPr>
        <w:t xml:space="preserve">. </w:t>
      </w:r>
      <w:r w:rsidR="003D77B2">
        <w:rPr>
          <w:rFonts w:ascii="Calibri" w:eastAsia="Calibri" w:hAnsi="Calibri" w:cs="Calibri"/>
          <w:sz w:val="22"/>
          <w:szCs w:val="22"/>
        </w:rPr>
        <w:t>Pa egzanp, ou gen dwa elijib si w pa te rapòte yon ògmantasyon nan revni nan yon resètifikasyon avan</w:t>
      </w:r>
      <w:r w:rsidR="23500F11" w:rsidRPr="2C0CB2A4">
        <w:rPr>
          <w:rFonts w:ascii="Calibri" w:eastAsia="Calibri" w:hAnsi="Calibri" w:cs="Calibri"/>
          <w:sz w:val="22"/>
          <w:szCs w:val="22"/>
        </w:rPr>
        <w:t>.</w:t>
      </w:r>
      <w:r w:rsidR="1072EC4C" w:rsidRPr="2C0CB2A4">
        <w:rPr>
          <w:rFonts w:ascii="Calibri" w:eastAsia="Calibri" w:hAnsi="Calibri" w:cs="Calibri"/>
          <w:sz w:val="22"/>
          <w:szCs w:val="22"/>
        </w:rPr>
        <w:t xml:space="preserve"> </w:t>
      </w:r>
      <w:r w:rsidR="00BD1A15">
        <w:rPr>
          <w:rFonts w:ascii="Calibri" w:eastAsia="Calibri" w:hAnsi="Calibri" w:cs="Calibri"/>
          <w:sz w:val="22"/>
          <w:szCs w:val="22"/>
        </w:rPr>
        <w:t>SHERA kapab kouvri lwaye retwoaktif ki dwe an konsekans la si w satisfè kritè yo pou elijibilite</w:t>
      </w:r>
      <w:r w:rsidR="2D65F151" w:rsidRPr="2C0CB2A4">
        <w:rPr>
          <w:rFonts w:ascii="Calibri" w:eastAsia="Calibri" w:hAnsi="Calibri" w:cs="Calibri"/>
          <w:sz w:val="22"/>
          <w:szCs w:val="22"/>
        </w:rPr>
        <w:t>:</w:t>
      </w:r>
    </w:p>
    <w:p w14:paraId="621CFFCA" w14:textId="4676BC14" w:rsidR="25E1E077" w:rsidRDefault="00BD1A15" w:rsidP="2C0CB2A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Revni w pi ba pase limit lan pou pwogram nan ki se </w:t>
      </w:r>
      <w:r w:rsidR="25E1E077" w:rsidRPr="2C0CB2A4">
        <w:rPr>
          <w:rFonts w:eastAsiaTheme="minorEastAsia"/>
          <w:sz w:val="22"/>
          <w:szCs w:val="22"/>
        </w:rPr>
        <w:t>80%</w:t>
      </w:r>
      <w:r w:rsidR="00E877C2">
        <w:rPr>
          <w:rFonts w:eastAsiaTheme="minorEastAsia"/>
          <w:sz w:val="22"/>
          <w:szCs w:val="22"/>
        </w:rPr>
        <w:t xml:space="preserve"> </w:t>
      </w:r>
      <w:hyperlink r:id="rId10">
        <w:r>
          <w:rPr>
            <w:rStyle w:val="Hyperlink"/>
            <w:sz w:val="22"/>
            <w:szCs w:val="22"/>
          </w:rPr>
          <w:t>Revni Mwayen pou Zòn nan (A</w:t>
        </w:r>
        <w:r w:rsidR="00E877C2" w:rsidRPr="000832A8">
          <w:rPr>
            <w:rStyle w:val="Hyperlink"/>
            <w:sz w:val="22"/>
            <w:szCs w:val="22"/>
          </w:rPr>
          <w:t>rea Median Income (AMI</w:t>
        </w:r>
        <w:r>
          <w:rPr>
            <w:rStyle w:val="Hyperlink"/>
            <w:sz w:val="22"/>
            <w:szCs w:val="22"/>
          </w:rPr>
          <w:t>)</w:t>
        </w:r>
        <w:r w:rsidR="00E877C2" w:rsidRPr="000832A8">
          <w:rPr>
            <w:rStyle w:val="Hyperlink"/>
            <w:sz w:val="22"/>
            <w:szCs w:val="22"/>
          </w:rPr>
          <w:t>)</w:t>
        </w:r>
      </w:hyperlink>
      <w:r w:rsidR="25E1E077" w:rsidRPr="2C0CB2A4">
        <w:rPr>
          <w:rFonts w:eastAsiaTheme="minorEastAsia"/>
          <w:sz w:val="22"/>
          <w:szCs w:val="22"/>
        </w:rPr>
        <w:t>;</w:t>
      </w:r>
    </w:p>
    <w:p w14:paraId="625FEDA0" w14:textId="5F883DC8" w:rsidR="25E1E077" w:rsidRDefault="00BD1A15" w:rsidP="2C0CB2A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 xml:space="preserve">Ou dwe lwaye ki te dwe pandan peryòd ki elijib pou </w:t>
      </w:r>
      <w:r w:rsidR="644F38BD" w:rsidRPr="2C0CB2A4">
        <w:rPr>
          <w:rFonts w:eastAsiaTheme="minorEastAsia"/>
          <w:color w:val="000000" w:themeColor="text1"/>
          <w:sz w:val="22"/>
          <w:szCs w:val="22"/>
        </w:rPr>
        <w:t xml:space="preserve">SHERA </w:t>
      </w:r>
      <w:r>
        <w:rPr>
          <w:rFonts w:eastAsiaTheme="minorEastAsia"/>
          <w:color w:val="000000" w:themeColor="text1"/>
          <w:sz w:val="22"/>
          <w:szCs w:val="22"/>
        </w:rPr>
        <w:t xml:space="preserve">a kòmanse 1e avril </w:t>
      </w:r>
      <w:r w:rsidR="644F38BD" w:rsidRPr="2C0CB2A4">
        <w:rPr>
          <w:rFonts w:eastAsiaTheme="minorEastAsia"/>
          <w:color w:val="000000" w:themeColor="text1"/>
          <w:sz w:val="22"/>
          <w:szCs w:val="22"/>
        </w:rPr>
        <w:t>2020</w:t>
      </w:r>
      <w:r w:rsidR="736894EA" w:rsidRPr="2C0CB2A4">
        <w:rPr>
          <w:rFonts w:eastAsiaTheme="minorEastAsia"/>
          <w:color w:val="000000" w:themeColor="text1"/>
          <w:sz w:val="22"/>
          <w:szCs w:val="22"/>
        </w:rPr>
        <w:t xml:space="preserve">; </w:t>
      </w:r>
      <w:r>
        <w:rPr>
          <w:rFonts w:eastAsiaTheme="minorEastAsia"/>
          <w:color w:val="000000" w:themeColor="text1"/>
          <w:sz w:val="22"/>
          <w:szCs w:val="22"/>
        </w:rPr>
        <w:t>epi</w:t>
      </w:r>
      <w:r w:rsidR="736894EA" w:rsidRPr="2C0CB2A4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42CB2B11" w14:textId="144CEFF6" w:rsidR="25E1E077" w:rsidRDefault="00BD1A15" w:rsidP="2C0CB2A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sz w:val="22"/>
          <w:szCs w:val="22"/>
        </w:rPr>
        <w:t>Ou te pèdi revni</w:t>
      </w:r>
      <w:r w:rsidR="25E1E077" w:rsidRPr="2C0CB2A4">
        <w:rPr>
          <w:rFonts w:eastAsiaTheme="minorEastAsia"/>
          <w:sz w:val="22"/>
          <w:szCs w:val="22"/>
        </w:rPr>
        <w:t>, a</w:t>
      </w:r>
      <w:r w:rsidR="00DC16F8">
        <w:rPr>
          <w:rFonts w:eastAsiaTheme="minorEastAsia"/>
          <w:sz w:val="22"/>
          <w:szCs w:val="22"/>
        </w:rPr>
        <w:t>k</w:t>
      </w:r>
      <w:r w:rsidR="25E1E077" w:rsidRPr="2C0CB2A4">
        <w:rPr>
          <w:rFonts w:eastAsiaTheme="minorEastAsia"/>
          <w:sz w:val="22"/>
          <w:szCs w:val="22"/>
        </w:rPr>
        <w:t>/o</w:t>
      </w:r>
      <w:r w:rsidR="00DC16F8">
        <w:rPr>
          <w:rFonts w:eastAsiaTheme="minorEastAsia"/>
          <w:sz w:val="22"/>
          <w:szCs w:val="22"/>
        </w:rPr>
        <w:t xml:space="preserve">swa te genyen yon gwo ògmantasyon nan depans, poutèt </w:t>
      </w:r>
      <w:r w:rsidR="25E1E077" w:rsidRPr="2C0CB2A4">
        <w:rPr>
          <w:rFonts w:eastAsiaTheme="minorEastAsia"/>
          <w:sz w:val="22"/>
          <w:szCs w:val="22"/>
        </w:rPr>
        <w:t>COVID-19.</w:t>
      </w:r>
    </w:p>
    <w:p w14:paraId="7E423295" w14:textId="7259146C" w:rsidR="25E1E077" w:rsidRDefault="25E1E077" w:rsidP="3C056A8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br/>
      </w:r>
      <w:r w:rsidR="00CC475B" w:rsidRPr="00CC475B">
        <w:rPr>
          <w:rFonts w:ascii="Calibri" w:eastAsia="Calibri" w:hAnsi="Calibri" w:cs="Calibri"/>
          <w:color w:val="000000" w:themeColor="text1"/>
          <w:sz w:val="22"/>
          <w:szCs w:val="22"/>
        </w:rPr>
        <w:t>W ap oblije siyen yon deklarasyon sou sèman ki di sa a vre, epi nou pral bezwen asistans ak pèmisyon w pou nou aplike pou fon sa yo</w:t>
      </w:r>
      <w:r w:rsidR="3E386595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1F2DC7E3" w14:textId="1A8C537F" w:rsidR="3C056A87" w:rsidRDefault="00DD5297" w:rsidP="2C0CB2A4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D5297">
        <w:rPr>
          <w:rFonts w:ascii="Calibri" w:eastAsia="Calibri" w:hAnsi="Calibri" w:cs="Calibri"/>
          <w:color w:val="000000" w:themeColor="text1"/>
          <w:sz w:val="22"/>
          <w:szCs w:val="22"/>
        </w:rPr>
        <w:t>Estati imigrasyon pa afekte elijibilite w pou pwogram sa a. Ou pa bezwen yon nimewo sekirite sosyal pou w aplike. Sepandan, si w gen yon nimewo sekirite sosyal, w ap oblije bay dènye kat chif yo</w:t>
      </w:r>
      <w:r w:rsidR="25E1E077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18FDE11B" w14:textId="5D1CCD8B" w:rsidR="5990B837" w:rsidRDefault="009A03C3" w:rsidP="2C0CB2A4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Si w elijib epi w resevwa asistans </w:t>
      </w:r>
      <w:r w:rsidR="5990B837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SHERA,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 plis de peye </w:t>
      </w:r>
      <w:r w:rsidR="459C7B46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100%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nan lwaye retwoaktif ou dwe pou peryòd ki elijib la ou pral resevwa </w:t>
      </w:r>
      <w:r w:rsidR="0079535A" w:rsidRPr="0079535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PLIS PWOTÈJ (6 MWA apre w resevwa dènye peman benefis SHERA a</w:t>
      </w:r>
      <w:r w:rsidR="5990B837" w:rsidRPr="2C0CB2A4">
        <w:rPr>
          <w:rFonts w:ascii="Calibri" w:eastAsia="Calibri" w:hAnsi="Calibri" w:cs="Calibri"/>
          <w:b/>
          <w:bCs/>
          <w:sz w:val="22"/>
          <w:szCs w:val="22"/>
        </w:rPr>
        <w:t xml:space="preserve">) </w:t>
      </w:r>
      <w:r w:rsidR="0079535A">
        <w:rPr>
          <w:rFonts w:ascii="Calibri" w:eastAsia="Calibri" w:hAnsi="Calibri" w:cs="Calibri"/>
          <w:b/>
          <w:bCs/>
          <w:sz w:val="22"/>
          <w:szCs w:val="22"/>
        </w:rPr>
        <w:t>kont degèpisman poutèt non-peman lwaye</w:t>
      </w:r>
      <w:r w:rsidR="08C13874" w:rsidRPr="2C0CB2A4">
        <w:rPr>
          <w:rFonts w:ascii="Calibri" w:eastAsia="Calibri" w:hAnsi="Calibri" w:cs="Calibri"/>
          <w:sz w:val="22"/>
          <w:szCs w:val="22"/>
        </w:rPr>
        <w:t>.</w:t>
      </w:r>
    </w:p>
    <w:p w14:paraId="1C565B45" w14:textId="2E84FBA9" w:rsidR="512449A4" w:rsidRDefault="0079535A" w:rsidP="3C056A8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Si revni w pa te ògmante pandan peryòd sa a oubyen ou te resètifye deja, pa gen okèn lòt aksyon ou oblije pran ankò</w:t>
      </w:r>
      <w:r w:rsidR="512449A4" w:rsidRPr="3C056A87">
        <w:rPr>
          <w:rFonts w:ascii="Calibri" w:eastAsia="Calibri" w:hAnsi="Calibri" w:cs="Calibri"/>
          <w:sz w:val="22"/>
          <w:szCs w:val="22"/>
        </w:rPr>
        <w:t xml:space="preserve">. </w:t>
      </w:r>
    </w:p>
    <w:p w14:paraId="76121B5B" w14:textId="5027BB88" w:rsidR="358A623E" w:rsidRDefault="000340CE" w:rsidP="3C056A8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0340CE">
        <w:rPr>
          <w:rFonts w:ascii="Calibri" w:eastAsia="Calibri" w:hAnsi="Calibri" w:cs="Calibri"/>
          <w:color w:val="000000" w:themeColor="text1"/>
          <w:sz w:val="22"/>
          <w:szCs w:val="22"/>
        </w:rPr>
        <w:t>Si w deja aplike pou RAFT oswa pou yon lòt tip asistans lwaye Dijans, se pou w kontinye ak demann sa epi pa ale pi devan ak SHERA</w:t>
      </w:r>
      <w:r w:rsidR="358A623E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Si w te deja resevwa lòt asistans ak lwaye </w:t>
      </w:r>
      <w:r w:rsidR="00D96F8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epi w toujou genyen lwaye w dwe ki pa t peye depi 1e avril </w:t>
      </w:r>
      <w:r w:rsidR="358A623E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2020</w:t>
      </w:r>
      <w:r w:rsidR="056EDBEA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358A623E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D96F89">
        <w:rPr>
          <w:rFonts w:ascii="Calibri" w:eastAsia="Calibri" w:hAnsi="Calibri" w:cs="Calibri"/>
          <w:color w:val="000000" w:themeColor="text1"/>
          <w:sz w:val="22"/>
          <w:szCs w:val="22"/>
        </w:rPr>
        <w:t>tanpri kontakte biwo jesyon an</w:t>
      </w:r>
      <w:r w:rsidR="358A623E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 </w:t>
      </w:r>
    </w:p>
    <w:p w14:paraId="08DF7847" w14:textId="15297BE6" w:rsidR="25E1E077" w:rsidRDefault="00D96F89" w:rsidP="3C056A8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Otorite Lojman w pral ede w detèmine si w elijib pou pwogram nan ak ki dokiman ki ka nesesè</w:t>
      </w:r>
      <w:r w:rsidR="25E1E077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Si w pa elijib pou pwogram </w:t>
      </w:r>
      <w:r w:rsidR="5C39C427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SHERA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5C39C427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nou pral diskite lòt </w:t>
      </w:r>
      <w:r w:rsidR="00847930" w:rsidRPr="00847930">
        <w:rPr>
          <w:rFonts w:ascii="Calibri" w:eastAsia="Calibri" w:hAnsi="Calibri" w:cs="Calibri"/>
          <w:color w:val="000000" w:themeColor="text1"/>
          <w:sz w:val="22"/>
          <w:szCs w:val="22"/>
        </w:rPr>
        <w:t>opsyon pou ede w peye kèlkeswa lwaye ki an aryè</w:t>
      </w:r>
      <w:r w:rsidR="5C39C427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7CF0B1B2" w14:textId="40B961F3" w:rsidR="00DF200E" w:rsidRDefault="00847930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Ou responsab pou w peye lwaye mansyèl aktyèl ou konfòme ak kontra w oubyen si w </w:t>
      </w:r>
      <w:r w:rsidR="001667E2">
        <w:rPr>
          <w:rFonts w:ascii="Calibri" w:eastAsia="Calibri" w:hAnsi="Calibri" w:cs="Calibri"/>
          <w:color w:val="000000" w:themeColor="text1"/>
          <w:sz w:val="22"/>
          <w:szCs w:val="22"/>
        </w:rPr>
        <w:t>genyen yon akò pou peman lwaye altènatif nou te apwouve</w:t>
      </w:r>
      <w:r w:rsidR="4AFB581A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2619A6A5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1667E2">
        <w:rPr>
          <w:rFonts w:ascii="Calibri" w:eastAsia="Calibri" w:hAnsi="Calibri" w:cs="Calibri"/>
          <w:color w:val="000000" w:themeColor="text1"/>
          <w:sz w:val="22"/>
          <w:szCs w:val="22"/>
        </w:rPr>
        <w:t>Li poko sèten si pral genyen plis asistans ak lwaye k ap disponib atravè pwogram sa a, byenke li posib</w:t>
      </w:r>
      <w:r w:rsidR="533C8415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 </w:t>
      </w:r>
    </w:p>
    <w:p w14:paraId="61C55A65" w14:textId="02495849" w:rsidR="25E1E077" w:rsidRDefault="001667E2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Tanpri kontakte manadjè pwopriyete Otorite Lojman w nan </w:t>
      </w:r>
      <w:r w:rsidR="08D52268" w:rsidRPr="021F145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_______________________________ 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pou aprann plis sou si w elijib pou èd atravè </w:t>
      </w:r>
      <w:r w:rsidR="08D52268" w:rsidRPr="021F145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SHERA.  </w:t>
      </w:r>
      <w:r w:rsidR="00C337D2" w:rsidRPr="00C337D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Pou asistans pou w konprann lèt sa a, pou asistans lengwistik, oswa pou akomodasyon rezonab, tanpri kontakte </w:t>
      </w:r>
      <w:r w:rsidR="08D52268" w:rsidRPr="021F145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________________.</w:t>
      </w:r>
    </w:p>
    <w:p w14:paraId="543A71F8" w14:textId="53337DDB" w:rsidR="46A92BC1" w:rsidRDefault="46A92BC1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8523E5B" w14:textId="3CFEDF07" w:rsidR="00735474" w:rsidRDefault="00945B8A" w:rsidP="46A92BC1">
      <w:pPr>
        <w:spacing w:after="160" w:line="259" w:lineRule="auto"/>
      </w:pPr>
      <w:r w:rsidRPr="00D40790">
        <w:rPr>
          <w:rFonts w:ascii="Calibri" w:eastAsia="Calibri" w:hAnsi="Calibri" w:cs="Calibri"/>
          <w:color w:val="000000" w:themeColor="text1"/>
          <w:sz w:val="22"/>
          <w:szCs w:val="22"/>
        </w:rPr>
        <w:t>Sensèman</w:t>
      </w:r>
      <w:r w:rsidR="25E1E077" w:rsidRPr="2C98B577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25E1E077">
        <w:t xml:space="preserve"> </w:t>
      </w:r>
    </w:p>
    <w:p w14:paraId="3EF8F5A9" w14:textId="77777777" w:rsidR="00735474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FF52D55" w14:textId="77777777" w:rsidR="00735474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</w:t>
      </w:r>
      <w:r>
        <w:rPr>
          <w:rStyle w:val="eop"/>
          <w:rFonts w:ascii="Calibri" w:hAnsi="Calibri" w:cs="Calibri"/>
        </w:rPr>
        <w:t> </w:t>
      </w:r>
    </w:p>
    <w:p w14:paraId="2BD90706" w14:textId="37E2982B" w:rsidR="00735474" w:rsidRDefault="002A4C15" w:rsidP="30316B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A4C15">
        <w:rPr>
          <w:rFonts w:ascii="Calibri" w:hAnsi="Calibri" w:cs="Calibri"/>
        </w:rPr>
        <w:t>Manadjè Pwopriyete a</w:t>
      </w:r>
      <w:r w:rsidR="00735474" w:rsidRPr="30316BB7">
        <w:rPr>
          <w:rStyle w:val="normaltextrun"/>
          <w:rFonts w:ascii="Calibri" w:hAnsi="Calibri" w:cs="Calibri"/>
        </w:rPr>
        <w:t> </w:t>
      </w:r>
      <w:r w:rsidR="00735474" w:rsidRPr="30316BB7">
        <w:rPr>
          <w:rStyle w:val="eop"/>
          <w:rFonts w:ascii="Calibri" w:hAnsi="Calibri" w:cs="Calibri"/>
        </w:rPr>
        <w:t> </w:t>
      </w:r>
    </w:p>
    <w:p w14:paraId="3FEF2F72" w14:textId="59B50BEE" w:rsidR="00735474" w:rsidRDefault="6AD3C024" w:rsidP="2C0CB2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11713488" wp14:editId="260181FF">
            <wp:extent cx="8763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10FFF8C">
        <w:rPr>
          <w:rStyle w:val="eop"/>
          <w:rFonts w:ascii="Calibri" w:hAnsi="Calibri" w:cs="Calibri"/>
        </w:rPr>
        <w:t> </w:t>
      </w:r>
    </w:p>
    <w:p w14:paraId="6D20965A" w14:textId="1FD62A00" w:rsidR="44149D18" w:rsidRDefault="44149D18" w:rsidP="44149D18">
      <w:pPr>
        <w:pStyle w:val="paragraph"/>
        <w:spacing w:before="0" w:beforeAutospacing="0" w:after="0" w:afterAutospacing="0"/>
        <w:rPr>
          <w:rStyle w:val="eop"/>
        </w:rPr>
      </w:pPr>
    </w:p>
    <w:p w14:paraId="61B37C84" w14:textId="626E8FD8" w:rsidR="44149D18" w:rsidRDefault="44149D18" w:rsidP="44149D18">
      <w:pPr>
        <w:pStyle w:val="paragraph"/>
        <w:spacing w:before="0" w:beforeAutospacing="0" w:after="0" w:afterAutospacing="0"/>
        <w:rPr>
          <w:rStyle w:val="eop"/>
        </w:rPr>
      </w:pPr>
    </w:p>
    <w:p w14:paraId="103A8EF5" w14:textId="36D6CD4D" w:rsidR="44149D18" w:rsidRDefault="44149D18" w:rsidP="44149D18">
      <w:pPr>
        <w:pStyle w:val="paragraph"/>
        <w:spacing w:before="0" w:beforeAutospacing="0" w:after="0" w:afterAutospacing="0"/>
        <w:rPr>
          <w:rStyle w:val="eop"/>
        </w:rPr>
      </w:pPr>
    </w:p>
    <w:p w14:paraId="50F13D32" w14:textId="613476F8" w:rsidR="00BC530E" w:rsidRDefault="00BC530E" w:rsidP="3C056A87">
      <w:pPr>
        <w:rPr>
          <w:rStyle w:val="eop"/>
          <w:rFonts w:ascii="Times New Roman" w:eastAsia="Times New Roman" w:hAnsi="Times New Roman" w:cs="Times New Roman"/>
        </w:rPr>
      </w:pPr>
    </w:p>
    <w:sectPr w:rsidR="00BC530E" w:rsidSect="009E48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E709" w14:textId="77777777" w:rsidR="00F62AD2" w:rsidRDefault="00F62AD2" w:rsidP="00026141">
      <w:r>
        <w:separator/>
      </w:r>
    </w:p>
  </w:endnote>
  <w:endnote w:type="continuationSeparator" w:id="0">
    <w:p w14:paraId="76761C89" w14:textId="77777777" w:rsidR="00F62AD2" w:rsidRDefault="00F62AD2" w:rsidP="00026141">
      <w:r>
        <w:continuationSeparator/>
      </w:r>
    </w:p>
  </w:endnote>
  <w:endnote w:type="continuationNotice" w:id="1">
    <w:p w14:paraId="0A61E2BE" w14:textId="77777777" w:rsidR="00F62AD2" w:rsidRDefault="00F62A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3DF2" w14:textId="77777777" w:rsidR="00026141" w:rsidRDefault="00026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D9F1" w14:textId="77777777" w:rsidR="00026141" w:rsidRDefault="00026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42D7" w14:textId="77777777" w:rsidR="00026141" w:rsidRDefault="00026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1AD1" w14:textId="77777777" w:rsidR="00F62AD2" w:rsidRDefault="00F62AD2" w:rsidP="00026141">
      <w:r>
        <w:separator/>
      </w:r>
    </w:p>
  </w:footnote>
  <w:footnote w:type="continuationSeparator" w:id="0">
    <w:p w14:paraId="476AF9AC" w14:textId="77777777" w:rsidR="00F62AD2" w:rsidRDefault="00F62AD2" w:rsidP="00026141">
      <w:r>
        <w:continuationSeparator/>
      </w:r>
    </w:p>
  </w:footnote>
  <w:footnote w:type="continuationNotice" w:id="1">
    <w:p w14:paraId="091572EC" w14:textId="77777777" w:rsidR="00F62AD2" w:rsidRDefault="00F62A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36DC" w14:textId="65460687" w:rsidR="00026141" w:rsidRDefault="00026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31D6" w14:textId="4A75522B" w:rsidR="00026141" w:rsidRDefault="00026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A159" w14:textId="72EF66C2" w:rsidR="00026141" w:rsidRDefault="00026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F9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505A"/>
    <w:rsid w:val="00026141"/>
    <w:rsid w:val="000340CE"/>
    <w:rsid w:val="00034FD0"/>
    <w:rsid w:val="00042CFB"/>
    <w:rsid w:val="0007066B"/>
    <w:rsid w:val="000864D4"/>
    <w:rsid w:val="000E6E2A"/>
    <w:rsid w:val="00103DD2"/>
    <w:rsid w:val="00142ABD"/>
    <w:rsid w:val="00147368"/>
    <w:rsid w:val="00147380"/>
    <w:rsid w:val="001667E2"/>
    <w:rsid w:val="001A6105"/>
    <w:rsid w:val="001A7B8A"/>
    <w:rsid w:val="001B6B2E"/>
    <w:rsid w:val="001D2473"/>
    <w:rsid w:val="001E3F4E"/>
    <w:rsid w:val="001F4871"/>
    <w:rsid w:val="001F5923"/>
    <w:rsid w:val="002322F6"/>
    <w:rsid w:val="0027122B"/>
    <w:rsid w:val="00272645"/>
    <w:rsid w:val="00287305"/>
    <w:rsid w:val="002A4C15"/>
    <w:rsid w:val="002B2C08"/>
    <w:rsid w:val="002B6295"/>
    <w:rsid w:val="002C4C62"/>
    <w:rsid w:val="002C5E73"/>
    <w:rsid w:val="002D2144"/>
    <w:rsid w:val="002E3A3C"/>
    <w:rsid w:val="00301381"/>
    <w:rsid w:val="003612FE"/>
    <w:rsid w:val="00375C48"/>
    <w:rsid w:val="00392D4C"/>
    <w:rsid w:val="003D068A"/>
    <w:rsid w:val="003D341B"/>
    <w:rsid w:val="003D6F55"/>
    <w:rsid w:val="003D77B2"/>
    <w:rsid w:val="003E39A8"/>
    <w:rsid w:val="0049682C"/>
    <w:rsid w:val="004C3EA9"/>
    <w:rsid w:val="004D731B"/>
    <w:rsid w:val="00514D0F"/>
    <w:rsid w:val="00545024"/>
    <w:rsid w:val="0055061C"/>
    <w:rsid w:val="005532AD"/>
    <w:rsid w:val="00560F5E"/>
    <w:rsid w:val="00566C70"/>
    <w:rsid w:val="0058196C"/>
    <w:rsid w:val="00586C57"/>
    <w:rsid w:val="005A3212"/>
    <w:rsid w:val="005C1E5A"/>
    <w:rsid w:val="005EF2A9"/>
    <w:rsid w:val="006124B8"/>
    <w:rsid w:val="00625047"/>
    <w:rsid w:val="00631072"/>
    <w:rsid w:val="006667BF"/>
    <w:rsid w:val="00676E60"/>
    <w:rsid w:val="006A5ED8"/>
    <w:rsid w:val="006B0872"/>
    <w:rsid w:val="006C5725"/>
    <w:rsid w:val="006F6DDC"/>
    <w:rsid w:val="00700B57"/>
    <w:rsid w:val="007116CA"/>
    <w:rsid w:val="00735474"/>
    <w:rsid w:val="00740257"/>
    <w:rsid w:val="00755F03"/>
    <w:rsid w:val="00775B2E"/>
    <w:rsid w:val="007851F5"/>
    <w:rsid w:val="00794318"/>
    <w:rsid w:val="0079535A"/>
    <w:rsid w:val="00795E60"/>
    <w:rsid w:val="007A69AF"/>
    <w:rsid w:val="007B1B3D"/>
    <w:rsid w:val="007B543B"/>
    <w:rsid w:val="007E2B8A"/>
    <w:rsid w:val="007E6FF1"/>
    <w:rsid w:val="00820C22"/>
    <w:rsid w:val="0083592B"/>
    <w:rsid w:val="00847930"/>
    <w:rsid w:val="00863764"/>
    <w:rsid w:val="00866396"/>
    <w:rsid w:val="0088668C"/>
    <w:rsid w:val="0089160D"/>
    <w:rsid w:val="008B2C2B"/>
    <w:rsid w:val="008B6271"/>
    <w:rsid w:val="008E439F"/>
    <w:rsid w:val="008E5AE9"/>
    <w:rsid w:val="008E64EB"/>
    <w:rsid w:val="008E7A6B"/>
    <w:rsid w:val="00906D7D"/>
    <w:rsid w:val="00913C39"/>
    <w:rsid w:val="00927E46"/>
    <w:rsid w:val="0093167C"/>
    <w:rsid w:val="00935A96"/>
    <w:rsid w:val="00945B8A"/>
    <w:rsid w:val="00963EBD"/>
    <w:rsid w:val="009A03C3"/>
    <w:rsid w:val="009C340E"/>
    <w:rsid w:val="009D2244"/>
    <w:rsid w:val="009E4832"/>
    <w:rsid w:val="009F41B6"/>
    <w:rsid w:val="00A143D9"/>
    <w:rsid w:val="00A1782C"/>
    <w:rsid w:val="00A22B7F"/>
    <w:rsid w:val="00A43E7C"/>
    <w:rsid w:val="00A52279"/>
    <w:rsid w:val="00A52C88"/>
    <w:rsid w:val="00A61F6A"/>
    <w:rsid w:val="00AB6386"/>
    <w:rsid w:val="00AC1DE5"/>
    <w:rsid w:val="00AD478F"/>
    <w:rsid w:val="00B14539"/>
    <w:rsid w:val="00B239AD"/>
    <w:rsid w:val="00B42232"/>
    <w:rsid w:val="00B54DE9"/>
    <w:rsid w:val="00BC530E"/>
    <w:rsid w:val="00BC6EEB"/>
    <w:rsid w:val="00BD1A15"/>
    <w:rsid w:val="00BD4586"/>
    <w:rsid w:val="00BF02F6"/>
    <w:rsid w:val="00C014CC"/>
    <w:rsid w:val="00C14C28"/>
    <w:rsid w:val="00C337D2"/>
    <w:rsid w:val="00C543D7"/>
    <w:rsid w:val="00C81E2B"/>
    <w:rsid w:val="00C865FF"/>
    <w:rsid w:val="00C902F1"/>
    <w:rsid w:val="00CA7B9E"/>
    <w:rsid w:val="00CB3F68"/>
    <w:rsid w:val="00CB658A"/>
    <w:rsid w:val="00CB6F32"/>
    <w:rsid w:val="00CC475B"/>
    <w:rsid w:val="00CC5F43"/>
    <w:rsid w:val="00D1313A"/>
    <w:rsid w:val="00D713E8"/>
    <w:rsid w:val="00D733A6"/>
    <w:rsid w:val="00D746C6"/>
    <w:rsid w:val="00D82152"/>
    <w:rsid w:val="00D96F89"/>
    <w:rsid w:val="00DC12D2"/>
    <w:rsid w:val="00DC16F8"/>
    <w:rsid w:val="00DD168D"/>
    <w:rsid w:val="00DD5297"/>
    <w:rsid w:val="00DE1F22"/>
    <w:rsid w:val="00DF200E"/>
    <w:rsid w:val="00E06925"/>
    <w:rsid w:val="00E17E5D"/>
    <w:rsid w:val="00E2794F"/>
    <w:rsid w:val="00E529A5"/>
    <w:rsid w:val="00E55F39"/>
    <w:rsid w:val="00E716FC"/>
    <w:rsid w:val="00E75561"/>
    <w:rsid w:val="00E7620E"/>
    <w:rsid w:val="00E877C2"/>
    <w:rsid w:val="00EB42A3"/>
    <w:rsid w:val="00EB648F"/>
    <w:rsid w:val="00EC499D"/>
    <w:rsid w:val="00ED1A98"/>
    <w:rsid w:val="00F13959"/>
    <w:rsid w:val="00F253C7"/>
    <w:rsid w:val="00F62AD2"/>
    <w:rsid w:val="00F63896"/>
    <w:rsid w:val="00F9604C"/>
    <w:rsid w:val="00F97C8D"/>
    <w:rsid w:val="00FB4917"/>
    <w:rsid w:val="00FB4AD0"/>
    <w:rsid w:val="00FB6F3F"/>
    <w:rsid w:val="00FD6688"/>
    <w:rsid w:val="0111AC86"/>
    <w:rsid w:val="0129F2B5"/>
    <w:rsid w:val="013E875C"/>
    <w:rsid w:val="016455CB"/>
    <w:rsid w:val="01A4F712"/>
    <w:rsid w:val="01D9ADC7"/>
    <w:rsid w:val="01DE66BC"/>
    <w:rsid w:val="01EFD7DC"/>
    <w:rsid w:val="020BEF14"/>
    <w:rsid w:val="021F1451"/>
    <w:rsid w:val="02337295"/>
    <w:rsid w:val="0272163F"/>
    <w:rsid w:val="027AFF6F"/>
    <w:rsid w:val="02A5AFC9"/>
    <w:rsid w:val="02F28F69"/>
    <w:rsid w:val="03255CA2"/>
    <w:rsid w:val="032ADB79"/>
    <w:rsid w:val="032AFA63"/>
    <w:rsid w:val="0340519F"/>
    <w:rsid w:val="0346BD97"/>
    <w:rsid w:val="036A2AE2"/>
    <w:rsid w:val="038CB82C"/>
    <w:rsid w:val="03957C76"/>
    <w:rsid w:val="03E44A75"/>
    <w:rsid w:val="03FF7211"/>
    <w:rsid w:val="042E936E"/>
    <w:rsid w:val="04359741"/>
    <w:rsid w:val="045105DC"/>
    <w:rsid w:val="049BF68D"/>
    <w:rsid w:val="04C0D0AF"/>
    <w:rsid w:val="04E294CF"/>
    <w:rsid w:val="04F32DA4"/>
    <w:rsid w:val="0518CE7B"/>
    <w:rsid w:val="05193C0F"/>
    <w:rsid w:val="053328FA"/>
    <w:rsid w:val="05438FD6"/>
    <w:rsid w:val="054C2003"/>
    <w:rsid w:val="056519DE"/>
    <w:rsid w:val="056EDBEA"/>
    <w:rsid w:val="057ECEBA"/>
    <w:rsid w:val="058757D5"/>
    <w:rsid w:val="05B641EE"/>
    <w:rsid w:val="060B2E6A"/>
    <w:rsid w:val="06539272"/>
    <w:rsid w:val="069303E6"/>
    <w:rsid w:val="06D9A2E4"/>
    <w:rsid w:val="06E02743"/>
    <w:rsid w:val="07243809"/>
    <w:rsid w:val="075BC000"/>
    <w:rsid w:val="079B7A3E"/>
    <w:rsid w:val="07A75498"/>
    <w:rsid w:val="07BFC709"/>
    <w:rsid w:val="087DB289"/>
    <w:rsid w:val="088075F0"/>
    <w:rsid w:val="08866140"/>
    <w:rsid w:val="08C13874"/>
    <w:rsid w:val="08C172E0"/>
    <w:rsid w:val="08C58A24"/>
    <w:rsid w:val="08D52268"/>
    <w:rsid w:val="08EF19F0"/>
    <w:rsid w:val="08F79061"/>
    <w:rsid w:val="092E2F28"/>
    <w:rsid w:val="09DD6286"/>
    <w:rsid w:val="0A0AD490"/>
    <w:rsid w:val="0A3B6933"/>
    <w:rsid w:val="0A5902EA"/>
    <w:rsid w:val="0AAD211D"/>
    <w:rsid w:val="0ABA4357"/>
    <w:rsid w:val="0B492B33"/>
    <w:rsid w:val="0B7B6DC8"/>
    <w:rsid w:val="0B9B9A0D"/>
    <w:rsid w:val="0C01892F"/>
    <w:rsid w:val="0C1B6025"/>
    <w:rsid w:val="0C38519D"/>
    <w:rsid w:val="0C728BE5"/>
    <w:rsid w:val="0C9511C9"/>
    <w:rsid w:val="0C95CD9B"/>
    <w:rsid w:val="0CDA7A12"/>
    <w:rsid w:val="0D0A76EE"/>
    <w:rsid w:val="0D1DC404"/>
    <w:rsid w:val="0DC04CED"/>
    <w:rsid w:val="0DEF5A16"/>
    <w:rsid w:val="0E255A47"/>
    <w:rsid w:val="0E2D4E05"/>
    <w:rsid w:val="0E909441"/>
    <w:rsid w:val="0EA6F5F8"/>
    <w:rsid w:val="0F04EE5A"/>
    <w:rsid w:val="0F077806"/>
    <w:rsid w:val="0F4F6BAA"/>
    <w:rsid w:val="0F5BC04E"/>
    <w:rsid w:val="0F8D735B"/>
    <w:rsid w:val="1011D9AA"/>
    <w:rsid w:val="106AD73E"/>
    <w:rsid w:val="1072EC4C"/>
    <w:rsid w:val="1077B2B0"/>
    <w:rsid w:val="10CBE480"/>
    <w:rsid w:val="10CF9A76"/>
    <w:rsid w:val="110FFF8C"/>
    <w:rsid w:val="112944FC"/>
    <w:rsid w:val="116D2637"/>
    <w:rsid w:val="1183A5A2"/>
    <w:rsid w:val="119A0C55"/>
    <w:rsid w:val="11C357A3"/>
    <w:rsid w:val="11C3F6B9"/>
    <w:rsid w:val="11CF4E8C"/>
    <w:rsid w:val="11E52722"/>
    <w:rsid w:val="11EB0A19"/>
    <w:rsid w:val="11FD51E1"/>
    <w:rsid w:val="12159A72"/>
    <w:rsid w:val="124AFB29"/>
    <w:rsid w:val="1276B16F"/>
    <w:rsid w:val="129C027B"/>
    <w:rsid w:val="12FAE391"/>
    <w:rsid w:val="13050F1F"/>
    <w:rsid w:val="1307446C"/>
    <w:rsid w:val="134090BB"/>
    <w:rsid w:val="134CC931"/>
    <w:rsid w:val="1353BFD8"/>
    <w:rsid w:val="1368F0B0"/>
    <w:rsid w:val="13AAC08C"/>
    <w:rsid w:val="147C669D"/>
    <w:rsid w:val="14AB9D85"/>
    <w:rsid w:val="14B0F18E"/>
    <w:rsid w:val="14B21A57"/>
    <w:rsid w:val="151F8EE1"/>
    <w:rsid w:val="1550DA74"/>
    <w:rsid w:val="15926CCC"/>
    <w:rsid w:val="159586EB"/>
    <w:rsid w:val="15EA7A6D"/>
    <w:rsid w:val="163CAFE1"/>
    <w:rsid w:val="1655508E"/>
    <w:rsid w:val="166AF488"/>
    <w:rsid w:val="1673654A"/>
    <w:rsid w:val="16827DC9"/>
    <w:rsid w:val="169A4F5A"/>
    <w:rsid w:val="17037EAE"/>
    <w:rsid w:val="173ADA1C"/>
    <w:rsid w:val="1763B76B"/>
    <w:rsid w:val="17D88042"/>
    <w:rsid w:val="17EFB40F"/>
    <w:rsid w:val="181D4E34"/>
    <w:rsid w:val="182D0EF3"/>
    <w:rsid w:val="183645C2"/>
    <w:rsid w:val="183713CC"/>
    <w:rsid w:val="185343FB"/>
    <w:rsid w:val="187432F3"/>
    <w:rsid w:val="1900A956"/>
    <w:rsid w:val="191B64C2"/>
    <w:rsid w:val="194FD7C0"/>
    <w:rsid w:val="1975F3D1"/>
    <w:rsid w:val="1989F57E"/>
    <w:rsid w:val="19CB5FB6"/>
    <w:rsid w:val="19DAFF53"/>
    <w:rsid w:val="19E8B5F8"/>
    <w:rsid w:val="19EC0C8A"/>
    <w:rsid w:val="1A0FDE18"/>
    <w:rsid w:val="1A386AAC"/>
    <w:rsid w:val="1A86758E"/>
    <w:rsid w:val="1B1131B6"/>
    <w:rsid w:val="1B1401B6"/>
    <w:rsid w:val="1B5B8179"/>
    <w:rsid w:val="1B6F5102"/>
    <w:rsid w:val="1B87FA6E"/>
    <w:rsid w:val="1C1F58AE"/>
    <w:rsid w:val="1C20D093"/>
    <w:rsid w:val="1C2E472B"/>
    <w:rsid w:val="1C86EAC5"/>
    <w:rsid w:val="1CABF165"/>
    <w:rsid w:val="1CD2F2F2"/>
    <w:rsid w:val="1D3F561F"/>
    <w:rsid w:val="1D4E8010"/>
    <w:rsid w:val="1DA01BD6"/>
    <w:rsid w:val="1DA39BD1"/>
    <w:rsid w:val="1E069F51"/>
    <w:rsid w:val="1E77443C"/>
    <w:rsid w:val="1EAB9512"/>
    <w:rsid w:val="1EC20FC1"/>
    <w:rsid w:val="1F1F1D1A"/>
    <w:rsid w:val="1F37E68D"/>
    <w:rsid w:val="1FE00089"/>
    <w:rsid w:val="2031AD09"/>
    <w:rsid w:val="2031F016"/>
    <w:rsid w:val="20949DCD"/>
    <w:rsid w:val="20BF5BC6"/>
    <w:rsid w:val="215A6807"/>
    <w:rsid w:val="215F4B83"/>
    <w:rsid w:val="217B0C59"/>
    <w:rsid w:val="21A8BCE9"/>
    <w:rsid w:val="22111139"/>
    <w:rsid w:val="2231F893"/>
    <w:rsid w:val="2249BF18"/>
    <w:rsid w:val="2251C5C2"/>
    <w:rsid w:val="227A383F"/>
    <w:rsid w:val="227CE3CF"/>
    <w:rsid w:val="228326A3"/>
    <w:rsid w:val="22D54F72"/>
    <w:rsid w:val="230C2F2E"/>
    <w:rsid w:val="23345B46"/>
    <w:rsid w:val="23500F11"/>
    <w:rsid w:val="236633B4"/>
    <w:rsid w:val="23B9F306"/>
    <w:rsid w:val="24805A32"/>
    <w:rsid w:val="24B2AD1B"/>
    <w:rsid w:val="24C7501D"/>
    <w:rsid w:val="2522D261"/>
    <w:rsid w:val="252B2326"/>
    <w:rsid w:val="2531E827"/>
    <w:rsid w:val="2556C6E3"/>
    <w:rsid w:val="255D2110"/>
    <w:rsid w:val="25E1E077"/>
    <w:rsid w:val="2619A6A5"/>
    <w:rsid w:val="26827B79"/>
    <w:rsid w:val="269E1612"/>
    <w:rsid w:val="26A6C6C7"/>
    <w:rsid w:val="26BEA2C2"/>
    <w:rsid w:val="26EEE452"/>
    <w:rsid w:val="27660BE5"/>
    <w:rsid w:val="27F5237A"/>
    <w:rsid w:val="27FB98A4"/>
    <w:rsid w:val="2807CC69"/>
    <w:rsid w:val="2860FDC0"/>
    <w:rsid w:val="2899CC51"/>
    <w:rsid w:val="28A24926"/>
    <w:rsid w:val="28AD79CB"/>
    <w:rsid w:val="28BCE3E5"/>
    <w:rsid w:val="28D511E2"/>
    <w:rsid w:val="28F5B9B4"/>
    <w:rsid w:val="293CEC2C"/>
    <w:rsid w:val="294EE4A5"/>
    <w:rsid w:val="29BD34A9"/>
    <w:rsid w:val="2A9902EB"/>
    <w:rsid w:val="2BA1AE3F"/>
    <w:rsid w:val="2BFB275E"/>
    <w:rsid w:val="2C0CB2A4"/>
    <w:rsid w:val="2C1B4648"/>
    <w:rsid w:val="2C753A21"/>
    <w:rsid w:val="2C98B577"/>
    <w:rsid w:val="2CA0F517"/>
    <w:rsid w:val="2CEEDDB4"/>
    <w:rsid w:val="2D65F151"/>
    <w:rsid w:val="2DB606A4"/>
    <w:rsid w:val="2DE27DAD"/>
    <w:rsid w:val="2DF402FF"/>
    <w:rsid w:val="2E59FB76"/>
    <w:rsid w:val="2E8E59CD"/>
    <w:rsid w:val="2EC33C4A"/>
    <w:rsid w:val="2EDD13E3"/>
    <w:rsid w:val="2EFEB4AC"/>
    <w:rsid w:val="2F6C740E"/>
    <w:rsid w:val="2F8F8F39"/>
    <w:rsid w:val="300E2891"/>
    <w:rsid w:val="30316BB7"/>
    <w:rsid w:val="3031FE39"/>
    <w:rsid w:val="306C7B1F"/>
    <w:rsid w:val="30832D01"/>
    <w:rsid w:val="309024AA"/>
    <w:rsid w:val="30E432FA"/>
    <w:rsid w:val="314E8CA5"/>
    <w:rsid w:val="316374E6"/>
    <w:rsid w:val="31844B7B"/>
    <w:rsid w:val="320F5688"/>
    <w:rsid w:val="321F55F2"/>
    <w:rsid w:val="323FCF61"/>
    <w:rsid w:val="32755113"/>
    <w:rsid w:val="32ABA021"/>
    <w:rsid w:val="32B32D15"/>
    <w:rsid w:val="32C4949E"/>
    <w:rsid w:val="32D4F821"/>
    <w:rsid w:val="32DCC216"/>
    <w:rsid w:val="32F25D45"/>
    <w:rsid w:val="33126138"/>
    <w:rsid w:val="33648729"/>
    <w:rsid w:val="3463005C"/>
    <w:rsid w:val="34704777"/>
    <w:rsid w:val="347663A5"/>
    <w:rsid w:val="34D985BE"/>
    <w:rsid w:val="34E7C946"/>
    <w:rsid w:val="34F02E78"/>
    <w:rsid w:val="3515114C"/>
    <w:rsid w:val="3567B6D2"/>
    <w:rsid w:val="358A623E"/>
    <w:rsid w:val="35B7C081"/>
    <w:rsid w:val="35F1625E"/>
    <w:rsid w:val="35F4BE98"/>
    <w:rsid w:val="367637AD"/>
    <w:rsid w:val="368D2F83"/>
    <w:rsid w:val="36BE6B4E"/>
    <w:rsid w:val="36CF8A74"/>
    <w:rsid w:val="37FFB265"/>
    <w:rsid w:val="38492B83"/>
    <w:rsid w:val="3857E32D"/>
    <w:rsid w:val="3880B37A"/>
    <w:rsid w:val="38A39395"/>
    <w:rsid w:val="38C40E3C"/>
    <w:rsid w:val="38CD6F2D"/>
    <w:rsid w:val="38DDA3B1"/>
    <w:rsid w:val="392BFC69"/>
    <w:rsid w:val="39948EC1"/>
    <w:rsid w:val="39F39BA1"/>
    <w:rsid w:val="3A26F78C"/>
    <w:rsid w:val="3A628ACE"/>
    <w:rsid w:val="3A738C17"/>
    <w:rsid w:val="3A8040E7"/>
    <w:rsid w:val="3A881E98"/>
    <w:rsid w:val="3ABD29BA"/>
    <w:rsid w:val="3ACA4ABC"/>
    <w:rsid w:val="3ACF0F0B"/>
    <w:rsid w:val="3AE701E4"/>
    <w:rsid w:val="3AEF0991"/>
    <w:rsid w:val="3B068079"/>
    <w:rsid w:val="3B684EA4"/>
    <w:rsid w:val="3B778989"/>
    <w:rsid w:val="3B823E63"/>
    <w:rsid w:val="3BBE927B"/>
    <w:rsid w:val="3BCCF109"/>
    <w:rsid w:val="3BFEED53"/>
    <w:rsid w:val="3C056A87"/>
    <w:rsid w:val="3C6AA150"/>
    <w:rsid w:val="3CB2B4E9"/>
    <w:rsid w:val="3CB9FB2B"/>
    <w:rsid w:val="3CD0F6D1"/>
    <w:rsid w:val="3D0C694F"/>
    <w:rsid w:val="3D773451"/>
    <w:rsid w:val="3D7809C8"/>
    <w:rsid w:val="3D913E04"/>
    <w:rsid w:val="3E386595"/>
    <w:rsid w:val="3E4EA828"/>
    <w:rsid w:val="3E50E744"/>
    <w:rsid w:val="3E96F7D8"/>
    <w:rsid w:val="3E9D5A7B"/>
    <w:rsid w:val="3EC8221A"/>
    <w:rsid w:val="3FF2C90B"/>
    <w:rsid w:val="4005B482"/>
    <w:rsid w:val="4044EF10"/>
    <w:rsid w:val="40809574"/>
    <w:rsid w:val="40E17711"/>
    <w:rsid w:val="40E79276"/>
    <w:rsid w:val="41A0DA47"/>
    <w:rsid w:val="41BC85B5"/>
    <w:rsid w:val="4249C83A"/>
    <w:rsid w:val="4255F32B"/>
    <w:rsid w:val="42666A90"/>
    <w:rsid w:val="4269092D"/>
    <w:rsid w:val="430875FC"/>
    <w:rsid w:val="430FC5DC"/>
    <w:rsid w:val="4379EB8D"/>
    <w:rsid w:val="43A7CDC2"/>
    <w:rsid w:val="43EE6CFA"/>
    <w:rsid w:val="4413925A"/>
    <w:rsid w:val="44149D18"/>
    <w:rsid w:val="44414AF1"/>
    <w:rsid w:val="44601EFE"/>
    <w:rsid w:val="44E4C4B3"/>
    <w:rsid w:val="451FAF37"/>
    <w:rsid w:val="4534B463"/>
    <w:rsid w:val="45739D86"/>
    <w:rsid w:val="45874E56"/>
    <w:rsid w:val="459C7B46"/>
    <w:rsid w:val="45C79A2B"/>
    <w:rsid w:val="460BA0E2"/>
    <w:rsid w:val="46A92BC1"/>
    <w:rsid w:val="471AED61"/>
    <w:rsid w:val="473F00A7"/>
    <w:rsid w:val="4746903C"/>
    <w:rsid w:val="475D1B51"/>
    <w:rsid w:val="476AC99D"/>
    <w:rsid w:val="4779BD1F"/>
    <w:rsid w:val="47C5F989"/>
    <w:rsid w:val="48530C01"/>
    <w:rsid w:val="486BDD37"/>
    <w:rsid w:val="48E44B5F"/>
    <w:rsid w:val="4901F05E"/>
    <w:rsid w:val="4968EFD9"/>
    <w:rsid w:val="498900C7"/>
    <w:rsid w:val="49AD6EB0"/>
    <w:rsid w:val="49F8BB6C"/>
    <w:rsid w:val="4A3F325D"/>
    <w:rsid w:val="4A551840"/>
    <w:rsid w:val="4A6456E9"/>
    <w:rsid w:val="4AD06626"/>
    <w:rsid w:val="4AD29AB6"/>
    <w:rsid w:val="4AFB581A"/>
    <w:rsid w:val="4B4F4229"/>
    <w:rsid w:val="4B572DA8"/>
    <w:rsid w:val="4BB5E7A7"/>
    <w:rsid w:val="4BB751A2"/>
    <w:rsid w:val="4BBDD4A7"/>
    <w:rsid w:val="4BD65404"/>
    <w:rsid w:val="4BF50E45"/>
    <w:rsid w:val="4BF620E9"/>
    <w:rsid w:val="4C0EF9EC"/>
    <w:rsid w:val="4C35147E"/>
    <w:rsid w:val="4C5C8FD7"/>
    <w:rsid w:val="4D17ECAB"/>
    <w:rsid w:val="4D78A4B7"/>
    <w:rsid w:val="4DD0E4DF"/>
    <w:rsid w:val="4E86315C"/>
    <w:rsid w:val="4E9B1549"/>
    <w:rsid w:val="4EFAD0A9"/>
    <w:rsid w:val="4F4B2B38"/>
    <w:rsid w:val="4F78E92F"/>
    <w:rsid w:val="4F7C2783"/>
    <w:rsid w:val="4FB4D35D"/>
    <w:rsid w:val="508AC2C5"/>
    <w:rsid w:val="50BF10F0"/>
    <w:rsid w:val="50CAE461"/>
    <w:rsid w:val="512449A4"/>
    <w:rsid w:val="5126E18E"/>
    <w:rsid w:val="514A7D82"/>
    <w:rsid w:val="514B9835"/>
    <w:rsid w:val="51545F80"/>
    <w:rsid w:val="51560BF4"/>
    <w:rsid w:val="520606E8"/>
    <w:rsid w:val="5253BAF5"/>
    <w:rsid w:val="526214DE"/>
    <w:rsid w:val="52FADB44"/>
    <w:rsid w:val="52FEBE86"/>
    <w:rsid w:val="532C8F86"/>
    <w:rsid w:val="5333109A"/>
    <w:rsid w:val="533C8415"/>
    <w:rsid w:val="53CE1225"/>
    <w:rsid w:val="53E735B5"/>
    <w:rsid w:val="546FC807"/>
    <w:rsid w:val="54764EF7"/>
    <w:rsid w:val="54867B9E"/>
    <w:rsid w:val="54AF360E"/>
    <w:rsid w:val="54BF023D"/>
    <w:rsid w:val="54DBAE0E"/>
    <w:rsid w:val="54DF112E"/>
    <w:rsid w:val="55494655"/>
    <w:rsid w:val="554D8E84"/>
    <w:rsid w:val="55A1FBE7"/>
    <w:rsid w:val="55A2B762"/>
    <w:rsid w:val="55F4B508"/>
    <w:rsid w:val="562C1361"/>
    <w:rsid w:val="562C6CA7"/>
    <w:rsid w:val="562E9D7E"/>
    <w:rsid w:val="5663F73F"/>
    <w:rsid w:val="56AAF7DA"/>
    <w:rsid w:val="56B5997F"/>
    <w:rsid w:val="56B5D588"/>
    <w:rsid w:val="56BD16C0"/>
    <w:rsid w:val="56D2449C"/>
    <w:rsid w:val="571668C4"/>
    <w:rsid w:val="576EC9E5"/>
    <w:rsid w:val="579546CB"/>
    <w:rsid w:val="57C7DA2E"/>
    <w:rsid w:val="57CF6045"/>
    <w:rsid w:val="582C8870"/>
    <w:rsid w:val="5850EB4F"/>
    <w:rsid w:val="58D4A0BA"/>
    <w:rsid w:val="58DA5824"/>
    <w:rsid w:val="58DF078D"/>
    <w:rsid w:val="59482FF0"/>
    <w:rsid w:val="5990B837"/>
    <w:rsid w:val="59C6E7EA"/>
    <w:rsid w:val="5A0505F5"/>
    <w:rsid w:val="5A11C197"/>
    <w:rsid w:val="5A30514B"/>
    <w:rsid w:val="5A5D7E55"/>
    <w:rsid w:val="5AAF67E7"/>
    <w:rsid w:val="5B06F980"/>
    <w:rsid w:val="5B23FE03"/>
    <w:rsid w:val="5B2E8979"/>
    <w:rsid w:val="5B34FFA7"/>
    <w:rsid w:val="5B82B845"/>
    <w:rsid w:val="5BC464F1"/>
    <w:rsid w:val="5C0C417C"/>
    <w:rsid w:val="5C0FA9D4"/>
    <w:rsid w:val="5C2C3031"/>
    <w:rsid w:val="5C39C427"/>
    <w:rsid w:val="5C50AC2B"/>
    <w:rsid w:val="5CE9D244"/>
    <w:rsid w:val="5CFC7461"/>
    <w:rsid w:val="5D4B8628"/>
    <w:rsid w:val="5E2B6980"/>
    <w:rsid w:val="5E6636FC"/>
    <w:rsid w:val="5E70D849"/>
    <w:rsid w:val="5EC3466D"/>
    <w:rsid w:val="5F18B252"/>
    <w:rsid w:val="5F88720C"/>
    <w:rsid w:val="60111FB0"/>
    <w:rsid w:val="60407221"/>
    <w:rsid w:val="60438F71"/>
    <w:rsid w:val="60BB3920"/>
    <w:rsid w:val="6104962D"/>
    <w:rsid w:val="614ED8AE"/>
    <w:rsid w:val="615D1A2E"/>
    <w:rsid w:val="61741D44"/>
    <w:rsid w:val="6199D98D"/>
    <w:rsid w:val="61C830AE"/>
    <w:rsid w:val="6215A67E"/>
    <w:rsid w:val="62299C4C"/>
    <w:rsid w:val="622D44B1"/>
    <w:rsid w:val="62AFF518"/>
    <w:rsid w:val="62C012CE"/>
    <w:rsid w:val="62EA2683"/>
    <w:rsid w:val="63278467"/>
    <w:rsid w:val="634E3010"/>
    <w:rsid w:val="637B3033"/>
    <w:rsid w:val="63E6B0E2"/>
    <w:rsid w:val="63F7AFE0"/>
    <w:rsid w:val="644F38BD"/>
    <w:rsid w:val="64AFBD50"/>
    <w:rsid w:val="64E019CD"/>
    <w:rsid w:val="64EC3069"/>
    <w:rsid w:val="651FA9EC"/>
    <w:rsid w:val="6546D2E9"/>
    <w:rsid w:val="657D7EC0"/>
    <w:rsid w:val="65A7CE3B"/>
    <w:rsid w:val="660949B2"/>
    <w:rsid w:val="66419452"/>
    <w:rsid w:val="6677C172"/>
    <w:rsid w:val="66831B26"/>
    <w:rsid w:val="66EB1993"/>
    <w:rsid w:val="67018B17"/>
    <w:rsid w:val="6705254E"/>
    <w:rsid w:val="6727F21C"/>
    <w:rsid w:val="67374AAA"/>
    <w:rsid w:val="673D0379"/>
    <w:rsid w:val="6756D5F4"/>
    <w:rsid w:val="6782B330"/>
    <w:rsid w:val="68E8CF78"/>
    <w:rsid w:val="69BBD058"/>
    <w:rsid w:val="69C0A5B3"/>
    <w:rsid w:val="6A368DFE"/>
    <w:rsid w:val="6A614642"/>
    <w:rsid w:val="6A79ADE2"/>
    <w:rsid w:val="6A86BAFE"/>
    <w:rsid w:val="6AD3C024"/>
    <w:rsid w:val="6B11E175"/>
    <w:rsid w:val="6B80E5DF"/>
    <w:rsid w:val="6BBEAA27"/>
    <w:rsid w:val="6BCACD46"/>
    <w:rsid w:val="6C5E0CFE"/>
    <w:rsid w:val="6C891C1B"/>
    <w:rsid w:val="6CC41F59"/>
    <w:rsid w:val="6CCBE62A"/>
    <w:rsid w:val="6D061F47"/>
    <w:rsid w:val="6D639ADF"/>
    <w:rsid w:val="6DDE1A83"/>
    <w:rsid w:val="6E02FE81"/>
    <w:rsid w:val="6E11FFB5"/>
    <w:rsid w:val="6E8122FD"/>
    <w:rsid w:val="6E8F86AD"/>
    <w:rsid w:val="6EE515C7"/>
    <w:rsid w:val="6EFCA12B"/>
    <w:rsid w:val="6EFF8185"/>
    <w:rsid w:val="6F809F5C"/>
    <w:rsid w:val="6FC43824"/>
    <w:rsid w:val="70401A86"/>
    <w:rsid w:val="7068E504"/>
    <w:rsid w:val="710B7AB3"/>
    <w:rsid w:val="7135A905"/>
    <w:rsid w:val="717C2BE1"/>
    <w:rsid w:val="71F1E93F"/>
    <w:rsid w:val="720B15B5"/>
    <w:rsid w:val="720F67CB"/>
    <w:rsid w:val="72620E85"/>
    <w:rsid w:val="729DD8B7"/>
    <w:rsid w:val="72B910CF"/>
    <w:rsid w:val="72D48CB5"/>
    <w:rsid w:val="72E91F7B"/>
    <w:rsid w:val="72FBD8E6"/>
    <w:rsid w:val="730DA938"/>
    <w:rsid w:val="7347633A"/>
    <w:rsid w:val="736894EA"/>
    <w:rsid w:val="7382125F"/>
    <w:rsid w:val="73C40F70"/>
    <w:rsid w:val="73D0B9B4"/>
    <w:rsid w:val="740F5551"/>
    <w:rsid w:val="741E1D82"/>
    <w:rsid w:val="7423BD8E"/>
    <w:rsid w:val="7423E029"/>
    <w:rsid w:val="744F6B1D"/>
    <w:rsid w:val="74763418"/>
    <w:rsid w:val="74FB412C"/>
    <w:rsid w:val="7532BDB5"/>
    <w:rsid w:val="758AC252"/>
    <w:rsid w:val="75F3BE15"/>
    <w:rsid w:val="767F3705"/>
    <w:rsid w:val="77135A60"/>
    <w:rsid w:val="772156D9"/>
    <w:rsid w:val="773031A1"/>
    <w:rsid w:val="783FE0DB"/>
    <w:rsid w:val="7941CB7F"/>
    <w:rsid w:val="79696F02"/>
    <w:rsid w:val="79AB65AA"/>
    <w:rsid w:val="79B88CB6"/>
    <w:rsid w:val="7A632CD3"/>
    <w:rsid w:val="7AA44950"/>
    <w:rsid w:val="7B3032CA"/>
    <w:rsid w:val="7B699909"/>
    <w:rsid w:val="7BC4026F"/>
    <w:rsid w:val="7C5FD154"/>
    <w:rsid w:val="7C782612"/>
    <w:rsid w:val="7CC5D888"/>
    <w:rsid w:val="7CDD4AC6"/>
    <w:rsid w:val="7D0FCC48"/>
    <w:rsid w:val="7D17EDF0"/>
    <w:rsid w:val="7D57B374"/>
    <w:rsid w:val="7DB819CF"/>
    <w:rsid w:val="7DC1A387"/>
    <w:rsid w:val="7DC4234F"/>
    <w:rsid w:val="7E0FBBFB"/>
    <w:rsid w:val="7E1160D8"/>
    <w:rsid w:val="7E95E6B4"/>
    <w:rsid w:val="7EA2B1AA"/>
    <w:rsid w:val="7EF5D859"/>
    <w:rsid w:val="7F28D6FC"/>
    <w:rsid w:val="7F5B5DB2"/>
    <w:rsid w:val="7F638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84E5A1"/>
  <w15:chartTrackingRefBased/>
  <w15:docId w15:val="{E47B68DD-873F-446C-BA4E-00683936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1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E1F22"/>
  </w:style>
  <w:style w:type="character" w:customStyle="1" w:styleId="eop">
    <w:name w:val="eop"/>
    <w:basedOn w:val="DefaultParagraphFont"/>
    <w:rsid w:val="00DE1F22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5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hedfuel.azurewebsites.net/raa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64916B41-9DB2-42DA-BDBA-C6C26A3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Peter Christopher</cp:lastModifiedBy>
  <cp:revision>17</cp:revision>
  <dcterms:created xsi:type="dcterms:W3CDTF">2021-07-06T19:04:00Z</dcterms:created>
  <dcterms:modified xsi:type="dcterms:W3CDTF">2021-07-07T17:36:00Z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