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F5E" w:rsidRDefault="00095F21" w:rsidP="001E5C90">
      <w:pPr>
        <w:spacing w:after="0" w:line="240" w:lineRule="auto"/>
        <w:jc w:val="both"/>
        <w:rPr>
          <w:rFonts w:ascii="Times New Roman" w:hAnsi="Times New Roman" w:cs="Times New Roman"/>
        </w:rPr>
      </w:pPr>
      <w:bookmarkStart w:id="0" w:name="_GoBack"/>
      <w:bookmarkEnd w:id="0"/>
      <w:r>
        <w:rPr>
          <w:rFonts w:ascii="Times New Roman" w:hAnsi="Times New Roman" w:cs="Times New Roman"/>
        </w:rPr>
        <w:t>January 27</w:t>
      </w:r>
      <w:r w:rsidR="001E5C90" w:rsidRPr="00695983">
        <w:rPr>
          <w:rFonts w:ascii="Times New Roman" w:hAnsi="Times New Roman" w:cs="Times New Roman"/>
        </w:rPr>
        <w:t>, 2022</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Ms. Lara Szent-Gyorgyi, Director</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Determination of Need Program</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Department of Public Health </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Commonwealth of Massachusetts </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67 Forest Street </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Marlborough, MA 01752</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p>
    <w:p w:rsidR="00E90F5E" w:rsidRDefault="001E5C90" w:rsidP="001E5C90">
      <w:pPr>
        <w:spacing w:after="0" w:line="240" w:lineRule="auto"/>
        <w:jc w:val="both"/>
        <w:rPr>
          <w:rFonts w:ascii="Times New Roman" w:hAnsi="Times New Roman" w:cs="Times New Roman"/>
          <w:b/>
        </w:rPr>
      </w:pPr>
      <w:r w:rsidRPr="004537F7">
        <w:rPr>
          <w:rFonts w:ascii="Times New Roman" w:hAnsi="Times New Roman" w:cs="Times New Roman"/>
          <w:b/>
        </w:rPr>
        <w:t>RE: Determination of Need (DoN) Application 21012113-AS –Independent Cost Analysis Party of Record Comments</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Dear Director Szent-Gyorgyi:</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On behalf of the Shields Health Care Group (Shields) Ten Taxpayer Group (TTG), please accept these comments relative to Charles River Associates’ (CRA) Independent Cost Analysis (ICA) of DoN Application 21012113-AS.  As a Party of Record, Shields has consistently raised concerns about the independence of an analysis paid for and selected with the approval of the Applicant. After reading CRA’s ICA, those concerns have now been validated.  The CRA ICA is woefully deficient in the scope of its analysis and its failure to thoroughly address the questions posed by the Department. The economists rely almost exclusively on the assumptions included in Mass General Brigham’s (MGB) Application and fail to investigate or test the validity of those assumptions. </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Shields respectfully urges the Department to reject the ICA’s analysis and findings for the reasons outlined below and respectfully encourages the Department of Public Health (Department) to give greater weight to the independent review and concerns raised by Attorney General Maura Healey (AG) in her testimony to the Health Policy Commission (HPC) on November 17 (enclose</w:t>
      </w:r>
      <w:r w:rsidRPr="000544C3">
        <w:rPr>
          <w:rFonts w:ascii="Times New Roman" w:hAnsi="Times New Roman" w:cs="Times New Roman"/>
        </w:rPr>
        <w:t>d)</w:t>
      </w:r>
      <w:r>
        <w:rPr>
          <w:rFonts w:ascii="Times New Roman" w:hAnsi="Times New Roman" w:cs="Times New Roman"/>
        </w:rPr>
        <w:t xml:space="preserve"> and the analysis completed by the Health Policy Commission.</w:t>
      </w:r>
      <w:r w:rsidRPr="000544C3">
        <w:rPr>
          <w:rFonts w:ascii="Times New Roman" w:hAnsi="Times New Roman" w:cs="Times New Roman"/>
        </w:rPr>
        <w:t xml:space="preserve"> </w:t>
      </w:r>
      <w:r>
        <w:rPr>
          <w:rFonts w:ascii="Times New Roman" w:hAnsi="Times New Roman" w:cs="Times New Roman"/>
        </w:rPr>
        <w:t xml:space="preserve"> As two of the Commonwealth’s regulatory bodies charged by law with monitoring health care trends in the market, the findings generated by the AG and HPC must carry more weight than an analysis paid for by the Applicant.</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The standards set forth in “</w:t>
      </w:r>
      <w:r w:rsidRPr="00EA1560">
        <w:rPr>
          <w:rFonts w:ascii="Times New Roman" w:hAnsi="Times New Roman" w:cs="Times New Roman"/>
        </w:rPr>
        <w:t xml:space="preserve">105 CMR: </w:t>
      </w:r>
      <w:r>
        <w:rPr>
          <w:rFonts w:ascii="Times New Roman" w:hAnsi="Times New Roman" w:cs="Times New Roman"/>
        </w:rPr>
        <w:t>100.00 Determination of Need” are clear that the</w:t>
      </w:r>
      <w:r w:rsidRPr="0042392D">
        <w:rPr>
          <w:rFonts w:ascii="Times New Roman" w:hAnsi="Times New Roman" w:cs="Times New Roman"/>
        </w:rPr>
        <w:t xml:space="preserve"> Application and ICA taken together </w:t>
      </w:r>
      <w:r>
        <w:rPr>
          <w:rFonts w:ascii="Times New Roman" w:hAnsi="Times New Roman" w:cs="Times New Roman"/>
        </w:rPr>
        <w:t xml:space="preserve">must </w:t>
      </w:r>
      <w:r w:rsidRPr="0042392D">
        <w:rPr>
          <w:rFonts w:ascii="Times New Roman" w:hAnsi="Times New Roman" w:cs="Times New Roman"/>
        </w:rPr>
        <w:t xml:space="preserve">“clearly and convincingly” demonstrate that the Proposed Project </w:t>
      </w:r>
      <w:r w:rsidRPr="0042392D">
        <w:rPr>
          <w:rFonts w:ascii="Times New Roman" w:hAnsi="Times New Roman" w:cs="Times New Roman"/>
          <w:i/>
          <w:iCs/>
        </w:rPr>
        <w:t>meaningfully</w:t>
      </w:r>
      <w:r w:rsidRPr="0042392D">
        <w:rPr>
          <w:rFonts w:ascii="Times New Roman" w:hAnsi="Times New Roman" w:cs="Times New Roman"/>
        </w:rPr>
        <w:t xml:space="preserve"> contributes to the state’s cost conta</w:t>
      </w:r>
      <w:r>
        <w:rPr>
          <w:rFonts w:ascii="Times New Roman" w:hAnsi="Times New Roman" w:cs="Times New Roman"/>
        </w:rPr>
        <w:t>inment goals</w:t>
      </w:r>
      <w:r w:rsidRPr="0042392D">
        <w:rPr>
          <w:rFonts w:ascii="Times New Roman" w:hAnsi="Times New Roman" w:cs="Times New Roman"/>
        </w:rPr>
        <w:t>.</w:t>
      </w:r>
      <w:r>
        <w:rPr>
          <w:rFonts w:ascii="Times New Roman" w:hAnsi="Times New Roman" w:cs="Times New Roman"/>
        </w:rPr>
        <w:t xml:space="preserve"> As outlined below, the ICA fails to meet this threshold not only in what is omitted from its analysis, but also for shirking its responsibility to investigate and fully vet MGB’s assumptions. To predominantly rely on those assumptions weakens, if not discredits, every conclusion posed by CRA as an independent party to the analysis. </w:t>
      </w:r>
    </w:p>
    <w:p w:rsidR="001E5C90" w:rsidRDefault="001E5C90" w:rsidP="001E5C90">
      <w:pPr>
        <w:spacing w:after="0" w:line="240" w:lineRule="auto"/>
        <w:jc w:val="both"/>
        <w:rPr>
          <w:rFonts w:ascii="Times New Roman" w:hAnsi="Times New Roman" w:cs="Times New Roman"/>
        </w:rPr>
      </w:pPr>
    </w:p>
    <w:p w:rsidR="001E5C90" w:rsidRPr="000544C3" w:rsidRDefault="001E5C90" w:rsidP="001E5C90">
      <w:pPr>
        <w:spacing w:after="0" w:line="240" w:lineRule="auto"/>
        <w:jc w:val="both"/>
        <w:rPr>
          <w:rFonts w:ascii="Times New Roman" w:hAnsi="Times New Roman" w:cs="Times New Roman"/>
          <w:b/>
        </w:rPr>
      </w:pPr>
      <w:r>
        <w:rPr>
          <w:rFonts w:ascii="Times New Roman" w:hAnsi="Times New Roman" w:cs="Times New Roman"/>
          <w:b/>
        </w:rPr>
        <w:t>Failure to Analyze Secondary &amp; Tertiary Referrals</w:t>
      </w:r>
    </w:p>
    <w:p w:rsidR="001E5C90" w:rsidRDefault="001E5C90" w:rsidP="001E5C90">
      <w:pPr>
        <w:spacing w:after="0" w:line="240" w:lineRule="auto"/>
        <w:jc w:val="both"/>
        <w:rPr>
          <w:rFonts w:ascii="Times New Roman" w:hAnsi="Times New Roman" w:cs="Times New Roman"/>
          <w:i/>
        </w:rPr>
      </w:pPr>
      <w:r>
        <w:rPr>
          <w:rFonts w:ascii="Times New Roman" w:hAnsi="Times New Roman" w:cs="Times New Roman"/>
        </w:rPr>
        <w:t>One of the most glaring omissions in CRA’s report is its failure to analyze the proposed project’s impact on secondary and tertiary referrals. According to MGB</w:t>
      </w:r>
      <w:r w:rsidR="0001478E">
        <w:rPr>
          <w:rFonts w:ascii="Times New Roman" w:hAnsi="Times New Roman" w:cs="Times New Roman"/>
        </w:rPr>
        <w:t>’s internal planning documents</w:t>
      </w:r>
      <w:r w:rsidRPr="003173D5">
        <w:rPr>
          <w:rFonts w:ascii="Times New Roman" w:hAnsi="Times New Roman" w:cs="Times New Roman"/>
        </w:rPr>
        <w:t>,</w:t>
      </w:r>
      <w:r w:rsidRPr="000544C3">
        <w:rPr>
          <w:rFonts w:ascii="Times New Roman" w:hAnsi="Times New Roman" w:cs="Times New Roman"/>
          <w:i/>
        </w:rPr>
        <w:t xml:space="preserve"> </w:t>
      </w:r>
      <w:r w:rsidRPr="005C0F3A">
        <w:rPr>
          <w:rFonts w:ascii="Times New Roman" w:hAnsi="Times New Roman" w:cs="Times New Roman"/>
        </w:rPr>
        <w:t>“the ambulatory expansion will ultimately increase MGB’s share of the market for inpatient hospital services and covered lives. MGB projected it would gain an additional 1-2% of all secondary inpatient admissions in Eastern Massachusetts and an additional 3- 4% of all tertiary inpatient admissions in Eastern Massachusetts.</w:t>
      </w:r>
      <w:r w:rsidRPr="005C0F3A">
        <w:t xml:space="preserve"> </w:t>
      </w:r>
      <w:r w:rsidRPr="005C0F3A">
        <w:rPr>
          <w:rFonts w:ascii="Times New Roman" w:hAnsi="Times New Roman" w:cs="Times New Roman"/>
        </w:rPr>
        <w:t>MGB projected it would gain an additional 1-2% of all covered lives in Eastern Massachusetts</w:t>
      </w:r>
      <w:r>
        <w:rPr>
          <w:rFonts w:ascii="Times New Roman" w:hAnsi="Times New Roman" w:cs="Times New Roman"/>
        </w:rPr>
        <w:t>.</w:t>
      </w:r>
      <w:r w:rsidRPr="005C0F3A">
        <w:rPr>
          <w:rFonts w:ascii="Times New Roman" w:hAnsi="Times New Roman" w:cs="Times New Roman"/>
        </w:rPr>
        <w:t>”</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lastRenderedPageBreak/>
        <w:t>Additionally, starting as far back as 2014 through present day,</w:t>
      </w:r>
      <w:r w:rsidRPr="00F0336E">
        <w:rPr>
          <w:rFonts w:ascii="Times New Roman" w:hAnsi="Times New Roman" w:cs="Times New Roman"/>
        </w:rPr>
        <w:t xml:space="preserve"> MGB has </w:t>
      </w:r>
      <w:r>
        <w:rPr>
          <w:rFonts w:ascii="Times New Roman" w:hAnsi="Times New Roman" w:cs="Times New Roman"/>
        </w:rPr>
        <w:t>made numerous presentations to</w:t>
      </w:r>
      <w:r w:rsidRPr="00F0336E">
        <w:rPr>
          <w:rFonts w:ascii="Times New Roman" w:hAnsi="Times New Roman" w:cs="Times New Roman"/>
        </w:rPr>
        <w:t xml:space="preserve"> JP Morgan </w:t>
      </w:r>
      <w:r>
        <w:rPr>
          <w:rFonts w:ascii="Times New Roman" w:hAnsi="Times New Roman" w:cs="Times New Roman"/>
        </w:rPr>
        <w:t xml:space="preserve">regarding its plans to increase network lives in Eastern Massachusetts through the expansion of strategic ambulatory care settings (enclosed). In fact, in a 2020 PowerPoint presentation MGB states </w:t>
      </w:r>
      <w:r w:rsidRPr="00F0336E">
        <w:rPr>
          <w:rFonts w:ascii="Times New Roman" w:hAnsi="Times New Roman" w:cs="Times New Roman"/>
        </w:rPr>
        <w:t xml:space="preserve">that one of the goals of its ambulatory expansion is to </w:t>
      </w:r>
      <w:r w:rsidRPr="00F0336E">
        <w:rPr>
          <w:rFonts w:ascii="Times New Roman" w:hAnsi="Times New Roman" w:cs="Times New Roman"/>
          <w:i/>
        </w:rPr>
        <w:t>“increase network lives and secondary and tertiary commercial volume</w:t>
      </w:r>
      <w:r>
        <w:rPr>
          <w:rFonts w:ascii="Times New Roman" w:hAnsi="Times New Roman" w:cs="Times New Roman"/>
          <w:i/>
        </w:rPr>
        <w:t>.</w:t>
      </w:r>
      <w:r w:rsidRPr="00F0336E">
        <w:rPr>
          <w:rFonts w:ascii="Times New Roman" w:hAnsi="Times New Roman" w:cs="Times New Roman"/>
          <w:i/>
        </w:rPr>
        <w:t>”</w:t>
      </w:r>
      <w:r>
        <w:rPr>
          <w:rFonts w:ascii="Times New Roman" w:hAnsi="Times New Roman" w:cs="Times New Roman"/>
        </w:rPr>
        <w:t xml:space="preserve"> The fact that MGB has explicitly stated this as its goal surely warrants an analysis to determine the impact of the highest-cost, market-dominant provider in the Commonwealth further increasing its market share.</w:t>
      </w:r>
    </w:p>
    <w:p w:rsidR="001E5C90" w:rsidRDefault="001E5C90" w:rsidP="001E5C90">
      <w:pPr>
        <w:spacing w:after="0" w:line="240" w:lineRule="auto"/>
        <w:jc w:val="both"/>
        <w:rPr>
          <w:rFonts w:ascii="Times New Roman" w:hAnsi="Times New Roman" w:cs="Times New Roman"/>
        </w:rPr>
      </w:pPr>
    </w:p>
    <w:p w:rsidR="001E5C90" w:rsidRPr="00ED5467" w:rsidRDefault="001E5C90" w:rsidP="001E5C90">
      <w:pPr>
        <w:spacing w:after="0" w:line="240" w:lineRule="auto"/>
        <w:jc w:val="both"/>
        <w:rPr>
          <w:rFonts w:ascii="Times New Roman" w:hAnsi="Times New Roman" w:cs="Times New Roman"/>
          <w:b/>
        </w:rPr>
      </w:pPr>
      <w:r w:rsidRPr="00ED5467">
        <w:rPr>
          <w:rFonts w:ascii="Times New Roman" w:hAnsi="Times New Roman" w:cs="Times New Roman"/>
          <w:b/>
        </w:rPr>
        <w:t>Failure to A</w:t>
      </w:r>
      <w:r>
        <w:rPr>
          <w:rFonts w:ascii="Times New Roman" w:hAnsi="Times New Roman" w:cs="Times New Roman"/>
          <w:b/>
        </w:rPr>
        <w:t>nalyze and Validate</w:t>
      </w:r>
      <w:r w:rsidRPr="00ED5467">
        <w:rPr>
          <w:rFonts w:ascii="Times New Roman" w:hAnsi="Times New Roman" w:cs="Times New Roman"/>
          <w:b/>
        </w:rPr>
        <w:t xml:space="preserve"> </w:t>
      </w:r>
      <w:r>
        <w:rPr>
          <w:rFonts w:ascii="Times New Roman" w:hAnsi="Times New Roman" w:cs="Times New Roman"/>
          <w:b/>
        </w:rPr>
        <w:t xml:space="preserve">Projected </w:t>
      </w:r>
      <w:r w:rsidRPr="00ED5467">
        <w:rPr>
          <w:rFonts w:ascii="Times New Roman" w:hAnsi="Times New Roman" w:cs="Times New Roman"/>
          <w:b/>
        </w:rPr>
        <w:t xml:space="preserve">Volume </w:t>
      </w:r>
      <w:r>
        <w:rPr>
          <w:rFonts w:ascii="Times New Roman" w:hAnsi="Times New Roman" w:cs="Times New Roman"/>
          <w:b/>
        </w:rPr>
        <w:t>Assumptions</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As cited in the AG’s report, MGB’s internal planning documents project significantly higher volumes than what MGB filed in its DoN Application. At a minimum, the Applicant must explain why its internal volume assumptions project 85% OR capacity utilization and yet the DoN Application assumes only 70% OR utilization. Without an analysis of this discrepancy, one could assume that MGB lowered its volume assumptions to intentionally obscure the true cost implications of the proposed project on the Commonwealth and the consumer. Furthermore, one could assume that the 15% gap between the two projections more accurately reflects the volume MGB predicts it will divert from existing lower-cost community providers. In filing the DoN application, the Applicant attests to the validity of the information submitted. The question must be asked which number is accurate: the number submitted to the Department, or the number submitted to the AG.</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CRA presumes, post ramp up, </w:t>
      </w:r>
      <w:r w:rsidRPr="00E661D2">
        <w:rPr>
          <w:rFonts w:ascii="Times New Roman" w:hAnsi="Times New Roman" w:cs="Times New Roman"/>
        </w:rPr>
        <w:t xml:space="preserve">that </w:t>
      </w:r>
      <w:r>
        <w:rPr>
          <w:rFonts w:ascii="Times New Roman" w:hAnsi="Times New Roman" w:cs="Times New Roman"/>
        </w:rPr>
        <w:t xml:space="preserve">the </w:t>
      </w:r>
      <w:r w:rsidRPr="00E661D2">
        <w:rPr>
          <w:rFonts w:ascii="Times New Roman" w:hAnsi="Times New Roman" w:cs="Times New Roman"/>
        </w:rPr>
        <w:t>new facilities</w:t>
      </w:r>
      <w:r>
        <w:rPr>
          <w:rFonts w:ascii="Times New Roman" w:hAnsi="Times New Roman" w:cs="Times New Roman"/>
        </w:rPr>
        <w:t xml:space="preserve"> </w:t>
      </w:r>
      <w:r w:rsidRPr="00E661D2">
        <w:rPr>
          <w:rFonts w:ascii="Times New Roman" w:hAnsi="Times New Roman" w:cs="Times New Roman"/>
        </w:rPr>
        <w:t xml:space="preserve">will perform the </w:t>
      </w:r>
      <w:r w:rsidRPr="00E661D2">
        <w:rPr>
          <w:rFonts w:ascii="Times New Roman" w:hAnsi="Times New Roman" w:cs="Times New Roman"/>
          <w:i/>
          <w:iCs/>
        </w:rPr>
        <w:t>exact</w:t>
      </w:r>
      <w:r w:rsidRPr="00E661D2">
        <w:rPr>
          <w:rFonts w:ascii="Times New Roman" w:hAnsi="Times New Roman" w:cs="Times New Roman"/>
        </w:rPr>
        <w:t xml:space="preserve"> number of </w:t>
      </w:r>
      <w:r>
        <w:rPr>
          <w:rFonts w:ascii="Times New Roman" w:hAnsi="Times New Roman" w:cs="Times New Roman"/>
        </w:rPr>
        <w:t xml:space="preserve">surgeries, and </w:t>
      </w:r>
      <w:r w:rsidRPr="00E661D2">
        <w:rPr>
          <w:rFonts w:ascii="Times New Roman" w:hAnsi="Times New Roman" w:cs="Times New Roman"/>
        </w:rPr>
        <w:t>CT and MR scans specified by MGB in its DoN Application</w:t>
      </w:r>
      <w:r>
        <w:rPr>
          <w:rFonts w:ascii="Times New Roman" w:hAnsi="Times New Roman" w:cs="Times New Roman"/>
        </w:rPr>
        <w:t xml:space="preserve">. However, the CRA narrative states volume will come from Plymouth, Bristol and all of Essex and Suffolk Counties. This is inconsistent with the Applicant’s statement. In the Application (Attachment 2 Primary Service Area), MGB states volume will come from specific cities and towns. Those cities and towns are in Norfolk, Middlesex, and Worcester Counties, and also include two towns in Essex and two sections of the City of Boston: West Roxbury and Hyde Park. The Applicant does not reference any volume from Plymouth or Bristol County and, in the case of Essex County, only Lynnfield and Andover are cited. In Suffolk County, the Applicant only references a section of Milton (02136), Hyde Park and West Roxbury. Yet, </w:t>
      </w:r>
      <w:r w:rsidRPr="00E661D2">
        <w:rPr>
          <w:rFonts w:ascii="Times New Roman" w:hAnsi="Times New Roman" w:cs="Times New Roman"/>
        </w:rPr>
        <w:t>CRA’s analysis assumes that the new facilities will meet MGB’s volume projections to the number.</w:t>
      </w:r>
      <w:r w:rsidRPr="007307F6">
        <w:rPr>
          <w:rStyle w:val="FootnoteReference"/>
          <w:rFonts w:ascii="Times New Roman" w:hAnsi="Times New Roman" w:cs="Times New Roman"/>
        </w:rPr>
        <w:footnoteReference w:id="1"/>
      </w:r>
      <w:r w:rsidRPr="00E661D2">
        <w:rPr>
          <w:rFonts w:ascii="Times New Roman" w:hAnsi="Times New Roman" w:cs="Times New Roman"/>
        </w:rPr>
        <w:t xml:space="preserve"> </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The </w:t>
      </w:r>
      <w:r w:rsidRPr="00E661D2">
        <w:rPr>
          <w:rFonts w:ascii="Times New Roman" w:hAnsi="Times New Roman" w:cs="Times New Roman"/>
        </w:rPr>
        <w:t xml:space="preserve">analysis also states that </w:t>
      </w:r>
      <w:r>
        <w:rPr>
          <w:rFonts w:ascii="Times New Roman" w:hAnsi="Times New Roman" w:cs="Times New Roman"/>
        </w:rPr>
        <w:t xml:space="preserve">CRA’s </w:t>
      </w:r>
      <w:r w:rsidRPr="00E661D2">
        <w:rPr>
          <w:rFonts w:ascii="Times New Roman" w:hAnsi="Times New Roman" w:cs="Times New Roman"/>
        </w:rPr>
        <w:t>demand model for “…the predicted number of CT and MR scans performed at the facility match the volumes projected by MGB in its DoN Application submissions</w:t>
      </w:r>
      <w:r>
        <w:rPr>
          <w:rFonts w:ascii="Times New Roman" w:hAnsi="Times New Roman" w:cs="Times New Roman"/>
        </w:rPr>
        <w:t>,</w:t>
      </w:r>
      <w:r w:rsidRPr="00E661D2">
        <w:rPr>
          <w:rFonts w:ascii="Times New Roman" w:hAnsi="Times New Roman" w:cs="Times New Roman"/>
        </w:rPr>
        <w:t>”</w:t>
      </w:r>
      <w:r w:rsidRPr="007307F6">
        <w:rPr>
          <w:rStyle w:val="FootnoteReference"/>
          <w:rFonts w:ascii="Times New Roman" w:hAnsi="Times New Roman" w:cs="Times New Roman"/>
        </w:rPr>
        <w:footnoteReference w:id="2"/>
      </w:r>
      <w:r>
        <w:rPr>
          <w:rFonts w:ascii="Times New Roman" w:hAnsi="Times New Roman" w:cs="Times New Roman"/>
        </w:rPr>
        <w:t xml:space="preserve"> which should be called into question given the discrepancies between the sources of volume in the ICA and Application. Another </w:t>
      </w:r>
      <w:r w:rsidRPr="00E661D2">
        <w:rPr>
          <w:rFonts w:ascii="Times New Roman" w:hAnsi="Times New Roman" w:cs="Times New Roman"/>
        </w:rPr>
        <w:t>example of CRA neglect</w:t>
      </w:r>
      <w:r>
        <w:rPr>
          <w:rFonts w:ascii="Times New Roman" w:hAnsi="Times New Roman" w:cs="Times New Roman"/>
        </w:rPr>
        <w:t xml:space="preserve">ing </w:t>
      </w:r>
      <w:r w:rsidRPr="00E661D2">
        <w:rPr>
          <w:rFonts w:ascii="Times New Roman" w:hAnsi="Times New Roman" w:cs="Times New Roman"/>
        </w:rPr>
        <w:t>to analyze the validity of MGB’s volume projections is demonstrated in footnote 90</w:t>
      </w:r>
      <w:r>
        <w:rPr>
          <w:rFonts w:ascii="Times New Roman" w:hAnsi="Times New Roman" w:cs="Times New Roman"/>
        </w:rPr>
        <w:t>,</w:t>
      </w:r>
      <w:r w:rsidRPr="007307F6">
        <w:rPr>
          <w:rStyle w:val="FootnoteReference"/>
          <w:rFonts w:ascii="Times New Roman" w:hAnsi="Times New Roman" w:cs="Times New Roman"/>
        </w:rPr>
        <w:footnoteReference w:id="3"/>
      </w:r>
      <w:r w:rsidRPr="00E661D2">
        <w:rPr>
          <w:rFonts w:ascii="Times New Roman" w:hAnsi="Times New Roman" w:cs="Times New Roman"/>
        </w:rPr>
        <w:t xml:space="preserve"> where CRA acknowledges that “to match MGB’s projected volume, we mathematically ‘expand’ or ‘shrink’ the Proposed Clinic until the volumes predicted by our model match MGB’s projections.”</w:t>
      </w:r>
      <w:r>
        <w:rPr>
          <w:rFonts w:ascii="Times New Roman" w:hAnsi="Times New Roman" w:cs="Times New Roman"/>
        </w:rPr>
        <w:t xml:space="preserve"> To accomplish this end, did CRA expand the volume footprint by including cities and towns outside of the scope put forth by the Applicant? </w:t>
      </w:r>
    </w:p>
    <w:p w:rsidR="001E5C90" w:rsidRDefault="001E5C90" w:rsidP="001E5C90">
      <w:pPr>
        <w:spacing w:after="0" w:line="240" w:lineRule="auto"/>
        <w:jc w:val="both"/>
        <w:rPr>
          <w:rFonts w:ascii="Times New Roman" w:hAnsi="Times New Roman" w:cs="Times New Roman"/>
        </w:rPr>
      </w:pPr>
    </w:p>
    <w:p w:rsidR="001E5C90" w:rsidRPr="005C6357" w:rsidRDefault="001E5C90" w:rsidP="001E5C90">
      <w:pPr>
        <w:spacing w:after="0" w:line="240" w:lineRule="auto"/>
        <w:jc w:val="both"/>
        <w:rPr>
          <w:rFonts w:ascii="Times New Roman" w:hAnsi="Times New Roman" w:cs="Times New Roman"/>
          <w:b/>
        </w:rPr>
      </w:pPr>
      <w:r>
        <w:rPr>
          <w:rFonts w:ascii="Times New Roman" w:hAnsi="Times New Roman" w:cs="Times New Roman"/>
        </w:rPr>
        <w:t xml:space="preserve">It’s quite clear that CRA is adapting its economic forecast to favorably confirm MGB’s suppositions. CRA has not produced an objective and accurate forecast. To conclude the predicted changes in MGB’s market shares </w:t>
      </w:r>
      <w:r>
        <w:rPr>
          <w:rFonts w:ascii="Times New Roman" w:hAnsi="Times New Roman" w:cs="Times New Roman"/>
        </w:rPr>
        <w:lastRenderedPageBreak/>
        <w:t>in the service areas are “modest” is myopic, misleading and, to the providers in those communities, will strike at the economic foundation of a very fragile health care eco-system.</w:t>
      </w:r>
    </w:p>
    <w:p w:rsidR="001E5C90" w:rsidRDefault="001E5C90" w:rsidP="001E5C90">
      <w:pPr>
        <w:spacing w:after="0" w:line="240" w:lineRule="auto"/>
        <w:jc w:val="both"/>
        <w:rPr>
          <w:rFonts w:ascii="Times New Roman" w:hAnsi="Times New Roman" w:cs="Times New Roman"/>
          <w:b/>
        </w:rPr>
      </w:pPr>
    </w:p>
    <w:p w:rsidR="001E5C90" w:rsidRPr="00554138" w:rsidRDefault="001E5C90" w:rsidP="001E5C90">
      <w:pPr>
        <w:spacing w:line="240" w:lineRule="auto"/>
        <w:jc w:val="both"/>
        <w:rPr>
          <w:rFonts w:ascii="Times New Roman" w:hAnsi="Times New Roman" w:cs="Times New Roman"/>
        </w:rPr>
      </w:pPr>
      <w:r w:rsidRPr="00554138">
        <w:rPr>
          <w:rFonts w:ascii="Times New Roman" w:hAnsi="Times New Roman" w:cs="Times New Roman"/>
        </w:rPr>
        <w:t xml:space="preserve">Furthermore, in estimating the demand for outpatient diagnostic imaging services, the ICA includes patient claims for PET/CT services. PET/CT is not a service MGB </w:t>
      </w:r>
      <w:r>
        <w:rPr>
          <w:rFonts w:ascii="Times New Roman" w:hAnsi="Times New Roman" w:cs="Times New Roman"/>
        </w:rPr>
        <w:t xml:space="preserve">explicitly </w:t>
      </w:r>
      <w:r w:rsidRPr="00554138">
        <w:rPr>
          <w:rFonts w:ascii="Times New Roman" w:hAnsi="Times New Roman" w:cs="Times New Roman"/>
        </w:rPr>
        <w:t>proposes in the Ambulatory Expansion Application. PET/CT services are separate and distinct from out-patient MRI and CT services; therefore, all PET/CT claims must be excluded or the analysis dismissed for inaccuracy.</w:t>
      </w:r>
      <w:r>
        <w:rPr>
          <w:rStyle w:val="FootnoteReference"/>
          <w:rFonts w:ascii="Times New Roman" w:hAnsi="Times New Roman" w:cs="Times New Roman"/>
        </w:rPr>
        <w:footnoteReference w:id="4"/>
      </w:r>
      <w:r w:rsidRPr="00554138">
        <w:rPr>
          <w:rFonts w:ascii="Times New Roman" w:hAnsi="Times New Roman" w:cs="Times New Roman"/>
        </w:rPr>
        <w:t> Additionally, the ICA mistakes the projected Woburn MRI scan volume in the Application as 5,722</w:t>
      </w:r>
      <w:r>
        <w:rPr>
          <w:rFonts w:ascii="Times New Roman" w:hAnsi="Times New Roman" w:cs="Times New Roman"/>
        </w:rPr>
        <w:t>,</w:t>
      </w:r>
      <w:r>
        <w:rPr>
          <w:rStyle w:val="FootnoteReference"/>
          <w:rFonts w:ascii="Times New Roman" w:hAnsi="Times New Roman" w:cs="Times New Roman"/>
        </w:rPr>
        <w:footnoteReference w:id="5"/>
      </w:r>
      <w:r>
        <w:rPr>
          <w:rFonts w:ascii="Times New Roman" w:hAnsi="Times New Roman" w:cs="Times New Roman"/>
        </w:rPr>
        <w:t xml:space="preserve"> when it is in fact </w:t>
      </w:r>
      <w:r w:rsidRPr="00554138">
        <w:rPr>
          <w:rFonts w:ascii="Times New Roman" w:hAnsi="Times New Roman" w:cs="Times New Roman"/>
        </w:rPr>
        <w:t>5,944</w:t>
      </w:r>
      <w:r>
        <w:rPr>
          <w:rFonts w:ascii="Times New Roman" w:hAnsi="Times New Roman" w:cs="Times New Roman"/>
        </w:rPr>
        <w:t>; h</w:t>
      </w:r>
      <w:r w:rsidRPr="00554138">
        <w:rPr>
          <w:rFonts w:ascii="Times New Roman" w:hAnsi="Times New Roman" w:cs="Times New Roman"/>
        </w:rPr>
        <w:t>owever</w:t>
      </w:r>
      <w:r>
        <w:rPr>
          <w:rFonts w:ascii="Times New Roman" w:hAnsi="Times New Roman" w:cs="Times New Roman"/>
        </w:rPr>
        <w:t>,</w:t>
      </w:r>
      <w:r w:rsidRPr="00554138">
        <w:rPr>
          <w:rFonts w:ascii="Times New Roman" w:hAnsi="Times New Roman" w:cs="Times New Roman"/>
        </w:rPr>
        <w:t xml:space="preserve"> the </w:t>
      </w:r>
      <w:r>
        <w:rPr>
          <w:rFonts w:ascii="Times New Roman" w:hAnsi="Times New Roman" w:cs="Times New Roman"/>
        </w:rPr>
        <w:t xml:space="preserve">mathematical </w:t>
      </w:r>
      <w:r w:rsidRPr="00554138">
        <w:rPr>
          <w:rFonts w:ascii="Times New Roman" w:hAnsi="Times New Roman" w:cs="Times New Roman"/>
        </w:rPr>
        <w:t xml:space="preserve">model the ICA </w:t>
      </w:r>
      <w:r>
        <w:rPr>
          <w:rFonts w:ascii="Times New Roman" w:hAnsi="Times New Roman" w:cs="Times New Roman"/>
        </w:rPr>
        <w:t xml:space="preserve">used to ‘shrink’ or ‘expand’ </w:t>
      </w:r>
      <w:r w:rsidRPr="00554138">
        <w:rPr>
          <w:rFonts w:ascii="Times New Roman" w:hAnsi="Times New Roman" w:cs="Times New Roman"/>
        </w:rPr>
        <w:t>achieve</w:t>
      </w:r>
      <w:r>
        <w:rPr>
          <w:rFonts w:ascii="Times New Roman" w:hAnsi="Times New Roman" w:cs="Times New Roman"/>
        </w:rPr>
        <w:t xml:space="preserve">d a projected </w:t>
      </w:r>
      <w:r w:rsidRPr="00554138">
        <w:rPr>
          <w:rFonts w:ascii="Times New Roman" w:hAnsi="Times New Roman" w:cs="Times New Roman"/>
        </w:rPr>
        <w:t xml:space="preserve">5,722 </w:t>
      </w:r>
      <w:r>
        <w:rPr>
          <w:rFonts w:ascii="Times New Roman" w:hAnsi="Times New Roman" w:cs="Times New Roman"/>
        </w:rPr>
        <w:t xml:space="preserve">scans </w:t>
      </w:r>
      <w:r w:rsidRPr="00554138">
        <w:rPr>
          <w:rFonts w:ascii="Times New Roman" w:hAnsi="Times New Roman" w:cs="Times New Roman"/>
        </w:rPr>
        <w:t>and did not achieve 5,944 as stated in the Application. </w:t>
      </w:r>
      <w:r>
        <w:rPr>
          <w:rFonts w:ascii="Times New Roman" w:hAnsi="Times New Roman" w:cs="Times New Roman"/>
        </w:rPr>
        <w:t>It is</w:t>
      </w:r>
      <w:r w:rsidRPr="00554138">
        <w:rPr>
          <w:rFonts w:ascii="Times New Roman" w:hAnsi="Times New Roman" w:cs="Times New Roman"/>
        </w:rPr>
        <w:t xml:space="preserve"> </w:t>
      </w:r>
      <w:r>
        <w:rPr>
          <w:rFonts w:ascii="Times New Roman" w:hAnsi="Times New Roman" w:cs="Times New Roman"/>
        </w:rPr>
        <w:t xml:space="preserve">also </w:t>
      </w:r>
      <w:r w:rsidRPr="00554138">
        <w:rPr>
          <w:rFonts w:ascii="Times New Roman" w:hAnsi="Times New Roman" w:cs="Times New Roman"/>
        </w:rPr>
        <w:t>worth noting that the map of site services</w:t>
      </w:r>
      <w:r>
        <w:rPr>
          <w:rStyle w:val="FootnoteReference"/>
          <w:rFonts w:ascii="Times New Roman" w:hAnsi="Times New Roman" w:cs="Times New Roman"/>
        </w:rPr>
        <w:footnoteReference w:id="6"/>
      </w:r>
      <w:r w:rsidRPr="00554138">
        <w:rPr>
          <w:rFonts w:ascii="Times New Roman" w:hAnsi="Times New Roman" w:cs="Times New Roman"/>
        </w:rPr>
        <w:t xml:space="preserve"> is misleading</w:t>
      </w:r>
      <w:r>
        <w:rPr>
          <w:rFonts w:ascii="Times New Roman" w:hAnsi="Times New Roman" w:cs="Times New Roman"/>
        </w:rPr>
        <w:t>,</w:t>
      </w:r>
      <w:r w:rsidRPr="00554138">
        <w:rPr>
          <w:rFonts w:ascii="Times New Roman" w:hAnsi="Times New Roman" w:cs="Times New Roman"/>
        </w:rPr>
        <w:t xml:space="preserve"> as </w:t>
      </w:r>
      <w:r>
        <w:rPr>
          <w:rFonts w:ascii="Times New Roman" w:hAnsi="Times New Roman" w:cs="Times New Roman"/>
        </w:rPr>
        <w:t xml:space="preserve">it appears to show PET/CT sites of service, as well as a </w:t>
      </w:r>
      <w:r w:rsidRPr="00554138">
        <w:rPr>
          <w:rFonts w:ascii="Times New Roman" w:hAnsi="Times New Roman" w:cs="Times New Roman"/>
        </w:rPr>
        <w:t xml:space="preserve">Shields </w:t>
      </w:r>
      <w:r>
        <w:rPr>
          <w:rFonts w:ascii="Times New Roman" w:hAnsi="Times New Roman" w:cs="Times New Roman"/>
        </w:rPr>
        <w:t xml:space="preserve">location in Quincy that </w:t>
      </w:r>
      <w:r w:rsidRPr="00554138">
        <w:rPr>
          <w:rFonts w:ascii="Times New Roman" w:hAnsi="Times New Roman" w:cs="Times New Roman"/>
        </w:rPr>
        <w:t xml:space="preserve">does not provide imaging services. </w:t>
      </w:r>
    </w:p>
    <w:p w:rsidR="001E5C90" w:rsidRDefault="001E5C90" w:rsidP="001E5C90">
      <w:pPr>
        <w:spacing w:after="0" w:line="240" w:lineRule="auto"/>
        <w:jc w:val="both"/>
        <w:rPr>
          <w:rFonts w:ascii="Times New Roman" w:hAnsi="Times New Roman" w:cs="Times New Roman"/>
          <w:b/>
        </w:rPr>
      </w:pPr>
    </w:p>
    <w:p w:rsidR="001E5C90" w:rsidRDefault="001E5C90" w:rsidP="001E5C90">
      <w:pPr>
        <w:spacing w:after="0" w:line="240" w:lineRule="auto"/>
        <w:jc w:val="both"/>
        <w:rPr>
          <w:rFonts w:ascii="Times New Roman" w:hAnsi="Times New Roman" w:cs="Times New Roman"/>
          <w:b/>
        </w:rPr>
      </w:pPr>
      <w:r w:rsidRPr="005C6357">
        <w:rPr>
          <w:rFonts w:ascii="Times New Roman" w:hAnsi="Times New Roman" w:cs="Times New Roman"/>
          <w:b/>
        </w:rPr>
        <w:t>Failure to Analyze Backfill</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The Applicant notes throughout its filing that it intends to shift appropriate surgical procedures from inpatient settings to the proposed outpatient centers. The ICA, however, does not analyze how capacity at the hospital sites will be backfilled. Given that the Applicant has filed additional DoN Applications to increase capacity at its Boston hospital locations, the Commonwealth should analyze how the decanting of volume at its inpatient settings will impact the request for additional capacity at those same hospitals, as well as impact capacity at MGB’s community hospitals, such as Newton Wellesley, and MGB’s out-patient sites, including Waltham, Foxboro and Somerville, among others. </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In a similar vein, it is noteworthy that the ICA does not reference out-patient imaging capacity for the recently approved three MRI units at MGB’s $14.9 million capital project in Somerville.</w:t>
      </w:r>
      <w:r>
        <w:rPr>
          <w:rStyle w:val="FootnoteReference"/>
          <w:rFonts w:ascii="Times New Roman" w:hAnsi="Times New Roman" w:cs="Times New Roman"/>
        </w:rPr>
        <w:footnoteReference w:id="7"/>
      </w:r>
      <w:r>
        <w:rPr>
          <w:rFonts w:ascii="Times New Roman" w:hAnsi="Times New Roman" w:cs="Times New Roman"/>
        </w:rPr>
        <w:t xml:space="preserve"> The Applicant is also silent on this $14.9 million project in its responses to DoN question #2A.</w:t>
      </w:r>
      <w:r>
        <w:rPr>
          <w:rStyle w:val="FootnoteReference"/>
          <w:rFonts w:ascii="Times New Roman" w:hAnsi="Times New Roman" w:cs="Times New Roman"/>
        </w:rPr>
        <w:footnoteReference w:id="8"/>
      </w:r>
    </w:p>
    <w:p w:rsidR="001E5C90" w:rsidRDefault="001E5C90" w:rsidP="001E5C90">
      <w:pPr>
        <w:spacing w:after="0" w:line="240" w:lineRule="auto"/>
        <w:jc w:val="both"/>
        <w:rPr>
          <w:rFonts w:ascii="Times New Roman" w:hAnsi="Times New Roman" w:cs="Times New Roman"/>
        </w:rPr>
      </w:pPr>
    </w:p>
    <w:p w:rsidR="00E90F5E" w:rsidRDefault="001E5C90" w:rsidP="001E5C90">
      <w:pPr>
        <w:spacing w:after="0" w:line="240" w:lineRule="auto"/>
        <w:jc w:val="both"/>
        <w:rPr>
          <w:rFonts w:ascii="Times New Roman" w:hAnsi="Times New Roman" w:cs="Times New Roman"/>
        </w:rPr>
      </w:pPr>
      <w:r>
        <w:rPr>
          <w:rFonts w:ascii="Times New Roman" w:hAnsi="Times New Roman" w:cs="Times New Roman"/>
        </w:rPr>
        <w:t>Without analyzing</w:t>
      </w:r>
      <w:r w:rsidRPr="00F67E1A">
        <w:rPr>
          <w:rFonts w:ascii="Times New Roman" w:hAnsi="Times New Roman" w:cs="Times New Roman"/>
        </w:rPr>
        <w:t xml:space="preserve"> the volume intended to backfill MGB’s existing academic medical centers</w:t>
      </w:r>
      <w:r>
        <w:rPr>
          <w:rFonts w:ascii="Times New Roman" w:hAnsi="Times New Roman" w:cs="Times New Roman"/>
        </w:rPr>
        <w:t>,</w:t>
      </w:r>
      <w:r w:rsidRPr="00F67E1A">
        <w:rPr>
          <w:rFonts w:ascii="Times New Roman" w:hAnsi="Times New Roman" w:cs="Times New Roman"/>
        </w:rPr>
        <w:t xml:space="preserve"> community hospitals</w:t>
      </w:r>
      <w:r>
        <w:rPr>
          <w:rFonts w:ascii="Times New Roman" w:hAnsi="Times New Roman" w:cs="Times New Roman"/>
        </w:rPr>
        <w:t xml:space="preserve"> and out-patient sites of service</w:t>
      </w:r>
      <w:r w:rsidRPr="00F67E1A">
        <w:rPr>
          <w:rFonts w:ascii="Times New Roman" w:hAnsi="Times New Roman" w:cs="Times New Roman"/>
        </w:rPr>
        <w:t xml:space="preserve">, the true cost </w:t>
      </w:r>
      <w:r>
        <w:rPr>
          <w:rFonts w:ascii="Times New Roman" w:hAnsi="Times New Roman" w:cs="Times New Roman"/>
        </w:rPr>
        <w:t xml:space="preserve">to the system or </w:t>
      </w:r>
      <w:r w:rsidRPr="00F67E1A">
        <w:rPr>
          <w:rFonts w:ascii="Times New Roman" w:hAnsi="Times New Roman" w:cs="Times New Roman"/>
        </w:rPr>
        <w:t xml:space="preserve">savings </w:t>
      </w:r>
      <w:r>
        <w:rPr>
          <w:rFonts w:ascii="Times New Roman" w:hAnsi="Times New Roman" w:cs="Times New Roman"/>
        </w:rPr>
        <w:t xml:space="preserve">to MGB </w:t>
      </w:r>
      <w:r w:rsidRPr="00F67E1A">
        <w:rPr>
          <w:rFonts w:ascii="Times New Roman" w:hAnsi="Times New Roman" w:cs="Times New Roman"/>
        </w:rPr>
        <w:t xml:space="preserve">cannot be realized. </w:t>
      </w:r>
      <w:r>
        <w:rPr>
          <w:rFonts w:ascii="Times New Roman" w:hAnsi="Times New Roman" w:cs="Times New Roman"/>
        </w:rPr>
        <w:t xml:space="preserve"> </w:t>
      </w:r>
      <w:r w:rsidRPr="00D34237">
        <w:rPr>
          <w:rFonts w:ascii="Times New Roman" w:hAnsi="Times New Roman" w:cs="Times New Roman"/>
        </w:rPr>
        <w:t>The cost of MGB backfilling inpatient capacity with more-acute, higher cost care will tremendously outweigh any cost savings that may result from shifting volume to outpatient locations</w:t>
      </w:r>
      <w:r w:rsidR="00E90F5E">
        <w:rPr>
          <w:rFonts w:ascii="Times New Roman" w:hAnsi="Times New Roman" w:cs="Times New Roman"/>
        </w:rPr>
        <w:t>.</w:t>
      </w:r>
    </w:p>
    <w:p w:rsidR="00172F4A" w:rsidRDefault="00E90F5E" w:rsidP="001E5C90">
      <w:pPr>
        <w:spacing w:after="0" w:line="240" w:lineRule="auto"/>
        <w:jc w:val="both"/>
        <w:rPr>
          <w:rFonts w:ascii="Times New Roman" w:hAnsi="Times New Roman" w:cs="Times New Roman"/>
        </w:rPr>
      </w:pPr>
      <w:r>
        <w:rPr>
          <w:rFonts w:ascii="Times New Roman" w:hAnsi="Times New Roman" w:cs="Times New Roman"/>
        </w:rPr>
        <w:t xml:space="preserve"> </w:t>
      </w:r>
    </w:p>
    <w:p w:rsidR="00172F4A" w:rsidRPr="00172F4A" w:rsidRDefault="00172F4A" w:rsidP="00172F4A">
      <w:pPr>
        <w:spacing w:line="240" w:lineRule="auto"/>
        <w:contextualSpacing/>
        <w:jc w:val="both"/>
        <w:rPr>
          <w:rFonts w:ascii="Times New Roman" w:hAnsi="Times New Roman" w:cs="Times New Roman"/>
          <w:b/>
        </w:rPr>
      </w:pPr>
      <w:r w:rsidRPr="00172F4A">
        <w:rPr>
          <w:rFonts w:ascii="Times New Roman" w:hAnsi="Times New Roman" w:cs="Times New Roman"/>
          <w:b/>
        </w:rPr>
        <w:t>Existing Outpatient Surgical Capacity</w:t>
      </w:r>
    </w:p>
    <w:p w:rsidR="00172F4A" w:rsidRPr="00172F4A" w:rsidRDefault="00172F4A" w:rsidP="00172F4A">
      <w:pPr>
        <w:spacing w:line="240" w:lineRule="auto"/>
        <w:contextualSpacing/>
        <w:jc w:val="both"/>
        <w:rPr>
          <w:rFonts w:ascii="Times New Roman" w:hAnsi="Times New Roman" w:cs="Times New Roman"/>
        </w:rPr>
      </w:pPr>
      <w:r w:rsidRPr="00172F4A">
        <w:rPr>
          <w:rFonts w:ascii="Times New Roman" w:hAnsi="Times New Roman" w:cs="Times New Roman"/>
        </w:rPr>
        <w:t>In its question and response document posted on the Department’s website, the Applicant states that there is existing outpatient surgical capacity within its satellite locations in Foxborough, Danvers, Waltham and Wellesley. Specifically, on page 11 the Applicant states that “there is still OR capacity” within the system’s current ASC/HOPD sites.  The explanation given for the existing capacity is the Applicant’s inability to efficiently manage block scheduling, a self-imposed limitation of surgical specialties and the failure to utilize dedicated surgeons.</w:t>
      </w:r>
      <w:r w:rsidR="00E90F5E">
        <w:rPr>
          <w:rFonts w:ascii="Times New Roman" w:hAnsi="Times New Roman" w:cs="Times New Roman"/>
        </w:rPr>
        <w:t xml:space="preserve"> </w:t>
      </w:r>
    </w:p>
    <w:p w:rsidR="00172F4A" w:rsidRPr="00172F4A" w:rsidRDefault="00172F4A" w:rsidP="00172F4A">
      <w:pPr>
        <w:spacing w:line="240" w:lineRule="auto"/>
        <w:ind w:left="360"/>
        <w:contextualSpacing/>
        <w:jc w:val="both"/>
        <w:rPr>
          <w:rFonts w:ascii="Times New Roman" w:hAnsi="Times New Roman" w:cs="Times New Roman"/>
        </w:rPr>
      </w:pPr>
    </w:p>
    <w:p w:rsidR="00172F4A" w:rsidRPr="00172F4A" w:rsidRDefault="00172F4A" w:rsidP="00172F4A">
      <w:pPr>
        <w:spacing w:line="240" w:lineRule="auto"/>
        <w:contextualSpacing/>
        <w:jc w:val="both"/>
        <w:rPr>
          <w:rFonts w:ascii="Times New Roman" w:hAnsi="Times New Roman" w:cs="Times New Roman"/>
        </w:rPr>
      </w:pPr>
      <w:r w:rsidRPr="00172F4A">
        <w:rPr>
          <w:rFonts w:ascii="Times New Roman" w:hAnsi="Times New Roman" w:cs="Times New Roman"/>
        </w:rPr>
        <w:lastRenderedPageBreak/>
        <w:t xml:space="preserve">Respectfully, this response demonstrates that the Applicant is not an efficient operator of outpatient surgical services. At a minimum, the Applicant should consider expanding its offering of surgical specialties, more effectively managing block scheduling and utilizing dedicated surgeons thereby permitting more efficient OR scheduling and utilization. </w:t>
      </w:r>
    </w:p>
    <w:p w:rsidR="00172F4A" w:rsidRPr="00172F4A" w:rsidRDefault="00172F4A" w:rsidP="00172F4A">
      <w:pPr>
        <w:spacing w:line="240" w:lineRule="auto"/>
        <w:contextualSpacing/>
        <w:jc w:val="both"/>
        <w:rPr>
          <w:rFonts w:ascii="Times New Roman" w:hAnsi="Times New Roman" w:cs="Times New Roman"/>
        </w:rPr>
      </w:pPr>
    </w:p>
    <w:p w:rsidR="00172F4A" w:rsidRPr="00172F4A" w:rsidRDefault="00172F4A" w:rsidP="00172F4A">
      <w:pPr>
        <w:spacing w:line="240" w:lineRule="auto"/>
        <w:contextualSpacing/>
        <w:jc w:val="both"/>
        <w:rPr>
          <w:rFonts w:ascii="Times New Roman" w:hAnsi="Times New Roman" w:cs="Times New Roman"/>
          <w:b/>
        </w:rPr>
      </w:pPr>
      <w:r w:rsidRPr="00172F4A">
        <w:rPr>
          <w:rFonts w:ascii="Times New Roman" w:hAnsi="Times New Roman" w:cs="Times New Roman"/>
          <w:b/>
        </w:rPr>
        <w:t>HOPD vs Freestanding Surgical Rates</w:t>
      </w:r>
    </w:p>
    <w:p w:rsidR="00172F4A" w:rsidRPr="00172F4A" w:rsidRDefault="00172F4A" w:rsidP="00172F4A">
      <w:pPr>
        <w:spacing w:line="240" w:lineRule="auto"/>
        <w:contextualSpacing/>
        <w:jc w:val="both"/>
        <w:rPr>
          <w:rFonts w:ascii="Times New Roman" w:hAnsi="Times New Roman" w:cs="Times New Roman"/>
        </w:rPr>
      </w:pPr>
      <w:r w:rsidRPr="00172F4A">
        <w:rPr>
          <w:rFonts w:ascii="Times New Roman" w:hAnsi="Times New Roman" w:cs="Times New Roman"/>
        </w:rPr>
        <w:t>On page 11, of the Applicant’s response to the Department’s questions, the Applicant states that they do not offer any freestanding ambulatory surgical services</w:t>
      </w:r>
      <w:r w:rsidR="00DF5287">
        <w:rPr>
          <w:rFonts w:ascii="Times New Roman" w:hAnsi="Times New Roman" w:cs="Times New Roman"/>
        </w:rPr>
        <w:t>. However, based on the Applicant’s</w:t>
      </w:r>
      <w:r w:rsidR="00147909">
        <w:rPr>
          <w:rFonts w:ascii="Times New Roman" w:hAnsi="Times New Roman" w:cs="Times New Roman"/>
        </w:rPr>
        <w:t xml:space="preserve"> earlier</w:t>
      </w:r>
      <w:r w:rsidR="00DF5287">
        <w:rPr>
          <w:rFonts w:ascii="Times New Roman" w:hAnsi="Times New Roman" w:cs="Times New Roman"/>
        </w:rPr>
        <w:t xml:space="preserve"> response they appear</w:t>
      </w:r>
      <w:r w:rsidRPr="00172F4A">
        <w:rPr>
          <w:rFonts w:ascii="Times New Roman" w:hAnsi="Times New Roman" w:cs="Times New Roman"/>
        </w:rPr>
        <w:t xml:space="preserve"> </w:t>
      </w:r>
      <w:r w:rsidR="00DF5287">
        <w:rPr>
          <w:rFonts w:ascii="Times New Roman" w:hAnsi="Times New Roman" w:cs="Times New Roman"/>
        </w:rPr>
        <w:t>to</w:t>
      </w:r>
      <w:r w:rsidRPr="00172F4A">
        <w:rPr>
          <w:rFonts w:ascii="Times New Roman" w:hAnsi="Times New Roman" w:cs="Times New Roman"/>
        </w:rPr>
        <w:t xml:space="preserve"> operate several underutilized HOPD satellite facilities in Foxborough, Danvers, Waltham and Wellesley.  The Applicant claims that the need for its DoN Application is to offer lower-cost freestanding (non-hospital based) services to its patients. </w:t>
      </w:r>
    </w:p>
    <w:p w:rsidR="00172F4A" w:rsidRPr="00172F4A" w:rsidRDefault="00172F4A" w:rsidP="00172F4A">
      <w:pPr>
        <w:spacing w:line="240" w:lineRule="auto"/>
        <w:ind w:left="360"/>
        <w:contextualSpacing/>
        <w:jc w:val="both"/>
        <w:rPr>
          <w:rFonts w:ascii="Times New Roman" w:hAnsi="Times New Roman" w:cs="Times New Roman"/>
        </w:rPr>
      </w:pPr>
    </w:p>
    <w:p w:rsidR="00172F4A" w:rsidRPr="00172F4A" w:rsidRDefault="00172F4A" w:rsidP="00172F4A">
      <w:pPr>
        <w:spacing w:line="240" w:lineRule="auto"/>
        <w:contextualSpacing/>
        <w:jc w:val="both"/>
        <w:rPr>
          <w:rFonts w:ascii="Times New Roman" w:hAnsi="Times New Roman" w:cs="Times New Roman"/>
        </w:rPr>
      </w:pPr>
      <w:r w:rsidRPr="00172F4A">
        <w:rPr>
          <w:rFonts w:ascii="Times New Roman" w:hAnsi="Times New Roman" w:cs="Times New Roman"/>
        </w:rPr>
        <w:t>If the Applicant is, as it states, committed to lowering the cost of care for its patients, it should consider changing the reimbursement status of their existing HOPD satellite facilities to freestanding rates.  As the Applicant knows, the same procedure performed in an HOPD setting can cost Medicare upwards of 48% of the cost of the same procedure performed at a freestanding surgical center. Additionally, patients undergoing surgical procedures in these settings would be spared the cost of an added facility fee.</w:t>
      </w:r>
    </w:p>
    <w:p w:rsidR="00172F4A" w:rsidRPr="007A607A" w:rsidRDefault="00172F4A"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b/>
        </w:rPr>
      </w:pPr>
    </w:p>
    <w:p w:rsidR="001E5C90" w:rsidRDefault="001E5C90" w:rsidP="001E5C90">
      <w:pPr>
        <w:spacing w:after="0" w:line="240" w:lineRule="auto"/>
        <w:jc w:val="both"/>
        <w:rPr>
          <w:rFonts w:ascii="Times New Roman" w:hAnsi="Times New Roman" w:cs="Times New Roman"/>
          <w:b/>
        </w:rPr>
      </w:pPr>
      <w:r>
        <w:rPr>
          <w:rFonts w:ascii="Times New Roman" w:hAnsi="Times New Roman" w:cs="Times New Roman"/>
          <w:b/>
        </w:rPr>
        <w:t>Failure to Analyze Impact of Workforce Shortages</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The COVID-19 pandemic has exacerbated clinical workforce shortages, the impact of which is being felt on both a state and national level.  This situation is likely to extend well into the future as burnout among health care workers continues to increase.  This presents significant operational challenges for hospitals and health care systems.  The introduction of these centers will undoubtedly have an impact on local health systems already struggling to recruit and retain clinical staff.  Additionally, MGB has leverage as the largest and most expensive hospital provider to pay salaries that far exceed the salaries paid by lower-cost community hospitals.  As suggested by the AG, the migration of clinical staff, like primary care doctors and specialists, from lower-cost providers to MGB is something that must be evaluated. </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b/>
        </w:rPr>
      </w:pPr>
      <w:r>
        <w:rPr>
          <w:rFonts w:ascii="Times New Roman" w:hAnsi="Times New Roman" w:cs="Times New Roman"/>
        </w:rPr>
        <w:t xml:space="preserve">It is also noteworthy that CRA’s tacit conclusion that COVID-19 has had no impact on workforce shortages directly contradicts </w:t>
      </w:r>
      <w:r w:rsidRPr="00E661D2">
        <w:rPr>
          <w:rFonts w:ascii="Times New Roman" w:hAnsi="Times New Roman" w:cs="Times New Roman"/>
        </w:rPr>
        <w:t>MGB</w:t>
      </w:r>
      <w:r>
        <w:rPr>
          <w:rFonts w:ascii="Times New Roman" w:hAnsi="Times New Roman" w:cs="Times New Roman"/>
        </w:rPr>
        <w:t xml:space="preserve"> President &amp; CEO Anne Koblanski’s own</w:t>
      </w:r>
      <w:r w:rsidRPr="00E661D2">
        <w:rPr>
          <w:rFonts w:ascii="Times New Roman" w:hAnsi="Times New Roman" w:cs="Times New Roman"/>
        </w:rPr>
        <w:t xml:space="preserve"> public statements </w:t>
      </w:r>
      <w:r>
        <w:rPr>
          <w:rFonts w:ascii="Times New Roman" w:hAnsi="Times New Roman" w:cs="Times New Roman"/>
        </w:rPr>
        <w:t xml:space="preserve">regarding workforce challenges in her </w:t>
      </w:r>
      <w:r w:rsidRPr="00E661D2">
        <w:rPr>
          <w:rFonts w:ascii="Times New Roman" w:hAnsi="Times New Roman" w:cs="Times New Roman"/>
        </w:rPr>
        <w:t xml:space="preserve">testimony at the </w:t>
      </w:r>
      <w:r>
        <w:rPr>
          <w:rFonts w:ascii="Times New Roman" w:hAnsi="Times New Roman" w:cs="Times New Roman"/>
        </w:rPr>
        <w:t>HPC</w:t>
      </w:r>
      <w:r w:rsidRPr="00E661D2">
        <w:rPr>
          <w:rFonts w:ascii="Times New Roman" w:hAnsi="Times New Roman" w:cs="Times New Roman"/>
        </w:rPr>
        <w:t xml:space="preserve"> 2021 Cost Trends Hearing.</w:t>
      </w:r>
      <w:r w:rsidRPr="00F67E1A">
        <w:rPr>
          <w:rFonts w:ascii="Times New Roman" w:hAnsi="Times New Roman" w:cs="Times New Roman"/>
        </w:rPr>
        <w:t xml:space="preserve"> </w:t>
      </w:r>
      <w:r>
        <w:rPr>
          <w:rFonts w:ascii="Times New Roman" w:hAnsi="Times New Roman" w:cs="Times New Roman"/>
        </w:rPr>
        <w:t xml:space="preserve"> </w:t>
      </w:r>
      <w:r w:rsidRPr="00F67E1A">
        <w:rPr>
          <w:rFonts w:ascii="Times New Roman" w:hAnsi="Times New Roman" w:cs="Times New Roman"/>
        </w:rPr>
        <w:t xml:space="preserve">Furthermore, the datasets outlined within the ICA include “professionals who have retired, but have not deactivated their NPI,” thus continuing to overestimate available personnel in the market. </w:t>
      </w:r>
      <w:r>
        <w:rPr>
          <w:rFonts w:ascii="Times New Roman" w:hAnsi="Times New Roman" w:cs="Times New Roman"/>
        </w:rPr>
        <w:t xml:space="preserve"> </w:t>
      </w:r>
      <w:r w:rsidRPr="00F67E1A">
        <w:rPr>
          <w:rFonts w:ascii="Times New Roman" w:hAnsi="Times New Roman" w:cs="Times New Roman"/>
        </w:rPr>
        <w:t xml:space="preserve">Given the significant increase in early retirements and </w:t>
      </w:r>
      <w:r>
        <w:rPr>
          <w:rFonts w:ascii="Times New Roman" w:hAnsi="Times New Roman" w:cs="Times New Roman"/>
        </w:rPr>
        <w:t xml:space="preserve">professionals </w:t>
      </w:r>
      <w:r w:rsidRPr="00F67E1A">
        <w:rPr>
          <w:rFonts w:ascii="Times New Roman" w:hAnsi="Times New Roman" w:cs="Times New Roman"/>
        </w:rPr>
        <w:t xml:space="preserve">leaving the workforce, it is likely many </w:t>
      </w:r>
      <w:r>
        <w:rPr>
          <w:rFonts w:ascii="Times New Roman" w:hAnsi="Times New Roman" w:cs="Times New Roman"/>
        </w:rPr>
        <w:t xml:space="preserve">of the NPIs CRA designated as </w:t>
      </w:r>
      <w:r w:rsidRPr="00F67E1A">
        <w:rPr>
          <w:rFonts w:ascii="Times New Roman" w:hAnsi="Times New Roman" w:cs="Times New Roman"/>
        </w:rPr>
        <w:t>“active” are</w:t>
      </w:r>
      <w:r>
        <w:rPr>
          <w:rFonts w:ascii="Times New Roman" w:hAnsi="Times New Roman" w:cs="Times New Roman"/>
        </w:rPr>
        <w:t>,</w:t>
      </w:r>
      <w:r w:rsidRPr="00F67E1A">
        <w:rPr>
          <w:rFonts w:ascii="Times New Roman" w:hAnsi="Times New Roman" w:cs="Times New Roman"/>
        </w:rPr>
        <w:t xml:space="preserve"> in reality</w:t>
      </w:r>
      <w:r>
        <w:rPr>
          <w:rFonts w:ascii="Times New Roman" w:hAnsi="Times New Roman" w:cs="Times New Roman"/>
        </w:rPr>
        <w:t>,</w:t>
      </w:r>
      <w:r w:rsidRPr="00F67E1A">
        <w:rPr>
          <w:rFonts w:ascii="Times New Roman" w:hAnsi="Times New Roman" w:cs="Times New Roman"/>
        </w:rPr>
        <w:t xml:space="preserve"> inactive.</w:t>
      </w:r>
    </w:p>
    <w:p w:rsidR="001E5C90" w:rsidRDefault="001E5C90" w:rsidP="001E5C90">
      <w:pPr>
        <w:spacing w:after="0" w:line="240" w:lineRule="auto"/>
        <w:jc w:val="both"/>
        <w:rPr>
          <w:rFonts w:ascii="Times New Roman" w:hAnsi="Times New Roman" w:cs="Times New Roman"/>
          <w:b/>
        </w:rPr>
      </w:pPr>
    </w:p>
    <w:p w:rsidR="001E5C90" w:rsidRPr="00B95438" w:rsidRDefault="001E5C90" w:rsidP="001E5C90">
      <w:pPr>
        <w:spacing w:after="0" w:line="240" w:lineRule="auto"/>
        <w:jc w:val="both"/>
        <w:rPr>
          <w:rFonts w:ascii="Times New Roman" w:hAnsi="Times New Roman" w:cs="Times New Roman"/>
          <w:b/>
        </w:rPr>
      </w:pPr>
      <w:r w:rsidRPr="00762CBF">
        <w:rPr>
          <w:rFonts w:ascii="Times New Roman" w:hAnsi="Times New Roman" w:cs="Times New Roman"/>
          <w:b/>
        </w:rPr>
        <w:t>Failure to Analyze Shifting Volume Away from Community Providers and its Impact on</w:t>
      </w:r>
      <w:r>
        <w:rPr>
          <w:rFonts w:ascii="Times New Roman" w:hAnsi="Times New Roman" w:cs="Times New Roman"/>
          <w:b/>
        </w:rPr>
        <w:t xml:space="preserve"> Underserved Communities</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CRA’s ICA does not include any meaningful comparative analysis of the cost to the Commonwealth of shifting volume away from lower-cost providers. As the Department well knows, l</w:t>
      </w:r>
      <w:r w:rsidRPr="00EA1560">
        <w:rPr>
          <w:rFonts w:ascii="Times New Roman" w:hAnsi="Times New Roman" w:cs="Times New Roman"/>
        </w:rPr>
        <w:t xml:space="preserve">ow-cost community </w:t>
      </w:r>
      <w:r>
        <w:rPr>
          <w:rFonts w:ascii="Times New Roman" w:hAnsi="Times New Roman" w:cs="Times New Roman"/>
        </w:rPr>
        <w:t xml:space="preserve">and safety-net providers are reliant on limited </w:t>
      </w:r>
      <w:r w:rsidRPr="00EA1560">
        <w:rPr>
          <w:rFonts w:ascii="Times New Roman" w:hAnsi="Times New Roman" w:cs="Times New Roman"/>
        </w:rPr>
        <w:t>commer</w:t>
      </w:r>
      <w:r>
        <w:rPr>
          <w:rFonts w:ascii="Times New Roman" w:hAnsi="Times New Roman" w:cs="Times New Roman"/>
        </w:rPr>
        <w:t>cial margins to fund the cost of care for low-income patients and communities with high barriers to care, many of which are communities of color.  Even a narrow shift in</w:t>
      </w:r>
      <w:r w:rsidRPr="00EA1560">
        <w:rPr>
          <w:rFonts w:ascii="Times New Roman" w:hAnsi="Times New Roman" w:cs="Times New Roman"/>
        </w:rPr>
        <w:t xml:space="preserve"> commercial patients away from</w:t>
      </w:r>
      <w:r>
        <w:rPr>
          <w:rFonts w:ascii="Times New Roman" w:hAnsi="Times New Roman" w:cs="Times New Roman"/>
        </w:rPr>
        <w:t xml:space="preserve"> lower-cost community hospitals threatens their financial viability, directly jeopardizes the Commonwealth’s ability to meet its cost containment goals and further disenfranchises underserved communities. </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It is incumbent upon the Department to have a robust understanding of the implications this transaction will have on underserved communities. </w:t>
      </w:r>
      <w:r w:rsidRPr="00D34237">
        <w:rPr>
          <w:rFonts w:ascii="Times New Roman" w:hAnsi="Times New Roman" w:cs="Times New Roman"/>
        </w:rPr>
        <w:t>The ICA lacks insight into the impact of the expansion project on underserved communities</w:t>
      </w:r>
      <w:r>
        <w:rPr>
          <w:rFonts w:ascii="Times New Roman" w:hAnsi="Times New Roman" w:cs="Times New Roman"/>
        </w:rPr>
        <w:t xml:space="preserve"> due to the notable</w:t>
      </w:r>
      <w:r w:rsidRPr="00D34237">
        <w:rPr>
          <w:rFonts w:ascii="Times New Roman" w:hAnsi="Times New Roman" w:cs="Times New Roman"/>
        </w:rPr>
        <w:t xml:space="preserve"> absence of race and ethnicity information in the APCD.</w:t>
      </w:r>
      <w:r w:rsidRPr="009130B8">
        <w:rPr>
          <w:rStyle w:val="FootnoteReference"/>
          <w:rFonts w:ascii="Times New Roman" w:hAnsi="Times New Roman" w:cs="Times New Roman"/>
        </w:rPr>
        <w:footnoteReference w:id="9"/>
      </w:r>
      <w:r>
        <w:rPr>
          <w:rFonts w:ascii="Times New Roman" w:hAnsi="Times New Roman" w:cs="Times New Roman"/>
        </w:rPr>
        <w:t xml:space="preserve"> At a time when the COVID-19 pandemic has highlighted and further exacerbated health inequities and disparate health outcomes in communities of color, we urge the Department to consider a quote included in AG Healey’s Report, </w:t>
      </w:r>
      <w:r>
        <w:rPr>
          <w:rFonts w:ascii="Times New Roman" w:hAnsi="Times New Roman" w:cs="Times New Roman"/>
          <w:i/>
        </w:rPr>
        <w:t>Building Toward Racial Justice and Equity in Health: A Call to Action, “</w:t>
      </w:r>
      <w:r>
        <w:rPr>
          <w:rFonts w:ascii="Times New Roman" w:hAnsi="Times New Roman" w:cs="Times New Roman"/>
        </w:rPr>
        <w:t>t</w:t>
      </w:r>
      <w:r w:rsidRPr="00CF6D6A">
        <w:rPr>
          <w:rFonts w:ascii="Times New Roman" w:hAnsi="Times New Roman" w:cs="Times New Roman"/>
        </w:rPr>
        <w:t>he data on racial and ethnic health care disparities in Massachusetts paint a bleak picture. In general, residents of color are less healthy and di</w:t>
      </w:r>
      <w:r>
        <w:rPr>
          <w:rFonts w:ascii="Times New Roman" w:hAnsi="Times New Roman" w:cs="Times New Roman"/>
        </w:rPr>
        <w:t xml:space="preserve">e younger than white residents.” It should therefore not be taken lightly how MGB’s siphoning of commercially insured patients from community health providers that offer essential safety net services will be impacted by these projects and how, as a result, health equity and access will be negatively impacted. </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Furthermore, t</w:t>
      </w:r>
      <w:r w:rsidRPr="00554138">
        <w:rPr>
          <w:rFonts w:ascii="Times New Roman" w:hAnsi="Times New Roman" w:cs="Times New Roman"/>
        </w:rPr>
        <w:t>he ICA</w:t>
      </w:r>
      <w:r>
        <w:rPr>
          <w:rFonts w:ascii="Times New Roman" w:hAnsi="Times New Roman" w:cs="Times New Roman"/>
        </w:rPr>
        <w:t>’s</w:t>
      </w:r>
      <w:r w:rsidRPr="00554138">
        <w:rPr>
          <w:rFonts w:ascii="Times New Roman" w:hAnsi="Times New Roman" w:cs="Times New Roman"/>
        </w:rPr>
        <w:t xml:space="preserve"> answer to the Department's question as to what the effects of the proposed project will be on 'competition, utilization and capacity of other health care providers in Massachusetts’ again, is woefully inadequate. There is no greater or more gaping hole in the analysis than the omission of the August 30, 2021, Approval of the Emergency DON #20121611 of a $325.7</w:t>
      </w:r>
      <w:r>
        <w:rPr>
          <w:rFonts w:ascii="Times New Roman" w:hAnsi="Times New Roman" w:cs="Times New Roman"/>
        </w:rPr>
        <w:t xml:space="preserve"> million</w:t>
      </w:r>
      <w:r w:rsidRPr="00554138">
        <w:rPr>
          <w:rFonts w:ascii="Times New Roman" w:hAnsi="Times New Roman" w:cs="Times New Roman"/>
        </w:rPr>
        <w:t xml:space="preserve"> investment to resurrect Norwood Hospital with 4 new out-patient operating rooms (an increase of 1 OR), 5 in-patient operating rooms, a new MRI unit and 2 new CT units. This investment follows a catastrophi</w:t>
      </w:r>
      <w:r>
        <w:rPr>
          <w:rFonts w:ascii="Times New Roman" w:hAnsi="Times New Roman" w:cs="Times New Roman"/>
        </w:rPr>
        <w:t>c event forcing the hospital to</w:t>
      </w:r>
      <w:r w:rsidRPr="00554138">
        <w:rPr>
          <w:rFonts w:ascii="Times New Roman" w:hAnsi="Times New Roman" w:cs="Times New Roman"/>
        </w:rPr>
        <w:t> transfer all in-patients to other facilities and abandon services. 800 Washington Street, Norwood</w:t>
      </w:r>
      <w:r>
        <w:rPr>
          <w:rFonts w:ascii="Times New Roman" w:hAnsi="Times New Roman" w:cs="Times New Roman"/>
        </w:rPr>
        <w:t>,</w:t>
      </w:r>
      <w:r w:rsidRPr="00554138">
        <w:rPr>
          <w:rFonts w:ascii="Times New Roman" w:hAnsi="Times New Roman" w:cs="Times New Roman"/>
        </w:rPr>
        <w:t xml:space="preserve"> is 6.7 miles from the proposed Westwood site and 8.1 miles from the Brigham’s Foxborough site with MRI and CT services. Any expansion of the MGB Westwood site must take into account the impact on the approved and newly developed $325.7</w:t>
      </w:r>
      <w:r>
        <w:rPr>
          <w:rFonts w:ascii="Times New Roman" w:hAnsi="Times New Roman" w:cs="Times New Roman"/>
        </w:rPr>
        <w:t xml:space="preserve"> million</w:t>
      </w:r>
      <w:r w:rsidRPr="00554138">
        <w:rPr>
          <w:rFonts w:ascii="Times New Roman" w:hAnsi="Times New Roman" w:cs="Times New Roman"/>
        </w:rPr>
        <w:t xml:space="preserve"> Norwood site. Should MGB Westwood divert physicians and/or patients who would otherwise provide or seek services at Norwood</w:t>
      </w:r>
      <w:r>
        <w:rPr>
          <w:rFonts w:ascii="Times New Roman" w:hAnsi="Times New Roman" w:cs="Times New Roman"/>
        </w:rPr>
        <w:t>, it</w:t>
      </w:r>
      <w:r w:rsidRPr="00554138">
        <w:rPr>
          <w:rFonts w:ascii="Times New Roman" w:hAnsi="Times New Roman" w:cs="Times New Roman"/>
        </w:rPr>
        <w:t xml:space="preserve"> will leave a $325,700,000 investment in a newly constructed hospital sitting below anticipated capacity, or</w:t>
      </w:r>
      <w:r>
        <w:rPr>
          <w:rFonts w:ascii="Times New Roman" w:hAnsi="Times New Roman" w:cs="Times New Roman"/>
        </w:rPr>
        <w:t>, at</w:t>
      </w:r>
      <w:r w:rsidRPr="00554138">
        <w:rPr>
          <w:rFonts w:ascii="Times New Roman" w:hAnsi="Times New Roman" w:cs="Times New Roman"/>
        </w:rPr>
        <w:t xml:space="preserve"> wors</w:t>
      </w:r>
      <w:r>
        <w:rPr>
          <w:rFonts w:ascii="Times New Roman" w:hAnsi="Times New Roman" w:cs="Times New Roman"/>
        </w:rPr>
        <w:t>t,</w:t>
      </w:r>
      <w:r w:rsidRPr="00554138">
        <w:rPr>
          <w:rFonts w:ascii="Times New Roman" w:hAnsi="Times New Roman" w:cs="Times New Roman"/>
        </w:rPr>
        <w:t xml:space="preserve"> idle, at a great cost to the Commonwealth.  Who will ultimately bear this cost? As the ICA indirectly answers: it will be employees, employers, consumers</w:t>
      </w:r>
      <w:r>
        <w:rPr>
          <w:rFonts w:ascii="Times New Roman" w:hAnsi="Times New Roman" w:cs="Times New Roman"/>
        </w:rPr>
        <w:t>,</w:t>
      </w:r>
      <w:r w:rsidRPr="00554138">
        <w:rPr>
          <w:rFonts w:ascii="Times New Roman" w:hAnsi="Times New Roman" w:cs="Times New Roman"/>
        </w:rPr>
        <w:t xml:space="preserve"> and the taxpayers of the Commonwealth. </w:t>
      </w:r>
    </w:p>
    <w:p w:rsidR="001E5C90" w:rsidRDefault="001E5C90" w:rsidP="001E5C90">
      <w:pPr>
        <w:spacing w:after="0" w:line="240" w:lineRule="auto"/>
        <w:jc w:val="both"/>
        <w:rPr>
          <w:rFonts w:ascii="Times New Roman" w:hAnsi="Times New Roman" w:cs="Times New Roman"/>
        </w:rPr>
      </w:pPr>
    </w:p>
    <w:p w:rsidR="001E5C90" w:rsidRPr="0011478D" w:rsidRDefault="001E5C90" w:rsidP="001E5C90">
      <w:pPr>
        <w:spacing w:after="0" w:line="240" w:lineRule="auto"/>
        <w:jc w:val="both"/>
        <w:rPr>
          <w:rFonts w:ascii="Times New Roman" w:hAnsi="Times New Roman" w:cs="Times New Roman"/>
          <w:b/>
        </w:rPr>
      </w:pPr>
      <w:r w:rsidRPr="0011478D">
        <w:rPr>
          <w:rFonts w:ascii="Times New Roman" w:hAnsi="Times New Roman" w:cs="Times New Roman"/>
          <w:b/>
        </w:rPr>
        <w:t>Marketing Campaign</w:t>
      </w:r>
    </w:p>
    <w:p w:rsidR="001E5C90" w:rsidRPr="003D452B" w:rsidRDefault="001E5C90" w:rsidP="001E5C90">
      <w:pPr>
        <w:spacing w:after="0" w:line="240" w:lineRule="auto"/>
        <w:jc w:val="both"/>
        <w:rPr>
          <w:rFonts w:ascii="Times New Roman" w:hAnsi="Times New Roman" w:cs="Times New Roman"/>
        </w:rPr>
      </w:pPr>
      <w:r w:rsidRPr="003D452B">
        <w:rPr>
          <w:rFonts w:ascii="Times New Roman" w:hAnsi="Times New Roman" w:cs="Times New Roman"/>
        </w:rPr>
        <w:t>MGB has undertaken an unprecedented multimillion dollar advertising campaign for its pending DoN Application.  The Applicant has spent precious dollars that could otherwise be directed toward patient care on primetime television, print and digital advertising that promotes the centers as if it is a foregone conclusion that they will be approved.  Meanwhile</w:t>
      </w:r>
      <w:r>
        <w:rPr>
          <w:rFonts w:ascii="Times New Roman" w:hAnsi="Times New Roman" w:cs="Times New Roman"/>
        </w:rPr>
        <w:t>,</w:t>
      </w:r>
      <w:r w:rsidRPr="003D452B">
        <w:rPr>
          <w:rFonts w:ascii="Times New Roman" w:hAnsi="Times New Roman" w:cs="Times New Roman"/>
        </w:rPr>
        <w:t xml:space="preserve"> regulators are evaluating the impact the Application will have on the Commonwealth’s ability to meet its cost containment goals </w:t>
      </w:r>
      <w:r>
        <w:rPr>
          <w:rFonts w:ascii="Times New Roman" w:hAnsi="Times New Roman" w:cs="Times New Roman"/>
        </w:rPr>
        <w:t>and</w:t>
      </w:r>
      <w:r w:rsidRPr="003D452B">
        <w:rPr>
          <w:rFonts w:ascii="Times New Roman" w:hAnsi="Times New Roman" w:cs="Times New Roman"/>
        </w:rPr>
        <w:t xml:space="preserve"> the Applicant’s ability to meet all the DoN factors of approval. Not only is this advertising campaign an attempt to influence, it also is clearly designed to attract new patients to these centers. MGB’s blatant attempt to cherry pick patients from existing, lower-cost providers conflicts with MGB’s claim that each facility is intended to serve only current patients – a faulty premise that functions as a primary cornerstone of the ICA’s scope of evaluation and the conclusions it draws.</w:t>
      </w:r>
    </w:p>
    <w:p w:rsidR="001E5C90" w:rsidRDefault="001E5C90" w:rsidP="001E5C90">
      <w:pPr>
        <w:spacing w:after="0" w:line="240" w:lineRule="auto"/>
        <w:jc w:val="both"/>
        <w:rPr>
          <w:rFonts w:ascii="Times New Roman" w:hAnsi="Times New Roman" w:cs="Times New Roman"/>
        </w:rPr>
      </w:pPr>
    </w:p>
    <w:p w:rsidR="001E5C90" w:rsidRPr="00715AA9" w:rsidRDefault="001E5C90" w:rsidP="001E5C90">
      <w:pPr>
        <w:spacing w:after="0" w:line="240" w:lineRule="auto"/>
        <w:jc w:val="both"/>
        <w:rPr>
          <w:rFonts w:ascii="Times New Roman" w:hAnsi="Times New Roman" w:cs="Times New Roman"/>
          <w:b/>
        </w:rPr>
      </w:pPr>
      <w:r w:rsidRPr="00715AA9">
        <w:rPr>
          <w:rFonts w:ascii="Times New Roman" w:hAnsi="Times New Roman" w:cs="Times New Roman"/>
          <w:b/>
        </w:rPr>
        <w:t>Failure to Weigh Market Dominance in Bargaining Leverage</w:t>
      </w:r>
    </w:p>
    <w:p w:rsidR="001E5C90" w:rsidRPr="00554138" w:rsidRDefault="001E5C90" w:rsidP="001E5C90">
      <w:pPr>
        <w:pStyle w:val="CommentText"/>
        <w:jc w:val="both"/>
      </w:pPr>
      <w:r w:rsidRPr="00715AA9">
        <w:rPr>
          <w:rFonts w:ascii="Times New Roman" w:hAnsi="Times New Roman" w:cs="Times New Roman"/>
          <w:sz w:val="22"/>
          <w:szCs w:val="22"/>
        </w:rPr>
        <w:t xml:space="preserve">The assertion CRA makes that MGB is “…unlikely to meaningfully change the system’s bargaining leverage with health insurers” is specious and unsubstantiated. It is well-documented that hospitals' market power in </w:t>
      </w:r>
      <w:r w:rsidRPr="00715AA9">
        <w:rPr>
          <w:rFonts w:ascii="Times New Roman" w:hAnsi="Times New Roman" w:cs="Times New Roman"/>
          <w:sz w:val="22"/>
          <w:szCs w:val="22"/>
        </w:rPr>
        <w:lastRenderedPageBreak/>
        <w:t>contract negotiations with payers is significant.</w:t>
      </w:r>
      <w:r w:rsidRPr="00D34237">
        <w:rPr>
          <w:vertAlign w:val="superscript"/>
        </w:rPr>
        <w:footnoteReference w:id="10"/>
      </w:r>
      <w:r w:rsidRPr="004559CA">
        <w:rPr>
          <w:rFonts w:ascii="Times New Roman" w:hAnsi="Times New Roman" w:cs="Times New Roman"/>
          <w:sz w:val="22"/>
          <w:szCs w:val="22"/>
        </w:rPr>
        <w:t xml:space="preserve"> </w:t>
      </w:r>
      <w:r w:rsidRPr="00690E11">
        <w:rPr>
          <w:rFonts w:ascii="Times New Roman" w:hAnsi="Times New Roman" w:cs="Times New Roman"/>
          <w:sz w:val="22"/>
          <w:szCs w:val="22"/>
        </w:rPr>
        <w:t>CRA</w:t>
      </w:r>
      <w:r w:rsidRPr="004559CA">
        <w:rPr>
          <w:rFonts w:ascii="Times New Roman" w:hAnsi="Times New Roman" w:cs="Times New Roman"/>
          <w:sz w:val="22"/>
          <w:szCs w:val="22"/>
        </w:rPr>
        <w:t xml:space="preserve"> notes negotiations are formed on the basis of “value” to the health insurer and provider. </w:t>
      </w:r>
      <w:r w:rsidRPr="00ED79E0">
        <w:rPr>
          <w:rFonts w:ascii="Times New Roman" w:hAnsi="Times New Roman" w:cs="Times New Roman"/>
          <w:sz w:val="22"/>
          <w:szCs w:val="22"/>
        </w:rPr>
        <w:t xml:space="preserve">However, </w:t>
      </w:r>
      <w:r w:rsidRPr="00D34237">
        <w:rPr>
          <w:rFonts w:ascii="Times New Roman" w:hAnsi="Times New Roman" w:cs="Times New Roman"/>
          <w:sz w:val="22"/>
          <w:szCs w:val="22"/>
        </w:rPr>
        <w:t>value stems from a myriad of elements and is not confined to frequently mentioned capacity constraints; rather, these elements include range of services, reputation and clinical quality, convenient locations, and other desirable amenities.</w:t>
      </w:r>
      <w:r>
        <w:rPr>
          <w:rStyle w:val="FootnoteReference"/>
          <w:rFonts w:ascii="Times New Roman" w:hAnsi="Times New Roman" w:cs="Times New Roman"/>
          <w:sz w:val="22"/>
          <w:szCs w:val="22"/>
        </w:rPr>
        <w:footnoteReference w:id="11"/>
      </w:r>
      <w:r w:rsidRPr="00715AA9">
        <w:rPr>
          <w:rFonts w:ascii="Times New Roman" w:hAnsi="Times New Roman" w:cs="Times New Roman"/>
          <w:sz w:val="22"/>
          <w:szCs w:val="22"/>
        </w:rPr>
        <w:t xml:space="preserve"> </w:t>
      </w:r>
    </w:p>
    <w:p w:rsidR="001E5C90" w:rsidRPr="00715AA9" w:rsidRDefault="001E5C90" w:rsidP="001E5C90">
      <w:pPr>
        <w:spacing w:after="0" w:line="240" w:lineRule="auto"/>
        <w:jc w:val="both"/>
        <w:rPr>
          <w:rFonts w:ascii="Times New Roman" w:hAnsi="Times New Roman" w:cs="Times New Roman"/>
          <w:u w:val="single"/>
        </w:rPr>
      </w:pPr>
      <w:r w:rsidRPr="00715AA9">
        <w:rPr>
          <w:rFonts w:ascii="Times New Roman" w:hAnsi="Times New Roman" w:cs="Times New Roman"/>
        </w:rPr>
        <w:t xml:space="preserve">The Proposed Project is a massive market expansion plan to build three ambulatory care centers with ambulatory surgery, physician services, and high-tech imaging at new sites in Westborough and Woburn and a significant expansion of MGB’s existing physician site in Westwood. MGB also released plans to renovate and expand Massachusetts General Hospital and Brigham and Women’s Faulkner Hospital. </w:t>
      </w:r>
      <w:r w:rsidRPr="009130B8">
        <w:rPr>
          <w:rFonts w:ascii="Times New Roman" w:hAnsi="Times New Roman" w:cs="Times New Roman"/>
        </w:rPr>
        <w:t xml:space="preserve">Given its market dominance, MGB's ability to negotiate reimbursement rates that are beneficial to the system is unprecedented, </w:t>
      </w:r>
      <w:r>
        <w:rPr>
          <w:rFonts w:ascii="Times New Roman" w:hAnsi="Times New Roman" w:cs="Times New Roman"/>
        </w:rPr>
        <w:t>which will likely</w:t>
      </w:r>
      <w:r w:rsidRPr="009130B8">
        <w:rPr>
          <w:rFonts w:ascii="Times New Roman" w:hAnsi="Times New Roman" w:cs="Times New Roman"/>
        </w:rPr>
        <w:t xml:space="preserve"> result in higher rates than are projected by the ICA and to the detriment </w:t>
      </w:r>
      <w:r>
        <w:rPr>
          <w:rFonts w:ascii="Times New Roman" w:hAnsi="Times New Roman" w:cs="Times New Roman"/>
        </w:rPr>
        <w:t xml:space="preserve">of consumers and the Commonwealth. </w:t>
      </w:r>
    </w:p>
    <w:p w:rsidR="001E5C90" w:rsidRDefault="001E5C90" w:rsidP="00172F4A">
      <w:pPr>
        <w:spacing w:after="0" w:line="240" w:lineRule="auto"/>
        <w:rPr>
          <w:rFonts w:ascii="Times New Roman" w:hAnsi="Times New Roman" w:cs="Times New Roman"/>
        </w:rPr>
      </w:pPr>
    </w:p>
    <w:p w:rsidR="001E5C90" w:rsidRDefault="001E5C90" w:rsidP="00172F4A">
      <w:pPr>
        <w:spacing w:after="0" w:line="240" w:lineRule="auto"/>
        <w:rPr>
          <w:rFonts w:ascii="Times New Roman" w:hAnsi="Times New Roman" w:cs="Times New Roman"/>
        </w:rPr>
      </w:pPr>
      <w:r>
        <w:rPr>
          <w:rFonts w:ascii="Times New Roman" w:hAnsi="Times New Roman" w:cs="Times New Roman"/>
        </w:rPr>
        <w:t xml:space="preserve">Additionally, </w:t>
      </w:r>
      <w:r w:rsidRPr="00715AA9">
        <w:rPr>
          <w:rFonts w:ascii="Times New Roman" w:hAnsi="Times New Roman" w:cs="Times New Roman"/>
        </w:rPr>
        <w:t xml:space="preserve">CRA improperly cites a </w:t>
      </w:r>
      <w:r>
        <w:rPr>
          <w:rFonts w:ascii="Times New Roman" w:hAnsi="Times New Roman" w:cs="Times New Roman"/>
        </w:rPr>
        <w:t xml:space="preserve">2009 </w:t>
      </w:r>
      <w:r w:rsidRPr="00715AA9">
        <w:rPr>
          <w:rFonts w:ascii="Times New Roman" w:hAnsi="Times New Roman" w:cs="Times New Roman"/>
        </w:rPr>
        <w:t xml:space="preserve">study from the American Economic Review that asserts [that] “… relaxing providers’ capacity constraints through entry or expansion decreases their negotiating leverage with health insurers and may result in lower prices for health care services.” The author of this study makes her arguments in the context of capacity-constrained hospitals. </w:t>
      </w:r>
      <w:r>
        <w:rPr>
          <w:rFonts w:ascii="Times New Roman" w:hAnsi="Times New Roman" w:cs="Times New Roman"/>
        </w:rPr>
        <w:t xml:space="preserve">The ICA must analyze </w:t>
      </w:r>
      <w:r w:rsidRPr="00715AA9">
        <w:rPr>
          <w:rFonts w:ascii="Times New Roman" w:hAnsi="Times New Roman" w:cs="Times New Roman"/>
        </w:rPr>
        <w:t xml:space="preserve">MGB’s Proposed Project based on what </w:t>
      </w:r>
      <w:r>
        <w:rPr>
          <w:rFonts w:ascii="Times New Roman" w:hAnsi="Times New Roman" w:cs="Times New Roman"/>
        </w:rPr>
        <w:t>the system</w:t>
      </w:r>
      <w:r w:rsidRPr="00715AA9">
        <w:rPr>
          <w:rFonts w:ascii="Times New Roman" w:hAnsi="Times New Roman" w:cs="Times New Roman"/>
        </w:rPr>
        <w:t xml:space="preserve"> will be and not what is currently is. If approved, MGB will not be a capacity-constrained hospital</w:t>
      </w:r>
      <w:r>
        <w:rPr>
          <w:rFonts w:ascii="Times New Roman" w:hAnsi="Times New Roman" w:cs="Times New Roman"/>
        </w:rPr>
        <w:t>;</w:t>
      </w:r>
      <w:r w:rsidRPr="00715AA9">
        <w:rPr>
          <w:rFonts w:ascii="Times New Roman" w:hAnsi="Times New Roman" w:cs="Times New Roman"/>
        </w:rPr>
        <w:t xml:space="preserve"> therefore</w:t>
      </w:r>
      <w:r>
        <w:rPr>
          <w:rFonts w:ascii="Times New Roman" w:hAnsi="Times New Roman" w:cs="Times New Roman"/>
        </w:rPr>
        <w:t>,</w:t>
      </w:r>
      <w:r w:rsidRPr="00715AA9">
        <w:rPr>
          <w:rFonts w:ascii="Times New Roman" w:hAnsi="Times New Roman" w:cs="Times New Roman"/>
        </w:rPr>
        <w:t xml:space="preserve"> the entry/expansion phenomenon asserted in this study would not apply</w:t>
      </w:r>
      <w:r w:rsidRPr="00715AA9" w:rsidDel="000060DC">
        <w:rPr>
          <w:rFonts w:ascii="Times New Roman" w:hAnsi="Times New Roman" w:cs="Times New Roman"/>
        </w:rPr>
        <w:t xml:space="preserve"> </w:t>
      </w:r>
      <w:r>
        <w:rPr>
          <w:rFonts w:ascii="Times New Roman" w:hAnsi="Times New Roman" w:cs="Times New Roman"/>
        </w:rPr>
        <w:t xml:space="preserve">in the evaluation of </w:t>
      </w:r>
      <w:r w:rsidRPr="00715AA9">
        <w:rPr>
          <w:rFonts w:ascii="Times New Roman" w:hAnsi="Times New Roman" w:cs="Times New Roman"/>
        </w:rPr>
        <w:t>MGB</w:t>
      </w:r>
      <w:r>
        <w:rPr>
          <w:rFonts w:ascii="Times New Roman" w:hAnsi="Times New Roman" w:cs="Times New Roman"/>
        </w:rPr>
        <w:t>’s future</w:t>
      </w:r>
      <w:r w:rsidRPr="00715AA9">
        <w:rPr>
          <w:rFonts w:ascii="Times New Roman" w:hAnsi="Times New Roman" w:cs="Times New Roman"/>
        </w:rPr>
        <w:t xml:space="preserve"> </w:t>
      </w:r>
      <w:r>
        <w:rPr>
          <w:rFonts w:ascii="Times New Roman" w:hAnsi="Times New Roman" w:cs="Times New Roman"/>
        </w:rPr>
        <w:t>renegotiation of</w:t>
      </w:r>
      <w:r w:rsidRPr="00715AA9">
        <w:rPr>
          <w:rFonts w:ascii="Times New Roman" w:hAnsi="Times New Roman" w:cs="Times New Roman"/>
        </w:rPr>
        <w:t xml:space="preserve"> its contract portfolio</w:t>
      </w:r>
      <w:r>
        <w:rPr>
          <w:rFonts w:ascii="Times New Roman" w:hAnsi="Times New Roman" w:cs="Times New Roman"/>
        </w:rPr>
        <w:t>.</w:t>
      </w:r>
    </w:p>
    <w:p w:rsidR="001E5C90" w:rsidRPr="00195AD4" w:rsidRDefault="001E5C90" w:rsidP="00172F4A">
      <w:pPr>
        <w:spacing w:after="0" w:line="240" w:lineRule="auto"/>
        <w:rPr>
          <w:rFonts w:ascii="Times New Roman" w:hAnsi="Times New Roman" w:cs="Times New Roman"/>
          <w:b/>
        </w:rPr>
      </w:pPr>
    </w:p>
    <w:p w:rsidR="001E5C90" w:rsidRPr="00195AD4" w:rsidRDefault="001E5C90" w:rsidP="00172F4A">
      <w:pPr>
        <w:spacing w:after="0" w:line="240" w:lineRule="auto"/>
        <w:rPr>
          <w:rFonts w:ascii="Times New Roman" w:hAnsi="Times New Roman" w:cs="Times New Roman"/>
          <w:b/>
        </w:rPr>
      </w:pPr>
      <w:r w:rsidRPr="00195AD4">
        <w:rPr>
          <w:rFonts w:ascii="Times New Roman" w:hAnsi="Times New Roman" w:cs="Times New Roman"/>
          <w:b/>
        </w:rPr>
        <w:t>Failure to Validate Applicant</w:t>
      </w:r>
      <w:r>
        <w:rPr>
          <w:rFonts w:ascii="Times New Roman" w:hAnsi="Times New Roman" w:cs="Times New Roman"/>
          <w:b/>
        </w:rPr>
        <w:t>’</w:t>
      </w:r>
      <w:r w:rsidRPr="00195AD4">
        <w:rPr>
          <w:rFonts w:ascii="Times New Roman" w:hAnsi="Times New Roman" w:cs="Times New Roman"/>
          <w:b/>
        </w:rPr>
        <w:t>s Assumptions</w:t>
      </w:r>
    </w:p>
    <w:p w:rsidR="001E5C90" w:rsidRDefault="001E5C90" w:rsidP="00172F4A">
      <w:pPr>
        <w:spacing w:after="0" w:line="240" w:lineRule="auto"/>
        <w:rPr>
          <w:rFonts w:ascii="Times New Roman" w:hAnsi="Times New Roman" w:cs="Times New Roman"/>
        </w:rPr>
      </w:pPr>
      <w:r>
        <w:rPr>
          <w:rFonts w:ascii="Times New Roman" w:hAnsi="Times New Roman" w:cs="Times New Roman"/>
        </w:rPr>
        <w:t xml:space="preserve">As mentioned above, CRA’s ICA </w:t>
      </w:r>
      <w:r w:rsidRPr="00195AD4">
        <w:rPr>
          <w:rFonts w:ascii="Times New Roman" w:hAnsi="Times New Roman" w:cs="Times New Roman"/>
        </w:rPr>
        <w:t xml:space="preserve">relies </w:t>
      </w:r>
      <w:r>
        <w:rPr>
          <w:rFonts w:ascii="Times New Roman" w:hAnsi="Times New Roman" w:cs="Times New Roman"/>
        </w:rPr>
        <w:t>almost exclusively on</w:t>
      </w:r>
      <w:r w:rsidRPr="00195AD4">
        <w:rPr>
          <w:rFonts w:ascii="Times New Roman" w:hAnsi="Times New Roman" w:cs="Times New Roman"/>
        </w:rPr>
        <w:t xml:space="preserve"> the price, volume, and market assumptions that MGB makes in its appli</w:t>
      </w:r>
      <w:r>
        <w:rPr>
          <w:rFonts w:ascii="Times New Roman" w:hAnsi="Times New Roman" w:cs="Times New Roman"/>
        </w:rPr>
        <w:t xml:space="preserve">cation – neglecting to </w:t>
      </w:r>
      <w:r w:rsidRPr="00195AD4">
        <w:rPr>
          <w:rFonts w:ascii="Times New Roman" w:hAnsi="Times New Roman" w:cs="Times New Roman"/>
        </w:rPr>
        <w:t>investigat</w:t>
      </w:r>
      <w:r>
        <w:rPr>
          <w:rFonts w:ascii="Times New Roman" w:hAnsi="Times New Roman" w:cs="Times New Roman"/>
        </w:rPr>
        <w:t>e</w:t>
      </w:r>
      <w:r w:rsidRPr="00195AD4">
        <w:rPr>
          <w:rFonts w:ascii="Times New Roman" w:hAnsi="Times New Roman" w:cs="Times New Roman"/>
        </w:rPr>
        <w:t xml:space="preserve"> the validity of those assumptions.</w:t>
      </w:r>
      <w:r>
        <w:rPr>
          <w:rFonts w:ascii="Times New Roman" w:hAnsi="Times New Roman" w:cs="Times New Roman"/>
        </w:rPr>
        <w:t xml:space="preserve"> Consequently, the Department’s only recourse is to reject CRA’s “analysis,” which was clearly predicated on </w:t>
      </w:r>
      <w:r w:rsidRPr="00D34237">
        <w:rPr>
          <w:rFonts w:ascii="Times New Roman" w:hAnsi="Times New Roman" w:cs="Times New Roman"/>
        </w:rPr>
        <w:t>formulating conclusions drawn from MGB's data</w:t>
      </w:r>
      <w:r w:rsidR="00E90F5E">
        <w:rPr>
          <w:rFonts w:ascii="Times New Roman" w:hAnsi="Times New Roman" w:cs="Times New Roman"/>
        </w:rPr>
        <w:t>.</w:t>
      </w:r>
    </w:p>
    <w:p w:rsidR="001E5C90" w:rsidRDefault="001E5C90" w:rsidP="00172F4A">
      <w:pPr>
        <w:spacing w:after="0" w:line="240" w:lineRule="auto"/>
        <w:rPr>
          <w:rFonts w:ascii="Times New Roman" w:hAnsi="Times New Roman" w:cs="Times New Roman"/>
        </w:rPr>
      </w:pPr>
    </w:p>
    <w:p w:rsidR="001E5C90" w:rsidRDefault="001E5C90" w:rsidP="00172F4A">
      <w:pPr>
        <w:tabs>
          <w:tab w:val="left" w:pos="1086"/>
        </w:tabs>
        <w:spacing w:after="0" w:line="240" w:lineRule="auto"/>
        <w:jc w:val="both"/>
        <w:rPr>
          <w:rFonts w:ascii="Times New Roman" w:hAnsi="Times New Roman" w:cs="Times New Roman"/>
          <w:b/>
        </w:rPr>
      </w:pPr>
      <w:r w:rsidRPr="00D23803">
        <w:rPr>
          <w:rFonts w:ascii="Times New Roman" w:hAnsi="Times New Roman" w:cs="Times New Roman"/>
          <w:b/>
        </w:rPr>
        <w:t xml:space="preserve">Cost Savings Estimates </w:t>
      </w:r>
    </w:p>
    <w:p w:rsidR="001E5C90" w:rsidRPr="009130B8" w:rsidRDefault="001E5C90" w:rsidP="00172F4A">
      <w:pPr>
        <w:tabs>
          <w:tab w:val="left" w:pos="1086"/>
        </w:tabs>
        <w:spacing w:after="0" w:line="240" w:lineRule="auto"/>
        <w:jc w:val="both"/>
        <w:rPr>
          <w:rFonts w:ascii="Times New Roman" w:hAnsi="Times New Roman" w:cs="Times New Roman"/>
        </w:rPr>
      </w:pPr>
      <w:r w:rsidRPr="009130B8">
        <w:rPr>
          <w:rFonts w:ascii="Times New Roman" w:hAnsi="Times New Roman" w:cs="Times New Roman"/>
        </w:rPr>
        <w:t>CRA</w:t>
      </w:r>
      <w:r>
        <w:rPr>
          <w:rFonts w:ascii="Times New Roman" w:hAnsi="Times New Roman" w:cs="Times New Roman"/>
        </w:rPr>
        <w:t>’s ICA</w:t>
      </w:r>
      <w:r w:rsidRPr="009130B8">
        <w:rPr>
          <w:rFonts w:ascii="Times New Roman" w:hAnsi="Times New Roman" w:cs="Times New Roman"/>
        </w:rPr>
        <w:t xml:space="preserve"> concludes that MGB’s Application will result in cost savings if existing MGB patients move their care from MGB's inpatient facilities to their outpatient facilities, given that MGB's inpatient settings are the most expensive in the state.  It is noteworthy, however, that there are no freestanding outpatient settings in the MGB system to validate these cost savings</w:t>
      </w:r>
      <w:r>
        <w:rPr>
          <w:rFonts w:ascii="Times New Roman" w:hAnsi="Times New Roman" w:cs="Times New Roman"/>
        </w:rPr>
        <w:t>, with</w:t>
      </w:r>
      <w:r w:rsidRPr="009130B8">
        <w:rPr>
          <w:rFonts w:ascii="Times New Roman" w:hAnsi="Times New Roman" w:cs="Times New Roman"/>
        </w:rPr>
        <w:t xml:space="preserve"> the ICA </w:t>
      </w:r>
      <w:r>
        <w:rPr>
          <w:rFonts w:ascii="Times New Roman" w:hAnsi="Times New Roman" w:cs="Times New Roman"/>
        </w:rPr>
        <w:t xml:space="preserve">also </w:t>
      </w:r>
      <w:r w:rsidRPr="009130B8">
        <w:rPr>
          <w:rFonts w:ascii="Times New Roman" w:hAnsi="Times New Roman" w:cs="Times New Roman"/>
        </w:rPr>
        <w:t>acknowledg</w:t>
      </w:r>
      <w:r>
        <w:rPr>
          <w:rFonts w:ascii="Times New Roman" w:hAnsi="Times New Roman" w:cs="Times New Roman"/>
        </w:rPr>
        <w:t>ing</w:t>
      </w:r>
      <w:r w:rsidRPr="009130B8">
        <w:rPr>
          <w:rFonts w:ascii="Times New Roman" w:hAnsi="Times New Roman" w:cs="Times New Roman"/>
        </w:rPr>
        <w:t xml:space="preserve"> that MGB has not yet negotiated rates.  Furthermore, the ICA does not evaluate the long-term implications of patients migrating from lower-cost community settings to MGB and that impact on statewide total medical expense.</w:t>
      </w:r>
    </w:p>
    <w:p w:rsidR="001E5C90" w:rsidRDefault="001E5C90" w:rsidP="00172F4A">
      <w:pPr>
        <w:tabs>
          <w:tab w:val="left" w:pos="1086"/>
        </w:tabs>
        <w:spacing w:after="0" w:line="240" w:lineRule="auto"/>
        <w:jc w:val="both"/>
        <w:rPr>
          <w:rFonts w:ascii="Times New Roman" w:hAnsi="Times New Roman" w:cs="Times New Roman"/>
        </w:rPr>
      </w:pPr>
    </w:p>
    <w:p w:rsidR="00172F4A" w:rsidRDefault="00172F4A" w:rsidP="00172F4A">
      <w:pPr>
        <w:spacing w:after="0" w:line="240" w:lineRule="auto"/>
        <w:jc w:val="both"/>
        <w:rPr>
          <w:rFonts w:ascii="Times New Roman" w:hAnsi="Times New Roman" w:cs="Times New Roman"/>
        </w:rPr>
      </w:pPr>
    </w:p>
    <w:p w:rsidR="001E5C90" w:rsidRDefault="001E5C90" w:rsidP="00172F4A">
      <w:pPr>
        <w:spacing w:after="0" w:line="240" w:lineRule="auto"/>
        <w:jc w:val="both"/>
        <w:rPr>
          <w:rFonts w:ascii="Times New Roman" w:hAnsi="Times New Roman" w:cs="Times New Roman"/>
        </w:rPr>
      </w:pPr>
      <w:r w:rsidRPr="009130B8">
        <w:rPr>
          <w:rFonts w:ascii="Times New Roman" w:hAnsi="Times New Roman" w:cs="Times New Roman"/>
        </w:rPr>
        <w:t>The Department should also take note that professional components are excluded entirely from the analyses.</w:t>
      </w:r>
      <w:r w:rsidRPr="009130B8">
        <w:rPr>
          <w:rStyle w:val="FootnoteReference"/>
          <w:rFonts w:ascii="Times New Roman" w:hAnsi="Times New Roman" w:cs="Times New Roman"/>
        </w:rPr>
        <w:footnoteReference w:id="12"/>
      </w:r>
      <w:r>
        <w:rPr>
          <w:rFonts w:ascii="Times New Roman" w:hAnsi="Times New Roman" w:cs="Times New Roman"/>
        </w:rPr>
        <w:t xml:space="preserve"> That is, the expense to the Commonwealth and consumers for physician fees generated by non-employed MGB physicians and specialists are not calculated in the ICA analysis. This is a grave omission. The ICA fails to address the Department’s request to answer the question </w:t>
      </w:r>
      <w:r w:rsidRPr="00CF60B0">
        <w:rPr>
          <w:rFonts w:ascii="Times New Roman" w:hAnsi="Times New Roman" w:cs="Times New Roman"/>
          <w:i/>
        </w:rPr>
        <w:t>(para-phrased)</w:t>
      </w:r>
      <w:r>
        <w:rPr>
          <w:rFonts w:ascii="Times New Roman" w:hAnsi="Times New Roman" w:cs="Times New Roman"/>
        </w:rPr>
        <w:t xml:space="preserve"> ‘who bears the cost of these services and who benefits.’ </w:t>
      </w:r>
    </w:p>
    <w:p w:rsidR="001E5C90" w:rsidRDefault="001E5C90" w:rsidP="001E5C90">
      <w:pPr>
        <w:spacing w:after="0" w:line="240" w:lineRule="auto"/>
        <w:jc w:val="both"/>
        <w:rPr>
          <w:rFonts w:ascii="Times New Roman" w:hAnsi="Times New Roman" w:cs="Times New Roman"/>
        </w:rPr>
      </w:pPr>
    </w:p>
    <w:p w:rsidR="001E5C90" w:rsidRDefault="001E5C90" w:rsidP="001E5C90">
      <w:pPr>
        <w:spacing w:line="240" w:lineRule="auto"/>
        <w:jc w:val="both"/>
        <w:rPr>
          <w:rFonts w:ascii="Times New Roman" w:hAnsi="Times New Roman" w:cs="Times New Roman"/>
        </w:rPr>
      </w:pPr>
      <w:r w:rsidRPr="00AD628B">
        <w:rPr>
          <w:rFonts w:ascii="Times New Roman" w:hAnsi="Times New Roman" w:cs="Times New Roman"/>
        </w:rPr>
        <w:t>The economist</w:t>
      </w:r>
      <w:r>
        <w:rPr>
          <w:rFonts w:ascii="Times New Roman" w:hAnsi="Times New Roman" w:cs="Times New Roman"/>
        </w:rPr>
        <w:t>s</w:t>
      </w:r>
      <w:r w:rsidRPr="00AD628B">
        <w:rPr>
          <w:rFonts w:ascii="Times New Roman" w:hAnsi="Times New Roman" w:cs="Times New Roman"/>
        </w:rPr>
        <w:t xml:space="preserve"> of the ICA predict a decrease in health care expenditures with the Proposed Ambulatory Care Centers of 0.1% (Westborough), 0.2% (Westwood) and 0.1</w:t>
      </w:r>
      <w:r>
        <w:rPr>
          <w:rFonts w:ascii="Times New Roman" w:hAnsi="Times New Roman" w:cs="Times New Roman"/>
        </w:rPr>
        <w:t>%</w:t>
      </w:r>
      <w:r w:rsidRPr="00AD628B">
        <w:rPr>
          <w:rFonts w:ascii="Times New Roman" w:hAnsi="Times New Roman" w:cs="Times New Roman"/>
        </w:rPr>
        <w:t xml:space="preserve"> (Woburn)</w:t>
      </w:r>
      <w:r>
        <w:rPr>
          <w:rStyle w:val="FootnoteReference"/>
          <w:rFonts w:ascii="Times New Roman" w:hAnsi="Times New Roman" w:cs="Times New Roman"/>
        </w:rPr>
        <w:footnoteReference w:id="13"/>
      </w:r>
      <w:r w:rsidRPr="00AD628B">
        <w:rPr>
          <w:rFonts w:ascii="Times New Roman" w:hAnsi="Times New Roman" w:cs="Times New Roman"/>
        </w:rPr>
        <w:t xml:space="preserve"> and ‘believe ….the project is consistent with the Commonwealth’s health-care cost-containment goals’; however, the AG report released </w:t>
      </w:r>
      <w:r>
        <w:rPr>
          <w:rFonts w:ascii="Times New Roman" w:hAnsi="Times New Roman" w:cs="Times New Roman"/>
        </w:rPr>
        <w:t xml:space="preserve">on </w:t>
      </w:r>
      <w:r w:rsidRPr="00AD628B">
        <w:rPr>
          <w:rFonts w:ascii="Times New Roman" w:hAnsi="Times New Roman" w:cs="Times New Roman"/>
        </w:rPr>
        <w:t>Nov</w:t>
      </w:r>
      <w:r>
        <w:rPr>
          <w:rFonts w:ascii="Times New Roman" w:hAnsi="Times New Roman" w:cs="Times New Roman"/>
        </w:rPr>
        <w:t>ember</w:t>
      </w:r>
      <w:r w:rsidRPr="00AD628B">
        <w:rPr>
          <w:rFonts w:ascii="Times New Roman" w:hAnsi="Times New Roman" w:cs="Times New Roman"/>
        </w:rPr>
        <w:t xml:space="preserve"> 17</w:t>
      </w:r>
      <w:r>
        <w:rPr>
          <w:rFonts w:ascii="Times New Roman" w:hAnsi="Times New Roman" w:cs="Times New Roman"/>
        </w:rPr>
        <w:t>,</w:t>
      </w:r>
      <w:r w:rsidRPr="00AD628B">
        <w:rPr>
          <w:rFonts w:ascii="Times New Roman" w:hAnsi="Times New Roman" w:cs="Times New Roman"/>
        </w:rPr>
        <w:t xml:space="preserve"> 2021</w:t>
      </w:r>
      <w:r>
        <w:rPr>
          <w:rFonts w:ascii="Times New Roman" w:hAnsi="Times New Roman" w:cs="Times New Roman"/>
        </w:rPr>
        <w:t>,</w:t>
      </w:r>
      <w:r>
        <w:rPr>
          <w:rStyle w:val="FootnoteReference"/>
          <w:rFonts w:ascii="Times New Roman" w:hAnsi="Times New Roman" w:cs="Times New Roman"/>
        </w:rPr>
        <w:footnoteReference w:id="14"/>
      </w:r>
      <w:r w:rsidRPr="00AD628B">
        <w:rPr>
          <w:rFonts w:ascii="Times New Roman" w:hAnsi="Times New Roman" w:cs="Times New Roman"/>
        </w:rPr>
        <w:t xml:space="preserve"> asserts health care costs will likely rise if the project draws patients from lower cost providers. As asked by the Department, who will bear this cost? Paragraph 168 of the ICA begins to </w:t>
      </w:r>
      <w:r>
        <w:rPr>
          <w:rFonts w:ascii="Times New Roman" w:hAnsi="Times New Roman" w:cs="Times New Roman"/>
        </w:rPr>
        <w:t>answer this question, stating “</w:t>
      </w:r>
      <w:r w:rsidRPr="00AD628B">
        <w:rPr>
          <w:rFonts w:ascii="Times New Roman" w:hAnsi="Times New Roman" w:cs="Times New Roman"/>
        </w:rPr>
        <w:t>primarily the employee of employer-sponsored heal</w:t>
      </w:r>
      <w:r>
        <w:rPr>
          <w:rFonts w:ascii="Times New Roman" w:hAnsi="Times New Roman" w:cs="Times New Roman"/>
        </w:rPr>
        <w:t>th plans on a one-for-one rate.”</w:t>
      </w:r>
      <w:r>
        <w:rPr>
          <w:rStyle w:val="FootnoteReference"/>
          <w:rFonts w:ascii="Times New Roman" w:hAnsi="Times New Roman" w:cs="Times New Roman"/>
        </w:rPr>
        <w:footnoteReference w:id="15"/>
      </w:r>
      <w:r>
        <w:rPr>
          <w:rFonts w:ascii="Times New Roman" w:hAnsi="Times New Roman" w:cs="Times New Roman"/>
        </w:rPr>
        <w:t xml:space="preserve"> Given the limited scope of the ICA, the validity of its estimated cost savings must be called into question. </w:t>
      </w:r>
    </w:p>
    <w:p w:rsidR="001E5C90" w:rsidRDefault="001E5C90" w:rsidP="001E5C90">
      <w:pPr>
        <w:spacing w:after="0" w:line="240" w:lineRule="auto"/>
        <w:jc w:val="both"/>
        <w:rPr>
          <w:rFonts w:ascii="Times New Roman" w:hAnsi="Times New Roman" w:cs="Times New Roman"/>
        </w:rPr>
      </w:pPr>
      <w:r w:rsidRPr="00554138">
        <w:rPr>
          <w:rFonts w:ascii="Times New Roman" w:hAnsi="Times New Roman" w:cs="Times New Roman"/>
        </w:rPr>
        <w:t>F</w:t>
      </w:r>
      <w:r>
        <w:rPr>
          <w:rFonts w:ascii="Times New Roman" w:hAnsi="Times New Roman" w:cs="Times New Roman"/>
        </w:rPr>
        <w:t xml:space="preserve">urthermore, CRA </w:t>
      </w:r>
      <w:r w:rsidRPr="00554138">
        <w:rPr>
          <w:rFonts w:ascii="Times New Roman" w:hAnsi="Times New Roman" w:cs="Times New Roman"/>
        </w:rPr>
        <w:t>explicitly s</w:t>
      </w:r>
      <w:r>
        <w:rPr>
          <w:rFonts w:ascii="Times New Roman" w:hAnsi="Times New Roman" w:cs="Times New Roman"/>
        </w:rPr>
        <w:t>tates the ICA analysis excludes</w:t>
      </w:r>
      <w:r w:rsidRPr="00554138">
        <w:rPr>
          <w:rFonts w:ascii="Times New Roman" w:hAnsi="Times New Roman" w:cs="Times New Roman"/>
        </w:rPr>
        <w:t> the top and bottom 5% of claims from the analysis as “potential outliers.”</w:t>
      </w:r>
      <w:r>
        <w:rPr>
          <w:rStyle w:val="FootnoteReference"/>
          <w:rFonts w:ascii="Times New Roman" w:hAnsi="Times New Roman" w:cs="Times New Roman"/>
        </w:rPr>
        <w:footnoteReference w:id="16"/>
      </w:r>
      <w:r w:rsidRPr="00554138">
        <w:rPr>
          <w:rFonts w:ascii="Times New Roman" w:hAnsi="Times New Roman" w:cs="Times New Roman"/>
        </w:rPr>
        <w:t xml:space="preserve"> MGB has been referenced by independent </w:t>
      </w:r>
      <w:r>
        <w:rPr>
          <w:rFonts w:ascii="Times New Roman" w:hAnsi="Times New Roman" w:cs="Times New Roman"/>
        </w:rPr>
        <w:t>subject matter experts</w:t>
      </w:r>
      <w:r w:rsidRPr="00554138">
        <w:rPr>
          <w:rFonts w:ascii="Times New Roman" w:hAnsi="Times New Roman" w:cs="Times New Roman"/>
        </w:rPr>
        <w:t xml:space="preserve"> as one, if not the most, significant outlier in the top cohort of highest cost providers. To be credible</w:t>
      </w:r>
      <w:r>
        <w:rPr>
          <w:rFonts w:ascii="Times New Roman" w:hAnsi="Times New Roman" w:cs="Times New Roman"/>
        </w:rPr>
        <w:t xml:space="preserve">, the ICA </w:t>
      </w:r>
      <w:r w:rsidRPr="00554138">
        <w:rPr>
          <w:rFonts w:ascii="Times New Roman" w:hAnsi="Times New Roman" w:cs="Times New Roman"/>
        </w:rPr>
        <w:t>must include the rates and charges of the Applicant</w:t>
      </w:r>
      <w:r>
        <w:rPr>
          <w:rFonts w:ascii="Times New Roman" w:hAnsi="Times New Roman" w:cs="Times New Roman"/>
        </w:rPr>
        <w:t xml:space="preserve">, even if they are considered “outliers.” </w:t>
      </w:r>
    </w:p>
    <w:p w:rsidR="001E5C90" w:rsidRPr="00D23803" w:rsidRDefault="001E5C90" w:rsidP="001E5C90">
      <w:pPr>
        <w:spacing w:after="0" w:line="240" w:lineRule="auto"/>
        <w:jc w:val="both"/>
        <w:rPr>
          <w:rFonts w:ascii="Times New Roman" w:hAnsi="Times New Roman" w:cs="Times New Roman"/>
          <w:b/>
        </w:rPr>
      </w:pPr>
    </w:p>
    <w:p w:rsidR="001E5C90" w:rsidRPr="00D23803" w:rsidRDefault="001E5C90" w:rsidP="001E5C90">
      <w:pPr>
        <w:spacing w:after="0" w:line="240" w:lineRule="auto"/>
        <w:jc w:val="both"/>
        <w:rPr>
          <w:rFonts w:ascii="Times New Roman" w:hAnsi="Times New Roman" w:cs="Times New Roman"/>
          <w:b/>
        </w:rPr>
      </w:pPr>
      <w:r w:rsidRPr="00D23803">
        <w:rPr>
          <w:rFonts w:ascii="Times New Roman" w:hAnsi="Times New Roman" w:cs="Times New Roman"/>
          <w:b/>
        </w:rPr>
        <w:t>Failure to Analyze Full Breadth of Services MGB plans to offer at the ASCs</w:t>
      </w:r>
    </w:p>
    <w:p w:rsidR="001E5C90" w:rsidRDefault="001E5C90" w:rsidP="001E5C90">
      <w:pPr>
        <w:spacing w:after="0" w:line="240" w:lineRule="auto"/>
        <w:jc w:val="both"/>
        <w:rPr>
          <w:rFonts w:ascii="Times New Roman" w:hAnsi="Times New Roman" w:cs="Times New Roman"/>
        </w:rPr>
      </w:pPr>
      <w:r w:rsidRPr="00715AA9">
        <w:rPr>
          <w:rFonts w:ascii="Times New Roman" w:hAnsi="Times New Roman" w:cs="Times New Roman"/>
        </w:rPr>
        <w:t>CRA neglects to assess the full breadth of services that will be included in the Proposed Project.</w:t>
      </w:r>
      <w:r w:rsidRPr="007307F6">
        <w:rPr>
          <w:rStyle w:val="FootnoteReference"/>
          <w:rFonts w:ascii="Times New Roman" w:hAnsi="Times New Roman" w:cs="Times New Roman"/>
        </w:rPr>
        <w:footnoteReference w:id="17"/>
      </w:r>
      <w:r w:rsidRPr="00715AA9">
        <w:rPr>
          <w:rFonts w:ascii="Times New Roman" w:hAnsi="Times New Roman" w:cs="Times New Roman"/>
        </w:rPr>
        <w:t xml:space="preserve"> CRA’s limited assessment of only the Proposed Sites’ effect on the delivery of “advanced” imaging services does not provide a complete scope of potential impacts. </w:t>
      </w:r>
      <w:r>
        <w:rPr>
          <w:rFonts w:ascii="Times New Roman" w:hAnsi="Times New Roman" w:cs="Times New Roman"/>
        </w:rPr>
        <w:t xml:space="preserve">Additionally, </w:t>
      </w:r>
      <w:r w:rsidRPr="00715AA9">
        <w:rPr>
          <w:rFonts w:ascii="Times New Roman" w:hAnsi="Times New Roman" w:cs="Times New Roman"/>
        </w:rPr>
        <w:t>CRA accept</w:t>
      </w:r>
      <w:r>
        <w:rPr>
          <w:rFonts w:ascii="Times New Roman" w:hAnsi="Times New Roman" w:cs="Times New Roman"/>
        </w:rPr>
        <w:t>s</w:t>
      </w:r>
      <w:r w:rsidRPr="00715AA9">
        <w:rPr>
          <w:rFonts w:ascii="Times New Roman" w:hAnsi="Times New Roman" w:cs="Times New Roman"/>
        </w:rPr>
        <w:t xml:space="preserve"> MGB’s representation that the outpatient services offered at the integrated care clinics does not represent the surgical services that MGB [in fact] </w:t>
      </w:r>
      <w:r w:rsidRPr="00715AA9">
        <w:rPr>
          <w:rFonts w:ascii="Times New Roman" w:hAnsi="Times New Roman" w:cs="Times New Roman"/>
          <w:i/>
          <w:iCs/>
        </w:rPr>
        <w:t>plans</w:t>
      </w:r>
      <w:r w:rsidRPr="00715AA9">
        <w:rPr>
          <w:rFonts w:ascii="Times New Roman" w:hAnsi="Times New Roman" w:cs="Times New Roman"/>
        </w:rPr>
        <w:t xml:space="preserve"> to provide at the Proposed Sites – </w:t>
      </w:r>
      <w:r>
        <w:rPr>
          <w:rFonts w:ascii="Times New Roman" w:hAnsi="Times New Roman" w:cs="Times New Roman"/>
        </w:rPr>
        <w:t>the services included in the ICA</w:t>
      </w:r>
      <w:r w:rsidRPr="00715AA9">
        <w:rPr>
          <w:rFonts w:ascii="Times New Roman" w:hAnsi="Times New Roman" w:cs="Times New Roman"/>
        </w:rPr>
        <w:t xml:space="preserve"> simply represent the surgical services that </w:t>
      </w:r>
      <w:r w:rsidRPr="00715AA9">
        <w:rPr>
          <w:rFonts w:ascii="Times New Roman" w:hAnsi="Times New Roman" w:cs="Times New Roman"/>
          <w:i/>
          <w:iCs/>
        </w:rPr>
        <w:t>could</w:t>
      </w:r>
      <w:r w:rsidRPr="00715AA9">
        <w:rPr>
          <w:rFonts w:ascii="Times New Roman" w:hAnsi="Times New Roman" w:cs="Times New Roman"/>
        </w:rPr>
        <w:t xml:space="preserve"> be performed at the Proposed Sites.</w:t>
      </w:r>
      <w:r w:rsidRPr="007307F6">
        <w:rPr>
          <w:rStyle w:val="FootnoteReference"/>
          <w:rFonts w:ascii="Times New Roman" w:hAnsi="Times New Roman" w:cs="Times New Roman"/>
        </w:rPr>
        <w:footnoteReference w:id="18"/>
      </w:r>
      <w:r w:rsidRPr="00715AA9">
        <w:rPr>
          <w:rFonts w:ascii="Times New Roman" w:hAnsi="Times New Roman" w:cs="Times New Roman"/>
        </w:rPr>
        <w:t xml:space="preserve"> In this case, MGB would appear to violate the demonstration standard defined in 105 CMR 100.210 (A) of the DoN regulations – that being the requirement to demonstrate with “clear and convincing” evidence that the Applicant’s submission meets the DoN need factors. </w:t>
      </w:r>
    </w:p>
    <w:p w:rsidR="001E5C90" w:rsidRPr="004537F7" w:rsidRDefault="001E5C90" w:rsidP="001E5C90">
      <w:pPr>
        <w:spacing w:after="0" w:line="240" w:lineRule="auto"/>
        <w:jc w:val="both"/>
        <w:rPr>
          <w:rFonts w:ascii="Times New Roman" w:hAnsi="Times New Roman" w:cs="Times New Roman"/>
          <w:b/>
        </w:rPr>
      </w:pPr>
    </w:p>
    <w:p w:rsidR="001E5C90" w:rsidRPr="004537F7" w:rsidRDefault="001E5C90" w:rsidP="001E5C90">
      <w:pPr>
        <w:spacing w:after="0" w:line="240" w:lineRule="auto"/>
        <w:jc w:val="both"/>
        <w:rPr>
          <w:rFonts w:ascii="Times New Roman" w:hAnsi="Times New Roman" w:cs="Times New Roman"/>
          <w:b/>
        </w:rPr>
      </w:pPr>
      <w:r w:rsidRPr="004537F7">
        <w:rPr>
          <w:rFonts w:ascii="Times New Roman" w:hAnsi="Times New Roman" w:cs="Times New Roman"/>
          <w:b/>
        </w:rPr>
        <w:t>Irrelevant Inclusion of A</w:t>
      </w:r>
      <w:r>
        <w:rPr>
          <w:rFonts w:ascii="Times New Roman" w:hAnsi="Times New Roman" w:cs="Times New Roman"/>
          <w:b/>
        </w:rPr>
        <w:t>ppropriateness</w:t>
      </w:r>
      <w:r w:rsidRPr="004537F7">
        <w:rPr>
          <w:rFonts w:ascii="Times New Roman" w:hAnsi="Times New Roman" w:cs="Times New Roman"/>
          <w:b/>
        </w:rPr>
        <w:t xml:space="preserve"> of Certificate of Need Programs</w:t>
      </w: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Respectfully, the Department should take note of CRA’s irrelevant inclusion of commentary challenging the appropriateness of Certificate of Need Programs.  CRA’s editorial comments are out-of-scope and an attempt to deflect from a flawed report.</w:t>
      </w:r>
    </w:p>
    <w:p w:rsidR="00172F4A" w:rsidRDefault="00172F4A" w:rsidP="001E5C90">
      <w:pPr>
        <w:spacing w:after="0" w:line="240" w:lineRule="auto"/>
        <w:jc w:val="both"/>
        <w:rPr>
          <w:rFonts w:ascii="Times New Roman" w:hAnsi="Times New Roman" w:cs="Times New Roman"/>
        </w:rPr>
      </w:pPr>
    </w:p>
    <w:p w:rsidR="00172F4A" w:rsidRDefault="00172F4A" w:rsidP="001E5C90">
      <w:pPr>
        <w:spacing w:after="0" w:line="240" w:lineRule="auto"/>
        <w:jc w:val="both"/>
        <w:rPr>
          <w:rFonts w:ascii="Times New Roman" w:hAnsi="Times New Roman" w:cs="Times New Roman"/>
        </w:rPr>
      </w:pPr>
    </w:p>
    <w:p w:rsidR="001E5C90" w:rsidRDefault="001E5C90" w:rsidP="001E5C90">
      <w:pPr>
        <w:spacing w:after="0" w:line="240" w:lineRule="auto"/>
        <w:jc w:val="both"/>
        <w:rPr>
          <w:rFonts w:ascii="Times New Roman" w:hAnsi="Times New Roman" w:cs="Times New Roman"/>
        </w:rPr>
      </w:pPr>
      <w:r>
        <w:rPr>
          <w:rFonts w:ascii="Times New Roman" w:hAnsi="Times New Roman" w:cs="Times New Roman"/>
        </w:rPr>
        <w:t xml:space="preserve">For all the reasons above, we respectfully request the Department to reject CRA’s ICA. The standards set forth in </w:t>
      </w:r>
      <w:r w:rsidRPr="00EA1560">
        <w:rPr>
          <w:rFonts w:ascii="Times New Roman" w:hAnsi="Times New Roman" w:cs="Times New Roman"/>
        </w:rPr>
        <w:t xml:space="preserve">105 CMR: </w:t>
      </w:r>
      <w:r>
        <w:rPr>
          <w:rFonts w:ascii="Times New Roman" w:hAnsi="Times New Roman" w:cs="Times New Roman"/>
        </w:rPr>
        <w:t>100.00 Determination of Need are clear that the</w:t>
      </w:r>
      <w:r w:rsidRPr="0042392D">
        <w:rPr>
          <w:rFonts w:ascii="Times New Roman" w:hAnsi="Times New Roman" w:cs="Times New Roman"/>
        </w:rPr>
        <w:t xml:space="preserve"> Application and ICA taken together </w:t>
      </w:r>
      <w:r>
        <w:rPr>
          <w:rFonts w:ascii="Times New Roman" w:hAnsi="Times New Roman" w:cs="Times New Roman"/>
        </w:rPr>
        <w:t xml:space="preserve">must </w:t>
      </w:r>
      <w:r w:rsidRPr="0042392D">
        <w:rPr>
          <w:rFonts w:ascii="Times New Roman" w:hAnsi="Times New Roman" w:cs="Times New Roman"/>
        </w:rPr>
        <w:t xml:space="preserve">“clearly and convincingly” demonstrate that the Proposed Project </w:t>
      </w:r>
      <w:r w:rsidRPr="0042392D">
        <w:rPr>
          <w:rFonts w:ascii="Times New Roman" w:hAnsi="Times New Roman" w:cs="Times New Roman"/>
          <w:i/>
          <w:iCs/>
        </w:rPr>
        <w:t>meaningfully</w:t>
      </w:r>
      <w:r w:rsidRPr="0042392D">
        <w:rPr>
          <w:rFonts w:ascii="Times New Roman" w:hAnsi="Times New Roman" w:cs="Times New Roman"/>
        </w:rPr>
        <w:t xml:space="preserve"> contributes to the state’s cost conta</w:t>
      </w:r>
      <w:r>
        <w:rPr>
          <w:rFonts w:ascii="Times New Roman" w:hAnsi="Times New Roman" w:cs="Times New Roman"/>
        </w:rPr>
        <w:t>inment goals. By failing to examine all cost drivers, especially those highlighted by the AG, and in failing to validate the assumptions included within MGB’s application, CRA’s ICA should be deemed irrelevant.  We urge the Department to carefully consider the testimony and analysis of state regulators including the AG and HPC, who by law are charged with monitoring health care trends, and to dismiss this inadequate and biased analysis commissioned by the Applicant and completed by CRA.</w:t>
      </w:r>
    </w:p>
    <w:p w:rsidR="001E5C90" w:rsidRDefault="001E5C90" w:rsidP="001E5C90">
      <w:pPr>
        <w:spacing w:after="0" w:line="240" w:lineRule="auto"/>
        <w:jc w:val="both"/>
        <w:rPr>
          <w:rFonts w:ascii="Times New Roman" w:hAnsi="Times New Roman" w:cs="Times New Roman"/>
        </w:rPr>
      </w:pPr>
    </w:p>
    <w:p w:rsidR="00E90F5E" w:rsidRDefault="001E5C90" w:rsidP="001E5C90">
      <w:pPr>
        <w:spacing w:after="0" w:line="240" w:lineRule="auto"/>
        <w:jc w:val="both"/>
        <w:rPr>
          <w:rFonts w:ascii="Times New Roman" w:hAnsi="Times New Roman" w:cs="Times New Roman"/>
        </w:rPr>
      </w:pPr>
      <w:r>
        <w:rPr>
          <w:rFonts w:ascii="Times New Roman" w:hAnsi="Times New Roman" w:cs="Times New Roman"/>
        </w:rPr>
        <w:lastRenderedPageBreak/>
        <w:t>Thank you in advance for your time and consideration.</w:t>
      </w:r>
    </w:p>
    <w:p w:rsidR="00E90F5E" w:rsidRDefault="00E90F5E" w:rsidP="001E5C90">
      <w:pPr>
        <w:spacing w:after="0" w:line="240" w:lineRule="auto"/>
        <w:jc w:val="both"/>
        <w:rPr>
          <w:rFonts w:ascii="Times New Roman" w:hAnsi="Times New Roman" w:cs="Times New Roman"/>
        </w:rPr>
      </w:pPr>
    </w:p>
    <w:p w:rsidR="001E5C90" w:rsidRDefault="00E90F5E" w:rsidP="001E5C90">
      <w:pPr>
        <w:spacing w:after="0" w:line="240" w:lineRule="auto"/>
        <w:jc w:val="both"/>
        <w:rPr>
          <w:rFonts w:ascii="Times New Roman" w:hAnsi="Times New Roman" w:cs="Times New Roman"/>
        </w:rPr>
      </w:pPr>
      <w:r>
        <w:rPr>
          <w:rFonts w:ascii="Times New Roman" w:hAnsi="Times New Roman" w:cs="Times New Roman"/>
        </w:rPr>
        <w:t xml:space="preserve"> </w:t>
      </w:r>
      <w:r w:rsidR="001E5C90">
        <w:rPr>
          <w:rFonts w:ascii="Times New Roman" w:hAnsi="Times New Roman" w:cs="Times New Roman"/>
        </w:rPr>
        <w:t>Sincerely,</w:t>
      </w:r>
    </w:p>
    <w:p w:rsidR="001E5C90" w:rsidRDefault="001E5C90" w:rsidP="001E5C90">
      <w:pPr>
        <w:spacing w:after="0" w:line="240" w:lineRule="auto"/>
        <w:jc w:val="both"/>
        <w:rPr>
          <w:rFonts w:ascii="Times New Roman" w:hAnsi="Times New Roman" w:cs="Times New Roman"/>
        </w:rPr>
      </w:pPr>
    </w:p>
    <w:p w:rsidR="001E5C90" w:rsidRPr="00715AA9" w:rsidRDefault="00CF2952" w:rsidP="001E5C90">
      <w:pPr>
        <w:spacing w:after="0" w:line="240" w:lineRule="auto"/>
        <w:jc w:val="both"/>
        <w:rPr>
          <w:rFonts w:ascii="Times New Roman" w:hAnsi="Times New Roman" w:cs="Times New Roman"/>
        </w:rPr>
      </w:pPr>
      <w:r>
        <w:rPr>
          <w:rFonts w:ascii="Times New Roman" w:hAnsi="Times New Roman" w:cs="Times New Roman"/>
          <w:noProof/>
        </w:rPr>
        <w:t>&lt;signature on file&gt;</w:t>
      </w:r>
    </w:p>
    <w:p w:rsidR="001E5C90" w:rsidRPr="0042392D" w:rsidRDefault="001E5C90" w:rsidP="001E5C90">
      <w:pPr>
        <w:spacing w:after="0" w:line="240" w:lineRule="auto"/>
        <w:jc w:val="both"/>
        <w:rPr>
          <w:rFonts w:ascii="Times New Roman" w:hAnsi="Times New Roman" w:cs="Times New Roman"/>
        </w:rPr>
      </w:pPr>
    </w:p>
    <w:p w:rsidR="00DE5771" w:rsidRDefault="001E5C90" w:rsidP="001E5C90">
      <w:pPr>
        <w:spacing w:line="240" w:lineRule="auto"/>
        <w:contextualSpacing/>
        <w:rPr>
          <w:rFonts w:ascii="Times New Roman" w:hAnsi="Times New Roman" w:cs="Times New Roman"/>
        </w:rPr>
      </w:pPr>
      <w:r>
        <w:rPr>
          <w:rFonts w:ascii="Times New Roman" w:hAnsi="Times New Roman" w:cs="Times New Roman"/>
        </w:rPr>
        <w:t>Carmel Shields, Executive Vice President</w:t>
      </w:r>
    </w:p>
    <w:p w:rsidR="00E90F5E" w:rsidRDefault="001E5C90" w:rsidP="001E5C90">
      <w:pPr>
        <w:spacing w:line="240" w:lineRule="auto"/>
        <w:contextualSpacing/>
        <w:rPr>
          <w:rFonts w:ascii="Times New Roman" w:hAnsi="Times New Roman" w:cs="Times New Roman"/>
        </w:rPr>
      </w:pPr>
      <w:r>
        <w:rPr>
          <w:rFonts w:ascii="Times New Roman" w:hAnsi="Times New Roman" w:cs="Times New Roman"/>
        </w:rPr>
        <w:t>Shields Health Care Group</w:t>
      </w:r>
    </w:p>
    <w:p w:rsidR="00E90F5E" w:rsidRDefault="00E90F5E" w:rsidP="001E5C90">
      <w:pPr>
        <w:spacing w:line="240" w:lineRule="auto"/>
        <w:contextualSpacing/>
        <w:rPr>
          <w:rFonts w:ascii="Times New Roman" w:hAnsi="Times New Roman" w:cs="Times New Roman"/>
        </w:rPr>
      </w:pPr>
    </w:p>
    <w:p w:rsidR="00E90F5E" w:rsidRDefault="001E63E6" w:rsidP="00E90F5E">
      <w:pPr>
        <w:spacing w:line="240" w:lineRule="auto"/>
        <w:contextualSpacing/>
        <w:rPr>
          <w:rFonts w:ascii="Times New Roman" w:hAnsi="Times New Roman" w:cs="Times New Roman"/>
        </w:rPr>
      </w:pPr>
      <w:r>
        <w:rPr>
          <w:rFonts w:ascii="Times New Roman" w:hAnsi="Times New Roman" w:cs="Times New Roman"/>
        </w:rPr>
        <w:t>CC:</w:t>
      </w:r>
      <w:r w:rsidR="008A4BD6">
        <w:rPr>
          <w:rFonts w:ascii="Times New Roman" w:hAnsi="Times New Roman" w:cs="Times New Roman"/>
        </w:rPr>
        <w:t xml:space="preserve"> Chairwoman Cynthia Friedman</w:t>
      </w:r>
      <w:r w:rsidR="003826E7">
        <w:rPr>
          <w:rFonts w:ascii="Times New Roman" w:hAnsi="Times New Roman" w:cs="Times New Roman"/>
        </w:rPr>
        <w:t>, Joint Committee on Health Care Finance</w:t>
      </w:r>
    </w:p>
    <w:p w:rsidR="00E90F5E" w:rsidRDefault="008A4BD6" w:rsidP="00E90F5E">
      <w:pPr>
        <w:spacing w:line="240" w:lineRule="auto"/>
        <w:contextualSpacing/>
        <w:rPr>
          <w:rFonts w:ascii="Times New Roman" w:hAnsi="Times New Roman" w:cs="Times New Roman"/>
        </w:rPr>
      </w:pPr>
      <w:r>
        <w:rPr>
          <w:rFonts w:ascii="Times New Roman" w:hAnsi="Times New Roman" w:cs="Times New Roman"/>
        </w:rPr>
        <w:t>Chairman John Lawn</w:t>
      </w:r>
      <w:r w:rsidR="003826E7">
        <w:rPr>
          <w:rFonts w:ascii="Times New Roman" w:hAnsi="Times New Roman" w:cs="Times New Roman"/>
        </w:rPr>
        <w:t>, Joint Committee on Health Care Finance</w:t>
      </w:r>
    </w:p>
    <w:p w:rsidR="00E90F5E" w:rsidRDefault="008A4BD6" w:rsidP="00E90F5E">
      <w:pPr>
        <w:spacing w:line="240" w:lineRule="auto"/>
        <w:contextualSpacing/>
        <w:rPr>
          <w:rFonts w:ascii="Times New Roman" w:hAnsi="Times New Roman" w:cs="Times New Roman"/>
        </w:rPr>
      </w:pPr>
      <w:r>
        <w:rPr>
          <w:rFonts w:ascii="Times New Roman" w:hAnsi="Times New Roman" w:cs="Times New Roman"/>
        </w:rPr>
        <w:t>Attorney General Maura Healey</w:t>
      </w:r>
    </w:p>
    <w:p w:rsidR="001E63E6" w:rsidRPr="00B34C99" w:rsidRDefault="003826E7" w:rsidP="00E90F5E">
      <w:pPr>
        <w:spacing w:line="240" w:lineRule="auto"/>
        <w:contextualSpacing/>
        <w:rPr>
          <w:rFonts w:ascii="Times New Roman" w:hAnsi="Times New Roman" w:cs="Times New Roman"/>
        </w:rPr>
      </w:pPr>
      <w:r>
        <w:rPr>
          <w:rFonts w:ascii="Times New Roman" w:hAnsi="Times New Roman" w:cs="Times New Roman"/>
        </w:rPr>
        <w:t>Executive Director David Seltz, Health Policy Commission</w:t>
      </w:r>
    </w:p>
    <w:sectPr w:rsidR="001E63E6" w:rsidRPr="00B34C99" w:rsidSect="00511C0F">
      <w:headerReference w:type="even" r:id="rId7"/>
      <w:headerReference w:type="default" r:id="rId8"/>
      <w:footerReference w:type="even" r:id="rId9"/>
      <w:footerReference w:type="default" r:id="rId10"/>
      <w:headerReference w:type="first" r:id="rId11"/>
      <w:footerReference w:type="first" r:id="rId12"/>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5E8" w:rsidRDefault="000755E8" w:rsidP="00511C0F">
      <w:pPr>
        <w:spacing w:after="0" w:line="240" w:lineRule="auto"/>
      </w:pPr>
      <w:r>
        <w:separator/>
      </w:r>
    </w:p>
  </w:endnote>
  <w:endnote w:type="continuationSeparator" w:id="0">
    <w:p w:rsidR="000755E8" w:rsidRDefault="000755E8" w:rsidP="0051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83" w:rsidRDefault="00D47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2479"/>
      <w:docPartObj>
        <w:docPartGallery w:val="Page Numbers (Bottom of Page)"/>
        <w:docPartUnique/>
      </w:docPartObj>
    </w:sdtPr>
    <w:sdtEndPr/>
    <w:sdtContent>
      <w:p w:rsidR="002A649C" w:rsidRDefault="00DE5771">
        <w:pPr>
          <w:pStyle w:val="Footer"/>
          <w:jc w:val="right"/>
        </w:pPr>
        <w:r>
          <w:rPr>
            <w:noProof/>
          </w:rPr>
          <w:fldChar w:fldCharType="begin"/>
        </w:r>
        <w:r>
          <w:rPr>
            <w:noProof/>
          </w:rPr>
          <w:instrText xml:space="preserve"> PAGE   \* MERGEFORMAT </w:instrText>
        </w:r>
        <w:r>
          <w:rPr>
            <w:noProof/>
          </w:rPr>
          <w:fldChar w:fldCharType="separate"/>
        </w:r>
        <w:r w:rsidR="009119AA">
          <w:rPr>
            <w:noProof/>
          </w:rPr>
          <w:t>1</w:t>
        </w:r>
        <w:r>
          <w:rPr>
            <w:noProof/>
          </w:rPr>
          <w:fldChar w:fldCharType="end"/>
        </w:r>
      </w:p>
    </w:sdtContent>
  </w:sdt>
  <w:p w:rsidR="002A649C" w:rsidRDefault="002A6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83" w:rsidRDefault="00D4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5E8" w:rsidRDefault="000755E8" w:rsidP="00511C0F">
      <w:pPr>
        <w:spacing w:after="0" w:line="240" w:lineRule="auto"/>
      </w:pPr>
      <w:r>
        <w:separator/>
      </w:r>
    </w:p>
  </w:footnote>
  <w:footnote w:type="continuationSeparator" w:id="0">
    <w:p w:rsidR="000755E8" w:rsidRDefault="000755E8" w:rsidP="00511C0F">
      <w:pPr>
        <w:spacing w:after="0" w:line="240" w:lineRule="auto"/>
      </w:pPr>
      <w:r>
        <w:continuationSeparator/>
      </w:r>
    </w:p>
  </w:footnote>
  <w:footnote w:id="1">
    <w:p w:rsidR="001E5C90" w:rsidRPr="00F94195" w:rsidRDefault="001E5C90" w:rsidP="001E5C90">
      <w:pPr>
        <w:pStyle w:val="FootnoteText"/>
        <w:rPr>
          <w:rFonts w:ascii="Times New Roman" w:hAnsi="Times New Roman" w:cs="Times New Roman"/>
          <w:sz w:val="18"/>
          <w:szCs w:val="18"/>
          <w:lang w:val="es-ES"/>
        </w:rPr>
      </w:pPr>
      <w:r w:rsidRPr="00F94195">
        <w:rPr>
          <w:rStyle w:val="FootnoteReference"/>
          <w:rFonts w:ascii="Times New Roman" w:hAnsi="Times New Roman" w:cs="Times New Roman"/>
          <w:sz w:val="18"/>
          <w:szCs w:val="18"/>
        </w:rPr>
        <w:footnoteRef/>
      </w:r>
      <w:r w:rsidRPr="00F94195">
        <w:rPr>
          <w:rFonts w:ascii="Times New Roman" w:hAnsi="Times New Roman" w:cs="Times New Roman"/>
          <w:sz w:val="18"/>
          <w:szCs w:val="18"/>
          <w:lang w:val="es-ES"/>
        </w:rPr>
        <w:t xml:space="preserve"> Pg. 32 para 78</w:t>
      </w:r>
    </w:p>
  </w:footnote>
  <w:footnote w:id="2">
    <w:p w:rsidR="001E5C90" w:rsidRPr="00F94195" w:rsidRDefault="001E5C90" w:rsidP="001E5C90">
      <w:pPr>
        <w:pStyle w:val="FootnoteText"/>
        <w:rPr>
          <w:rFonts w:ascii="Times New Roman" w:hAnsi="Times New Roman" w:cs="Times New Roman"/>
          <w:sz w:val="18"/>
          <w:szCs w:val="18"/>
          <w:lang w:val="es-ES"/>
        </w:rPr>
      </w:pPr>
      <w:r w:rsidRPr="00F94195">
        <w:rPr>
          <w:rStyle w:val="FootnoteReference"/>
          <w:rFonts w:ascii="Times New Roman" w:hAnsi="Times New Roman" w:cs="Times New Roman"/>
          <w:sz w:val="18"/>
          <w:szCs w:val="18"/>
        </w:rPr>
        <w:footnoteRef/>
      </w:r>
      <w:r w:rsidRPr="00F94195">
        <w:rPr>
          <w:rFonts w:ascii="Times New Roman" w:hAnsi="Times New Roman" w:cs="Times New Roman"/>
          <w:sz w:val="18"/>
          <w:szCs w:val="18"/>
          <w:lang w:val="es-ES"/>
        </w:rPr>
        <w:t xml:space="preserve"> Pg. 32 para 79</w:t>
      </w:r>
    </w:p>
  </w:footnote>
  <w:footnote w:id="3">
    <w:p w:rsidR="001E5C90" w:rsidRPr="00F94195" w:rsidRDefault="001E5C90" w:rsidP="001E5C90">
      <w:pPr>
        <w:pStyle w:val="FootnoteText"/>
        <w:rPr>
          <w:rFonts w:ascii="Times New Roman" w:hAnsi="Times New Roman" w:cs="Times New Roman"/>
          <w:sz w:val="18"/>
          <w:szCs w:val="18"/>
          <w:lang w:val="es-ES"/>
        </w:rPr>
      </w:pPr>
      <w:r w:rsidRPr="00F94195">
        <w:rPr>
          <w:rStyle w:val="FootnoteReference"/>
          <w:rFonts w:ascii="Times New Roman" w:hAnsi="Times New Roman" w:cs="Times New Roman"/>
          <w:sz w:val="18"/>
          <w:szCs w:val="18"/>
        </w:rPr>
        <w:footnoteRef/>
      </w:r>
      <w:r w:rsidRPr="00F94195">
        <w:rPr>
          <w:rFonts w:ascii="Times New Roman" w:hAnsi="Times New Roman" w:cs="Times New Roman"/>
          <w:sz w:val="18"/>
          <w:szCs w:val="18"/>
          <w:lang w:val="es-ES"/>
        </w:rPr>
        <w:t xml:space="preserve"> Pg. 34</w:t>
      </w:r>
    </w:p>
  </w:footnote>
  <w:footnote w:id="4">
    <w:p w:rsidR="001E5C90" w:rsidRPr="00695983" w:rsidRDefault="001E5C90" w:rsidP="001E5C90">
      <w:pPr>
        <w:pStyle w:val="FootnoteText"/>
        <w:rPr>
          <w:rFonts w:ascii="Times New Roman" w:hAnsi="Times New Roman" w:cs="Times New Roman"/>
          <w:sz w:val="18"/>
          <w:szCs w:val="18"/>
        </w:rPr>
      </w:pPr>
      <w:r w:rsidRPr="00695983">
        <w:rPr>
          <w:rStyle w:val="FootnoteReference"/>
          <w:rFonts w:ascii="Times New Roman" w:hAnsi="Times New Roman" w:cs="Times New Roman"/>
          <w:sz w:val="18"/>
          <w:szCs w:val="18"/>
        </w:rPr>
        <w:footnoteRef/>
      </w:r>
      <w:r w:rsidRPr="00695983">
        <w:rPr>
          <w:rFonts w:ascii="Times New Roman" w:hAnsi="Times New Roman" w:cs="Times New Roman"/>
          <w:sz w:val="18"/>
          <w:szCs w:val="18"/>
        </w:rPr>
        <w:t xml:space="preserve"> Pg. 29-30 para 73</w:t>
      </w:r>
    </w:p>
  </w:footnote>
  <w:footnote w:id="5">
    <w:p w:rsidR="001E5C90" w:rsidRPr="00695983" w:rsidRDefault="001E5C90" w:rsidP="001E5C90">
      <w:pPr>
        <w:pStyle w:val="FootnoteText"/>
        <w:rPr>
          <w:rFonts w:ascii="Times New Roman" w:hAnsi="Times New Roman" w:cs="Times New Roman"/>
          <w:sz w:val="18"/>
          <w:szCs w:val="18"/>
        </w:rPr>
      </w:pPr>
      <w:r w:rsidRPr="00695983">
        <w:rPr>
          <w:rStyle w:val="FootnoteReference"/>
          <w:rFonts w:ascii="Times New Roman" w:hAnsi="Times New Roman" w:cs="Times New Roman"/>
          <w:sz w:val="18"/>
          <w:szCs w:val="18"/>
        </w:rPr>
        <w:footnoteRef/>
      </w:r>
      <w:r w:rsidRPr="00695983">
        <w:rPr>
          <w:rFonts w:ascii="Times New Roman" w:hAnsi="Times New Roman" w:cs="Times New Roman"/>
          <w:sz w:val="18"/>
          <w:szCs w:val="18"/>
        </w:rPr>
        <w:t xml:space="preserve"> Pg. 35 para 80</w:t>
      </w:r>
    </w:p>
  </w:footnote>
  <w:footnote w:id="6">
    <w:p w:rsidR="001E5C90" w:rsidRPr="00695983" w:rsidRDefault="001E5C90" w:rsidP="001E5C90">
      <w:pPr>
        <w:pStyle w:val="FootnoteText"/>
        <w:rPr>
          <w:rFonts w:ascii="Times New Roman" w:hAnsi="Times New Roman" w:cs="Times New Roman"/>
          <w:sz w:val="18"/>
          <w:szCs w:val="18"/>
        </w:rPr>
      </w:pPr>
      <w:r w:rsidRPr="00695983">
        <w:rPr>
          <w:rStyle w:val="FootnoteReference"/>
          <w:rFonts w:ascii="Times New Roman" w:hAnsi="Times New Roman" w:cs="Times New Roman"/>
          <w:sz w:val="18"/>
          <w:szCs w:val="18"/>
        </w:rPr>
        <w:footnoteRef/>
      </w:r>
      <w:r w:rsidRPr="00695983">
        <w:rPr>
          <w:rFonts w:ascii="Times New Roman" w:hAnsi="Times New Roman" w:cs="Times New Roman"/>
          <w:sz w:val="18"/>
          <w:szCs w:val="18"/>
        </w:rPr>
        <w:t xml:space="preserve"> See Figure ICC2</w:t>
      </w:r>
    </w:p>
  </w:footnote>
  <w:footnote w:id="7">
    <w:p w:rsidR="001E5C90" w:rsidRPr="00695983" w:rsidRDefault="001E5C90" w:rsidP="001E5C90">
      <w:pPr>
        <w:pStyle w:val="FootnoteText"/>
        <w:rPr>
          <w:rFonts w:ascii="Times New Roman" w:hAnsi="Times New Roman" w:cs="Times New Roman"/>
          <w:sz w:val="18"/>
          <w:szCs w:val="18"/>
        </w:rPr>
      </w:pPr>
      <w:r w:rsidRPr="00695983">
        <w:rPr>
          <w:rStyle w:val="FootnoteReference"/>
          <w:rFonts w:ascii="Times New Roman" w:hAnsi="Times New Roman" w:cs="Times New Roman"/>
          <w:sz w:val="18"/>
          <w:szCs w:val="18"/>
        </w:rPr>
        <w:footnoteRef/>
      </w:r>
      <w:r w:rsidRPr="00695983">
        <w:rPr>
          <w:rFonts w:ascii="Times New Roman" w:hAnsi="Times New Roman" w:cs="Times New Roman"/>
          <w:sz w:val="18"/>
          <w:szCs w:val="18"/>
        </w:rPr>
        <w:t xml:space="preserve"> See DoN #PHS 19093011-HS (February 2020), filed by Partners HealthCare.</w:t>
      </w:r>
    </w:p>
  </w:footnote>
  <w:footnote w:id="8">
    <w:p w:rsidR="001E5C90" w:rsidRPr="00695983" w:rsidRDefault="001E5C90" w:rsidP="001E5C90">
      <w:pPr>
        <w:pStyle w:val="FootnoteText"/>
        <w:rPr>
          <w:rFonts w:ascii="Times New Roman" w:hAnsi="Times New Roman" w:cs="Times New Roman"/>
          <w:sz w:val="18"/>
          <w:szCs w:val="18"/>
        </w:rPr>
      </w:pPr>
      <w:r w:rsidRPr="00695983">
        <w:rPr>
          <w:rStyle w:val="FootnoteReference"/>
          <w:rFonts w:ascii="Times New Roman" w:hAnsi="Times New Roman" w:cs="Times New Roman"/>
          <w:sz w:val="18"/>
          <w:szCs w:val="18"/>
        </w:rPr>
        <w:footnoteRef/>
      </w:r>
      <w:r w:rsidRPr="00695983">
        <w:rPr>
          <w:rFonts w:ascii="Times New Roman" w:hAnsi="Times New Roman" w:cs="Times New Roman"/>
          <w:sz w:val="18"/>
          <w:szCs w:val="18"/>
        </w:rPr>
        <w:t xml:space="preserve"> Available at </w:t>
      </w:r>
      <w:hyperlink r:id="rId1" w:history="1">
        <w:r w:rsidR="009C00EF">
          <w:rPr>
            <w:rStyle w:val="Hyperlink"/>
            <w:rFonts w:ascii="Times New Roman" w:hAnsi="Times New Roman" w:cs="Times New Roman"/>
            <w:sz w:val="18"/>
            <w:szCs w:val="18"/>
          </w:rPr>
          <w:t>Available at https://www.mass.gov/doc/mass-general-brigham-incorporated-multisite-responses-to-don-questions-1/download</w:t>
        </w:r>
      </w:hyperlink>
      <w:r w:rsidRPr="00695983">
        <w:rPr>
          <w:rFonts w:ascii="Times New Roman" w:hAnsi="Times New Roman" w:cs="Times New Roman"/>
          <w:sz w:val="18"/>
          <w:szCs w:val="18"/>
        </w:rPr>
        <w:t xml:space="preserve">, pg. 6 </w:t>
      </w:r>
    </w:p>
  </w:footnote>
  <w:footnote w:id="9">
    <w:p w:rsidR="001E5C90" w:rsidRPr="00F94195" w:rsidRDefault="001E5C90" w:rsidP="001E5C90">
      <w:pPr>
        <w:pStyle w:val="FootnoteText"/>
        <w:rPr>
          <w:rFonts w:ascii="Times New Roman" w:hAnsi="Times New Roman" w:cs="Times New Roman"/>
          <w:sz w:val="18"/>
          <w:szCs w:val="18"/>
        </w:rPr>
      </w:pPr>
      <w:r w:rsidRPr="00F94195">
        <w:rPr>
          <w:rStyle w:val="FootnoteReference"/>
          <w:rFonts w:ascii="Times New Roman" w:hAnsi="Times New Roman" w:cs="Times New Roman"/>
          <w:sz w:val="18"/>
          <w:szCs w:val="18"/>
        </w:rPr>
        <w:footnoteRef/>
      </w:r>
      <w:r w:rsidRPr="00F94195">
        <w:rPr>
          <w:rFonts w:ascii="Times New Roman" w:hAnsi="Times New Roman" w:cs="Times New Roman"/>
          <w:sz w:val="18"/>
          <w:szCs w:val="18"/>
        </w:rPr>
        <w:t xml:space="preserve"> Pg. 25 para 61</w:t>
      </w:r>
    </w:p>
  </w:footnote>
  <w:footnote w:id="10">
    <w:p w:rsidR="001E5C90" w:rsidRPr="00F94195" w:rsidRDefault="001E5C90" w:rsidP="001E5C90">
      <w:pPr>
        <w:pStyle w:val="FootnoteText"/>
        <w:rPr>
          <w:rFonts w:ascii="Times New Roman" w:hAnsi="Times New Roman" w:cs="Times New Roman"/>
          <w:sz w:val="18"/>
          <w:szCs w:val="18"/>
        </w:rPr>
      </w:pPr>
      <w:r w:rsidRPr="00F94195">
        <w:rPr>
          <w:rStyle w:val="FootnoteReference"/>
          <w:rFonts w:ascii="Times New Roman" w:hAnsi="Times New Roman" w:cs="Times New Roman"/>
          <w:sz w:val="18"/>
          <w:szCs w:val="18"/>
        </w:rPr>
        <w:footnoteRef/>
      </w:r>
      <w:r w:rsidRPr="00F94195">
        <w:rPr>
          <w:rFonts w:ascii="Times New Roman" w:hAnsi="Times New Roman" w:cs="Times New Roman"/>
          <w:sz w:val="18"/>
          <w:szCs w:val="18"/>
        </w:rPr>
        <w:t xml:space="preserve"> Devers KJ, Casalino LP, Rudell LS, Stoddard JJ, Brewster LR, Lake TK. Hospitals' negotiating leverage with health plans: how and why has it changed?. Health Serv Res. 2003;38(1 Pt 2):419-446. doi:10.1</w:t>
      </w:r>
      <w:r w:rsidR="00F31236">
        <w:rPr>
          <w:rFonts w:ascii="Times New Roman" w:hAnsi="Times New Roman" w:cs="Times New Roman"/>
          <w:sz w:val="18"/>
          <w:szCs w:val="18"/>
        </w:rPr>
        <w:t xml:space="preserve">111/1475-6773.00123. Online </w:t>
      </w:r>
      <w:hyperlink r:id="rId2" w:history="1">
        <w:r w:rsidR="00F31236">
          <w:rPr>
            <w:rStyle w:val="Hyperlink"/>
            <w:rFonts w:ascii="Times New Roman" w:hAnsi="Times New Roman" w:cs="Times New Roman"/>
            <w:sz w:val="18"/>
            <w:szCs w:val="18"/>
          </w:rPr>
          <w:t>at https://www.ncbi.nlm.nih.gov/pmc/articles/PMC1360893/</w:t>
        </w:r>
      </w:hyperlink>
      <w:r w:rsidRPr="00F94195">
        <w:rPr>
          <w:rFonts w:ascii="Times New Roman" w:hAnsi="Times New Roman" w:cs="Times New Roman"/>
          <w:sz w:val="18"/>
          <w:szCs w:val="18"/>
        </w:rPr>
        <w:t xml:space="preserve"> </w:t>
      </w:r>
    </w:p>
  </w:footnote>
  <w:footnote w:id="11">
    <w:p w:rsidR="001E5C90" w:rsidRPr="00F94195" w:rsidRDefault="001E5C90" w:rsidP="001E5C90">
      <w:pPr>
        <w:pStyle w:val="FootnoteText"/>
        <w:rPr>
          <w:rFonts w:ascii="Times New Roman" w:hAnsi="Times New Roman" w:cs="Times New Roman"/>
          <w:sz w:val="18"/>
          <w:szCs w:val="18"/>
        </w:rPr>
      </w:pPr>
      <w:r w:rsidRPr="00F94195">
        <w:rPr>
          <w:rStyle w:val="FootnoteReference"/>
          <w:rFonts w:ascii="Times New Roman" w:hAnsi="Times New Roman" w:cs="Times New Roman"/>
          <w:sz w:val="18"/>
          <w:szCs w:val="18"/>
        </w:rPr>
        <w:footnoteRef/>
      </w:r>
      <w:r w:rsidRPr="00F94195">
        <w:rPr>
          <w:rFonts w:ascii="Times New Roman" w:hAnsi="Times New Roman" w:cs="Times New Roman"/>
          <w:sz w:val="18"/>
          <w:szCs w:val="18"/>
        </w:rPr>
        <w:t xml:space="preserve"> Pg. 38, para 86</w:t>
      </w:r>
    </w:p>
  </w:footnote>
  <w:footnote w:id="12">
    <w:p w:rsidR="001E5C90" w:rsidRPr="00F94195" w:rsidRDefault="001E5C90" w:rsidP="001E5C90">
      <w:pPr>
        <w:pStyle w:val="FootnoteText"/>
        <w:rPr>
          <w:rFonts w:ascii="Times New Roman" w:hAnsi="Times New Roman" w:cs="Times New Roman"/>
          <w:sz w:val="18"/>
          <w:szCs w:val="18"/>
        </w:rPr>
      </w:pPr>
      <w:r w:rsidRPr="00F94195">
        <w:rPr>
          <w:rStyle w:val="FootnoteReference"/>
          <w:rFonts w:ascii="Times New Roman" w:hAnsi="Times New Roman" w:cs="Times New Roman"/>
          <w:sz w:val="18"/>
          <w:szCs w:val="18"/>
        </w:rPr>
        <w:footnoteRef/>
      </w:r>
      <w:r w:rsidRPr="00F94195">
        <w:rPr>
          <w:rFonts w:ascii="Times New Roman" w:hAnsi="Times New Roman" w:cs="Times New Roman"/>
          <w:sz w:val="18"/>
          <w:szCs w:val="18"/>
        </w:rPr>
        <w:t xml:space="preserve"> Pg. 19, footnote 59</w:t>
      </w:r>
    </w:p>
  </w:footnote>
  <w:footnote w:id="13">
    <w:p w:rsidR="001E5C90" w:rsidRPr="00695983" w:rsidRDefault="001E5C90" w:rsidP="001E5C90">
      <w:pPr>
        <w:pStyle w:val="FootnoteText"/>
        <w:rPr>
          <w:rFonts w:ascii="Times New Roman" w:hAnsi="Times New Roman" w:cs="Times New Roman"/>
          <w:sz w:val="18"/>
          <w:szCs w:val="18"/>
        </w:rPr>
      </w:pPr>
      <w:r w:rsidRPr="00695983">
        <w:rPr>
          <w:rStyle w:val="FootnoteReference"/>
          <w:rFonts w:ascii="Times New Roman" w:hAnsi="Times New Roman" w:cs="Times New Roman"/>
          <w:sz w:val="18"/>
          <w:szCs w:val="18"/>
        </w:rPr>
        <w:footnoteRef/>
      </w:r>
      <w:r w:rsidRPr="00695983">
        <w:rPr>
          <w:rFonts w:ascii="Times New Roman" w:hAnsi="Times New Roman" w:cs="Times New Roman"/>
          <w:sz w:val="18"/>
          <w:szCs w:val="18"/>
        </w:rPr>
        <w:t xml:space="preserve"> Pg. 2</w:t>
      </w:r>
    </w:p>
  </w:footnote>
  <w:footnote w:id="14">
    <w:p w:rsidR="001E5C90" w:rsidRPr="00695983" w:rsidRDefault="001E5C90" w:rsidP="001E5C90">
      <w:pPr>
        <w:pStyle w:val="FootnoteText"/>
        <w:rPr>
          <w:rFonts w:ascii="Times New Roman" w:hAnsi="Times New Roman" w:cs="Times New Roman"/>
          <w:sz w:val="18"/>
          <w:szCs w:val="18"/>
        </w:rPr>
      </w:pPr>
      <w:r w:rsidRPr="00695983">
        <w:rPr>
          <w:rStyle w:val="FootnoteReference"/>
          <w:rFonts w:ascii="Times New Roman" w:hAnsi="Times New Roman" w:cs="Times New Roman"/>
          <w:sz w:val="18"/>
          <w:szCs w:val="18"/>
        </w:rPr>
        <w:footnoteRef/>
      </w:r>
      <w:r w:rsidRPr="00695983">
        <w:rPr>
          <w:rFonts w:ascii="Times New Roman" w:hAnsi="Times New Roman" w:cs="Times New Roman"/>
          <w:sz w:val="18"/>
          <w:szCs w:val="18"/>
        </w:rPr>
        <w:t xml:space="preserve"> </w:t>
      </w:r>
      <w:hyperlink r:id="rId3" w:history="1">
        <w:r w:rsidR="003B7C0D">
          <w:rPr>
            <w:rStyle w:val="Hyperlink"/>
            <w:rFonts w:ascii="Times New Roman" w:hAnsi="Times New Roman" w:cs="Times New Roman"/>
            <w:sz w:val="18"/>
            <w:szCs w:val="18"/>
          </w:rPr>
          <w:t>Available at https://www.mass.gov/doc/ago-examination-into-cost-drivers/download</w:t>
        </w:r>
      </w:hyperlink>
      <w:r w:rsidRPr="00695983">
        <w:rPr>
          <w:rFonts w:ascii="Times New Roman" w:hAnsi="Times New Roman" w:cs="Times New Roman"/>
          <w:sz w:val="18"/>
          <w:szCs w:val="18"/>
        </w:rPr>
        <w:t xml:space="preserve">. </w:t>
      </w:r>
    </w:p>
  </w:footnote>
  <w:footnote w:id="15">
    <w:p w:rsidR="001E5C90" w:rsidRPr="00695983" w:rsidRDefault="001E5C90" w:rsidP="001E5C90">
      <w:pPr>
        <w:pStyle w:val="FootnoteText"/>
        <w:rPr>
          <w:rFonts w:ascii="Times New Roman" w:hAnsi="Times New Roman" w:cs="Times New Roman"/>
          <w:sz w:val="18"/>
          <w:szCs w:val="18"/>
        </w:rPr>
      </w:pPr>
      <w:r w:rsidRPr="00695983">
        <w:rPr>
          <w:rStyle w:val="FootnoteReference"/>
          <w:rFonts w:ascii="Times New Roman" w:hAnsi="Times New Roman" w:cs="Times New Roman"/>
          <w:sz w:val="18"/>
          <w:szCs w:val="18"/>
        </w:rPr>
        <w:footnoteRef/>
      </w:r>
      <w:r w:rsidRPr="00695983">
        <w:rPr>
          <w:rFonts w:ascii="Times New Roman" w:hAnsi="Times New Roman" w:cs="Times New Roman"/>
          <w:sz w:val="18"/>
          <w:szCs w:val="18"/>
        </w:rPr>
        <w:t xml:space="preserve"> Pg. 79-80</w:t>
      </w:r>
    </w:p>
  </w:footnote>
  <w:footnote w:id="16">
    <w:p w:rsidR="001E5C90" w:rsidRPr="00695983" w:rsidRDefault="001E5C90" w:rsidP="001E5C90">
      <w:pPr>
        <w:pStyle w:val="FootnoteText"/>
        <w:rPr>
          <w:rFonts w:ascii="Times New Roman" w:hAnsi="Times New Roman" w:cs="Times New Roman"/>
          <w:sz w:val="18"/>
          <w:szCs w:val="18"/>
        </w:rPr>
      </w:pPr>
      <w:r w:rsidRPr="00695983">
        <w:rPr>
          <w:rStyle w:val="FootnoteReference"/>
          <w:rFonts w:ascii="Times New Roman" w:hAnsi="Times New Roman" w:cs="Times New Roman"/>
          <w:sz w:val="18"/>
          <w:szCs w:val="18"/>
        </w:rPr>
        <w:footnoteRef/>
      </w:r>
      <w:r w:rsidRPr="00695983">
        <w:rPr>
          <w:rFonts w:ascii="Times New Roman" w:hAnsi="Times New Roman" w:cs="Times New Roman"/>
          <w:sz w:val="18"/>
          <w:szCs w:val="18"/>
        </w:rPr>
        <w:t xml:space="preserve"> Pg. 21, footnote 62</w:t>
      </w:r>
    </w:p>
  </w:footnote>
  <w:footnote w:id="17">
    <w:p w:rsidR="001E5C90" w:rsidRPr="00F94195" w:rsidRDefault="001E5C90" w:rsidP="001E5C90">
      <w:pPr>
        <w:pStyle w:val="FootnoteText"/>
        <w:rPr>
          <w:rFonts w:ascii="Times New Roman" w:hAnsi="Times New Roman" w:cs="Times New Roman"/>
          <w:sz w:val="18"/>
          <w:szCs w:val="18"/>
          <w:lang w:val="es-ES"/>
        </w:rPr>
      </w:pPr>
      <w:r w:rsidRPr="00F94195">
        <w:rPr>
          <w:rStyle w:val="FootnoteReference"/>
          <w:rFonts w:ascii="Times New Roman" w:hAnsi="Times New Roman" w:cs="Times New Roman"/>
          <w:sz w:val="18"/>
          <w:szCs w:val="18"/>
        </w:rPr>
        <w:footnoteRef/>
      </w:r>
      <w:r w:rsidRPr="00F94195">
        <w:rPr>
          <w:rFonts w:ascii="Times New Roman" w:hAnsi="Times New Roman" w:cs="Times New Roman"/>
          <w:sz w:val="18"/>
          <w:szCs w:val="18"/>
          <w:lang w:val="es-ES"/>
        </w:rPr>
        <w:t xml:space="preserve"> Pg. 6 para. 16</w:t>
      </w:r>
    </w:p>
  </w:footnote>
  <w:footnote w:id="18">
    <w:p w:rsidR="001E5C90" w:rsidRPr="00F94195" w:rsidRDefault="001E5C90" w:rsidP="001E5C90">
      <w:pPr>
        <w:pStyle w:val="FootnoteText"/>
        <w:rPr>
          <w:rFonts w:ascii="Times New Roman" w:hAnsi="Times New Roman" w:cs="Times New Roman"/>
          <w:sz w:val="18"/>
          <w:szCs w:val="18"/>
          <w:lang w:val="es-ES"/>
        </w:rPr>
      </w:pPr>
      <w:r w:rsidRPr="00F94195">
        <w:rPr>
          <w:rStyle w:val="FootnoteReference"/>
          <w:rFonts w:ascii="Times New Roman" w:hAnsi="Times New Roman" w:cs="Times New Roman"/>
          <w:sz w:val="18"/>
          <w:szCs w:val="18"/>
        </w:rPr>
        <w:footnoteRef/>
      </w:r>
      <w:r w:rsidRPr="00F94195">
        <w:rPr>
          <w:rFonts w:ascii="Times New Roman" w:hAnsi="Times New Roman" w:cs="Times New Roman"/>
          <w:sz w:val="18"/>
          <w:szCs w:val="18"/>
          <w:lang w:val="es-ES"/>
        </w:rPr>
        <w:t xml:space="preserve"> Pg. 20 para 47 &amp; footnote 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83" w:rsidRDefault="00D47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10;Corporate Office&#10;----------------------------&#10;Crown Colony Park&#10;700 Congress Street&#10;Quincy, MA  02169&#10;Tel: 617-376-7400&#10;www.shields.com&#10;"/>
    </w:tblPr>
    <w:tblGrid>
      <w:gridCol w:w="7668"/>
      <w:gridCol w:w="2052"/>
    </w:tblGrid>
    <w:tr w:rsidR="00E0209C" w:rsidTr="009C00EF">
      <w:trPr>
        <w:tblHeader/>
      </w:trPr>
      <w:tc>
        <w:tcPr>
          <w:tcW w:w="7830" w:type="dxa"/>
        </w:tcPr>
        <w:p w:rsidR="00E0209C" w:rsidRDefault="00E0209C" w:rsidP="00E0209C"/>
        <w:p w:rsidR="00E0209C" w:rsidRDefault="00E0209C" w:rsidP="00E0209C"/>
        <w:p w:rsidR="00E0209C" w:rsidRDefault="00E0209C" w:rsidP="00E0209C"/>
        <w:p w:rsidR="00E0209C" w:rsidRDefault="00E0209C" w:rsidP="00E0209C">
          <w:r>
            <w:rPr>
              <w:noProof/>
            </w:rPr>
            <w:drawing>
              <wp:inline distT="0" distB="0" distL="0" distR="0">
                <wp:extent cx="2114550" cy="634365"/>
                <wp:effectExtent l="0" t="0" r="0" b="0"/>
                <wp:docPr id="2" name="Picture 1" descr="Shieds Healthcare Group logo and official MRI providers of Boston Celtics, New England Patrios, New England Revolution, and Boston Bru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monticone\My Documents\My Pictures\Logos\SHCG_ProviderLogo_4teams_no_url.JPG"/>
                        <pic:cNvPicPr>
                          <a:picLocks noChangeAspect="1" noChangeArrowheads="1"/>
                        </pic:cNvPicPr>
                      </pic:nvPicPr>
                      <pic:blipFill>
                        <a:blip r:embed="rId1"/>
                        <a:srcRect/>
                        <a:stretch>
                          <a:fillRect/>
                        </a:stretch>
                      </pic:blipFill>
                      <pic:spPr bwMode="auto">
                        <a:xfrm>
                          <a:off x="0" y="0"/>
                          <a:ext cx="2114550" cy="634365"/>
                        </a:xfrm>
                        <a:prstGeom prst="rect">
                          <a:avLst/>
                        </a:prstGeom>
                        <a:noFill/>
                        <a:ln w="9525">
                          <a:noFill/>
                          <a:miter lim="800000"/>
                          <a:headEnd/>
                          <a:tailEnd/>
                        </a:ln>
                      </pic:spPr>
                    </pic:pic>
                  </a:graphicData>
                </a:graphic>
              </wp:inline>
            </w:drawing>
          </w:r>
        </w:p>
        <w:p w:rsidR="00E0209C" w:rsidRDefault="00E0209C" w:rsidP="00E0209C"/>
      </w:tc>
      <w:tc>
        <w:tcPr>
          <w:tcW w:w="2070" w:type="dxa"/>
        </w:tcPr>
        <w:p w:rsidR="00E0209C" w:rsidRPr="00314AF6" w:rsidRDefault="00E0209C" w:rsidP="00E0209C">
          <w:pPr>
            <w:rPr>
              <w:rFonts w:ascii="Arial" w:hAnsi="Arial" w:cs="Arial"/>
            </w:rPr>
          </w:pPr>
        </w:p>
        <w:p w:rsidR="00E0209C" w:rsidRPr="007860C8" w:rsidRDefault="00E0209C" w:rsidP="00E0209C">
          <w:pPr>
            <w:rPr>
              <w:rFonts w:ascii="Arial" w:hAnsi="Arial" w:cs="Arial"/>
              <w:b/>
              <w:color w:val="002060"/>
              <w:sz w:val="18"/>
            </w:rPr>
          </w:pPr>
          <w:r w:rsidRPr="007860C8">
            <w:rPr>
              <w:rFonts w:ascii="Arial" w:hAnsi="Arial" w:cs="Arial"/>
              <w:b/>
              <w:color w:val="002060"/>
              <w:sz w:val="18"/>
            </w:rPr>
            <w:t>Corporate Office</w:t>
          </w:r>
        </w:p>
        <w:p w:rsidR="00E0209C" w:rsidRPr="004148A5" w:rsidRDefault="00E0209C" w:rsidP="00E0209C">
          <w:pPr>
            <w:rPr>
              <w:rFonts w:ascii="Arial" w:hAnsi="Arial" w:cs="Arial"/>
              <w:b/>
              <w:color w:val="008000"/>
              <w:sz w:val="18"/>
            </w:rPr>
          </w:pPr>
          <w:r w:rsidRPr="004148A5">
            <w:rPr>
              <w:rFonts w:ascii="Arial" w:hAnsi="Arial" w:cs="Arial"/>
              <w:b/>
              <w:color w:val="008000"/>
              <w:sz w:val="18"/>
            </w:rPr>
            <w:t>----------------------------</w:t>
          </w:r>
        </w:p>
        <w:p w:rsidR="00E0209C" w:rsidRPr="007860C8" w:rsidRDefault="00E0209C" w:rsidP="00E0209C">
          <w:pPr>
            <w:rPr>
              <w:rFonts w:ascii="Arial" w:hAnsi="Arial" w:cs="Arial"/>
              <w:color w:val="002060"/>
              <w:sz w:val="18"/>
            </w:rPr>
          </w:pPr>
          <w:r w:rsidRPr="007860C8">
            <w:rPr>
              <w:rFonts w:ascii="Arial" w:hAnsi="Arial" w:cs="Arial"/>
              <w:color w:val="002060"/>
              <w:sz w:val="18"/>
            </w:rPr>
            <w:t>Crown Colony Park</w:t>
          </w:r>
        </w:p>
        <w:p w:rsidR="00E0209C" w:rsidRPr="007860C8" w:rsidRDefault="00E0209C" w:rsidP="00E0209C">
          <w:pPr>
            <w:rPr>
              <w:rFonts w:ascii="Arial" w:hAnsi="Arial" w:cs="Arial"/>
              <w:color w:val="002060"/>
              <w:sz w:val="18"/>
            </w:rPr>
          </w:pPr>
          <w:r w:rsidRPr="007860C8">
            <w:rPr>
              <w:rFonts w:ascii="Arial" w:hAnsi="Arial" w:cs="Arial"/>
              <w:color w:val="002060"/>
              <w:sz w:val="18"/>
            </w:rPr>
            <w:t>700 Congress Street</w:t>
          </w:r>
        </w:p>
        <w:p w:rsidR="00E0209C" w:rsidRPr="007860C8" w:rsidRDefault="00E0209C" w:rsidP="00E0209C">
          <w:pPr>
            <w:rPr>
              <w:rFonts w:ascii="Arial" w:hAnsi="Arial" w:cs="Arial"/>
              <w:color w:val="002060"/>
              <w:sz w:val="18"/>
            </w:rPr>
          </w:pPr>
          <w:r w:rsidRPr="007860C8">
            <w:rPr>
              <w:rFonts w:ascii="Arial" w:hAnsi="Arial" w:cs="Arial"/>
              <w:color w:val="002060"/>
              <w:sz w:val="18"/>
            </w:rPr>
            <w:t>Quincy, MA  02169</w:t>
          </w:r>
        </w:p>
        <w:p w:rsidR="00E0209C" w:rsidRPr="007860C8" w:rsidRDefault="00E0209C" w:rsidP="00E0209C">
          <w:pPr>
            <w:rPr>
              <w:rFonts w:ascii="Arial" w:hAnsi="Arial" w:cs="Arial"/>
              <w:color w:val="002060"/>
              <w:sz w:val="18"/>
            </w:rPr>
          </w:pPr>
          <w:r w:rsidRPr="007860C8">
            <w:rPr>
              <w:rFonts w:ascii="Arial" w:hAnsi="Arial" w:cs="Arial"/>
              <w:color w:val="002060"/>
              <w:sz w:val="18"/>
            </w:rPr>
            <w:t>Tel: 617-376-7400</w:t>
          </w:r>
        </w:p>
        <w:p w:rsidR="00E0209C" w:rsidRDefault="00E0209C" w:rsidP="00E0209C">
          <w:r w:rsidRPr="007860C8">
            <w:rPr>
              <w:rFonts w:ascii="Arial" w:hAnsi="Arial" w:cs="Arial"/>
              <w:color w:val="002060"/>
              <w:sz w:val="18"/>
            </w:rPr>
            <w:t>www.shields.com</w:t>
          </w:r>
        </w:p>
      </w:tc>
    </w:tr>
  </w:tbl>
  <w:p w:rsidR="00E0209C" w:rsidRDefault="00E02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83" w:rsidRDefault="00D47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7D4"/>
    <w:multiLevelType w:val="hybridMultilevel"/>
    <w:tmpl w:val="0F5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06B4B"/>
    <w:multiLevelType w:val="hybridMultilevel"/>
    <w:tmpl w:val="FBBACE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57772"/>
    <w:multiLevelType w:val="hybridMultilevel"/>
    <w:tmpl w:val="5044B8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5E4820"/>
    <w:multiLevelType w:val="multilevel"/>
    <w:tmpl w:val="9D9AC9A8"/>
    <w:lvl w:ilvl="0">
      <w:start w:val="1"/>
      <w:numFmt w:val="bullet"/>
      <w:pStyle w:val="NoSpacing"/>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62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1710" w:hanging="360"/>
      </w:pPr>
      <w:rPr>
        <w:rFonts w:ascii="Courier New" w:hAnsi="Courier New" w:cs="Courier New" w:hint="default"/>
      </w:rPr>
    </w:lvl>
    <w:lvl w:ilvl="5">
      <w:start w:val="1"/>
      <w:numFmt w:val="bullet"/>
      <w:lvlText w:val=""/>
      <w:lvlJc w:val="left"/>
      <w:pPr>
        <w:ind w:left="8370" w:hanging="360"/>
      </w:pPr>
      <w:rPr>
        <w:rFonts w:ascii="Wingdings" w:hAnsi="Wingdings" w:hint="default"/>
      </w:rPr>
    </w:lvl>
    <w:lvl w:ilvl="6">
      <w:start w:val="1"/>
      <w:numFmt w:val="bullet"/>
      <w:lvlText w:val=""/>
      <w:lvlJc w:val="left"/>
      <w:pPr>
        <w:ind w:left="9090" w:hanging="360"/>
      </w:pPr>
      <w:rPr>
        <w:rFonts w:ascii="Symbol" w:hAnsi="Symbol" w:hint="default"/>
      </w:rPr>
    </w:lvl>
    <w:lvl w:ilvl="7">
      <w:start w:val="1"/>
      <w:numFmt w:val="bullet"/>
      <w:lvlText w:val="o"/>
      <w:lvlJc w:val="left"/>
      <w:pPr>
        <w:ind w:left="9810" w:hanging="360"/>
      </w:pPr>
      <w:rPr>
        <w:rFonts w:ascii="Courier New" w:hAnsi="Courier New" w:cs="Courier New" w:hint="default"/>
      </w:rPr>
    </w:lvl>
    <w:lvl w:ilvl="8">
      <w:start w:val="1"/>
      <w:numFmt w:val="bullet"/>
      <w:lvlText w:val=""/>
      <w:lvlJc w:val="left"/>
      <w:pPr>
        <w:ind w:left="10530" w:hanging="360"/>
      </w:pPr>
      <w:rPr>
        <w:rFonts w:ascii="Wingdings" w:hAnsi="Wingdings" w:hint="default"/>
      </w:rPr>
    </w:lvl>
  </w:abstractNum>
  <w:abstractNum w:abstractNumId="4" w15:restartNumberingAfterBreak="0">
    <w:nsid w:val="36BA2A0B"/>
    <w:multiLevelType w:val="hybridMultilevel"/>
    <w:tmpl w:val="21EE2C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FB5D37"/>
    <w:multiLevelType w:val="hybridMultilevel"/>
    <w:tmpl w:val="A6A21C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A2"/>
    <w:rsid w:val="0001478E"/>
    <w:rsid w:val="000538E6"/>
    <w:rsid w:val="00061D6F"/>
    <w:rsid w:val="000755E8"/>
    <w:rsid w:val="00095F21"/>
    <w:rsid w:val="000D2735"/>
    <w:rsid w:val="000E1238"/>
    <w:rsid w:val="001250A2"/>
    <w:rsid w:val="00144D0C"/>
    <w:rsid w:val="00147909"/>
    <w:rsid w:val="0015405F"/>
    <w:rsid w:val="00164940"/>
    <w:rsid w:val="00172F4A"/>
    <w:rsid w:val="00190744"/>
    <w:rsid w:val="001D07E2"/>
    <w:rsid w:val="001E4846"/>
    <w:rsid w:val="001E5C90"/>
    <w:rsid w:val="001E63E6"/>
    <w:rsid w:val="00233F29"/>
    <w:rsid w:val="0026206A"/>
    <w:rsid w:val="002A649C"/>
    <w:rsid w:val="002D4FEB"/>
    <w:rsid w:val="00317F43"/>
    <w:rsid w:val="00325209"/>
    <w:rsid w:val="00357789"/>
    <w:rsid w:val="003826E7"/>
    <w:rsid w:val="003B7C0D"/>
    <w:rsid w:val="003D225E"/>
    <w:rsid w:val="003F68CE"/>
    <w:rsid w:val="004148A5"/>
    <w:rsid w:val="004B7C52"/>
    <w:rsid w:val="004F42DF"/>
    <w:rsid w:val="004F5E04"/>
    <w:rsid w:val="005068CC"/>
    <w:rsid w:val="00511C0F"/>
    <w:rsid w:val="00536BA6"/>
    <w:rsid w:val="006A4283"/>
    <w:rsid w:val="006B5FA2"/>
    <w:rsid w:val="006D4ED6"/>
    <w:rsid w:val="00723ADA"/>
    <w:rsid w:val="0077220D"/>
    <w:rsid w:val="007860C8"/>
    <w:rsid w:val="007C7925"/>
    <w:rsid w:val="007C7E91"/>
    <w:rsid w:val="00813DE8"/>
    <w:rsid w:val="00831D99"/>
    <w:rsid w:val="00854315"/>
    <w:rsid w:val="00881F9F"/>
    <w:rsid w:val="00890012"/>
    <w:rsid w:val="00890FC2"/>
    <w:rsid w:val="00897B3E"/>
    <w:rsid w:val="008A0770"/>
    <w:rsid w:val="008A4BD6"/>
    <w:rsid w:val="008E2723"/>
    <w:rsid w:val="00910839"/>
    <w:rsid w:val="009119AA"/>
    <w:rsid w:val="009A5505"/>
    <w:rsid w:val="009C00EF"/>
    <w:rsid w:val="00A31C6F"/>
    <w:rsid w:val="00A42C8A"/>
    <w:rsid w:val="00A73818"/>
    <w:rsid w:val="00A961D7"/>
    <w:rsid w:val="00AA0C3E"/>
    <w:rsid w:val="00AA48F8"/>
    <w:rsid w:val="00AA4924"/>
    <w:rsid w:val="00B05591"/>
    <w:rsid w:val="00B34C99"/>
    <w:rsid w:val="00B66FF9"/>
    <w:rsid w:val="00BC256B"/>
    <w:rsid w:val="00C05389"/>
    <w:rsid w:val="00C06976"/>
    <w:rsid w:val="00C233E2"/>
    <w:rsid w:val="00C34A2C"/>
    <w:rsid w:val="00CA4070"/>
    <w:rsid w:val="00CF2952"/>
    <w:rsid w:val="00D01D43"/>
    <w:rsid w:val="00D47783"/>
    <w:rsid w:val="00D549FF"/>
    <w:rsid w:val="00DE5771"/>
    <w:rsid w:val="00DF5287"/>
    <w:rsid w:val="00E0209C"/>
    <w:rsid w:val="00E16423"/>
    <w:rsid w:val="00E51A4D"/>
    <w:rsid w:val="00E722EE"/>
    <w:rsid w:val="00E90F5E"/>
    <w:rsid w:val="00EA31A2"/>
    <w:rsid w:val="00EE7AED"/>
    <w:rsid w:val="00F31236"/>
    <w:rsid w:val="00F46FAC"/>
    <w:rsid w:val="00F8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05224-CC98-46D2-BE04-6B640C08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90FC2"/>
  </w:style>
  <w:style w:type="paragraph" w:styleId="Heading1">
    <w:name w:val="heading 1"/>
    <w:basedOn w:val="Normal"/>
    <w:next w:val="Normal"/>
    <w:link w:val="Heading1Char"/>
    <w:uiPriority w:val="9"/>
    <w:qFormat/>
    <w:rsid w:val="001D07E2"/>
    <w:pPr>
      <w:spacing w:before="360" w:after="240"/>
      <w:outlineLvl w:val="0"/>
    </w:pPr>
    <w:rPr>
      <w:rFonts w:ascii="Times New Roman" w:hAnsi="Times New Roman" w:cs="Times New Roman"/>
      <w:b/>
      <w:color w:val="000000" w:themeColor="text1"/>
      <w:sz w:val="24"/>
      <w:szCs w:val="24"/>
      <w:u w:val="single"/>
    </w:rPr>
  </w:style>
  <w:style w:type="paragraph" w:styleId="Heading2">
    <w:name w:val="heading 2"/>
    <w:aliases w:val="Body Paragraph"/>
    <w:basedOn w:val="Normal"/>
    <w:next w:val="Normal"/>
    <w:link w:val="Heading2Char"/>
    <w:uiPriority w:val="9"/>
    <w:unhideWhenUsed/>
    <w:qFormat/>
    <w:rsid w:val="001D07E2"/>
    <w:pPr>
      <w:spacing w:before="240" w:after="240"/>
      <w:outlineLvl w:val="1"/>
    </w:pPr>
    <w:rPr>
      <w:rFonts w:ascii="Times New Roman" w:hAnsi="Times New Roman" w:cs="Times New Roman"/>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C0F"/>
  </w:style>
  <w:style w:type="paragraph" w:styleId="Footer">
    <w:name w:val="footer"/>
    <w:basedOn w:val="Normal"/>
    <w:link w:val="FooterChar"/>
    <w:uiPriority w:val="99"/>
    <w:unhideWhenUsed/>
    <w:rsid w:val="00511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C0F"/>
  </w:style>
  <w:style w:type="table" w:styleId="TableGrid">
    <w:name w:val="Table Grid"/>
    <w:basedOn w:val="TableNormal"/>
    <w:rsid w:val="00511C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C0F"/>
    <w:rPr>
      <w:rFonts w:ascii="Tahoma" w:hAnsi="Tahoma" w:cs="Tahoma"/>
      <w:sz w:val="16"/>
      <w:szCs w:val="16"/>
    </w:rPr>
  </w:style>
  <w:style w:type="paragraph" w:styleId="ListParagraph">
    <w:name w:val="List Paragraph"/>
    <w:basedOn w:val="Normal"/>
    <w:uiPriority w:val="34"/>
    <w:qFormat/>
    <w:rsid w:val="00890FC2"/>
    <w:pPr>
      <w:ind w:left="720"/>
      <w:contextualSpacing/>
    </w:pPr>
  </w:style>
  <w:style w:type="paragraph" w:customStyle="1" w:styleId="Default">
    <w:name w:val="Default"/>
    <w:basedOn w:val="Normal"/>
    <w:rsid w:val="007860C8"/>
    <w:pPr>
      <w:autoSpaceDE w:val="0"/>
      <w:autoSpaceDN w:val="0"/>
      <w:spacing w:after="0" w:line="240" w:lineRule="auto"/>
    </w:pPr>
    <w:rPr>
      <w:rFonts w:ascii="Calibri" w:hAnsi="Calibri" w:cs="Times New Roman"/>
      <w:color w:val="000000"/>
      <w:sz w:val="24"/>
      <w:szCs w:val="24"/>
    </w:rPr>
  </w:style>
  <w:style w:type="character" w:customStyle="1" w:styleId="Heading1Char">
    <w:name w:val="Heading 1 Char"/>
    <w:basedOn w:val="DefaultParagraphFont"/>
    <w:link w:val="Heading1"/>
    <w:uiPriority w:val="9"/>
    <w:rsid w:val="001D07E2"/>
    <w:rPr>
      <w:rFonts w:ascii="Times New Roman" w:hAnsi="Times New Roman" w:cs="Times New Roman"/>
      <w:b/>
      <w:color w:val="000000" w:themeColor="text1"/>
      <w:sz w:val="24"/>
      <w:szCs w:val="24"/>
      <w:u w:val="single"/>
    </w:rPr>
  </w:style>
  <w:style w:type="character" w:customStyle="1" w:styleId="Heading2Char">
    <w:name w:val="Heading 2 Char"/>
    <w:aliases w:val="Body Paragraph Char"/>
    <w:basedOn w:val="DefaultParagraphFont"/>
    <w:link w:val="Heading2"/>
    <w:uiPriority w:val="9"/>
    <w:rsid w:val="001D07E2"/>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1D07E2"/>
    <w:rPr>
      <w:color w:val="0000FF" w:themeColor="hyperlink"/>
      <w:u w:val="single"/>
    </w:rPr>
  </w:style>
  <w:style w:type="paragraph" w:styleId="NoSpacing">
    <w:name w:val="No Spacing"/>
    <w:aliases w:val="Bullets"/>
    <w:basedOn w:val="ListParagraph"/>
    <w:uiPriority w:val="1"/>
    <w:qFormat/>
    <w:rsid w:val="001D07E2"/>
    <w:pPr>
      <w:numPr>
        <w:numId w:val="2"/>
      </w:numPr>
      <w:spacing w:after="120"/>
      <w:contextualSpacing w:val="0"/>
    </w:pPr>
    <w:rPr>
      <w:rFonts w:ascii="Times New Roman" w:hAnsi="Times New Roman" w:cs="Times New Roman"/>
      <w:color w:val="000000" w:themeColor="text1"/>
      <w:sz w:val="24"/>
      <w:szCs w:val="24"/>
    </w:rPr>
  </w:style>
  <w:style w:type="character" w:styleId="FollowedHyperlink">
    <w:name w:val="FollowedHyperlink"/>
    <w:basedOn w:val="DefaultParagraphFont"/>
    <w:uiPriority w:val="99"/>
    <w:semiHidden/>
    <w:unhideWhenUsed/>
    <w:rsid w:val="001D07E2"/>
    <w:rPr>
      <w:color w:val="800080" w:themeColor="followedHyperlink"/>
      <w:u w:val="single"/>
    </w:rPr>
  </w:style>
  <w:style w:type="paragraph" w:styleId="FootnoteText">
    <w:name w:val="footnote text"/>
    <w:basedOn w:val="Normal"/>
    <w:link w:val="FootnoteTextChar"/>
    <w:uiPriority w:val="99"/>
    <w:semiHidden/>
    <w:unhideWhenUsed/>
    <w:rsid w:val="001E5C9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1E5C90"/>
    <w:rPr>
      <w:rFonts w:eastAsiaTheme="minorEastAsia"/>
      <w:sz w:val="20"/>
      <w:szCs w:val="20"/>
    </w:rPr>
  </w:style>
  <w:style w:type="character" w:styleId="FootnoteReference">
    <w:name w:val="footnote reference"/>
    <w:basedOn w:val="DefaultParagraphFont"/>
    <w:uiPriority w:val="99"/>
    <w:semiHidden/>
    <w:unhideWhenUsed/>
    <w:rsid w:val="001E5C90"/>
    <w:rPr>
      <w:vertAlign w:val="superscript"/>
    </w:rPr>
  </w:style>
  <w:style w:type="paragraph" w:styleId="CommentText">
    <w:name w:val="annotation text"/>
    <w:basedOn w:val="Normal"/>
    <w:link w:val="CommentTextChar"/>
    <w:uiPriority w:val="99"/>
    <w:unhideWhenUsed/>
    <w:rsid w:val="001E5C90"/>
    <w:pPr>
      <w:spacing w:after="16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1E5C9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95376">
      <w:bodyDiv w:val="1"/>
      <w:marLeft w:val="0"/>
      <w:marRight w:val="0"/>
      <w:marTop w:val="0"/>
      <w:marBottom w:val="0"/>
      <w:divBdr>
        <w:top w:val="none" w:sz="0" w:space="0" w:color="auto"/>
        <w:left w:val="none" w:sz="0" w:space="0" w:color="auto"/>
        <w:bottom w:val="none" w:sz="0" w:space="0" w:color="auto"/>
        <w:right w:val="none" w:sz="0" w:space="0" w:color="auto"/>
      </w:divBdr>
    </w:div>
    <w:div w:id="503935335">
      <w:bodyDiv w:val="1"/>
      <w:marLeft w:val="0"/>
      <w:marRight w:val="0"/>
      <w:marTop w:val="0"/>
      <w:marBottom w:val="0"/>
      <w:divBdr>
        <w:top w:val="none" w:sz="0" w:space="0" w:color="auto"/>
        <w:left w:val="none" w:sz="0" w:space="0" w:color="auto"/>
        <w:bottom w:val="none" w:sz="0" w:space="0" w:color="auto"/>
        <w:right w:val="none" w:sz="0" w:space="0" w:color="auto"/>
      </w:divBdr>
    </w:div>
    <w:div w:id="1078206397">
      <w:bodyDiv w:val="1"/>
      <w:marLeft w:val="0"/>
      <w:marRight w:val="0"/>
      <w:marTop w:val="0"/>
      <w:marBottom w:val="0"/>
      <w:divBdr>
        <w:top w:val="none" w:sz="0" w:space="0" w:color="auto"/>
        <w:left w:val="none" w:sz="0" w:space="0" w:color="auto"/>
        <w:bottom w:val="none" w:sz="0" w:space="0" w:color="auto"/>
        <w:right w:val="none" w:sz="0" w:space="0" w:color="auto"/>
      </w:divBdr>
      <w:divsChild>
        <w:div w:id="1516459573">
          <w:marLeft w:val="0"/>
          <w:marRight w:val="0"/>
          <w:marTop w:val="0"/>
          <w:marBottom w:val="0"/>
          <w:divBdr>
            <w:top w:val="none" w:sz="0" w:space="0" w:color="auto"/>
            <w:left w:val="none" w:sz="0" w:space="0" w:color="auto"/>
            <w:bottom w:val="none" w:sz="0" w:space="0" w:color="auto"/>
            <w:right w:val="none" w:sz="0" w:space="0" w:color="auto"/>
          </w:divBdr>
          <w:divsChild>
            <w:div w:id="1577127676">
              <w:marLeft w:val="0"/>
              <w:marRight w:val="0"/>
              <w:marTop w:val="0"/>
              <w:marBottom w:val="0"/>
              <w:divBdr>
                <w:top w:val="none" w:sz="0" w:space="0" w:color="auto"/>
                <w:left w:val="none" w:sz="0" w:space="0" w:color="auto"/>
                <w:bottom w:val="none" w:sz="0" w:space="0" w:color="auto"/>
                <w:right w:val="none" w:sz="0" w:space="0" w:color="auto"/>
              </w:divBdr>
              <w:divsChild>
                <w:div w:id="5511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ago-examination-into-cost-drivers/download" TargetMode="External"/><Relationship Id="rId2" Type="http://schemas.openxmlformats.org/officeDocument/2006/relationships/hyperlink" Target="https://www.ncbi.nlm.nih.gov/pmc/articles/PMC1360893/" TargetMode="External"/><Relationship Id="rId1" Type="http://schemas.openxmlformats.org/officeDocument/2006/relationships/hyperlink" Target="https://www.mass.gov/doc/mass-general-brigham-incorporated-multisite-responses-to-don-questions-1/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Shields Health Care Group</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Cioffari-Macphee, Diana (DPH)</cp:lastModifiedBy>
  <cp:revision>15</cp:revision>
  <cp:lastPrinted>2022-01-27T17:28:00Z</cp:lastPrinted>
  <dcterms:created xsi:type="dcterms:W3CDTF">2022-02-02T22:24:00Z</dcterms:created>
  <dcterms:modified xsi:type="dcterms:W3CDTF">2022-02-04T20:18:00Z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