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A91D0" w14:textId="29D62C06" w:rsidR="00E27283" w:rsidRPr="00D5196F" w:rsidRDefault="00D5196F" w:rsidP="00D5196F">
      <w:pPr>
        <w:pStyle w:val="ListParagraph"/>
        <w:numPr>
          <w:ilvl w:val="0"/>
          <w:numId w:val="1"/>
        </w:numPr>
        <w:rPr>
          <w:u w:val="single"/>
        </w:rPr>
      </w:pPr>
      <w:bookmarkStart w:id="0" w:name="_GoBack"/>
      <w:bookmarkEnd w:id="0"/>
      <w:r w:rsidRPr="00D5196F">
        <w:rPr>
          <w:u w:val="single"/>
        </w:rPr>
        <w:t>Heywood Hospital Patient Panel</w:t>
      </w:r>
    </w:p>
    <w:p w14:paraId="1863ADEF" w14:textId="6122A1FC" w:rsidR="00D5196F" w:rsidRDefault="00D5196F" w:rsidP="00D5196F"/>
    <w:p w14:paraId="3B52705E" w14:textId="7E8EBA21" w:rsidR="00E9315A" w:rsidRDefault="00B9435C" w:rsidP="00E9315A">
      <w:pPr>
        <w:jc w:val="both"/>
      </w:pPr>
      <w:r>
        <w:t>The Applicant review</w:t>
      </w:r>
      <w:r w:rsidR="007D15CA">
        <w:t>ed</w:t>
      </w:r>
      <w:r>
        <w:t xml:space="preserve"> the patient panel of Heywood Hospital (“Heywood”) to determine the need for the Proposed Project.</w:t>
      </w:r>
      <w:r w:rsidR="00D5196F">
        <w:t xml:space="preserve"> </w:t>
      </w:r>
      <w:r w:rsidR="00373252">
        <w:t xml:space="preserve">Heywood </w:t>
      </w:r>
      <w:r w:rsidR="00D5196F">
        <w:t>provides care</w:t>
      </w:r>
      <w:r w:rsidR="00373252">
        <w:t xml:space="preserve"> primarily to the greater Gardner community, with nearly 50,000 patients served annually (48,691 patients in FY18; 49,580 patients in FY19; and 48,237 patients in FY20). In the first quarter of FY21, Heywood served 26,481 patients. </w:t>
      </w:r>
      <w:r w:rsidR="003165DF">
        <w:t xml:space="preserve">More than half of Heywood’s patient panel is female (57.1% in FY18; 56.8% in FY19; 56.6% in FY20). In the first quarter of FY21, </w:t>
      </w:r>
      <w:r w:rsidR="006F26EB">
        <w:t>58</w:t>
      </w:r>
      <w:r w:rsidR="003165DF">
        <w:t xml:space="preserve">.5% of Heywood’s patients were female. The remaining patients were either male or the data was unavailable (42.9% in FY18; 43.2% in FY19; and 43.4% in FY20). In the first quarter of FY21, approximately 41.5% of the panel was male or the gender </w:t>
      </w:r>
      <w:r w:rsidR="00AD06F7">
        <w:t>wa</w:t>
      </w:r>
      <w:r w:rsidR="003165DF">
        <w:t xml:space="preserve">s unknown.  </w:t>
      </w:r>
    </w:p>
    <w:p w14:paraId="37DADB86" w14:textId="09701D0B" w:rsidR="00D5196F" w:rsidRDefault="00373252" w:rsidP="00E9315A">
      <w:pPr>
        <w:jc w:val="both"/>
      </w:pPr>
      <w:r>
        <w:t xml:space="preserve">With regard to age, </w:t>
      </w:r>
      <w:r w:rsidR="003165DF">
        <w:t>a majority</w:t>
      </w:r>
      <w:r>
        <w:t xml:space="preserve"> of Heywood’s patients are between the ages of 18-59</w:t>
      </w:r>
      <w:r w:rsidR="00E9315A">
        <w:t xml:space="preserve"> (</w:t>
      </w:r>
      <w:r w:rsidR="00AD06F7">
        <w:t>54</w:t>
      </w:r>
      <w:r w:rsidR="00E9315A">
        <w:t xml:space="preserve">.9% in FY18; </w:t>
      </w:r>
      <w:r w:rsidR="00AD06F7">
        <w:t>55.1</w:t>
      </w:r>
      <w:r w:rsidR="00E9315A">
        <w:t xml:space="preserve">% in FY19; </w:t>
      </w:r>
      <w:r w:rsidR="00AD06F7">
        <w:t>56.0</w:t>
      </w:r>
      <w:r w:rsidR="00E9315A">
        <w:t xml:space="preserve">% in FY20). </w:t>
      </w:r>
      <w:r w:rsidR="00AD06F7">
        <w:t xml:space="preserve">In the first quarter of FY21, 57.5% of Heywood’s patients were ages 18-59. </w:t>
      </w:r>
      <w:r w:rsidR="00E9315A">
        <w:t>P</w:t>
      </w:r>
      <w:r>
        <w:t xml:space="preserve">atients </w:t>
      </w:r>
      <w:r w:rsidR="00A65BD2">
        <w:t>in the 60+ age cohort</w:t>
      </w:r>
      <w:r>
        <w:t xml:space="preserve"> </w:t>
      </w:r>
      <w:r w:rsidR="00E9315A">
        <w:t xml:space="preserve">also </w:t>
      </w:r>
      <w:r>
        <w:t>represent</w:t>
      </w:r>
      <w:r w:rsidR="00E9315A">
        <w:t xml:space="preserve"> </w:t>
      </w:r>
      <w:r>
        <w:t xml:space="preserve">a significant percentage of </w:t>
      </w:r>
      <w:r w:rsidR="00E9315A">
        <w:t>Heywood’s patients – nearly one-third of the panel (31.1% in FY18; 30.7% in FY19; 30.3% in FY20). In the first quarter of FY21, patients ages 60</w:t>
      </w:r>
      <w:r w:rsidR="00A65BD2">
        <w:t xml:space="preserve"> and older</w:t>
      </w:r>
      <w:r w:rsidR="00E9315A">
        <w:t xml:space="preserve"> represented 31.2% of Heywood’s patient panel. Finally, approximately 10% of Heywood’s patients are under the age of 18 (13.9% in FY18; 14.2% in FY19; 13.7% in FY20). In the first quarter of FY21, 11.3% of Heywood’s patients were under the age of 18. </w:t>
      </w:r>
    </w:p>
    <w:p w14:paraId="74FEAD81" w14:textId="69531E1B" w:rsidR="009448E4" w:rsidRDefault="009448E4" w:rsidP="00E9315A">
      <w:pPr>
        <w:jc w:val="both"/>
      </w:pPr>
    </w:p>
    <w:p w14:paraId="34B6CF8B" w14:textId="55490BFD" w:rsidR="009448E4" w:rsidRDefault="007C0473" w:rsidP="00E9315A">
      <w:pPr>
        <w:jc w:val="both"/>
      </w:pPr>
      <w:r>
        <w:t xml:space="preserve">The Applicant also reviewed Heywood’s demographic data for race based on patient self-reporting. </w:t>
      </w:r>
      <w:r w:rsidR="009448E4">
        <w:t xml:space="preserve">Based on FY20 data, </w:t>
      </w:r>
      <w:r>
        <w:t xml:space="preserve">data indicate that Heywood’s patient panel is largely reflective of a Caucasian/White population (87.7%). The next largest cohort identify as Black (1.7%), followed by Asian (0.5%). Less than 0.1% of Heywood’s patient panel identify as either Hawaiian or Pacific Islander, or American Indian or Alaska Native. Finally, the race/ethnicity of 10.0% of the panel is </w:t>
      </w:r>
      <w:r w:rsidR="00E611BB">
        <w:t xml:space="preserve">either </w:t>
      </w:r>
      <w:r>
        <w:t>unknown</w:t>
      </w:r>
      <w:r w:rsidR="00E611BB">
        <w:t>, identifies as another race/ethnicity not listed,</w:t>
      </w:r>
      <w:r>
        <w:t xml:space="preserve"> or the patient declined to respond. </w:t>
      </w:r>
    </w:p>
    <w:p w14:paraId="385A415C" w14:textId="798A3984" w:rsidR="007C0473" w:rsidRDefault="007C0473" w:rsidP="00E9315A">
      <w:pPr>
        <w:jc w:val="both"/>
      </w:pPr>
    </w:p>
    <w:p w14:paraId="46CD67A7" w14:textId="37969649" w:rsidR="007C0473" w:rsidRDefault="00B9435C" w:rsidP="00E9315A">
      <w:pPr>
        <w:jc w:val="both"/>
      </w:pPr>
      <w:r>
        <w:t>The</w:t>
      </w:r>
      <w:r w:rsidR="007C0473">
        <w:t xml:space="preserve"> payer mix for Heywood’s patient panel is de</w:t>
      </w:r>
      <w:r w:rsidR="00886B2C">
        <w:t xml:space="preserve">monstrated </w:t>
      </w:r>
      <w:r w:rsidR="007C0473">
        <w:t>in the table below:</w:t>
      </w:r>
    </w:p>
    <w:p w14:paraId="4C318C82" w14:textId="068CA1AD" w:rsidR="007C0473" w:rsidRDefault="007C0473" w:rsidP="00E9315A">
      <w:pPr>
        <w:jc w:val="both"/>
      </w:pPr>
    </w:p>
    <w:p w14:paraId="5C230B6A" w14:textId="64374BED" w:rsidR="007C0473" w:rsidRPr="0057004C" w:rsidRDefault="007C0473" w:rsidP="007C0473">
      <w:pPr>
        <w:jc w:val="center"/>
        <w:rPr>
          <w:b/>
          <w:bCs/>
        </w:rPr>
      </w:pPr>
      <w:r w:rsidRPr="0057004C">
        <w:rPr>
          <w:b/>
          <w:bCs/>
        </w:rPr>
        <w:t>Table 1: Heywood Hospital Payer Mix</w:t>
      </w:r>
    </w:p>
    <w:p w14:paraId="464A0894" w14:textId="2138026A" w:rsidR="007C0473" w:rsidRDefault="007C0473" w:rsidP="007C0473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: Heywood Hospital Payer Mix"/>
        <w:tblDescription w:val=" FY18 FY19 FY20 FY21Q1&#10;Commercial 1.1% 1.2% 1.1% 1.1%&#10;HMO 33.6% 34.3% 34.7% 37.0%&#10;PPO 10.7% 11.2% 10.9% 11.3%&#10;Medicaid  23.4% 23.0% 22.2% 19.8%&#10;Medicare 25.6% 25.1% 24.0% 24.3%&#10;Other Gov’t 1.4% 1.5% 1.6% 1.6%&#10;All Other  4.2% 3.7% 5.5% 4.9%&#10;"/>
      </w:tblPr>
      <w:tblGrid>
        <w:gridCol w:w="1870"/>
        <w:gridCol w:w="1466"/>
        <w:gridCol w:w="1466"/>
        <w:gridCol w:w="1466"/>
        <w:gridCol w:w="1467"/>
      </w:tblGrid>
      <w:tr w:rsidR="007C0473" w14:paraId="5A14021A" w14:textId="77777777" w:rsidTr="00BD1218">
        <w:trPr>
          <w:tblHeader/>
          <w:jc w:val="center"/>
        </w:trPr>
        <w:tc>
          <w:tcPr>
            <w:tcW w:w="1870" w:type="dxa"/>
          </w:tcPr>
          <w:p w14:paraId="333EAA26" w14:textId="77777777" w:rsidR="007C0473" w:rsidRDefault="007C0473" w:rsidP="007C0473">
            <w:pPr>
              <w:jc w:val="center"/>
            </w:pPr>
          </w:p>
        </w:tc>
        <w:tc>
          <w:tcPr>
            <w:tcW w:w="1466" w:type="dxa"/>
          </w:tcPr>
          <w:p w14:paraId="06124362" w14:textId="3076AABB" w:rsidR="007C0473" w:rsidRPr="0057004C" w:rsidRDefault="007C0473" w:rsidP="007C0473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FY18</w:t>
            </w:r>
          </w:p>
        </w:tc>
        <w:tc>
          <w:tcPr>
            <w:tcW w:w="1466" w:type="dxa"/>
          </w:tcPr>
          <w:p w14:paraId="05AFCD56" w14:textId="1ECA3CFC" w:rsidR="007C0473" w:rsidRPr="0057004C" w:rsidRDefault="007C0473" w:rsidP="007C0473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FY19</w:t>
            </w:r>
          </w:p>
        </w:tc>
        <w:tc>
          <w:tcPr>
            <w:tcW w:w="1466" w:type="dxa"/>
          </w:tcPr>
          <w:p w14:paraId="446521B3" w14:textId="4EFBEB6B" w:rsidR="007C0473" w:rsidRPr="0057004C" w:rsidRDefault="007C0473" w:rsidP="007C0473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FY20</w:t>
            </w:r>
          </w:p>
        </w:tc>
        <w:tc>
          <w:tcPr>
            <w:tcW w:w="1467" w:type="dxa"/>
          </w:tcPr>
          <w:p w14:paraId="76CAB879" w14:textId="0E52741F" w:rsidR="007C0473" w:rsidRPr="0057004C" w:rsidRDefault="007C0473" w:rsidP="007C0473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FY21</w:t>
            </w:r>
            <w:r w:rsidR="00E35BF4">
              <w:rPr>
                <w:b/>
                <w:bCs/>
              </w:rPr>
              <w:t>Q1</w:t>
            </w:r>
          </w:p>
        </w:tc>
      </w:tr>
      <w:tr w:rsidR="007C0473" w14:paraId="15529988" w14:textId="77777777" w:rsidTr="00233591">
        <w:trPr>
          <w:jc w:val="center"/>
        </w:trPr>
        <w:tc>
          <w:tcPr>
            <w:tcW w:w="1870" w:type="dxa"/>
          </w:tcPr>
          <w:p w14:paraId="4CA17AEF" w14:textId="5EC1B706" w:rsidR="007C0473" w:rsidRPr="00B03404" w:rsidRDefault="00886B2C" w:rsidP="0057004C">
            <w:pPr>
              <w:jc w:val="right"/>
            </w:pPr>
            <w:r w:rsidRPr="00B03404">
              <w:t>Commercial</w:t>
            </w:r>
          </w:p>
        </w:tc>
        <w:tc>
          <w:tcPr>
            <w:tcW w:w="1466" w:type="dxa"/>
          </w:tcPr>
          <w:p w14:paraId="69F5F458" w14:textId="3E1F7D45" w:rsidR="007C0473" w:rsidRDefault="0057004C" w:rsidP="00B9435C">
            <w:pPr>
              <w:jc w:val="right"/>
            </w:pPr>
            <w:r>
              <w:t>1.1%</w:t>
            </w:r>
          </w:p>
        </w:tc>
        <w:tc>
          <w:tcPr>
            <w:tcW w:w="1466" w:type="dxa"/>
          </w:tcPr>
          <w:p w14:paraId="1BABC5CA" w14:textId="54369716" w:rsidR="007C0473" w:rsidRDefault="0057004C" w:rsidP="00B9435C">
            <w:pPr>
              <w:jc w:val="right"/>
            </w:pPr>
            <w:r>
              <w:t>1.2%</w:t>
            </w:r>
          </w:p>
        </w:tc>
        <w:tc>
          <w:tcPr>
            <w:tcW w:w="1466" w:type="dxa"/>
          </w:tcPr>
          <w:p w14:paraId="27CF867D" w14:textId="3B9E4AB8" w:rsidR="007C0473" w:rsidRDefault="0057004C" w:rsidP="00B9435C">
            <w:pPr>
              <w:jc w:val="right"/>
            </w:pPr>
            <w:r>
              <w:t>1.1</w:t>
            </w:r>
            <w:r w:rsidR="00B03404">
              <w:t>%</w:t>
            </w:r>
          </w:p>
        </w:tc>
        <w:tc>
          <w:tcPr>
            <w:tcW w:w="1467" w:type="dxa"/>
          </w:tcPr>
          <w:p w14:paraId="5F673469" w14:textId="5B353DCA" w:rsidR="007C0473" w:rsidRDefault="00B03404" w:rsidP="00B9435C">
            <w:pPr>
              <w:jc w:val="right"/>
            </w:pPr>
            <w:r>
              <w:t>1.1%</w:t>
            </w:r>
          </w:p>
        </w:tc>
      </w:tr>
      <w:tr w:rsidR="007C0473" w14:paraId="5D09B2F4" w14:textId="77777777" w:rsidTr="00233591">
        <w:trPr>
          <w:jc w:val="center"/>
        </w:trPr>
        <w:tc>
          <w:tcPr>
            <w:tcW w:w="1870" w:type="dxa"/>
          </w:tcPr>
          <w:p w14:paraId="1CD8B3C6" w14:textId="090B52E1" w:rsidR="00886B2C" w:rsidRPr="00B03404" w:rsidRDefault="00886B2C" w:rsidP="0057004C">
            <w:pPr>
              <w:jc w:val="right"/>
            </w:pPr>
            <w:r w:rsidRPr="00B03404">
              <w:t>HMO</w:t>
            </w:r>
          </w:p>
        </w:tc>
        <w:tc>
          <w:tcPr>
            <w:tcW w:w="1466" w:type="dxa"/>
          </w:tcPr>
          <w:p w14:paraId="407583B4" w14:textId="439B5A5B" w:rsidR="007C0473" w:rsidRDefault="00B03404" w:rsidP="00B9435C">
            <w:pPr>
              <w:jc w:val="right"/>
            </w:pPr>
            <w:r>
              <w:t>33.6%</w:t>
            </w:r>
          </w:p>
        </w:tc>
        <w:tc>
          <w:tcPr>
            <w:tcW w:w="1466" w:type="dxa"/>
          </w:tcPr>
          <w:p w14:paraId="774A62E2" w14:textId="21A6BCC6" w:rsidR="007C0473" w:rsidRDefault="00B03404" w:rsidP="00B9435C">
            <w:pPr>
              <w:jc w:val="right"/>
            </w:pPr>
            <w:r>
              <w:t>34.3%</w:t>
            </w:r>
          </w:p>
        </w:tc>
        <w:tc>
          <w:tcPr>
            <w:tcW w:w="1466" w:type="dxa"/>
          </w:tcPr>
          <w:p w14:paraId="7BC077C7" w14:textId="75D7A131" w:rsidR="007C0473" w:rsidRDefault="00B03404" w:rsidP="00B9435C">
            <w:pPr>
              <w:jc w:val="right"/>
            </w:pPr>
            <w:r>
              <w:t>34.7%</w:t>
            </w:r>
          </w:p>
        </w:tc>
        <w:tc>
          <w:tcPr>
            <w:tcW w:w="1467" w:type="dxa"/>
          </w:tcPr>
          <w:p w14:paraId="21BFFAEA" w14:textId="7C693436" w:rsidR="007C0473" w:rsidRDefault="00B03404" w:rsidP="00B9435C">
            <w:pPr>
              <w:jc w:val="right"/>
            </w:pPr>
            <w:r>
              <w:t>37.0%</w:t>
            </w:r>
          </w:p>
        </w:tc>
      </w:tr>
      <w:tr w:rsidR="00B03404" w14:paraId="4ABA28DB" w14:textId="77777777" w:rsidTr="00233591">
        <w:trPr>
          <w:jc w:val="center"/>
        </w:trPr>
        <w:tc>
          <w:tcPr>
            <w:tcW w:w="1870" w:type="dxa"/>
          </w:tcPr>
          <w:p w14:paraId="55CC4452" w14:textId="27948C01" w:rsidR="00B03404" w:rsidRPr="00B03404" w:rsidRDefault="00B03404" w:rsidP="00B03404">
            <w:pPr>
              <w:jc w:val="right"/>
            </w:pPr>
            <w:r w:rsidRPr="00B03404">
              <w:t>PPO</w:t>
            </w:r>
          </w:p>
        </w:tc>
        <w:tc>
          <w:tcPr>
            <w:tcW w:w="1466" w:type="dxa"/>
          </w:tcPr>
          <w:p w14:paraId="1865E2F2" w14:textId="3137E788" w:rsidR="00B03404" w:rsidRDefault="00B03404" w:rsidP="00B9435C">
            <w:pPr>
              <w:jc w:val="right"/>
            </w:pPr>
            <w:r>
              <w:t>10.7%</w:t>
            </w:r>
          </w:p>
        </w:tc>
        <w:tc>
          <w:tcPr>
            <w:tcW w:w="1466" w:type="dxa"/>
          </w:tcPr>
          <w:p w14:paraId="17C019A2" w14:textId="48BA18AF" w:rsidR="00B03404" w:rsidRDefault="00B03404" w:rsidP="00B9435C">
            <w:pPr>
              <w:jc w:val="right"/>
            </w:pPr>
            <w:r>
              <w:t>11.2%</w:t>
            </w:r>
          </w:p>
        </w:tc>
        <w:tc>
          <w:tcPr>
            <w:tcW w:w="1466" w:type="dxa"/>
          </w:tcPr>
          <w:p w14:paraId="3FA42CC6" w14:textId="2651C7F8" w:rsidR="00B03404" w:rsidRDefault="00B03404" w:rsidP="00B9435C">
            <w:pPr>
              <w:jc w:val="right"/>
            </w:pPr>
            <w:r>
              <w:t>10.9%</w:t>
            </w:r>
          </w:p>
        </w:tc>
        <w:tc>
          <w:tcPr>
            <w:tcW w:w="1467" w:type="dxa"/>
          </w:tcPr>
          <w:p w14:paraId="1856885D" w14:textId="2A713921" w:rsidR="00B03404" w:rsidRDefault="00B03404" w:rsidP="00B9435C">
            <w:pPr>
              <w:jc w:val="right"/>
            </w:pPr>
            <w:r>
              <w:t>11.3%</w:t>
            </w:r>
          </w:p>
        </w:tc>
      </w:tr>
      <w:tr w:rsidR="00B03404" w14:paraId="3D40B533" w14:textId="77777777" w:rsidTr="00233591">
        <w:trPr>
          <w:jc w:val="center"/>
        </w:trPr>
        <w:tc>
          <w:tcPr>
            <w:tcW w:w="1870" w:type="dxa"/>
          </w:tcPr>
          <w:p w14:paraId="58233393" w14:textId="1C41572E" w:rsidR="00B03404" w:rsidRPr="00B03404" w:rsidRDefault="00B03404" w:rsidP="00B03404">
            <w:pPr>
              <w:jc w:val="right"/>
            </w:pPr>
            <w:r w:rsidRPr="00B03404">
              <w:t xml:space="preserve">Medicaid </w:t>
            </w:r>
          </w:p>
        </w:tc>
        <w:tc>
          <w:tcPr>
            <w:tcW w:w="1466" w:type="dxa"/>
          </w:tcPr>
          <w:p w14:paraId="597E6EAF" w14:textId="2E9C2232" w:rsidR="00B03404" w:rsidRDefault="00B03404" w:rsidP="00B9435C">
            <w:pPr>
              <w:jc w:val="right"/>
            </w:pPr>
            <w:r>
              <w:t>23.4%</w:t>
            </w:r>
          </w:p>
        </w:tc>
        <w:tc>
          <w:tcPr>
            <w:tcW w:w="1466" w:type="dxa"/>
          </w:tcPr>
          <w:p w14:paraId="62691912" w14:textId="36D8AA36" w:rsidR="00B03404" w:rsidRDefault="00B03404" w:rsidP="00B9435C">
            <w:pPr>
              <w:jc w:val="right"/>
            </w:pPr>
            <w:r>
              <w:t>23.0%</w:t>
            </w:r>
          </w:p>
        </w:tc>
        <w:tc>
          <w:tcPr>
            <w:tcW w:w="1466" w:type="dxa"/>
          </w:tcPr>
          <w:p w14:paraId="74F3BE26" w14:textId="3106AF7C" w:rsidR="00B03404" w:rsidRDefault="00B03404" w:rsidP="00B9435C">
            <w:pPr>
              <w:jc w:val="right"/>
            </w:pPr>
            <w:r>
              <w:t>22.2%</w:t>
            </w:r>
          </w:p>
        </w:tc>
        <w:tc>
          <w:tcPr>
            <w:tcW w:w="1467" w:type="dxa"/>
          </w:tcPr>
          <w:p w14:paraId="45D2A640" w14:textId="68870807" w:rsidR="00B03404" w:rsidRDefault="00B03404" w:rsidP="00B9435C">
            <w:pPr>
              <w:jc w:val="right"/>
            </w:pPr>
            <w:r>
              <w:t>19.8%</w:t>
            </w:r>
          </w:p>
        </w:tc>
      </w:tr>
      <w:tr w:rsidR="00B03404" w14:paraId="69F49D4E" w14:textId="77777777" w:rsidTr="00233591">
        <w:trPr>
          <w:jc w:val="center"/>
        </w:trPr>
        <w:tc>
          <w:tcPr>
            <w:tcW w:w="1870" w:type="dxa"/>
          </w:tcPr>
          <w:p w14:paraId="76743818" w14:textId="1A568435" w:rsidR="00B03404" w:rsidRPr="00B03404" w:rsidRDefault="00B03404" w:rsidP="00B03404">
            <w:pPr>
              <w:jc w:val="right"/>
            </w:pPr>
            <w:r w:rsidRPr="00B03404">
              <w:t>Medicare</w:t>
            </w:r>
          </w:p>
        </w:tc>
        <w:tc>
          <w:tcPr>
            <w:tcW w:w="1466" w:type="dxa"/>
          </w:tcPr>
          <w:p w14:paraId="6398F75D" w14:textId="63C6D67C" w:rsidR="00B03404" w:rsidRDefault="00B03404" w:rsidP="00B9435C">
            <w:pPr>
              <w:jc w:val="right"/>
            </w:pPr>
            <w:r>
              <w:t>25.6%</w:t>
            </w:r>
          </w:p>
        </w:tc>
        <w:tc>
          <w:tcPr>
            <w:tcW w:w="1466" w:type="dxa"/>
          </w:tcPr>
          <w:p w14:paraId="7E56945B" w14:textId="550AEC51" w:rsidR="00B03404" w:rsidRDefault="00B03404" w:rsidP="00B9435C">
            <w:pPr>
              <w:jc w:val="right"/>
            </w:pPr>
            <w:r>
              <w:t>25.1%</w:t>
            </w:r>
          </w:p>
        </w:tc>
        <w:tc>
          <w:tcPr>
            <w:tcW w:w="1466" w:type="dxa"/>
          </w:tcPr>
          <w:p w14:paraId="5A8664A3" w14:textId="3680754F" w:rsidR="00B03404" w:rsidRDefault="00B03404" w:rsidP="00B9435C">
            <w:pPr>
              <w:jc w:val="right"/>
            </w:pPr>
            <w:r>
              <w:t>24.0%</w:t>
            </w:r>
          </w:p>
        </w:tc>
        <w:tc>
          <w:tcPr>
            <w:tcW w:w="1467" w:type="dxa"/>
          </w:tcPr>
          <w:p w14:paraId="70CFAB89" w14:textId="3D8E0E6C" w:rsidR="00B03404" w:rsidRDefault="00B03404" w:rsidP="00B9435C">
            <w:pPr>
              <w:jc w:val="right"/>
            </w:pPr>
            <w:r>
              <w:t>24.3%</w:t>
            </w:r>
          </w:p>
        </w:tc>
      </w:tr>
      <w:tr w:rsidR="00B03404" w14:paraId="03165887" w14:textId="77777777" w:rsidTr="00233591">
        <w:trPr>
          <w:jc w:val="center"/>
        </w:trPr>
        <w:tc>
          <w:tcPr>
            <w:tcW w:w="1870" w:type="dxa"/>
          </w:tcPr>
          <w:p w14:paraId="6843A0F6" w14:textId="4474A314" w:rsidR="00B03404" w:rsidRPr="00B03404" w:rsidRDefault="00B03404" w:rsidP="00B03404">
            <w:pPr>
              <w:jc w:val="right"/>
            </w:pPr>
            <w:r w:rsidRPr="00B03404">
              <w:t>Other Gov’t</w:t>
            </w:r>
          </w:p>
        </w:tc>
        <w:tc>
          <w:tcPr>
            <w:tcW w:w="1466" w:type="dxa"/>
          </w:tcPr>
          <w:p w14:paraId="0582DF3A" w14:textId="71B2E489" w:rsidR="00B03404" w:rsidRDefault="00B03404" w:rsidP="00B9435C">
            <w:pPr>
              <w:jc w:val="right"/>
            </w:pPr>
            <w:r>
              <w:t>1.4%</w:t>
            </w:r>
          </w:p>
        </w:tc>
        <w:tc>
          <w:tcPr>
            <w:tcW w:w="1466" w:type="dxa"/>
          </w:tcPr>
          <w:p w14:paraId="08BA7017" w14:textId="0573BBD7" w:rsidR="00B03404" w:rsidRDefault="00B03404" w:rsidP="00B9435C">
            <w:pPr>
              <w:jc w:val="right"/>
            </w:pPr>
            <w:r>
              <w:t>1.5%</w:t>
            </w:r>
          </w:p>
        </w:tc>
        <w:tc>
          <w:tcPr>
            <w:tcW w:w="1466" w:type="dxa"/>
          </w:tcPr>
          <w:p w14:paraId="736AE8C9" w14:textId="5A395EBD" w:rsidR="00B03404" w:rsidRDefault="00B03404" w:rsidP="00B9435C">
            <w:pPr>
              <w:jc w:val="right"/>
            </w:pPr>
            <w:r>
              <w:t>1.6%</w:t>
            </w:r>
          </w:p>
        </w:tc>
        <w:tc>
          <w:tcPr>
            <w:tcW w:w="1467" w:type="dxa"/>
          </w:tcPr>
          <w:p w14:paraId="67715D54" w14:textId="4F5E90F3" w:rsidR="00B03404" w:rsidRDefault="00B03404" w:rsidP="00B9435C">
            <w:pPr>
              <w:jc w:val="right"/>
            </w:pPr>
            <w:r>
              <w:t>1.6%</w:t>
            </w:r>
          </w:p>
        </w:tc>
      </w:tr>
      <w:tr w:rsidR="00B03404" w14:paraId="429E78CB" w14:textId="77777777" w:rsidTr="00233591">
        <w:trPr>
          <w:jc w:val="center"/>
        </w:trPr>
        <w:tc>
          <w:tcPr>
            <w:tcW w:w="1870" w:type="dxa"/>
          </w:tcPr>
          <w:p w14:paraId="0B4EF3EF" w14:textId="35D00288" w:rsidR="00B03404" w:rsidRPr="00B03404" w:rsidRDefault="00B03404" w:rsidP="00B03404">
            <w:pPr>
              <w:jc w:val="right"/>
            </w:pPr>
            <w:r w:rsidRPr="00B03404">
              <w:t>All Other</w:t>
            </w:r>
            <w:r w:rsidR="00D36652">
              <w:rPr>
                <w:rStyle w:val="FootnoteReference"/>
              </w:rPr>
              <w:footnoteReference w:id="1"/>
            </w:r>
          </w:p>
        </w:tc>
        <w:tc>
          <w:tcPr>
            <w:tcW w:w="1466" w:type="dxa"/>
          </w:tcPr>
          <w:p w14:paraId="6EF0D6D7" w14:textId="12231872" w:rsidR="00B03404" w:rsidRDefault="00B03404" w:rsidP="00B9435C">
            <w:pPr>
              <w:jc w:val="right"/>
            </w:pPr>
            <w:r>
              <w:t>4.2%</w:t>
            </w:r>
          </w:p>
        </w:tc>
        <w:tc>
          <w:tcPr>
            <w:tcW w:w="1466" w:type="dxa"/>
          </w:tcPr>
          <w:p w14:paraId="286EDDB9" w14:textId="6A64D9A3" w:rsidR="00B03404" w:rsidRDefault="00B03404" w:rsidP="00B9435C">
            <w:pPr>
              <w:jc w:val="right"/>
            </w:pPr>
            <w:r>
              <w:t>3.7%</w:t>
            </w:r>
          </w:p>
        </w:tc>
        <w:tc>
          <w:tcPr>
            <w:tcW w:w="1466" w:type="dxa"/>
          </w:tcPr>
          <w:p w14:paraId="403CD4DA" w14:textId="3B5D55F0" w:rsidR="00B03404" w:rsidRDefault="00B03404" w:rsidP="00B9435C">
            <w:pPr>
              <w:jc w:val="right"/>
            </w:pPr>
            <w:r>
              <w:t>5.5%</w:t>
            </w:r>
          </w:p>
        </w:tc>
        <w:tc>
          <w:tcPr>
            <w:tcW w:w="1467" w:type="dxa"/>
          </w:tcPr>
          <w:p w14:paraId="78BE9672" w14:textId="2E03DBF3" w:rsidR="00B03404" w:rsidRDefault="00B03404" w:rsidP="00B9435C">
            <w:pPr>
              <w:jc w:val="right"/>
            </w:pPr>
            <w:r>
              <w:t>4.9%</w:t>
            </w:r>
          </w:p>
        </w:tc>
      </w:tr>
    </w:tbl>
    <w:p w14:paraId="7CC169FB" w14:textId="6527E985" w:rsidR="007C0473" w:rsidRDefault="007C0473" w:rsidP="007C0473">
      <w:pPr>
        <w:jc w:val="center"/>
      </w:pPr>
    </w:p>
    <w:p w14:paraId="47368D3A" w14:textId="2F42795B" w:rsidR="00B9435C" w:rsidRDefault="00B9435C" w:rsidP="004614B9">
      <w:pPr>
        <w:jc w:val="both"/>
      </w:pPr>
      <w:r>
        <w:t xml:space="preserve">Based on a review of FY20 </w:t>
      </w:r>
      <w:r w:rsidR="001D13B8">
        <w:t xml:space="preserve">zip code </w:t>
      </w:r>
      <w:r>
        <w:t xml:space="preserve">data, Heywood’s patients originate in </w:t>
      </w:r>
      <w:r w:rsidR="001D7E53">
        <w:t xml:space="preserve">the greater </w:t>
      </w:r>
      <w:r>
        <w:t>Gardner</w:t>
      </w:r>
      <w:r w:rsidR="001D7E53">
        <w:t xml:space="preserve"> community</w:t>
      </w:r>
      <w:r>
        <w:t xml:space="preserve">. </w:t>
      </w:r>
      <w:r w:rsidR="001D7E53">
        <w:t xml:space="preserve">The top towns/cities </w:t>
      </w:r>
      <w:r w:rsidR="001D13B8">
        <w:t>in which</w:t>
      </w:r>
      <w:r w:rsidR="001D7E53">
        <w:t xml:space="preserve"> Heywood’s patients </w:t>
      </w:r>
      <w:r w:rsidR="001D13B8">
        <w:t>reside are: Gardner (25.2%)</w:t>
      </w:r>
      <w:r>
        <w:t xml:space="preserve">: Winchendon (11.5%); Athol (11.0%); </w:t>
      </w:r>
      <w:r w:rsidR="009C7649">
        <w:t xml:space="preserve">Templeton (9.0%); </w:t>
      </w:r>
      <w:r>
        <w:t>Ashburnham (5.5%); Westminster (5.4%);</w:t>
      </w:r>
      <w:r w:rsidR="009C7649">
        <w:t xml:space="preserve"> Fitchburg (4.8%); Orange (4.8%); and Hubbardston (3.3%). </w:t>
      </w:r>
      <w:r w:rsidR="001D13B8">
        <w:t xml:space="preserve">The remaining 19.5% of Heywood patients either reside in another town or city in Massachusetts or reside outside of Massachusetts. </w:t>
      </w:r>
    </w:p>
    <w:p w14:paraId="2C7D2E2A" w14:textId="2A519588" w:rsidR="00D5196F" w:rsidRDefault="00D5196F" w:rsidP="00D5196F"/>
    <w:p w14:paraId="4F847F6D" w14:textId="64AD9DD0" w:rsidR="00D5196F" w:rsidRPr="00E9315A" w:rsidRDefault="00D5196F" w:rsidP="00D5196F">
      <w:pPr>
        <w:pStyle w:val="ListParagraph"/>
        <w:numPr>
          <w:ilvl w:val="0"/>
          <w:numId w:val="1"/>
        </w:numPr>
        <w:rPr>
          <w:u w:val="single"/>
        </w:rPr>
      </w:pPr>
      <w:r w:rsidRPr="00E9315A">
        <w:rPr>
          <w:u w:val="single"/>
        </w:rPr>
        <w:t>Athol Hospital Patient Panel</w:t>
      </w:r>
    </w:p>
    <w:p w14:paraId="738C2254" w14:textId="5F1DFB6D" w:rsidR="00E9315A" w:rsidRDefault="00E9315A" w:rsidP="00E9315A"/>
    <w:p w14:paraId="321758A1" w14:textId="033F027B" w:rsidR="00AD06F7" w:rsidRDefault="007D15CA" w:rsidP="00AD06F7">
      <w:pPr>
        <w:jc w:val="both"/>
      </w:pPr>
      <w:r>
        <w:t xml:space="preserve">The Applicant also reviewed the patient panel of Athol Hospital </w:t>
      </w:r>
      <w:r w:rsidR="00AD06F7">
        <w:t xml:space="preserve">(“Athol”) </w:t>
      </w:r>
      <w:r>
        <w:t xml:space="preserve">to determine the need for the Proposed Project. </w:t>
      </w:r>
      <w:r w:rsidR="00AD06F7">
        <w:t xml:space="preserve">Athol provides care primarily to the greater Athol community, with approximately 15,000 patients served annually (14,884 patients in FY18; 15,638 patients in FY19; and 14,802 patients in FY20). In the first quarter of FY21, Athol served 6,900 patients. Over half of Athol’s patient panel is female (55.5% in FY18; 55.3% in FY19; 56.0% in FY20). In the first quarter of FY21, 57.9% of Athol’s patients were female. The remaining patients were either male or the data was unavailable (44.5% in FY18; 44.7% in FY19; and 44.0% in FY20). In the first quarter of FY21, approximately 42.1% of the panel was male or the gender was unknown.  </w:t>
      </w:r>
    </w:p>
    <w:p w14:paraId="5EFE9994" w14:textId="49105AD1" w:rsidR="00AD06F7" w:rsidRDefault="00AD06F7" w:rsidP="00AD06F7">
      <w:pPr>
        <w:jc w:val="both"/>
      </w:pPr>
      <w:r>
        <w:t>With regard to age, a majority of Athol’s patients are between the ages of 18-59 (50.8% in FY18; 52.5% in FY19; 54.2% in FY20). In the first quarter of FY21, approximately 52.8% of Athol’s patients were</w:t>
      </w:r>
      <w:r w:rsidR="00A65BD2">
        <w:t xml:space="preserve"> between the ages of 18- 59.</w:t>
      </w:r>
      <w:r>
        <w:t xml:space="preserve"> A significant percentage of Athol’s patient panel is </w:t>
      </w:r>
      <w:r w:rsidR="00A65BD2">
        <w:t>in the 60+ age cohort</w:t>
      </w:r>
      <w:r>
        <w:t xml:space="preserve"> (3</w:t>
      </w:r>
      <w:r w:rsidR="00A65BD2">
        <w:t>4</w:t>
      </w:r>
      <w:r>
        <w:t xml:space="preserve">.1% in FY18; </w:t>
      </w:r>
      <w:r w:rsidR="00A65BD2">
        <w:t>33.1</w:t>
      </w:r>
      <w:r>
        <w:t>% in FY19; 3</w:t>
      </w:r>
      <w:r w:rsidR="00A65BD2">
        <w:t>3.1</w:t>
      </w:r>
      <w:r>
        <w:t>% in FY20). In the first quarter of FY21, patients ages 60</w:t>
      </w:r>
      <w:r w:rsidR="00A65BD2">
        <w:t xml:space="preserve"> and older</w:t>
      </w:r>
      <w:r>
        <w:t xml:space="preserve"> represented </w:t>
      </w:r>
      <w:r w:rsidR="00A65BD2">
        <w:t>38.9</w:t>
      </w:r>
      <w:r>
        <w:t xml:space="preserve">% of </w:t>
      </w:r>
      <w:r w:rsidR="00A65BD2">
        <w:t>Athol</w:t>
      </w:r>
      <w:r>
        <w:t>’s patient panel. Finally, patients under the age of 18</w:t>
      </w:r>
      <w:r w:rsidR="00A65BD2">
        <w:t xml:space="preserve"> represent the smallest percentage of Athol’s patient panel and this age cohort has been decreasing steadily over the past three FYs </w:t>
      </w:r>
      <w:r>
        <w:t>(</w:t>
      </w:r>
      <w:r w:rsidR="00A65BD2">
        <w:t>15.1</w:t>
      </w:r>
      <w:r>
        <w:t>% in FY18; 14.</w:t>
      </w:r>
      <w:r w:rsidR="00A65BD2">
        <w:t>3</w:t>
      </w:r>
      <w:r>
        <w:t>% in FY19; 1</w:t>
      </w:r>
      <w:r w:rsidR="00A65BD2">
        <w:t>2</w:t>
      </w:r>
      <w:r>
        <w:t xml:space="preserve">.7% in FY20). In the first quarter of FY21, </w:t>
      </w:r>
      <w:r w:rsidR="00A65BD2">
        <w:t>only 8.4</w:t>
      </w:r>
      <w:r>
        <w:t xml:space="preserve">% of </w:t>
      </w:r>
      <w:r w:rsidR="00A65BD2">
        <w:t>Athol</w:t>
      </w:r>
      <w:r>
        <w:t xml:space="preserve">’s patients were under the age of 18. </w:t>
      </w:r>
    </w:p>
    <w:p w14:paraId="077BAE8E" w14:textId="2EE43E53" w:rsidR="00A65BD2" w:rsidRDefault="00A65BD2" w:rsidP="00AD06F7">
      <w:pPr>
        <w:jc w:val="both"/>
      </w:pPr>
    </w:p>
    <w:p w14:paraId="7EEA24CC" w14:textId="114BBC12" w:rsidR="00A65BD2" w:rsidRDefault="00A65BD2" w:rsidP="00A65BD2">
      <w:pPr>
        <w:jc w:val="both"/>
      </w:pPr>
      <w:r w:rsidRPr="00A65BD2">
        <w:t xml:space="preserve">The Applicant also reviewed </w:t>
      </w:r>
      <w:r>
        <w:t>Athol</w:t>
      </w:r>
      <w:r w:rsidRPr="00A65BD2">
        <w:t xml:space="preserve">’s demographic data for race based on patient self-reporting. Based on FY20 data, data indicate that </w:t>
      </w:r>
      <w:r>
        <w:t>Athol</w:t>
      </w:r>
      <w:r w:rsidRPr="00A65BD2">
        <w:t>’s patient panel is largely reflective of a Caucasian/White population (</w:t>
      </w:r>
      <w:r>
        <w:t>92.8</w:t>
      </w:r>
      <w:r w:rsidRPr="00A65BD2">
        <w:t xml:space="preserve">%). The next largest </w:t>
      </w:r>
      <w:r>
        <w:t xml:space="preserve">patient </w:t>
      </w:r>
      <w:r w:rsidRPr="00A65BD2">
        <w:t>cohort identify as Black (</w:t>
      </w:r>
      <w:r>
        <w:t>1.3</w:t>
      </w:r>
      <w:r w:rsidRPr="00A65BD2">
        <w:t>%), followed by Asian (0.</w:t>
      </w:r>
      <w:r w:rsidR="004614B9">
        <w:t>4</w:t>
      </w:r>
      <w:r w:rsidRPr="00A65BD2">
        <w:t xml:space="preserve">%). Finally, the race/ethnicity of </w:t>
      </w:r>
      <w:r w:rsidR="004614B9">
        <w:t>5.5</w:t>
      </w:r>
      <w:r w:rsidRPr="00A65BD2">
        <w:t xml:space="preserve">% of the panel is either unknown, identifies as another race/ethnicity not listed, or the patient declined to respond. </w:t>
      </w:r>
    </w:p>
    <w:p w14:paraId="217ACC3E" w14:textId="7EFA27DB" w:rsidR="004614B9" w:rsidRDefault="004614B9" w:rsidP="00A65BD2">
      <w:pPr>
        <w:jc w:val="both"/>
      </w:pPr>
    </w:p>
    <w:p w14:paraId="058892FD" w14:textId="0E8D78EA" w:rsidR="004614B9" w:rsidRDefault="004614B9" w:rsidP="004614B9">
      <w:pPr>
        <w:jc w:val="both"/>
      </w:pPr>
      <w:r>
        <w:t xml:space="preserve">The payer mix for </w:t>
      </w:r>
      <w:r w:rsidR="005E6881">
        <w:t>Athol</w:t>
      </w:r>
      <w:r>
        <w:t>’s patient panel is demonstrated in the table below:</w:t>
      </w:r>
    </w:p>
    <w:p w14:paraId="5DD80BBF" w14:textId="637B95DA" w:rsidR="004614B9" w:rsidRDefault="004614B9" w:rsidP="00A65BD2">
      <w:pPr>
        <w:jc w:val="both"/>
      </w:pPr>
    </w:p>
    <w:p w14:paraId="1730B0E7" w14:textId="3439710C" w:rsidR="004614B9" w:rsidRPr="004614B9" w:rsidRDefault="004614B9" w:rsidP="004614B9">
      <w:pPr>
        <w:jc w:val="center"/>
        <w:rPr>
          <w:b/>
          <w:bCs/>
        </w:rPr>
      </w:pPr>
      <w:r w:rsidRPr="004614B9">
        <w:rPr>
          <w:b/>
          <w:bCs/>
        </w:rPr>
        <w:t>Table 2: Athol Hospital Payer Mix</w:t>
      </w:r>
    </w:p>
    <w:p w14:paraId="1AB2AB69" w14:textId="53668AA6" w:rsidR="004614B9" w:rsidRDefault="004614B9" w:rsidP="004614B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2: Athol Hospital Payer Mix"/>
        <w:tblDescription w:val=" FY18 FY19 FY20 FY21Q1&#10;Commercial 1.2% 1.1% 1.4% 1.0%&#10;HMO 28.4% 29.9% 31.7% 31.9%&#10;PPO 7.3% 7.8% 8.9% 8.0%&#10;Medicaid  28.0% 27.2% 24.6% 19.8%&#10;Medicare 30.5% 29.5% 27.9% 33.0%&#10;Other Gov’t 1.4% 1.4% 1.7% 1.6%&#10;All Other  3.2% 3.1% 3.7% 4.7%&#10;"/>
      </w:tblPr>
      <w:tblGrid>
        <w:gridCol w:w="1870"/>
        <w:gridCol w:w="1466"/>
        <w:gridCol w:w="1466"/>
        <w:gridCol w:w="1466"/>
        <w:gridCol w:w="1467"/>
      </w:tblGrid>
      <w:tr w:rsidR="004614B9" w14:paraId="6CB0A705" w14:textId="77777777" w:rsidTr="00BD1218">
        <w:trPr>
          <w:tblHeader/>
          <w:jc w:val="center"/>
        </w:trPr>
        <w:tc>
          <w:tcPr>
            <w:tcW w:w="1870" w:type="dxa"/>
          </w:tcPr>
          <w:p w14:paraId="44AED598" w14:textId="77777777" w:rsidR="004614B9" w:rsidRDefault="004614B9" w:rsidP="000D095F">
            <w:pPr>
              <w:jc w:val="center"/>
            </w:pPr>
          </w:p>
        </w:tc>
        <w:tc>
          <w:tcPr>
            <w:tcW w:w="1466" w:type="dxa"/>
          </w:tcPr>
          <w:p w14:paraId="024501FD" w14:textId="77777777" w:rsidR="004614B9" w:rsidRPr="0057004C" w:rsidRDefault="004614B9" w:rsidP="000D095F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FY18</w:t>
            </w:r>
          </w:p>
        </w:tc>
        <w:tc>
          <w:tcPr>
            <w:tcW w:w="1466" w:type="dxa"/>
          </w:tcPr>
          <w:p w14:paraId="2C69EB40" w14:textId="77777777" w:rsidR="004614B9" w:rsidRPr="0057004C" w:rsidRDefault="004614B9" w:rsidP="000D095F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FY19</w:t>
            </w:r>
          </w:p>
        </w:tc>
        <w:tc>
          <w:tcPr>
            <w:tcW w:w="1466" w:type="dxa"/>
          </w:tcPr>
          <w:p w14:paraId="7672D3C3" w14:textId="77777777" w:rsidR="004614B9" w:rsidRPr="0057004C" w:rsidRDefault="004614B9" w:rsidP="000D095F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FY20</w:t>
            </w:r>
          </w:p>
        </w:tc>
        <w:tc>
          <w:tcPr>
            <w:tcW w:w="1467" w:type="dxa"/>
          </w:tcPr>
          <w:p w14:paraId="2E32C4B2" w14:textId="77777777" w:rsidR="004614B9" w:rsidRPr="0057004C" w:rsidRDefault="004614B9" w:rsidP="000D095F">
            <w:pPr>
              <w:jc w:val="center"/>
              <w:rPr>
                <w:b/>
                <w:bCs/>
              </w:rPr>
            </w:pPr>
            <w:r w:rsidRPr="0057004C">
              <w:rPr>
                <w:b/>
                <w:bCs/>
              </w:rPr>
              <w:t>FY21</w:t>
            </w:r>
            <w:r>
              <w:rPr>
                <w:b/>
                <w:bCs/>
              </w:rPr>
              <w:t>Q1</w:t>
            </w:r>
          </w:p>
        </w:tc>
      </w:tr>
      <w:tr w:rsidR="004614B9" w14:paraId="1DD4754C" w14:textId="77777777" w:rsidTr="00233591">
        <w:trPr>
          <w:jc w:val="center"/>
        </w:trPr>
        <w:tc>
          <w:tcPr>
            <w:tcW w:w="1870" w:type="dxa"/>
          </w:tcPr>
          <w:p w14:paraId="50045A29" w14:textId="77777777" w:rsidR="004614B9" w:rsidRPr="00B03404" w:rsidRDefault="004614B9" w:rsidP="000D095F">
            <w:pPr>
              <w:jc w:val="right"/>
            </w:pPr>
            <w:r w:rsidRPr="00B03404">
              <w:t>Commercial</w:t>
            </w:r>
          </w:p>
        </w:tc>
        <w:tc>
          <w:tcPr>
            <w:tcW w:w="1466" w:type="dxa"/>
          </w:tcPr>
          <w:p w14:paraId="5203ADBC" w14:textId="3675F832" w:rsidR="004614B9" w:rsidRDefault="004614B9" w:rsidP="000D095F">
            <w:pPr>
              <w:jc w:val="right"/>
            </w:pPr>
            <w:r>
              <w:t>1.2%</w:t>
            </w:r>
          </w:p>
        </w:tc>
        <w:tc>
          <w:tcPr>
            <w:tcW w:w="1466" w:type="dxa"/>
          </w:tcPr>
          <w:p w14:paraId="722CF324" w14:textId="1494EEB3" w:rsidR="004614B9" w:rsidRDefault="004614B9" w:rsidP="000D095F">
            <w:pPr>
              <w:jc w:val="right"/>
            </w:pPr>
            <w:r>
              <w:t>1.1%</w:t>
            </w:r>
          </w:p>
        </w:tc>
        <w:tc>
          <w:tcPr>
            <w:tcW w:w="1466" w:type="dxa"/>
          </w:tcPr>
          <w:p w14:paraId="417890DB" w14:textId="4E3F1D0D" w:rsidR="004614B9" w:rsidRDefault="004614B9" w:rsidP="000D095F">
            <w:pPr>
              <w:jc w:val="right"/>
            </w:pPr>
            <w:r>
              <w:t>1.4%</w:t>
            </w:r>
          </w:p>
        </w:tc>
        <w:tc>
          <w:tcPr>
            <w:tcW w:w="1467" w:type="dxa"/>
          </w:tcPr>
          <w:p w14:paraId="495A073C" w14:textId="681B3FC7" w:rsidR="004614B9" w:rsidRDefault="004614B9" w:rsidP="000D095F">
            <w:pPr>
              <w:jc w:val="right"/>
            </w:pPr>
            <w:r>
              <w:t>1.0%</w:t>
            </w:r>
          </w:p>
        </w:tc>
      </w:tr>
      <w:tr w:rsidR="004614B9" w14:paraId="063160C6" w14:textId="77777777" w:rsidTr="00233591">
        <w:trPr>
          <w:jc w:val="center"/>
        </w:trPr>
        <w:tc>
          <w:tcPr>
            <w:tcW w:w="1870" w:type="dxa"/>
          </w:tcPr>
          <w:p w14:paraId="7AA498AE" w14:textId="77777777" w:rsidR="004614B9" w:rsidRPr="00B03404" w:rsidRDefault="004614B9" w:rsidP="000D095F">
            <w:pPr>
              <w:jc w:val="right"/>
            </w:pPr>
            <w:r w:rsidRPr="00B03404">
              <w:t>HMO</w:t>
            </w:r>
          </w:p>
        </w:tc>
        <w:tc>
          <w:tcPr>
            <w:tcW w:w="1466" w:type="dxa"/>
          </w:tcPr>
          <w:p w14:paraId="178254A2" w14:textId="5F539348" w:rsidR="004614B9" w:rsidRDefault="004614B9" w:rsidP="000D095F">
            <w:pPr>
              <w:jc w:val="right"/>
            </w:pPr>
            <w:r>
              <w:t>28.4%</w:t>
            </w:r>
          </w:p>
        </w:tc>
        <w:tc>
          <w:tcPr>
            <w:tcW w:w="1466" w:type="dxa"/>
          </w:tcPr>
          <w:p w14:paraId="7DF5836B" w14:textId="61B29F90" w:rsidR="004614B9" w:rsidRDefault="004614B9" w:rsidP="000D095F">
            <w:pPr>
              <w:jc w:val="right"/>
            </w:pPr>
            <w:r>
              <w:t>29.9%</w:t>
            </w:r>
          </w:p>
        </w:tc>
        <w:tc>
          <w:tcPr>
            <w:tcW w:w="1466" w:type="dxa"/>
          </w:tcPr>
          <w:p w14:paraId="4EBFA565" w14:textId="4CDEF1DD" w:rsidR="004614B9" w:rsidRDefault="005E6881" w:rsidP="000D095F">
            <w:pPr>
              <w:jc w:val="right"/>
            </w:pPr>
            <w:r>
              <w:t>31.7%</w:t>
            </w:r>
          </w:p>
        </w:tc>
        <w:tc>
          <w:tcPr>
            <w:tcW w:w="1467" w:type="dxa"/>
          </w:tcPr>
          <w:p w14:paraId="2938E18B" w14:textId="366BA806" w:rsidR="004614B9" w:rsidRDefault="005E6881" w:rsidP="000D095F">
            <w:pPr>
              <w:jc w:val="right"/>
            </w:pPr>
            <w:r>
              <w:t>31.9%</w:t>
            </w:r>
          </w:p>
        </w:tc>
      </w:tr>
      <w:tr w:rsidR="004614B9" w14:paraId="6F1C8DDD" w14:textId="77777777" w:rsidTr="00233591">
        <w:trPr>
          <w:jc w:val="center"/>
        </w:trPr>
        <w:tc>
          <w:tcPr>
            <w:tcW w:w="1870" w:type="dxa"/>
          </w:tcPr>
          <w:p w14:paraId="2F5A4626" w14:textId="77777777" w:rsidR="004614B9" w:rsidRPr="00B03404" w:rsidRDefault="004614B9" w:rsidP="000D095F">
            <w:pPr>
              <w:jc w:val="right"/>
            </w:pPr>
            <w:r w:rsidRPr="00B03404">
              <w:t>PPO</w:t>
            </w:r>
          </w:p>
        </w:tc>
        <w:tc>
          <w:tcPr>
            <w:tcW w:w="1466" w:type="dxa"/>
          </w:tcPr>
          <w:p w14:paraId="3541FED1" w14:textId="52349B30" w:rsidR="004614B9" w:rsidRDefault="004614B9" w:rsidP="000D095F">
            <w:pPr>
              <w:jc w:val="right"/>
            </w:pPr>
            <w:r>
              <w:t>7.3%</w:t>
            </w:r>
          </w:p>
        </w:tc>
        <w:tc>
          <w:tcPr>
            <w:tcW w:w="1466" w:type="dxa"/>
          </w:tcPr>
          <w:p w14:paraId="3FD957B1" w14:textId="4F0FC825" w:rsidR="004614B9" w:rsidRDefault="004614B9" w:rsidP="000D095F">
            <w:pPr>
              <w:jc w:val="right"/>
            </w:pPr>
            <w:r>
              <w:t>7.8%</w:t>
            </w:r>
          </w:p>
        </w:tc>
        <w:tc>
          <w:tcPr>
            <w:tcW w:w="1466" w:type="dxa"/>
          </w:tcPr>
          <w:p w14:paraId="1005EAE2" w14:textId="273481C8" w:rsidR="004614B9" w:rsidRDefault="005E6881" w:rsidP="000D095F">
            <w:pPr>
              <w:jc w:val="right"/>
            </w:pPr>
            <w:r>
              <w:t>8.9%</w:t>
            </w:r>
          </w:p>
        </w:tc>
        <w:tc>
          <w:tcPr>
            <w:tcW w:w="1467" w:type="dxa"/>
          </w:tcPr>
          <w:p w14:paraId="4E10A1D0" w14:textId="4B28F313" w:rsidR="004614B9" w:rsidRDefault="005E6881" w:rsidP="000D095F">
            <w:pPr>
              <w:jc w:val="right"/>
            </w:pPr>
            <w:r>
              <w:t>8.0%</w:t>
            </w:r>
          </w:p>
        </w:tc>
      </w:tr>
      <w:tr w:rsidR="004614B9" w14:paraId="191A234F" w14:textId="77777777" w:rsidTr="00233591">
        <w:trPr>
          <w:jc w:val="center"/>
        </w:trPr>
        <w:tc>
          <w:tcPr>
            <w:tcW w:w="1870" w:type="dxa"/>
          </w:tcPr>
          <w:p w14:paraId="357B474E" w14:textId="77777777" w:rsidR="004614B9" w:rsidRPr="00B03404" w:rsidRDefault="004614B9" w:rsidP="000D095F">
            <w:pPr>
              <w:jc w:val="right"/>
            </w:pPr>
            <w:r w:rsidRPr="00B03404">
              <w:t xml:space="preserve">Medicaid </w:t>
            </w:r>
          </w:p>
        </w:tc>
        <w:tc>
          <w:tcPr>
            <w:tcW w:w="1466" w:type="dxa"/>
          </w:tcPr>
          <w:p w14:paraId="556B4417" w14:textId="4CBB5728" w:rsidR="004614B9" w:rsidRDefault="004614B9" w:rsidP="000D095F">
            <w:pPr>
              <w:jc w:val="right"/>
            </w:pPr>
            <w:r>
              <w:t>28.0%</w:t>
            </w:r>
          </w:p>
        </w:tc>
        <w:tc>
          <w:tcPr>
            <w:tcW w:w="1466" w:type="dxa"/>
          </w:tcPr>
          <w:p w14:paraId="0F200E82" w14:textId="62E5E1E7" w:rsidR="004614B9" w:rsidRDefault="004614B9" w:rsidP="000D095F">
            <w:pPr>
              <w:jc w:val="right"/>
            </w:pPr>
            <w:r>
              <w:t>27.2%</w:t>
            </w:r>
          </w:p>
        </w:tc>
        <w:tc>
          <w:tcPr>
            <w:tcW w:w="1466" w:type="dxa"/>
          </w:tcPr>
          <w:p w14:paraId="5BD95722" w14:textId="57373AFC" w:rsidR="004614B9" w:rsidRDefault="005E6881" w:rsidP="000D095F">
            <w:pPr>
              <w:jc w:val="right"/>
            </w:pPr>
            <w:r>
              <w:t>24.6%</w:t>
            </w:r>
          </w:p>
        </w:tc>
        <w:tc>
          <w:tcPr>
            <w:tcW w:w="1467" w:type="dxa"/>
          </w:tcPr>
          <w:p w14:paraId="3BF09F40" w14:textId="14AD1331" w:rsidR="004614B9" w:rsidRDefault="005E6881" w:rsidP="000D095F">
            <w:pPr>
              <w:jc w:val="right"/>
            </w:pPr>
            <w:r>
              <w:t>19.8%</w:t>
            </w:r>
          </w:p>
        </w:tc>
      </w:tr>
      <w:tr w:rsidR="004614B9" w14:paraId="1B828BC4" w14:textId="77777777" w:rsidTr="00233591">
        <w:trPr>
          <w:jc w:val="center"/>
        </w:trPr>
        <w:tc>
          <w:tcPr>
            <w:tcW w:w="1870" w:type="dxa"/>
          </w:tcPr>
          <w:p w14:paraId="1AC94500" w14:textId="77777777" w:rsidR="004614B9" w:rsidRPr="00B03404" w:rsidRDefault="004614B9" w:rsidP="000D095F">
            <w:pPr>
              <w:jc w:val="right"/>
            </w:pPr>
            <w:r w:rsidRPr="00B03404">
              <w:t>Medicare</w:t>
            </w:r>
          </w:p>
        </w:tc>
        <w:tc>
          <w:tcPr>
            <w:tcW w:w="1466" w:type="dxa"/>
          </w:tcPr>
          <w:p w14:paraId="3668C66D" w14:textId="31BB168C" w:rsidR="004614B9" w:rsidRDefault="004614B9" w:rsidP="000D095F">
            <w:pPr>
              <w:jc w:val="right"/>
            </w:pPr>
            <w:r>
              <w:t>30.5%</w:t>
            </w:r>
          </w:p>
        </w:tc>
        <w:tc>
          <w:tcPr>
            <w:tcW w:w="1466" w:type="dxa"/>
          </w:tcPr>
          <w:p w14:paraId="6C910AA1" w14:textId="45123E79" w:rsidR="004614B9" w:rsidRDefault="004614B9" w:rsidP="000D095F">
            <w:pPr>
              <w:jc w:val="right"/>
            </w:pPr>
            <w:r>
              <w:t>29.5%</w:t>
            </w:r>
          </w:p>
        </w:tc>
        <w:tc>
          <w:tcPr>
            <w:tcW w:w="1466" w:type="dxa"/>
          </w:tcPr>
          <w:p w14:paraId="1351A3D3" w14:textId="3A1A8D58" w:rsidR="004614B9" w:rsidRDefault="005E6881" w:rsidP="000D095F">
            <w:pPr>
              <w:jc w:val="right"/>
            </w:pPr>
            <w:r>
              <w:t>27.9%</w:t>
            </w:r>
          </w:p>
        </w:tc>
        <w:tc>
          <w:tcPr>
            <w:tcW w:w="1467" w:type="dxa"/>
          </w:tcPr>
          <w:p w14:paraId="3E068755" w14:textId="0A97119D" w:rsidR="004614B9" w:rsidRDefault="005E6881" w:rsidP="000D095F">
            <w:pPr>
              <w:jc w:val="right"/>
            </w:pPr>
            <w:r>
              <w:t>33.0%</w:t>
            </w:r>
          </w:p>
        </w:tc>
      </w:tr>
      <w:tr w:rsidR="004614B9" w14:paraId="44D265F5" w14:textId="77777777" w:rsidTr="00233591">
        <w:trPr>
          <w:jc w:val="center"/>
        </w:trPr>
        <w:tc>
          <w:tcPr>
            <w:tcW w:w="1870" w:type="dxa"/>
          </w:tcPr>
          <w:p w14:paraId="7A38A768" w14:textId="77777777" w:rsidR="004614B9" w:rsidRPr="00B03404" w:rsidRDefault="004614B9" w:rsidP="000D095F">
            <w:pPr>
              <w:jc w:val="right"/>
            </w:pPr>
            <w:r w:rsidRPr="00B03404">
              <w:t>Other Gov’t</w:t>
            </w:r>
          </w:p>
        </w:tc>
        <w:tc>
          <w:tcPr>
            <w:tcW w:w="1466" w:type="dxa"/>
          </w:tcPr>
          <w:p w14:paraId="6A7B2C60" w14:textId="133D7B32" w:rsidR="004614B9" w:rsidRDefault="004614B9" w:rsidP="000D095F">
            <w:pPr>
              <w:jc w:val="right"/>
            </w:pPr>
            <w:r>
              <w:t>1.4%</w:t>
            </w:r>
          </w:p>
        </w:tc>
        <w:tc>
          <w:tcPr>
            <w:tcW w:w="1466" w:type="dxa"/>
          </w:tcPr>
          <w:p w14:paraId="126258C9" w14:textId="1D60A48D" w:rsidR="004614B9" w:rsidRDefault="004614B9" w:rsidP="000D095F">
            <w:pPr>
              <w:jc w:val="right"/>
            </w:pPr>
            <w:r>
              <w:t>1.4%</w:t>
            </w:r>
          </w:p>
        </w:tc>
        <w:tc>
          <w:tcPr>
            <w:tcW w:w="1466" w:type="dxa"/>
          </w:tcPr>
          <w:p w14:paraId="61F4DECD" w14:textId="354C3A01" w:rsidR="004614B9" w:rsidRDefault="005E6881" w:rsidP="000D095F">
            <w:pPr>
              <w:jc w:val="right"/>
            </w:pPr>
            <w:r>
              <w:t>1.7%</w:t>
            </w:r>
          </w:p>
        </w:tc>
        <w:tc>
          <w:tcPr>
            <w:tcW w:w="1467" w:type="dxa"/>
          </w:tcPr>
          <w:p w14:paraId="0A1438C4" w14:textId="1205A07B" w:rsidR="004614B9" w:rsidRDefault="005E6881" w:rsidP="000D095F">
            <w:pPr>
              <w:jc w:val="right"/>
            </w:pPr>
            <w:r>
              <w:t>1.6%</w:t>
            </w:r>
          </w:p>
        </w:tc>
      </w:tr>
      <w:tr w:rsidR="004614B9" w14:paraId="25578982" w14:textId="77777777" w:rsidTr="00233591">
        <w:trPr>
          <w:jc w:val="center"/>
        </w:trPr>
        <w:tc>
          <w:tcPr>
            <w:tcW w:w="1870" w:type="dxa"/>
          </w:tcPr>
          <w:p w14:paraId="569E4F07" w14:textId="11F4C43A" w:rsidR="004614B9" w:rsidRPr="00B03404" w:rsidRDefault="004614B9" w:rsidP="000D095F">
            <w:pPr>
              <w:jc w:val="right"/>
            </w:pPr>
            <w:r w:rsidRPr="00B03404">
              <w:t>All Other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466" w:type="dxa"/>
          </w:tcPr>
          <w:p w14:paraId="124AB662" w14:textId="624C582E" w:rsidR="004614B9" w:rsidRDefault="004614B9" w:rsidP="000D095F">
            <w:pPr>
              <w:jc w:val="right"/>
            </w:pPr>
            <w:r>
              <w:t>3.2%</w:t>
            </w:r>
          </w:p>
        </w:tc>
        <w:tc>
          <w:tcPr>
            <w:tcW w:w="1466" w:type="dxa"/>
          </w:tcPr>
          <w:p w14:paraId="57438439" w14:textId="3C1B8BBE" w:rsidR="004614B9" w:rsidRDefault="004614B9" w:rsidP="000D095F">
            <w:pPr>
              <w:jc w:val="right"/>
            </w:pPr>
            <w:r>
              <w:t>3.1%</w:t>
            </w:r>
          </w:p>
        </w:tc>
        <w:tc>
          <w:tcPr>
            <w:tcW w:w="1466" w:type="dxa"/>
          </w:tcPr>
          <w:p w14:paraId="54346881" w14:textId="3417196B" w:rsidR="004614B9" w:rsidRDefault="005E6881" w:rsidP="000D095F">
            <w:pPr>
              <w:jc w:val="right"/>
            </w:pPr>
            <w:r>
              <w:t>3.7%</w:t>
            </w:r>
          </w:p>
        </w:tc>
        <w:tc>
          <w:tcPr>
            <w:tcW w:w="1467" w:type="dxa"/>
          </w:tcPr>
          <w:p w14:paraId="799A08FB" w14:textId="3EDEA62E" w:rsidR="004614B9" w:rsidRDefault="005E6881" w:rsidP="000D095F">
            <w:pPr>
              <w:jc w:val="right"/>
            </w:pPr>
            <w:r>
              <w:t>4.7%</w:t>
            </w:r>
          </w:p>
        </w:tc>
      </w:tr>
    </w:tbl>
    <w:p w14:paraId="3C81F634" w14:textId="60CEFAEF" w:rsidR="004614B9" w:rsidRDefault="004614B9" w:rsidP="00A65BD2">
      <w:pPr>
        <w:jc w:val="both"/>
      </w:pPr>
    </w:p>
    <w:p w14:paraId="7B12751D" w14:textId="45D732A0" w:rsidR="001D13B8" w:rsidRDefault="001D13B8" w:rsidP="001D13B8">
      <w:pPr>
        <w:jc w:val="both"/>
      </w:pPr>
      <w:r>
        <w:t xml:space="preserve">Based on a review of FY20 zip code data, Athol’s patients originate in the greater Athol community. The top towns/cities in which Athol’s patients reside are: Athol (45.8%); Orange (24.2%); Gardner (3.6%); Templeton (3.6%); Petersham (2.4%); Royalston (2.3%); Winchendon (2.2%); New Salem (1.7%); and Warwick (1.1%). The remaining 13.1% of patients either reside in another town or city in Massachusetts or reside outside of Massachusetts. </w:t>
      </w:r>
    </w:p>
    <w:p w14:paraId="3F1FDBC3" w14:textId="234ECA2E" w:rsidR="00E9315A" w:rsidRDefault="00E9315A" w:rsidP="00E9315A"/>
    <w:sectPr w:rsidR="00E931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6708" w14:textId="77777777" w:rsidR="00923C6B" w:rsidRDefault="00923C6B" w:rsidP="00D5196F">
      <w:r>
        <w:separator/>
      </w:r>
    </w:p>
  </w:endnote>
  <w:endnote w:type="continuationSeparator" w:id="0">
    <w:p w14:paraId="1B5AAB07" w14:textId="77777777" w:rsidR="00923C6B" w:rsidRDefault="00923C6B" w:rsidP="00D5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DB20" w14:textId="0E9538DC" w:rsidR="003165DF" w:rsidRPr="003165DF" w:rsidRDefault="00D63A62" w:rsidP="00B9435C">
    <w:pPr>
      <w:pStyle w:val="DocID"/>
      <w:numPr>
        <w:ilvl w:val="0"/>
        <w:numId w:val="0"/>
      </w:numPr>
      <w:ind w:left="-360"/>
    </w:pPr>
    <w:r>
      <w:fldChar w:fldCharType="begin"/>
    </w:r>
    <w:r>
      <w:instrText xml:space="preserve"> DOCPRO</w:instrText>
    </w:r>
    <w:r>
      <w:instrText xml:space="preserve">PERTY "DocID" </w:instrText>
    </w:r>
    <w:r>
      <w:fldChar w:fldCharType="separate"/>
    </w:r>
    <w:r w:rsidR="003165DF">
      <w:t>806342.1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BBC99" w14:textId="77777777" w:rsidR="00923C6B" w:rsidRDefault="00923C6B" w:rsidP="00D5196F">
      <w:r>
        <w:separator/>
      </w:r>
    </w:p>
  </w:footnote>
  <w:footnote w:type="continuationSeparator" w:id="0">
    <w:p w14:paraId="289EF444" w14:textId="77777777" w:rsidR="00923C6B" w:rsidRDefault="00923C6B" w:rsidP="00D5196F">
      <w:r>
        <w:continuationSeparator/>
      </w:r>
    </w:p>
  </w:footnote>
  <w:footnote w:id="1">
    <w:p w14:paraId="07FDE7FD" w14:textId="35A1B0B9" w:rsidR="00D36652" w:rsidRDefault="00D36652">
      <w:pPr>
        <w:pStyle w:val="FootnoteText"/>
      </w:pPr>
      <w:r>
        <w:rPr>
          <w:rStyle w:val="FootnoteReference"/>
        </w:rPr>
        <w:footnoteRef/>
      </w:r>
      <w:r>
        <w:t xml:space="preserve"> All Other includes: Self-Pay, Worker’s Compensation, and all other payer sources not already listed. </w:t>
      </w:r>
    </w:p>
  </w:footnote>
  <w:footnote w:id="2">
    <w:p w14:paraId="7618A3A2" w14:textId="4250CF95" w:rsidR="004614B9" w:rsidRDefault="004614B9">
      <w:pPr>
        <w:pStyle w:val="FootnoteText"/>
      </w:pPr>
      <w:r>
        <w:rPr>
          <w:rStyle w:val="FootnoteReference"/>
        </w:rPr>
        <w:footnoteRef/>
      </w:r>
      <w:r>
        <w:t xml:space="preserve"> All Other includes: Self-Pay, Worker’s Compensation, and all other payer sources not already listed.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D5875" w14:textId="68BAB568" w:rsidR="00D5196F" w:rsidRDefault="00D5196F">
    <w:pPr>
      <w:pStyle w:val="Header"/>
    </w:pPr>
    <w:r>
      <w:t>Shields PET-CT at Heywood Healthcare</w:t>
    </w:r>
    <w:r>
      <w:tab/>
    </w:r>
    <w:r>
      <w:tab/>
    </w:r>
    <w:r w:rsidR="00E9315A">
      <w:t xml:space="preserve">Hospital </w:t>
    </w:r>
    <w:r>
      <w:t>Patient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1FE"/>
    <w:multiLevelType w:val="hybridMultilevel"/>
    <w:tmpl w:val="26A87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194FD8"/>
    <w:multiLevelType w:val="hybridMultilevel"/>
    <w:tmpl w:val="673017F0"/>
    <w:lvl w:ilvl="0" w:tplc="A7F4B0C4">
      <w:start w:val="1"/>
      <w:numFmt w:val="upperLetter"/>
      <w:pStyle w:val="DocID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F"/>
  </w:docVars>
  <w:rsids>
    <w:rsidRoot w:val="00D5196F"/>
    <w:rsid w:val="0004164F"/>
    <w:rsid w:val="001D13B8"/>
    <w:rsid w:val="001D5D9E"/>
    <w:rsid w:val="001D7E53"/>
    <w:rsid w:val="002276CF"/>
    <w:rsid w:val="00233591"/>
    <w:rsid w:val="002662B7"/>
    <w:rsid w:val="003165DF"/>
    <w:rsid w:val="00373252"/>
    <w:rsid w:val="003A27DB"/>
    <w:rsid w:val="004614B9"/>
    <w:rsid w:val="004E0DB5"/>
    <w:rsid w:val="0057004C"/>
    <w:rsid w:val="00597904"/>
    <w:rsid w:val="005E6881"/>
    <w:rsid w:val="005F084A"/>
    <w:rsid w:val="006F26EB"/>
    <w:rsid w:val="007C0473"/>
    <w:rsid w:val="007D15CA"/>
    <w:rsid w:val="00886B2C"/>
    <w:rsid w:val="00923C6B"/>
    <w:rsid w:val="009448E4"/>
    <w:rsid w:val="009C7649"/>
    <w:rsid w:val="00A65BD2"/>
    <w:rsid w:val="00AD06F7"/>
    <w:rsid w:val="00B03404"/>
    <w:rsid w:val="00B86832"/>
    <w:rsid w:val="00B9435C"/>
    <w:rsid w:val="00BD1218"/>
    <w:rsid w:val="00D36652"/>
    <w:rsid w:val="00D5196F"/>
    <w:rsid w:val="00D63A62"/>
    <w:rsid w:val="00E27283"/>
    <w:rsid w:val="00E35BF4"/>
    <w:rsid w:val="00E611BB"/>
    <w:rsid w:val="00E9315A"/>
    <w:rsid w:val="00EF1D3C"/>
    <w:rsid w:val="00F0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C8FEE"/>
  <w15:chartTrackingRefBased/>
  <w15:docId w15:val="{B33C1D53-F515-41FF-BE23-74AC8E2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90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unhideWhenUsed/>
    <w:rsid w:val="00EF1D3C"/>
    <w:rPr>
      <w:sz w:val="18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EF1D3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F1D3C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96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51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6F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D5196F"/>
    <w:pPr>
      <w:ind w:left="720"/>
      <w:contextualSpacing/>
    </w:pPr>
  </w:style>
  <w:style w:type="paragraph" w:customStyle="1" w:styleId="DocID">
    <w:name w:val="DocID"/>
    <w:basedOn w:val="Normal"/>
    <w:next w:val="Footer"/>
    <w:link w:val="DocIDChar"/>
    <w:rsid w:val="003165DF"/>
    <w:pPr>
      <w:numPr>
        <w:numId w:val="1"/>
      </w:numPr>
      <w:ind w:left="0"/>
    </w:pPr>
    <w:rPr>
      <w:rFonts w:cs="Arial"/>
      <w:color w:val="000000"/>
      <w:sz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65DF"/>
    <w:rPr>
      <w:rFonts w:ascii="Arial" w:hAnsi="Arial"/>
    </w:rPr>
  </w:style>
  <w:style w:type="character" w:customStyle="1" w:styleId="DocIDChar">
    <w:name w:val="DocID Char"/>
    <w:basedOn w:val="ListParagraphChar"/>
    <w:link w:val="DocID"/>
    <w:rsid w:val="003165DF"/>
    <w:rPr>
      <w:rFonts w:ascii="Arial" w:hAnsi="Arial" w:cs="Arial"/>
      <w:color w:val="000000"/>
      <w:sz w:val="16"/>
    </w:rPr>
  </w:style>
  <w:style w:type="table" w:styleId="TableGrid">
    <w:name w:val="Table Grid"/>
    <w:basedOn w:val="TableNormal"/>
    <w:uiPriority w:val="39"/>
    <w:rsid w:val="007C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461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9ADD-1D36-4BE0-809F-D2E5FF8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Smith-Mady</dc:creator>
  <cp:keywords/>
  <dc:description/>
  <cp:lastModifiedBy>Cioffari-Macphee, Diana (DPH)</cp:lastModifiedBy>
  <cp:revision>6</cp:revision>
  <dcterms:created xsi:type="dcterms:W3CDTF">2021-09-07T20:30:00Z</dcterms:created>
  <dcterms:modified xsi:type="dcterms:W3CDTF">2021-09-07T20:45:00Z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806342.1</vt:lpwstr>
  </property>
  <property fmtid="{D5CDD505-2E9C-101B-9397-08002B2CF9AE}" pid="4" name="_MarkAsFinal">
    <vt:bool>true</vt:bool>
  </property>
</Properties>
</file>