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5901"/>
        <w:gridCol w:w="3449"/>
      </w:tblGrid>
      <w:tr w:rsidR="00D56F42" w:rsidRPr="007B1C0B" w14:paraId="2C2C53A7" w14:textId="77777777" w:rsidTr="003D1CC0">
        <w:trPr>
          <w:trHeight w:val="350"/>
          <w:tblHeader/>
        </w:trPr>
        <w:tc>
          <w:tcPr>
            <w:tcW w:w="0" w:type="auto"/>
            <w:shd w:val="clear" w:color="auto" w:fill="D9E2F3" w:themeFill="accent1" w:themeFillTint="33"/>
            <w:vAlign w:val="center"/>
          </w:tcPr>
          <w:p w14:paraId="4A64B28F" w14:textId="3416A77E" w:rsidR="00D56F42" w:rsidRPr="00515206" w:rsidRDefault="00D56F42" w:rsidP="00E72B07">
            <w:pPr>
              <w:pStyle w:val="NoSpacing"/>
              <w:ind w:right="540"/>
              <w:contextualSpacing/>
              <w:jc w:val="center"/>
              <w:rPr>
                <w:rFonts w:cstheme="minorHAnsi"/>
                <w:b/>
                <w:sz w:val="24"/>
                <w:szCs w:val="24"/>
              </w:rPr>
            </w:pPr>
            <w:r w:rsidRPr="00515206">
              <w:rPr>
                <w:rFonts w:cstheme="minorHAnsi"/>
                <w:b/>
                <w:sz w:val="24"/>
                <w:szCs w:val="24"/>
              </w:rPr>
              <w:t>STAFF REPORT TO THE PUBLIC HEALTH COUNCIL</w:t>
            </w:r>
            <w:r>
              <w:rPr>
                <w:rFonts w:cstheme="minorHAnsi"/>
                <w:b/>
                <w:sz w:val="24"/>
                <w:szCs w:val="24"/>
              </w:rPr>
              <w:t xml:space="preserve"> FOR DETERMINATION OF NEED</w:t>
            </w:r>
          </w:p>
        </w:tc>
        <w:tc>
          <w:tcPr>
            <w:tcW w:w="0" w:type="auto"/>
            <w:shd w:val="clear" w:color="auto" w:fill="D9E2F3" w:themeFill="accent1" w:themeFillTint="33"/>
            <w:vAlign w:val="center"/>
          </w:tcPr>
          <w:p w14:paraId="1D038C5B" w14:textId="7E079BC4" w:rsidR="00D56F42" w:rsidRPr="00515206" w:rsidRDefault="00D56F42" w:rsidP="00E72B07">
            <w:pPr>
              <w:pStyle w:val="Header"/>
              <w:ind w:right="540"/>
              <w:contextualSpacing/>
              <w:jc w:val="center"/>
              <w:rPr>
                <w:rFonts w:cstheme="minorHAnsi"/>
                <w:b/>
                <w:sz w:val="24"/>
                <w:szCs w:val="24"/>
              </w:rPr>
            </w:pPr>
          </w:p>
        </w:tc>
      </w:tr>
      <w:tr w:rsidR="00D56F42" w:rsidRPr="007B1C0B" w14:paraId="7F32B9E5" w14:textId="77777777" w:rsidTr="00E72B07">
        <w:trPr>
          <w:trHeight w:val="413"/>
        </w:trPr>
        <w:tc>
          <w:tcPr>
            <w:tcW w:w="0" w:type="auto"/>
            <w:shd w:val="clear" w:color="auto" w:fill="auto"/>
            <w:vAlign w:val="center"/>
          </w:tcPr>
          <w:p w14:paraId="3B920A48" w14:textId="77777777" w:rsidR="00160AB0" w:rsidRPr="00515206" w:rsidRDefault="00160AB0" w:rsidP="00E72B07">
            <w:pPr>
              <w:ind w:right="540"/>
              <w:contextualSpacing/>
              <w:rPr>
                <w:rFonts w:cstheme="minorHAnsi"/>
                <w:sz w:val="24"/>
                <w:szCs w:val="24"/>
              </w:rPr>
            </w:pPr>
            <w:r w:rsidRPr="00515206">
              <w:rPr>
                <w:rFonts w:cstheme="minorHAnsi"/>
                <w:sz w:val="24"/>
                <w:szCs w:val="24"/>
              </w:rPr>
              <w:t xml:space="preserve">Applicant Name </w:t>
            </w:r>
          </w:p>
        </w:tc>
        <w:tc>
          <w:tcPr>
            <w:tcW w:w="0" w:type="auto"/>
            <w:shd w:val="clear" w:color="auto" w:fill="auto"/>
            <w:vAlign w:val="center"/>
          </w:tcPr>
          <w:p w14:paraId="68FE44AF" w14:textId="77777777" w:rsidR="00D55E38" w:rsidRDefault="00C049FF" w:rsidP="00E72B07">
            <w:pPr>
              <w:ind w:right="540"/>
              <w:contextualSpacing/>
              <w:rPr>
                <w:rFonts w:cstheme="minorHAnsi"/>
                <w:sz w:val="24"/>
                <w:szCs w:val="24"/>
              </w:rPr>
            </w:pPr>
            <w:r>
              <w:rPr>
                <w:rFonts w:cstheme="minorHAnsi"/>
                <w:sz w:val="24"/>
                <w:szCs w:val="24"/>
              </w:rPr>
              <w:t>Shields P</w:t>
            </w:r>
            <w:r w:rsidR="00B65178">
              <w:rPr>
                <w:rFonts w:cstheme="minorHAnsi"/>
                <w:sz w:val="24"/>
                <w:szCs w:val="24"/>
              </w:rPr>
              <w:t>ET</w:t>
            </w:r>
            <w:r>
              <w:rPr>
                <w:rFonts w:cstheme="minorHAnsi"/>
                <w:sz w:val="24"/>
                <w:szCs w:val="24"/>
              </w:rPr>
              <w:t xml:space="preserve">-CT at </w:t>
            </w:r>
          </w:p>
          <w:p w14:paraId="6CA1331C" w14:textId="075BD4C5" w:rsidR="00160AB0" w:rsidRPr="00515206" w:rsidRDefault="00C049FF" w:rsidP="00E72B07">
            <w:pPr>
              <w:ind w:right="540"/>
              <w:contextualSpacing/>
              <w:rPr>
                <w:rFonts w:cstheme="minorHAnsi"/>
                <w:sz w:val="24"/>
                <w:szCs w:val="24"/>
              </w:rPr>
            </w:pPr>
            <w:r>
              <w:rPr>
                <w:rFonts w:cstheme="minorHAnsi"/>
                <w:sz w:val="24"/>
                <w:szCs w:val="24"/>
              </w:rPr>
              <w:t>Heywood Healthcare,</w:t>
            </w:r>
            <w:r w:rsidR="00D55E38">
              <w:rPr>
                <w:rFonts w:cstheme="minorHAnsi"/>
                <w:sz w:val="24"/>
                <w:szCs w:val="24"/>
              </w:rPr>
              <w:t xml:space="preserve"> </w:t>
            </w:r>
            <w:r>
              <w:rPr>
                <w:rFonts w:cstheme="minorHAnsi"/>
                <w:sz w:val="24"/>
                <w:szCs w:val="24"/>
              </w:rPr>
              <w:t>LLC</w:t>
            </w:r>
          </w:p>
        </w:tc>
      </w:tr>
      <w:tr w:rsidR="00D56F42" w:rsidRPr="007B1C0B" w14:paraId="609833F3" w14:textId="77777777" w:rsidTr="00E72B07">
        <w:trPr>
          <w:trHeight w:val="357"/>
        </w:trPr>
        <w:tc>
          <w:tcPr>
            <w:tcW w:w="0" w:type="auto"/>
            <w:shd w:val="clear" w:color="auto" w:fill="auto"/>
            <w:vAlign w:val="center"/>
          </w:tcPr>
          <w:p w14:paraId="581288CA" w14:textId="77777777" w:rsidR="00160AB0" w:rsidRPr="00515206" w:rsidRDefault="00160AB0" w:rsidP="00E72B07">
            <w:pPr>
              <w:ind w:right="540"/>
              <w:contextualSpacing/>
              <w:rPr>
                <w:rFonts w:cstheme="minorHAnsi"/>
                <w:sz w:val="24"/>
                <w:szCs w:val="24"/>
              </w:rPr>
            </w:pPr>
            <w:r w:rsidRPr="00515206">
              <w:rPr>
                <w:rFonts w:cstheme="minorHAnsi"/>
                <w:sz w:val="24"/>
                <w:szCs w:val="24"/>
              </w:rPr>
              <w:t xml:space="preserve">Applicant Address </w:t>
            </w:r>
          </w:p>
        </w:tc>
        <w:tc>
          <w:tcPr>
            <w:tcW w:w="0" w:type="auto"/>
            <w:shd w:val="clear" w:color="auto" w:fill="auto"/>
            <w:vAlign w:val="center"/>
          </w:tcPr>
          <w:p w14:paraId="11133788" w14:textId="77777777" w:rsidR="00160AB0" w:rsidRDefault="002F7433" w:rsidP="00E72B07">
            <w:pPr>
              <w:ind w:right="540"/>
              <w:contextualSpacing/>
              <w:rPr>
                <w:rFonts w:cstheme="minorHAnsi"/>
                <w:sz w:val="24"/>
                <w:szCs w:val="24"/>
                <w:lang w:val="fr-FR"/>
              </w:rPr>
            </w:pPr>
            <w:r>
              <w:rPr>
                <w:rFonts w:cstheme="minorHAnsi"/>
                <w:sz w:val="24"/>
                <w:szCs w:val="24"/>
                <w:lang w:val="fr-FR"/>
              </w:rPr>
              <w:t xml:space="preserve">700 </w:t>
            </w:r>
            <w:proofErr w:type="spellStart"/>
            <w:r>
              <w:rPr>
                <w:rFonts w:cstheme="minorHAnsi"/>
                <w:sz w:val="24"/>
                <w:szCs w:val="24"/>
                <w:lang w:val="fr-FR"/>
              </w:rPr>
              <w:t>Congress</w:t>
            </w:r>
            <w:proofErr w:type="spellEnd"/>
            <w:r>
              <w:rPr>
                <w:rFonts w:cstheme="minorHAnsi"/>
                <w:sz w:val="24"/>
                <w:szCs w:val="24"/>
                <w:lang w:val="fr-FR"/>
              </w:rPr>
              <w:t xml:space="preserve"> Street, Suite 204</w:t>
            </w:r>
          </w:p>
          <w:p w14:paraId="30C3BF8C" w14:textId="6BA0EFEE" w:rsidR="002F7433" w:rsidRPr="00515206" w:rsidRDefault="002F7433" w:rsidP="00E72B07">
            <w:pPr>
              <w:ind w:right="540"/>
              <w:contextualSpacing/>
              <w:rPr>
                <w:rFonts w:cstheme="minorHAnsi"/>
                <w:sz w:val="24"/>
                <w:szCs w:val="24"/>
                <w:lang w:val="fr-FR"/>
              </w:rPr>
            </w:pPr>
            <w:r>
              <w:rPr>
                <w:rFonts w:cstheme="minorHAnsi"/>
                <w:sz w:val="24"/>
                <w:szCs w:val="24"/>
                <w:lang w:val="fr-FR"/>
              </w:rPr>
              <w:t xml:space="preserve">Quincy, MA 02169 </w:t>
            </w:r>
          </w:p>
        </w:tc>
      </w:tr>
      <w:tr w:rsidR="00D56F42" w:rsidRPr="007B1C0B" w14:paraId="4C4B7FF5" w14:textId="77777777" w:rsidTr="00E72B07">
        <w:trPr>
          <w:trHeight w:val="377"/>
        </w:trPr>
        <w:tc>
          <w:tcPr>
            <w:tcW w:w="0" w:type="auto"/>
            <w:shd w:val="clear" w:color="auto" w:fill="auto"/>
            <w:vAlign w:val="center"/>
          </w:tcPr>
          <w:p w14:paraId="4A0DE62A" w14:textId="77777777" w:rsidR="00160AB0" w:rsidRPr="00515206" w:rsidRDefault="00160AB0" w:rsidP="00E72B07">
            <w:pPr>
              <w:ind w:right="540"/>
              <w:contextualSpacing/>
              <w:rPr>
                <w:rFonts w:cstheme="minorHAnsi"/>
                <w:sz w:val="24"/>
                <w:szCs w:val="24"/>
              </w:rPr>
            </w:pPr>
            <w:r w:rsidRPr="00515206">
              <w:rPr>
                <w:rFonts w:cstheme="minorHAnsi"/>
                <w:sz w:val="24"/>
                <w:szCs w:val="24"/>
              </w:rPr>
              <w:t>Filing Date</w:t>
            </w:r>
          </w:p>
        </w:tc>
        <w:tc>
          <w:tcPr>
            <w:tcW w:w="0" w:type="auto"/>
            <w:shd w:val="clear" w:color="auto" w:fill="auto"/>
            <w:vAlign w:val="center"/>
          </w:tcPr>
          <w:p w14:paraId="1243C0E3" w14:textId="268D639E" w:rsidR="00160AB0" w:rsidRPr="00515206" w:rsidRDefault="003B118F" w:rsidP="00E72B07">
            <w:pPr>
              <w:ind w:right="540"/>
              <w:contextualSpacing/>
              <w:rPr>
                <w:rFonts w:cstheme="minorHAnsi"/>
                <w:sz w:val="24"/>
                <w:szCs w:val="24"/>
              </w:rPr>
            </w:pPr>
            <w:r>
              <w:rPr>
                <w:rFonts w:cstheme="minorHAnsi"/>
                <w:sz w:val="24"/>
                <w:szCs w:val="24"/>
              </w:rPr>
              <w:t>July 29, 2021</w:t>
            </w:r>
          </w:p>
        </w:tc>
      </w:tr>
      <w:tr w:rsidR="00D56F42" w:rsidRPr="007B1C0B" w14:paraId="1B0D35F0" w14:textId="77777777" w:rsidTr="00E72B07">
        <w:trPr>
          <w:trHeight w:val="350"/>
        </w:trPr>
        <w:tc>
          <w:tcPr>
            <w:tcW w:w="0" w:type="auto"/>
            <w:shd w:val="clear" w:color="auto" w:fill="auto"/>
            <w:vAlign w:val="center"/>
          </w:tcPr>
          <w:p w14:paraId="0778BC63" w14:textId="77777777" w:rsidR="00160AB0" w:rsidRPr="00515206" w:rsidRDefault="00160AB0" w:rsidP="00E72B07">
            <w:pPr>
              <w:ind w:right="540"/>
              <w:contextualSpacing/>
              <w:rPr>
                <w:rFonts w:cstheme="minorHAnsi"/>
                <w:sz w:val="24"/>
                <w:szCs w:val="24"/>
              </w:rPr>
            </w:pPr>
            <w:r w:rsidRPr="00515206">
              <w:rPr>
                <w:rFonts w:cstheme="minorHAnsi"/>
                <w:sz w:val="24"/>
                <w:szCs w:val="24"/>
              </w:rPr>
              <w:t xml:space="preserve">Type of </w:t>
            </w:r>
            <w:proofErr w:type="spellStart"/>
            <w:r w:rsidRPr="00515206">
              <w:rPr>
                <w:rFonts w:cstheme="minorHAnsi"/>
                <w:sz w:val="24"/>
                <w:szCs w:val="24"/>
              </w:rPr>
              <w:t>DoN</w:t>
            </w:r>
            <w:proofErr w:type="spellEnd"/>
            <w:r w:rsidRPr="00515206">
              <w:rPr>
                <w:rFonts w:cstheme="minorHAnsi"/>
                <w:sz w:val="24"/>
                <w:szCs w:val="24"/>
              </w:rPr>
              <w:t xml:space="preserve"> Application</w:t>
            </w:r>
          </w:p>
        </w:tc>
        <w:tc>
          <w:tcPr>
            <w:tcW w:w="0" w:type="auto"/>
            <w:shd w:val="clear" w:color="auto" w:fill="auto"/>
            <w:vAlign w:val="center"/>
          </w:tcPr>
          <w:p w14:paraId="13FFA0E4" w14:textId="77777777" w:rsidR="003B521C" w:rsidRDefault="002F7433" w:rsidP="00E72B07">
            <w:pPr>
              <w:ind w:right="540"/>
              <w:contextualSpacing/>
              <w:rPr>
                <w:rFonts w:cstheme="minorHAnsi"/>
                <w:sz w:val="24"/>
                <w:szCs w:val="24"/>
              </w:rPr>
            </w:pPr>
            <w:r>
              <w:rPr>
                <w:rFonts w:cstheme="minorHAnsi"/>
                <w:sz w:val="24"/>
                <w:szCs w:val="24"/>
              </w:rPr>
              <w:t xml:space="preserve">Substantial Change in Service – </w:t>
            </w:r>
          </w:p>
          <w:p w14:paraId="51E36101" w14:textId="3DFC52C2" w:rsidR="00160AB0" w:rsidRPr="00515206" w:rsidRDefault="002F7433" w:rsidP="00E72B07">
            <w:pPr>
              <w:ind w:right="540"/>
              <w:contextualSpacing/>
              <w:rPr>
                <w:rFonts w:cstheme="minorHAnsi"/>
                <w:sz w:val="24"/>
                <w:szCs w:val="24"/>
              </w:rPr>
            </w:pPr>
            <w:proofErr w:type="spellStart"/>
            <w:r>
              <w:rPr>
                <w:rFonts w:cstheme="minorHAnsi"/>
                <w:sz w:val="24"/>
                <w:szCs w:val="24"/>
              </w:rPr>
              <w:t>DoN</w:t>
            </w:r>
            <w:proofErr w:type="spellEnd"/>
            <w:r>
              <w:rPr>
                <w:rFonts w:cstheme="minorHAnsi"/>
                <w:sz w:val="24"/>
                <w:szCs w:val="24"/>
              </w:rPr>
              <w:t>-</w:t>
            </w:r>
            <w:r w:rsidR="003A18FD">
              <w:rPr>
                <w:rFonts w:cstheme="minorHAnsi"/>
                <w:sz w:val="24"/>
                <w:szCs w:val="24"/>
              </w:rPr>
              <w:t>R</w:t>
            </w:r>
            <w:r>
              <w:rPr>
                <w:rFonts w:cstheme="minorHAnsi"/>
                <w:sz w:val="24"/>
                <w:szCs w:val="24"/>
              </w:rPr>
              <w:t>equired Equipment</w:t>
            </w:r>
          </w:p>
        </w:tc>
      </w:tr>
      <w:tr w:rsidR="00D56F42" w:rsidRPr="007B1C0B" w14:paraId="5731A9F2" w14:textId="77777777" w:rsidTr="00E72B07">
        <w:trPr>
          <w:trHeight w:val="350"/>
        </w:trPr>
        <w:tc>
          <w:tcPr>
            <w:tcW w:w="0" w:type="auto"/>
            <w:shd w:val="clear" w:color="auto" w:fill="auto"/>
            <w:vAlign w:val="center"/>
          </w:tcPr>
          <w:p w14:paraId="64DAF21B" w14:textId="7CE17D86" w:rsidR="00160AB0" w:rsidRPr="00515206" w:rsidRDefault="00160AB0" w:rsidP="00E72B07">
            <w:pPr>
              <w:ind w:right="540"/>
              <w:contextualSpacing/>
              <w:rPr>
                <w:rFonts w:cstheme="minorHAnsi"/>
                <w:sz w:val="24"/>
                <w:szCs w:val="24"/>
              </w:rPr>
            </w:pPr>
            <w:r w:rsidRPr="00515206">
              <w:rPr>
                <w:rFonts w:cstheme="minorHAnsi"/>
                <w:sz w:val="24"/>
                <w:szCs w:val="24"/>
              </w:rPr>
              <w:t>Total Value</w:t>
            </w:r>
          </w:p>
        </w:tc>
        <w:tc>
          <w:tcPr>
            <w:tcW w:w="0" w:type="auto"/>
            <w:shd w:val="clear" w:color="auto" w:fill="auto"/>
            <w:vAlign w:val="center"/>
          </w:tcPr>
          <w:p w14:paraId="3E86DF4F" w14:textId="788ADDBB" w:rsidR="00160AB0" w:rsidRPr="00515206" w:rsidRDefault="002F7433" w:rsidP="00E72B07">
            <w:pPr>
              <w:ind w:right="540"/>
              <w:contextualSpacing/>
              <w:rPr>
                <w:rFonts w:cstheme="minorHAnsi"/>
                <w:sz w:val="24"/>
                <w:szCs w:val="24"/>
              </w:rPr>
            </w:pPr>
            <w:r w:rsidRPr="002F7433">
              <w:rPr>
                <w:rFonts w:cstheme="minorHAnsi"/>
                <w:sz w:val="24"/>
                <w:szCs w:val="24"/>
              </w:rPr>
              <w:t>$2,570,562.00</w:t>
            </w:r>
            <w:r w:rsidR="00DE6178">
              <w:rPr>
                <w:rFonts w:cstheme="minorHAnsi"/>
                <w:sz w:val="24"/>
                <w:szCs w:val="24"/>
              </w:rPr>
              <w:t xml:space="preserve"> </w:t>
            </w:r>
          </w:p>
        </w:tc>
      </w:tr>
      <w:tr w:rsidR="00D56F42" w:rsidRPr="007B1C0B" w14:paraId="2AFF7358" w14:textId="77777777" w:rsidTr="00E72B07">
        <w:trPr>
          <w:trHeight w:val="350"/>
        </w:trPr>
        <w:tc>
          <w:tcPr>
            <w:tcW w:w="0" w:type="auto"/>
            <w:shd w:val="clear" w:color="auto" w:fill="auto"/>
            <w:vAlign w:val="center"/>
          </w:tcPr>
          <w:p w14:paraId="2751975C" w14:textId="77777777" w:rsidR="00160AB0" w:rsidRPr="00515206" w:rsidRDefault="00160AB0" w:rsidP="00E72B07">
            <w:pPr>
              <w:ind w:right="540"/>
              <w:contextualSpacing/>
              <w:rPr>
                <w:rFonts w:cstheme="minorHAnsi"/>
                <w:sz w:val="24"/>
                <w:szCs w:val="24"/>
              </w:rPr>
            </w:pPr>
            <w:r w:rsidRPr="00515206">
              <w:rPr>
                <w:rFonts w:cstheme="minorHAnsi"/>
                <w:sz w:val="24"/>
                <w:szCs w:val="24"/>
              </w:rPr>
              <w:t>Project Number</w:t>
            </w:r>
          </w:p>
        </w:tc>
        <w:tc>
          <w:tcPr>
            <w:tcW w:w="0" w:type="auto"/>
            <w:shd w:val="clear" w:color="auto" w:fill="auto"/>
            <w:vAlign w:val="center"/>
          </w:tcPr>
          <w:p w14:paraId="0028743A" w14:textId="08DCECC3" w:rsidR="00160AB0" w:rsidRPr="00515206" w:rsidRDefault="002F7433" w:rsidP="00E72B07">
            <w:pPr>
              <w:ind w:right="540"/>
              <w:contextualSpacing/>
              <w:rPr>
                <w:rFonts w:cstheme="minorHAnsi"/>
                <w:sz w:val="24"/>
                <w:szCs w:val="24"/>
              </w:rPr>
            </w:pPr>
            <w:r w:rsidRPr="002F7433">
              <w:rPr>
                <w:rFonts w:cstheme="minorHAnsi"/>
                <w:sz w:val="24"/>
                <w:szCs w:val="24"/>
              </w:rPr>
              <w:t>21021213-HS</w:t>
            </w:r>
          </w:p>
        </w:tc>
      </w:tr>
      <w:tr w:rsidR="00D56F42" w:rsidRPr="007B1C0B" w14:paraId="4807841F" w14:textId="77777777" w:rsidTr="00E72B07">
        <w:trPr>
          <w:trHeight w:val="350"/>
        </w:trPr>
        <w:tc>
          <w:tcPr>
            <w:tcW w:w="0" w:type="auto"/>
            <w:shd w:val="clear" w:color="auto" w:fill="auto"/>
            <w:vAlign w:val="center"/>
          </w:tcPr>
          <w:p w14:paraId="24F8B922" w14:textId="77777777" w:rsidR="00160AB0" w:rsidRPr="00515206" w:rsidRDefault="00160AB0" w:rsidP="00E72B07">
            <w:pPr>
              <w:ind w:right="540"/>
              <w:contextualSpacing/>
              <w:rPr>
                <w:rFonts w:cstheme="minorHAnsi"/>
                <w:sz w:val="24"/>
                <w:szCs w:val="24"/>
              </w:rPr>
            </w:pPr>
            <w:r w:rsidRPr="00515206">
              <w:rPr>
                <w:rFonts w:cstheme="minorHAnsi"/>
                <w:sz w:val="24"/>
                <w:szCs w:val="24"/>
              </w:rPr>
              <w:t>Ten Taxpayer Group (TTG)</w:t>
            </w:r>
          </w:p>
        </w:tc>
        <w:tc>
          <w:tcPr>
            <w:tcW w:w="0" w:type="auto"/>
            <w:shd w:val="clear" w:color="auto" w:fill="auto"/>
            <w:vAlign w:val="center"/>
          </w:tcPr>
          <w:p w14:paraId="74E31E1F" w14:textId="6CB33F39" w:rsidR="00160AB0" w:rsidRPr="00515206" w:rsidRDefault="009C026F" w:rsidP="00E72B07">
            <w:pPr>
              <w:ind w:right="540"/>
              <w:contextualSpacing/>
              <w:rPr>
                <w:rFonts w:cstheme="minorHAnsi"/>
                <w:sz w:val="24"/>
                <w:szCs w:val="24"/>
              </w:rPr>
            </w:pPr>
            <w:r>
              <w:rPr>
                <w:rFonts w:cstheme="minorHAnsi"/>
                <w:sz w:val="24"/>
                <w:szCs w:val="24"/>
              </w:rPr>
              <w:t>None</w:t>
            </w:r>
          </w:p>
        </w:tc>
      </w:tr>
      <w:tr w:rsidR="00D56F42" w:rsidRPr="007B1C0B" w14:paraId="556CA2F1" w14:textId="77777777" w:rsidTr="00E72B07">
        <w:trPr>
          <w:trHeight w:val="350"/>
        </w:trPr>
        <w:tc>
          <w:tcPr>
            <w:tcW w:w="0" w:type="auto"/>
            <w:shd w:val="clear" w:color="auto" w:fill="auto"/>
            <w:vAlign w:val="center"/>
          </w:tcPr>
          <w:p w14:paraId="636472A6" w14:textId="77777777" w:rsidR="00160AB0" w:rsidRPr="00515206" w:rsidRDefault="00160AB0" w:rsidP="00E72B07">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0" w:type="auto"/>
            <w:shd w:val="clear" w:color="auto" w:fill="auto"/>
            <w:vAlign w:val="center"/>
          </w:tcPr>
          <w:p w14:paraId="1F8F3EE5" w14:textId="7A4FD8AB" w:rsidR="00160AB0" w:rsidRPr="00515206" w:rsidRDefault="002F7433" w:rsidP="00E72B07">
            <w:pPr>
              <w:ind w:right="540"/>
              <w:contextualSpacing/>
              <w:rPr>
                <w:rFonts w:cstheme="minorHAnsi"/>
                <w:sz w:val="24"/>
                <w:szCs w:val="24"/>
              </w:rPr>
            </w:pPr>
            <w:r w:rsidRPr="002F7433">
              <w:rPr>
                <w:rFonts w:cstheme="minorHAnsi"/>
                <w:sz w:val="24"/>
                <w:szCs w:val="24"/>
              </w:rPr>
              <w:t>$128,528.10</w:t>
            </w:r>
          </w:p>
        </w:tc>
      </w:tr>
      <w:tr w:rsidR="00D56F42" w:rsidRPr="007B1C0B" w14:paraId="49280AA3" w14:textId="77777777" w:rsidTr="00E72B07">
        <w:trPr>
          <w:trHeight w:val="350"/>
        </w:trPr>
        <w:tc>
          <w:tcPr>
            <w:tcW w:w="0" w:type="auto"/>
            <w:shd w:val="clear" w:color="auto" w:fill="auto"/>
            <w:vAlign w:val="center"/>
          </w:tcPr>
          <w:p w14:paraId="43B3E9E4" w14:textId="77777777" w:rsidR="00160AB0" w:rsidRPr="00515206" w:rsidRDefault="00160AB0" w:rsidP="00E72B07">
            <w:pPr>
              <w:ind w:right="540"/>
              <w:contextualSpacing/>
              <w:rPr>
                <w:rFonts w:cstheme="minorHAnsi"/>
                <w:sz w:val="24"/>
                <w:szCs w:val="24"/>
              </w:rPr>
            </w:pPr>
            <w:r w:rsidRPr="00515206">
              <w:rPr>
                <w:rFonts w:cstheme="minorHAnsi"/>
                <w:sz w:val="24"/>
                <w:szCs w:val="24"/>
              </w:rPr>
              <w:t>Staff Recommendation</w:t>
            </w:r>
          </w:p>
        </w:tc>
        <w:tc>
          <w:tcPr>
            <w:tcW w:w="0" w:type="auto"/>
            <w:shd w:val="clear" w:color="auto" w:fill="auto"/>
            <w:vAlign w:val="center"/>
          </w:tcPr>
          <w:p w14:paraId="6820B0B5" w14:textId="058E7F68" w:rsidR="00160AB0" w:rsidRPr="00515206" w:rsidRDefault="002F7433" w:rsidP="00E72B07">
            <w:pPr>
              <w:ind w:right="540"/>
              <w:contextualSpacing/>
              <w:rPr>
                <w:rFonts w:cstheme="minorHAnsi"/>
                <w:sz w:val="24"/>
                <w:szCs w:val="24"/>
              </w:rPr>
            </w:pPr>
            <w:r>
              <w:rPr>
                <w:rFonts w:cstheme="minorHAnsi"/>
                <w:sz w:val="24"/>
                <w:szCs w:val="24"/>
              </w:rPr>
              <w:t xml:space="preserve">Approval </w:t>
            </w:r>
          </w:p>
        </w:tc>
      </w:tr>
      <w:tr w:rsidR="00D56F42" w:rsidRPr="007B1C0B" w14:paraId="4931B4FD" w14:textId="77777777" w:rsidTr="00E72B07">
        <w:trPr>
          <w:trHeight w:val="350"/>
        </w:trPr>
        <w:tc>
          <w:tcPr>
            <w:tcW w:w="0" w:type="auto"/>
            <w:shd w:val="clear" w:color="auto" w:fill="auto"/>
            <w:vAlign w:val="center"/>
          </w:tcPr>
          <w:p w14:paraId="202CE4DC" w14:textId="1EC91F7B" w:rsidR="00160AB0" w:rsidRPr="00515206" w:rsidRDefault="002F7433" w:rsidP="00E72B07">
            <w:pPr>
              <w:ind w:right="540"/>
              <w:contextualSpacing/>
              <w:rPr>
                <w:rFonts w:cstheme="minorHAnsi"/>
                <w:sz w:val="24"/>
                <w:szCs w:val="24"/>
              </w:rPr>
            </w:pPr>
            <w:r>
              <w:rPr>
                <w:rFonts w:cstheme="minorHAnsi"/>
                <w:sz w:val="24"/>
                <w:szCs w:val="24"/>
              </w:rPr>
              <w:t>Delegated Review</w:t>
            </w:r>
          </w:p>
        </w:tc>
        <w:tc>
          <w:tcPr>
            <w:tcW w:w="0" w:type="auto"/>
            <w:shd w:val="clear" w:color="auto" w:fill="auto"/>
            <w:vAlign w:val="center"/>
          </w:tcPr>
          <w:p w14:paraId="755496FF" w14:textId="20077942" w:rsidR="00160AB0" w:rsidRPr="00515206" w:rsidRDefault="002F7433" w:rsidP="00E72B07">
            <w:pPr>
              <w:ind w:right="540"/>
              <w:contextualSpacing/>
              <w:rPr>
                <w:rFonts w:cstheme="minorHAnsi"/>
                <w:sz w:val="24"/>
                <w:szCs w:val="24"/>
              </w:rPr>
            </w:pPr>
            <w:r>
              <w:rPr>
                <w:rFonts w:cstheme="minorHAnsi"/>
                <w:sz w:val="24"/>
                <w:szCs w:val="24"/>
              </w:rPr>
              <w:t>Commissioner Approval</w:t>
            </w:r>
          </w:p>
        </w:tc>
      </w:tr>
      <w:tr w:rsidR="00160AB0" w:rsidRPr="007B1C0B" w14:paraId="29258E59" w14:textId="77777777" w:rsidTr="00E72B07">
        <w:trPr>
          <w:trHeight w:val="2436"/>
        </w:trPr>
        <w:tc>
          <w:tcPr>
            <w:tcW w:w="0" w:type="auto"/>
            <w:gridSpan w:val="2"/>
            <w:shd w:val="clear" w:color="auto" w:fill="auto"/>
            <w:vAlign w:val="center"/>
          </w:tcPr>
          <w:p w14:paraId="12F92D99" w14:textId="77777777" w:rsidR="00160AB0" w:rsidRPr="00515206" w:rsidRDefault="00160AB0" w:rsidP="00E72B07">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7C7DACC9" w14:textId="77777777" w:rsidR="00016549" w:rsidRDefault="00FC6BE0" w:rsidP="00E72B07">
            <w:pPr>
              <w:pStyle w:val="NoSpacing"/>
              <w:contextualSpacing/>
              <w:rPr>
                <w:rFonts w:cstheme="minorHAnsi"/>
                <w:sz w:val="24"/>
                <w:szCs w:val="24"/>
              </w:rPr>
            </w:pPr>
            <w:r w:rsidRPr="00FC6BE0">
              <w:rPr>
                <w:rFonts w:cstheme="minorHAnsi"/>
                <w:sz w:val="24"/>
                <w:szCs w:val="24"/>
              </w:rPr>
              <w:t xml:space="preserve">Shields PET-CT at </w:t>
            </w:r>
            <w:r>
              <w:rPr>
                <w:rFonts w:cstheme="minorHAnsi"/>
                <w:sz w:val="24"/>
                <w:szCs w:val="24"/>
              </w:rPr>
              <w:t>Heywood Healthcare, LLC (Applicant)</w:t>
            </w:r>
            <w:r w:rsidRPr="00FC6BE0">
              <w:rPr>
                <w:rFonts w:cstheme="minorHAnsi"/>
                <w:sz w:val="24"/>
                <w:szCs w:val="24"/>
              </w:rPr>
              <w:t xml:space="preserve"> submitted a </w:t>
            </w:r>
            <w:proofErr w:type="spellStart"/>
            <w:r w:rsidRPr="00FC6BE0">
              <w:rPr>
                <w:rFonts w:cstheme="minorHAnsi"/>
                <w:sz w:val="24"/>
                <w:szCs w:val="24"/>
              </w:rPr>
              <w:t>DoN</w:t>
            </w:r>
            <w:proofErr w:type="spellEnd"/>
            <w:r w:rsidRPr="00FC6BE0">
              <w:rPr>
                <w:rFonts w:cstheme="minorHAnsi"/>
                <w:sz w:val="24"/>
                <w:szCs w:val="24"/>
              </w:rPr>
              <w:t xml:space="preserve"> Application for a</w:t>
            </w:r>
            <w:r>
              <w:rPr>
                <w:rFonts w:cstheme="minorHAnsi"/>
                <w:sz w:val="24"/>
                <w:szCs w:val="24"/>
              </w:rPr>
              <w:t xml:space="preserve"> </w:t>
            </w:r>
            <w:r w:rsidR="00EB6BB2">
              <w:rPr>
                <w:rFonts w:cstheme="minorHAnsi"/>
                <w:sz w:val="24"/>
                <w:szCs w:val="24"/>
              </w:rPr>
              <w:t>S</w:t>
            </w:r>
            <w:r w:rsidR="00CB09D9">
              <w:rPr>
                <w:rFonts w:cstheme="minorHAnsi"/>
                <w:sz w:val="24"/>
                <w:szCs w:val="24"/>
              </w:rPr>
              <w:t xml:space="preserve">ubstantial </w:t>
            </w:r>
            <w:r w:rsidR="00EB6BB2">
              <w:rPr>
                <w:rFonts w:cstheme="minorHAnsi"/>
                <w:sz w:val="24"/>
                <w:szCs w:val="24"/>
              </w:rPr>
              <w:t>C</w:t>
            </w:r>
            <w:r w:rsidR="00CB09D9">
              <w:rPr>
                <w:rFonts w:cstheme="minorHAnsi"/>
                <w:sz w:val="24"/>
                <w:szCs w:val="24"/>
              </w:rPr>
              <w:t xml:space="preserve">hange in </w:t>
            </w:r>
            <w:r w:rsidR="00EB6BB2">
              <w:rPr>
                <w:rFonts w:cstheme="minorHAnsi"/>
                <w:sz w:val="24"/>
                <w:szCs w:val="24"/>
              </w:rPr>
              <w:t>S</w:t>
            </w:r>
            <w:r w:rsidR="00CB09D9">
              <w:rPr>
                <w:rFonts w:cstheme="minorHAnsi"/>
                <w:sz w:val="24"/>
                <w:szCs w:val="24"/>
              </w:rPr>
              <w:t xml:space="preserve">ervice to establish a licensed clinic to </w:t>
            </w:r>
            <w:r w:rsidR="00972EA8">
              <w:rPr>
                <w:rFonts w:cstheme="minorHAnsi"/>
                <w:sz w:val="24"/>
                <w:szCs w:val="24"/>
              </w:rPr>
              <w:t>provide magnetic</w:t>
            </w:r>
            <w:r>
              <w:rPr>
                <w:rFonts w:cstheme="minorHAnsi"/>
                <w:sz w:val="24"/>
                <w:szCs w:val="24"/>
              </w:rPr>
              <w:t xml:space="preserve"> </w:t>
            </w:r>
          </w:p>
          <w:p w14:paraId="3FB424A5" w14:textId="0C466F06" w:rsidR="00FC6BE0" w:rsidRDefault="00FC6BE0" w:rsidP="00E72B07">
            <w:pPr>
              <w:pStyle w:val="NoSpacing"/>
              <w:contextualSpacing/>
              <w:rPr>
                <w:rFonts w:cstheme="minorHAnsi"/>
                <w:sz w:val="24"/>
                <w:szCs w:val="24"/>
              </w:rPr>
            </w:pPr>
            <w:r>
              <w:rPr>
                <w:rFonts w:cstheme="minorHAnsi"/>
                <w:sz w:val="24"/>
                <w:szCs w:val="24"/>
              </w:rPr>
              <w:t xml:space="preserve">resonance imaging (MRI) </w:t>
            </w:r>
            <w:r w:rsidR="00CB09D9">
              <w:rPr>
                <w:rFonts w:cstheme="minorHAnsi"/>
                <w:sz w:val="24"/>
                <w:szCs w:val="24"/>
              </w:rPr>
              <w:t xml:space="preserve">services at Heywood Hospital six days a week and </w:t>
            </w:r>
            <w:r w:rsidRPr="00FC6BE0">
              <w:rPr>
                <w:rFonts w:cstheme="minorHAnsi"/>
                <w:sz w:val="24"/>
                <w:szCs w:val="24"/>
              </w:rPr>
              <w:t>mobile positron emission tomography-computed tomography (PET-CT) imaging service</w:t>
            </w:r>
            <w:r w:rsidR="00CB09D9">
              <w:rPr>
                <w:rFonts w:cstheme="minorHAnsi"/>
                <w:sz w:val="24"/>
                <w:szCs w:val="24"/>
              </w:rPr>
              <w:t>s</w:t>
            </w:r>
            <w:r w:rsidRPr="00FC6BE0">
              <w:rPr>
                <w:rFonts w:cstheme="minorHAnsi"/>
                <w:sz w:val="24"/>
                <w:szCs w:val="24"/>
              </w:rPr>
              <w:t xml:space="preserve"> </w:t>
            </w:r>
            <w:r w:rsidR="00CB09D9">
              <w:rPr>
                <w:rFonts w:cstheme="minorHAnsi"/>
                <w:sz w:val="24"/>
                <w:szCs w:val="24"/>
              </w:rPr>
              <w:t>at Athol Hospital one day a week</w:t>
            </w:r>
            <w:r w:rsidRPr="00FC6BE0">
              <w:rPr>
                <w:rFonts w:cstheme="minorHAnsi"/>
                <w:sz w:val="24"/>
                <w:szCs w:val="24"/>
              </w:rPr>
              <w:t>. Th</w:t>
            </w:r>
            <w:r>
              <w:rPr>
                <w:rFonts w:cstheme="minorHAnsi"/>
                <w:sz w:val="24"/>
                <w:szCs w:val="24"/>
              </w:rPr>
              <w:t>e Applicant</w:t>
            </w:r>
            <w:r w:rsidRPr="00FC6BE0">
              <w:rPr>
                <w:rFonts w:cstheme="minorHAnsi"/>
                <w:sz w:val="24"/>
                <w:szCs w:val="24"/>
              </w:rPr>
              <w:t xml:space="preserve"> is a newly formed joint venture between Shields Health Care Group</w:t>
            </w:r>
            <w:r>
              <w:rPr>
                <w:rFonts w:cstheme="minorHAnsi"/>
                <w:sz w:val="24"/>
                <w:szCs w:val="24"/>
              </w:rPr>
              <w:t>, Inc.</w:t>
            </w:r>
            <w:r w:rsidRPr="00FC6BE0">
              <w:rPr>
                <w:rFonts w:cstheme="minorHAnsi"/>
                <w:sz w:val="24"/>
                <w:szCs w:val="24"/>
              </w:rPr>
              <w:t xml:space="preserve"> and </w:t>
            </w:r>
            <w:r>
              <w:rPr>
                <w:rFonts w:cstheme="minorHAnsi"/>
                <w:sz w:val="24"/>
                <w:szCs w:val="24"/>
              </w:rPr>
              <w:t>Heywood Healthcare, Inc.</w:t>
            </w:r>
            <w:r w:rsidRPr="00FC6BE0">
              <w:rPr>
                <w:rFonts w:cstheme="minorHAnsi"/>
                <w:sz w:val="24"/>
                <w:szCs w:val="24"/>
              </w:rPr>
              <w:t xml:space="preserve"> that replaces an existing contract with a</w:t>
            </w:r>
            <w:r w:rsidR="00CF6137">
              <w:rPr>
                <w:rFonts w:cstheme="minorHAnsi"/>
                <w:sz w:val="24"/>
                <w:szCs w:val="24"/>
              </w:rPr>
              <w:t xml:space="preserve">n imaging </w:t>
            </w:r>
            <w:r w:rsidRPr="00FC6BE0">
              <w:rPr>
                <w:rFonts w:cstheme="minorHAnsi"/>
                <w:sz w:val="24"/>
                <w:szCs w:val="24"/>
              </w:rPr>
              <w:t>vendor for the same service.</w:t>
            </w:r>
            <w:r w:rsidR="00EC5E06">
              <w:rPr>
                <w:rFonts w:cstheme="minorHAnsi"/>
                <w:sz w:val="24"/>
                <w:szCs w:val="24"/>
              </w:rPr>
              <w:t xml:space="preserve"> The existing contract with the</w:t>
            </w:r>
            <w:r w:rsidR="00E0165D">
              <w:rPr>
                <w:rFonts w:cstheme="minorHAnsi"/>
                <w:sz w:val="24"/>
                <w:szCs w:val="24"/>
              </w:rPr>
              <w:t xml:space="preserve"> imaging</w:t>
            </w:r>
            <w:r w:rsidR="00EC5E06">
              <w:rPr>
                <w:rFonts w:cstheme="minorHAnsi"/>
                <w:sz w:val="24"/>
                <w:szCs w:val="24"/>
              </w:rPr>
              <w:t xml:space="preserve"> vendor is ending</w:t>
            </w:r>
            <w:r w:rsidR="00E0165D">
              <w:rPr>
                <w:rFonts w:cstheme="minorHAnsi"/>
                <w:sz w:val="24"/>
                <w:szCs w:val="24"/>
              </w:rPr>
              <w:t xml:space="preserve"> and the Applicant seeks to fulfil</w:t>
            </w:r>
            <w:r w:rsidR="00CC76F1">
              <w:rPr>
                <w:rFonts w:cstheme="minorHAnsi"/>
                <w:sz w:val="24"/>
                <w:szCs w:val="24"/>
              </w:rPr>
              <w:t>l</w:t>
            </w:r>
            <w:r w:rsidR="00E0165D">
              <w:rPr>
                <w:rFonts w:cstheme="minorHAnsi"/>
                <w:sz w:val="24"/>
                <w:szCs w:val="24"/>
              </w:rPr>
              <w:t xml:space="preserve"> the need for MRI and PET-CT services</w:t>
            </w:r>
            <w:r w:rsidR="00EC5E06">
              <w:rPr>
                <w:rFonts w:cstheme="minorHAnsi"/>
                <w:sz w:val="24"/>
                <w:szCs w:val="24"/>
              </w:rPr>
              <w:t>.</w:t>
            </w:r>
            <w:r w:rsidRPr="00FC6BE0">
              <w:rPr>
                <w:rFonts w:cstheme="minorHAnsi"/>
                <w:sz w:val="24"/>
                <w:szCs w:val="24"/>
              </w:rPr>
              <w:t xml:space="preserve"> The capital expenditure for the Proposed Project is $2,570,562.00; the Community Health Initiatives (CHI) contribution is $128,528.10.</w:t>
            </w:r>
          </w:p>
          <w:p w14:paraId="51DC68F5" w14:textId="77777777" w:rsidR="00FC6BE0" w:rsidRDefault="00FC6BE0" w:rsidP="00E72B07">
            <w:pPr>
              <w:pStyle w:val="NoSpacing"/>
              <w:contextualSpacing/>
              <w:rPr>
                <w:rFonts w:cstheme="minorHAnsi"/>
                <w:sz w:val="24"/>
                <w:szCs w:val="24"/>
              </w:rPr>
            </w:pPr>
          </w:p>
          <w:p w14:paraId="39C0811A" w14:textId="05D4DAD9" w:rsidR="00160AB0" w:rsidRPr="00515206" w:rsidRDefault="00160AB0" w:rsidP="00E72B07">
            <w:pPr>
              <w:pStyle w:val="NoSpacing"/>
              <w:contextualSpacing/>
              <w:rPr>
                <w:rFonts w:cstheme="minorHAnsi"/>
                <w:sz w:val="24"/>
                <w:szCs w:val="24"/>
              </w:rPr>
            </w:pPr>
            <w:r w:rsidRPr="00D63B4A">
              <w:rPr>
                <w:rFonts w:cstheme="minorHAnsi"/>
                <w:sz w:val="24"/>
                <w:szCs w:val="24"/>
              </w:rPr>
              <w:t xml:space="preserve">This </w:t>
            </w:r>
            <w:proofErr w:type="spellStart"/>
            <w:r w:rsidRPr="00D63B4A">
              <w:rPr>
                <w:rFonts w:cstheme="minorHAnsi"/>
                <w:sz w:val="24"/>
                <w:szCs w:val="24"/>
              </w:rPr>
              <w:t>DoN</w:t>
            </w:r>
            <w:proofErr w:type="spellEnd"/>
            <w:r w:rsidRPr="00D63B4A">
              <w:rPr>
                <w:rFonts w:cstheme="minorHAnsi"/>
                <w:sz w:val="24"/>
                <w:szCs w:val="24"/>
              </w:rPr>
              <w:t xml:space="preserve"> application falls within the definition of </w:t>
            </w:r>
            <w:r w:rsidR="002F7433">
              <w:rPr>
                <w:rFonts w:cstheme="minorHAnsi"/>
                <w:sz w:val="24"/>
                <w:szCs w:val="24"/>
              </w:rPr>
              <w:t>Substantial Change in Service</w:t>
            </w:r>
            <w:r w:rsidRPr="00D63B4A">
              <w:rPr>
                <w:rFonts w:cstheme="minorHAnsi"/>
                <w:sz w:val="24"/>
                <w:szCs w:val="24"/>
              </w:rPr>
              <w:t xml:space="preserve">, which are reviewed under the </w:t>
            </w:r>
            <w:proofErr w:type="spellStart"/>
            <w:r w:rsidRPr="00D63B4A">
              <w:rPr>
                <w:rFonts w:cstheme="minorHAnsi"/>
                <w:sz w:val="24"/>
                <w:szCs w:val="24"/>
              </w:rPr>
              <w:t>DoN</w:t>
            </w:r>
            <w:proofErr w:type="spellEnd"/>
            <w:r w:rsidRPr="00D63B4A">
              <w:rPr>
                <w:rFonts w:cstheme="minorHAnsi"/>
                <w:sz w:val="24"/>
                <w:szCs w:val="24"/>
              </w:rPr>
              <w:t xml:space="preserve"> regulation 105 CMR 100.000. The Department must determine that need exists for a Proposed Project, </w:t>
            </w:r>
            <w:proofErr w:type="gramStart"/>
            <w:r w:rsidRPr="00D63B4A">
              <w:rPr>
                <w:rFonts w:cstheme="minorHAnsi"/>
                <w:sz w:val="24"/>
                <w:szCs w:val="24"/>
              </w:rPr>
              <w:t>on the basis of</w:t>
            </w:r>
            <w:proofErr w:type="gramEnd"/>
            <w:r w:rsidRPr="00D63B4A">
              <w:rPr>
                <w:rFonts w:cstheme="minorHAnsi"/>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r>
              <w:rPr>
                <w:rFonts w:cstheme="minorHAnsi"/>
                <w:sz w:val="24"/>
                <w:szCs w:val="24"/>
              </w:rPr>
              <w:t>.</w:t>
            </w:r>
          </w:p>
        </w:tc>
      </w:tr>
    </w:tbl>
    <w:p w14:paraId="7E73FDFD" w14:textId="606BCFB4" w:rsidR="00AB7F00" w:rsidRPr="00897353" w:rsidRDefault="00AB7F00">
      <w:pPr>
        <w:rPr>
          <w:b/>
          <w:bCs/>
          <w:sz w:val="28"/>
          <w:szCs w:val="28"/>
        </w:rPr>
      </w:pPr>
      <w:r w:rsidRPr="00897353">
        <w:rPr>
          <w:b/>
          <w:bCs/>
          <w:sz w:val="28"/>
          <w:szCs w:val="28"/>
        </w:rPr>
        <w:t>Application Overview</w:t>
      </w:r>
    </w:p>
    <w:p w14:paraId="36C84C7F" w14:textId="346D511C" w:rsidR="00AB7F00" w:rsidRPr="006B66D0" w:rsidRDefault="00AB7F00" w:rsidP="006B66D0">
      <w:pPr>
        <w:spacing w:after="0" w:line="240" w:lineRule="auto"/>
        <w:rPr>
          <w:b/>
          <w:bCs/>
          <w:sz w:val="24"/>
          <w:szCs w:val="24"/>
        </w:rPr>
      </w:pPr>
      <w:r w:rsidRPr="006B66D0">
        <w:rPr>
          <w:b/>
          <w:bCs/>
          <w:sz w:val="24"/>
          <w:szCs w:val="24"/>
        </w:rPr>
        <w:t xml:space="preserve">Background </w:t>
      </w:r>
    </w:p>
    <w:p w14:paraId="60CD6E98" w14:textId="09A92AB6" w:rsidR="00AB7F00" w:rsidRPr="006B66D0" w:rsidRDefault="00AB7F00" w:rsidP="006B66D0">
      <w:pPr>
        <w:spacing w:after="0" w:line="240" w:lineRule="auto"/>
        <w:rPr>
          <w:sz w:val="24"/>
          <w:szCs w:val="24"/>
        </w:rPr>
      </w:pPr>
      <w:r w:rsidRPr="006B66D0">
        <w:rPr>
          <w:sz w:val="24"/>
          <w:szCs w:val="24"/>
        </w:rPr>
        <w:t xml:space="preserve">The Applicant, Shields PET-CT at Heywood Healthcare, LLC, was formed in 2021 as a joint venture between Shields Healthcare Group, Inc. (Shields) and Heywood Healthcare, Inc. (Heywood) </w:t>
      </w:r>
      <w:proofErr w:type="gramStart"/>
      <w:r w:rsidRPr="006B66D0">
        <w:rPr>
          <w:sz w:val="24"/>
          <w:szCs w:val="24"/>
        </w:rPr>
        <w:t>for the purpose of</w:t>
      </w:r>
      <w:proofErr w:type="gramEnd"/>
      <w:r w:rsidRPr="006B66D0">
        <w:rPr>
          <w:sz w:val="24"/>
          <w:szCs w:val="24"/>
        </w:rPr>
        <w:t xml:space="preserve"> establishing a licensed clinic to provide </w:t>
      </w:r>
      <w:r w:rsidR="00EA175A" w:rsidRPr="006B66D0">
        <w:rPr>
          <w:sz w:val="24"/>
          <w:szCs w:val="24"/>
        </w:rPr>
        <w:t xml:space="preserve">fixed </w:t>
      </w:r>
      <w:r w:rsidRPr="006B66D0">
        <w:rPr>
          <w:sz w:val="24"/>
          <w:szCs w:val="24"/>
        </w:rPr>
        <w:t xml:space="preserve">MRI </w:t>
      </w:r>
      <w:r w:rsidR="00EA175A" w:rsidRPr="006B66D0">
        <w:rPr>
          <w:sz w:val="24"/>
          <w:szCs w:val="24"/>
        </w:rPr>
        <w:t xml:space="preserve">services at Heywood Hospital </w:t>
      </w:r>
      <w:r w:rsidRPr="006B66D0">
        <w:rPr>
          <w:sz w:val="24"/>
          <w:szCs w:val="24"/>
        </w:rPr>
        <w:t xml:space="preserve">and </w:t>
      </w:r>
      <w:r w:rsidR="00EA175A" w:rsidRPr="006B66D0">
        <w:rPr>
          <w:sz w:val="24"/>
          <w:szCs w:val="24"/>
        </w:rPr>
        <w:t xml:space="preserve">mobile </w:t>
      </w:r>
      <w:r w:rsidRPr="006B66D0">
        <w:rPr>
          <w:sz w:val="24"/>
          <w:szCs w:val="24"/>
        </w:rPr>
        <w:t>PET-CT imaging services at Athol Hospital</w:t>
      </w:r>
      <w:r w:rsidR="005E20BB">
        <w:rPr>
          <w:sz w:val="24"/>
          <w:szCs w:val="24"/>
        </w:rPr>
        <w:t xml:space="preserve">. </w:t>
      </w:r>
      <w:r w:rsidR="00724DE7">
        <w:rPr>
          <w:sz w:val="24"/>
          <w:szCs w:val="24"/>
        </w:rPr>
        <w:t xml:space="preserve">MRI and PET-CT </w:t>
      </w:r>
      <w:r w:rsidR="00724DE7">
        <w:rPr>
          <w:sz w:val="24"/>
          <w:szCs w:val="24"/>
        </w:rPr>
        <w:lastRenderedPageBreak/>
        <w:t xml:space="preserve">imaging services are currently provided at Heywood Hospital and Athol Hospital through an arrangement with </w:t>
      </w:r>
      <w:r w:rsidR="00724DE7" w:rsidRPr="006B66D0">
        <w:rPr>
          <w:sz w:val="24"/>
          <w:szCs w:val="24"/>
        </w:rPr>
        <w:t>an</w:t>
      </w:r>
      <w:r w:rsidR="00724DE7">
        <w:rPr>
          <w:sz w:val="24"/>
          <w:szCs w:val="24"/>
        </w:rPr>
        <w:t>other</w:t>
      </w:r>
      <w:r w:rsidR="00724DE7" w:rsidRPr="006B66D0">
        <w:rPr>
          <w:sz w:val="24"/>
          <w:szCs w:val="24"/>
        </w:rPr>
        <w:t xml:space="preserve"> imaging vendor. The existing contract with the </w:t>
      </w:r>
      <w:r w:rsidR="00724DE7">
        <w:rPr>
          <w:sz w:val="24"/>
          <w:szCs w:val="24"/>
        </w:rPr>
        <w:t xml:space="preserve">existing </w:t>
      </w:r>
      <w:r w:rsidR="00724DE7" w:rsidRPr="006B66D0">
        <w:rPr>
          <w:sz w:val="24"/>
          <w:szCs w:val="24"/>
        </w:rPr>
        <w:t>imaging vendor is ending and the Applicant seeks to fulfil</w:t>
      </w:r>
      <w:r w:rsidR="00724DE7">
        <w:rPr>
          <w:sz w:val="24"/>
          <w:szCs w:val="24"/>
        </w:rPr>
        <w:t>l</w:t>
      </w:r>
      <w:r w:rsidR="00724DE7" w:rsidRPr="006B66D0">
        <w:rPr>
          <w:sz w:val="24"/>
          <w:szCs w:val="24"/>
        </w:rPr>
        <w:t xml:space="preserve"> the need for</w:t>
      </w:r>
      <w:r w:rsidR="00724DE7">
        <w:rPr>
          <w:sz w:val="24"/>
          <w:szCs w:val="24"/>
        </w:rPr>
        <w:t xml:space="preserve"> continued access to</w:t>
      </w:r>
      <w:r w:rsidR="00724DE7" w:rsidRPr="006B66D0">
        <w:rPr>
          <w:sz w:val="24"/>
          <w:szCs w:val="24"/>
        </w:rPr>
        <w:t xml:space="preserve"> MRI and PET-CT services.</w:t>
      </w:r>
      <w:r w:rsidR="00724DE7">
        <w:rPr>
          <w:sz w:val="24"/>
          <w:szCs w:val="24"/>
        </w:rPr>
        <w:t xml:space="preserve"> </w:t>
      </w:r>
    </w:p>
    <w:p w14:paraId="70FD91B4" w14:textId="77777777" w:rsidR="006B66D0" w:rsidRDefault="006B66D0" w:rsidP="006B66D0">
      <w:pPr>
        <w:spacing w:after="0" w:line="240" w:lineRule="auto"/>
        <w:rPr>
          <w:b/>
          <w:bCs/>
          <w:sz w:val="24"/>
          <w:szCs w:val="24"/>
        </w:rPr>
      </w:pPr>
    </w:p>
    <w:p w14:paraId="438B2AEA" w14:textId="0050BF49" w:rsidR="00817685" w:rsidRDefault="00817685" w:rsidP="006B66D0">
      <w:pPr>
        <w:spacing w:after="0" w:line="240" w:lineRule="auto"/>
        <w:rPr>
          <w:sz w:val="24"/>
          <w:szCs w:val="24"/>
        </w:rPr>
      </w:pPr>
      <w:r w:rsidRPr="006B66D0">
        <w:rPr>
          <w:sz w:val="24"/>
          <w:szCs w:val="24"/>
        </w:rPr>
        <w:t xml:space="preserve">The relevant parties to the transaction are: </w:t>
      </w:r>
    </w:p>
    <w:p w14:paraId="271C31E9" w14:textId="72FB9352" w:rsidR="00062CF8" w:rsidRDefault="00BA5C5F" w:rsidP="00BA5C5F">
      <w:pPr>
        <w:spacing w:after="0" w:line="240" w:lineRule="auto"/>
        <w:rPr>
          <w:sz w:val="24"/>
          <w:szCs w:val="24"/>
        </w:rPr>
      </w:pPr>
      <w:r w:rsidRPr="00BA5C5F">
        <w:rPr>
          <w:b/>
          <w:bCs/>
          <w:sz w:val="24"/>
          <w:szCs w:val="24"/>
        </w:rPr>
        <w:t>Heywood Healthcare, Inc. (Heywood)</w:t>
      </w:r>
      <w:r w:rsidR="00A07A4C">
        <w:rPr>
          <w:b/>
          <w:bCs/>
          <w:sz w:val="24"/>
          <w:szCs w:val="24"/>
        </w:rPr>
        <w:t>,</w:t>
      </w:r>
      <w:r w:rsidRPr="00BA5C5F">
        <w:rPr>
          <w:sz w:val="24"/>
          <w:szCs w:val="24"/>
        </w:rPr>
        <w:t xml:space="preserve"> a healthcare system that provides healthcare services to residents of North Central Massachusetts, including acute care services, emergency </w:t>
      </w:r>
      <w:r w:rsidR="00C71D4C">
        <w:rPr>
          <w:sz w:val="24"/>
          <w:szCs w:val="24"/>
        </w:rPr>
        <w:t>services</w:t>
      </w:r>
      <w:r w:rsidRPr="00BA5C5F">
        <w:rPr>
          <w:sz w:val="24"/>
          <w:szCs w:val="24"/>
        </w:rPr>
        <w:t xml:space="preserve">, primary care, behavioral health, and substance use treatment. </w:t>
      </w:r>
      <w:r w:rsidR="007B3403" w:rsidRPr="007B3403">
        <w:rPr>
          <w:sz w:val="24"/>
          <w:szCs w:val="24"/>
        </w:rPr>
        <w:t xml:space="preserve">Heywood Healthcare is comprised of Athol Hospital, Heywood Hospital, Heywood Medical Group, Heywood Rehabilitation Center, Murdock School-based Health Center, The </w:t>
      </w:r>
      <w:proofErr w:type="spellStart"/>
      <w:r w:rsidR="007B3403" w:rsidRPr="007B3403">
        <w:rPr>
          <w:sz w:val="24"/>
          <w:szCs w:val="24"/>
        </w:rPr>
        <w:t>Quabbin</w:t>
      </w:r>
      <w:proofErr w:type="spellEnd"/>
      <w:r w:rsidR="007B3403" w:rsidRPr="007B3403">
        <w:rPr>
          <w:sz w:val="24"/>
          <w:szCs w:val="24"/>
        </w:rPr>
        <w:t xml:space="preserve"> Retreat, and Winchendon Health Center.</w:t>
      </w:r>
    </w:p>
    <w:p w14:paraId="537BD8C2" w14:textId="77777777" w:rsidR="003E6023" w:rsidRDefault="003E6023" w:rsidP="00BA5C5F">
      <w:pPr>
        <w:spacing w:after="0" w:line="240" w:lineRule="auto"/>
        <w:rPr>
          <w:sz w:val="24"/>
          <w:szCs w:val="24"/>
        </w:rPr>
      </w:pPr>
    </w:p>
    <w:p w14:paraId="3A3D53E0" w14:textId="7DC5C4CF" w:rsidR="00BA5C5F" w:rsidRPr="00BA5C5F" w:rsidRDefault="00BA5C5F" w:rsidP="00BA5C5F">
      <w:pPr>
        <w:spacing w:after="0" w:line="240" w:lineRule="auto"/>
        <w:rPr>
          <w:sz w:val="24"/>
          <w:szCs w:val="24"/>
        </w:rPr>
      </w:pPr>
      <w:r w:rsidRPr="00BA5C5F">
        <w:rPr>
          <w:sz w:val="24"/>
          <w:szCs w:val="24"/>
        </w:rPr>
        <w:t>The two hospitals in the healthcare system are:</w:t>
      </w:r>
    </w:p>
    <w:p w14:paraId="653A445B" w14:textId="0D1D5DCA" w:rsidR="006B66D0" w:rsidRDefault="00EA175A" w:rsidP="006B66D0">
      <w:pPr>
        <w:pStyle w:val="ListParagraph"/>
        <w:numPr>
          <w:ilvl w:val="0"/>
          <w:numId w:val="4"/>
        </w:numPr>
        <w:spacing w:after="0" w:line="240" w:lineRule="auto"/>
        <w:rPr>
          <w:sz w:val="24"/>
          <w:szCs w:val="24"/>
        </w:rPr>
      </w:pPr>
      <w:r w:rsidRPr="006B66D0">
        <w:rPr>
          <w:b/>
          <w:bCs/>
          <w:sz w:val="24"/>
          <w:szCs w:val="24"/>
        </w:rPr>
        <w:t>Heywood Hospital</w:t>
      </w:r>
      <w:r w:rsidR="00A07A4C">
        <w:rPr>
          <w:b/>
          <w:bCs/>
          <w:sz w:val="24"/>
          <w:szCs w:val="24"/>
        </w:rPr>
        <w:t>,</w:t>
      </w:r>
      <w:r w:rsidRPr="006B66D0">
        <w:rPr>
          <w:sz w:val="24"/>
          <w:szCs w:val="24"/>
        </w:rPr>
        <w:t xml:space="preserve"> a</w:t>
      </w:r>
      <w:r w:rsidR="00A07A4C">
        <w:rPr>
          <w:sz w:val="24"/>
          <w:szCs w:val="24"/>
        </w:rPr>
        <w:t xml:space="preserve"> H</w:t>
      </w:r>
      <w:r w:rsidR="005749AC">
        <w:rPr>
          <w:sz w:val="24"/>
          <w:szCs w:val="24"/>
        </w:rPr>
        <w:t xml:space="preserve">igh Public Payer (HPP) </w:t>
      </w:r>
      <w:r w:rsidR="00A07A4C">
        <w:rPr>
          <w:sz w:val="24"/>
          <w:szCs w:val="24"/>
        </w:rPr>
        <w:t xml:space="preserve">community </w:t>
      </w:r>
      <w:r w:rsidRPr="006B66D0">
        <w:rPr>
          <w:sz w:val="24"/>
          <w:szCs w:val="24"/>
        </w:rPr>
        <w:t>hospital located in Gardner, MA.</w:t>
      </w:r>
      <w:r w:rsidR="005749AC">
        <w:rPr>
          <w:rStyle w:val="FootnoteReference"/>
          <w:sz w:val="24"/>
          <w:szCs w:val="24"/>
        </w:rPr>
        <w:footnoteReference w:id="1"/>
      </w:r>
      <w:r w:rsidRPr="006B66D0">
        <w:rPr>
          <w:sz w:val="24"/>
          <w:szCs w:val="24"/>
        </w:rPr>
        <w:t xml:space="preserve"> Heywood Hospital has 134 licensed beds and provides a range of acute care services, including emergency </w:t>
      </w:r>
      <w:r w:rsidR="00A07A4C">
        <w:rPr>
          <w:sz w:val="24"/>
          <w:szCs w:val="24"/>
        </w:rPr>
        <w:t>services</w:t>
      </w:r>
      <w:r w:rsidRPr="006B66D0">
        <w:rPr>
          <w:sz w:val="24"/>
          <w:szCs w:val="24"/>
        </w:rPr>
        <w:t xml:space="preserve">, primary and specialty care, and behavioral health services. </w:t>
      </w:r>
    </w:p>
    <w:p w14:paraId="7377519C" w14:textId="631D4392" w:rsidR="006B66D0" w:rsidRPr="00062CF8" w:rsidRDefault="00EA175A" w:rsidP="006B66D0">
      <w:pPr>
        <w:pStyle w:val="ListParagraph"/>
        <w:numPr>
          <w:ilvl w:val="0"/>
          <w:numId w:val="4"/>
        </w:numPr>
        <w:spacing w:after="0" w:line="240" w:lineRule="auto"/>
        <w:rPr>
          <w:b/>
          <w:bCs/>
          <w:sz w:val="24"/>
          <w:szCs w:val="24"/>
        </w:rPr>
      </w:pPr>
      <w:r w:rsidRPr="00062CF8">
        <w:rPr>
          <w:b/>
          <w:bCs/>
          <w:sz w:val="24"/>
          <w:szCs w:val="24"/>
        </w:rPr>
        <w:t>Athol Hospital</w:t>
      </w:r>
      <w:r w:rsidR="00A07A4C">
        <w:rPr>
          <w:b/>
          <w:bCs/>
          <w:sz w:val="24"/>
          <w:szCs w:val="24"/>
        </w:rPr>
        <w:t>,</w:t>
      </w:r>
      <w:r w:rsidRPr="00062CF8">
        <w:rPr>
          <w:sz w:val="24"/>
          <w:szCs w:val="24"/>
        </w:rPr>
        <w:t xml:space="preserve"> a </w:t>
      </w:r>
      <w:r w:rsidR="00A07A4C">
        <w:rPr>
          <w:sz w:val="24"/>
          <w:szCs w:val="24"/>
        </w:rPr>
        <w:t>H</w:t>
      </w:r>
      <w:r w:rsidR="00F60839" w:rsidRPr="00062CF8">
        <w:rPr>
          <w:sz w:val="24"/>
          <w:szCs w:val="24"/>
        </w:rPr>
        <w:t xml:space="preserve">igh Public Payer (HPP) </w:t>
      </w:r>
      <w:r w:rsidR="00A07A4C">
        <w:rPr>
          <w:sz w:val="24"/>
          <w:szCs w:val="24"/>
        </w:rPr>
        <w:t xml:space="preserve">community </w:t>
      </w:r>
      <w:r w:rsidRPr="00062CF8">
        <w:rPr>
          <w:sz w:val="24"/>
          <w:szCs w:val="24"/>
        </w:rPr>
        <w:t xml:space="preserve">hospital </w:t>
      </w:r>
      <w:r w:rsidR="009F3914" w:rsidRPr="00062CF8">
        <w:rPr>
          <w:sz w:val="24"/>
          <w:szCs w:val="24"/>
        </w:rPr>
        <w:t xml:space="preserve">located in Athol, MA. </w:t>
      </w:r>
      <w:r w:rsidRPr="00062CF8">
        <w:rPr>
          <w:sz w:val="24"/>
          <w:szCs w:val="24"/>
        </w:rPr>
        <w:t xml:space="preserve">Athol Hospital has </w:t>
      </w:r>
      <w:r w:rsidR="00153C36" w:rsidRPr="00062CF8">
        <w:rPr>
          <w:sz w:val="24"/>
          <w:szCs w:val="24"/>
        </w:rPr>
        <w:t>21</w:t>
      </w:r>
      <w:r w:rsidRPr="00062CF8">
        <w:rPr>
          <w:sz w:val="24"/>
          <w:szCs w:val="24"/>
        </w:rPr>
        <w:t xml:space="preserve"> licensed beds</w:t>
      </w:r>
      <w:r w:rsidR="009F3914" w:rsidRPr="00062CF8">
        <w:rPr>
          <w:sz w:val="24"/>
          <w:szCs w:val="24"/>
        </w:rPr>
        <w:t xml:space="preserve"> and is designated by</w:t>
      </w:r>
      <w:r w:rsidR="00F60839" w:rsidRPr="00062CF8">
        <w:rPr>
          <w:sz w:val="24"/>
          <w:szCs w:val="24"/>
        </w:rPr>
        <w:t xml:space="preserve"> the Centers for Medicare &amp; Medicaid Services (CMS) </w:t>
      </w:r>
      <w:r w:rsidR="009F3914" w:rsidRPr="00062CF8">
        <w:rPr>
          <w:sz w:val="24"/>
          <w:szCs w:val="24"/>
        </w:rPr>
        <w:t>as a Critical Access Hospital.</w:t>
      </w:r>
      <w:r w:rsidR="009F3914" w:rsidRPr="009F3914">
        <w:rPr>
          <w:sz w:val="24"/>
          <w:szCs w:val="24"/>
          <w:vertAlign w:val="superscript"/>
        </w:rPr>
        <w:footnoteReference w:id="2"/>
      </w:r>
      <w:r w:rsidR="00F60839" w:rsidRPr="00062CF8">
        <w:rPr>
          <w:rFonts w:ascii="Arial" w:hAnsi="Arial" w:cs="Arial"/>
          <w:color w:val="030000"/>
          <w:sz w:val="27"/>
          <w:szCs w:val="27"/>
          <w:shd w:val="clear" w:color="auto" w:fill="FFFFFF"/>
        </w:rPr>
        <w:t xml:space="preserve"> </w:t>
      </w:r>
    </w:p>
    <w:p w14:paraId="36C681F3" w14:textId="77777777" w:rsidR="00062CF8" w:rsidRPr="00062CF8" w:rsidRDefault="00062CF8" w:rsidP="00062CF8">
      <w:pPr>
        <w:pStyle w:val="ListParagraph"/>
        <w:spacing w:after="0" w:line="240" w:lineRule="auto"/>
        <w:rPr>
          <w:b/>
          <w:bCs/>
          <w:sz w:val="24"/>
          <w:szCs w:val="24"/>
        </w:rPr>
      </w:pPr>
    </w:p>
    <w:p w14:paraId="212E70F6" w14:textId="6A1C2B04" w:rsidR="00AB7F00" w:rsidRDefault="00AB7F00" w:rsidP="006B66D0">
      <w:pPr>
        <w:spacing w:after="0" w:line="240" w:lineRule="auto"/>
        <w:rPr>
          <w:sz w:val="24"/>
          <w:szCs w:val="24"/>
        </w:rPr>
      </w:pPr>
      <w:r w:rsidRPr="006B66D0">
        <w:rPr>
          <w:b/>
          <w:bCs/>
          <w:sz w:val="24"/>
          <w:szCs w:val="24"/>
        </w:rPr>
        <w:t xml:space="preserve">Shields </w:t>
      </w:r>
      <w:r w:rsidR="00FF0B58" w:rsidRPr="006B66D0">
        <w:rPr>
          <w:b/>
          <w:bCs/>
          <w:sz w:val="24"/>
          <w:szCs w:val="24"/>
        </w:rPr>
        <w:t>Healthcare Group, Inc.</w:t>
      </w:r>
      <w:r w:rsidR="00FF0B58" w:rsidRPr="006B66D0">
        <w:rPr>
          <w:sz w:val="24"/>
          <w:szCs w:val="24"/>
        </w:rPr>
        <w:t xml:space="preserve"> (Shields) </w:t>
      </w:r>
      <w:r w:rsidR="00CE5A79">
        <w:rPr>
          <w:sz w:val="24"/>
          <w:szCs w:val="24"/>
        </w:rPr>
        <w:t xml:space="preserve">was </w:t>
      </w:r>
      <w:r w:rsidR="00817685" w:rsidRPr="006B66D0">
        <w:rPr>
          <w:sz w:val="24"/>
          <w:szCs w:val="24"/>
        </w:rPr>
        <w:t xml:space="preserve">founded in 1972 and opened its first MRI center in 1986. </w:t>
      </w:r>
      <w:r w:rsidR="00193EB0" w:rsidRPr="006B66D0">
        <w:rPr>
          <w:sz w:val="24"/>
          <w:szCs w:val="24"/>
        </w:rPr>
        <w:t>Shields manages</w:t>
      </w:r>
      <w:r w:rsidR="00093059">
        <w:rPr>
          <w:sz w:val="24"/>
          <w:szCs w:val="24"/>
        </w:rPr>
        <w:t xml:space="preserve"> </w:t>
      </w:r>
      <w:r w:rsidR="002D7BB9">
        <w:rPr>
          <w:sz w:val="24"/>
          <w:szCs w:val="24"/>
        </w:rPr>
        <w:t xml:space="preserve">multiple </w:t>
      </w:r>
      <w:r w:rsidR="00093059">
        <w:rPr>
          <w:sz w:val="24"/>
          <w:szCs w:val="24"/>
        </w:rPr>
        <w:t>facilities throughout New England</w:t>
      </w:r>
      <w:r w:rsidR="00A07A4C">
        <w:rPr>
          <w:sz w:val="24"/>
          <w:szCs w:val="24"/>
        </w:rPr>
        <w:t>,</w:t>
      </w:r>
      <w:r w:rsidR="00817685" w:rsidRPr="006B66D0">
        <w:rPr>
          <w:sz w:val="24"/>
          <w:szCs w:val="24"/>
        </w:rPr>
        <w:t xml:space="preserve"> offering MRI</w:t>
      </w:r>
      <w:r w:rsidR="00093059">
        <w:rPr>
          <w:sz w:val="24"/>
          <w:szCs w:val="24"/>
        </w:rPr>
        <w:t xml:space="preserve"> and PET-CT services.</w:t>
      </w:r>
      <w:r w:rsidR="00A07A4C">
        <w:rPr>
          <w:sz w:val="24"/>
          <w:szCs w:val="24"/>
        </w:rPr>
        <w:t xml:space="preserve"> Many</w:t>
      </w:r>
      <w:r w:rsidR="00BC3563" w:rsidRPr="006B66D0">
        <w:rPr>
          <w:sz w:val="24"/>
          <w:szCs w:val="24"/>
        </w:rPr>
        <w:t xml:space="preserve"> of </w:t>
      </w:r>
      <w:r w:rsidR="00A07A4C">
        <w:rPr>
          <w:sz w:val="24"/>
          <w:szCs w:val="24"/>
        </w:rPr>
        <w:t>these sites</w:t>
      </w:r>
      <w:r w:rsidR="00A07A4C" w:rsidRPr="006B66D0">
        <w:rPr>
          <w:sz w:val="24"/>
          <w:szCs w:val="24"/>
        </w:rPr>
        <w:t xml:space="preserve"> </w:t>
      </w:r>
      <w:r w:rsidR="00BC3563" w:rsidRPr="006B66D0">
        <w:rPr>
          <w:sz w:val="24"/>
          <w:szCs w:val="24"/>
        </w:rPr>
        <w:t xml:space="preserve">are joint venture partnerships with community hospitals. </w:t>
      </w:r>
      <w:r w:rsidR="00093059">
        <w:rPr>
          <w:sz w:val="24"/>
          <w:szCs w:val="24"/>
        </w:rPr>
        <w:t xml:space="preserve">Many of the Shields locations operate as licensed </w:t>
      </w:r>
      <w:r w:rsidR="006F5976">
        <w:rPr>
          <w:sz w:val="24"/>
          <w:szCs w:val="24"/>
        </w:rPr>
        <w:t>clinics but</w:t>
      </w:r>
      <w:r w:rsidR="00093059">
        <w:rPr>
          <w:sz w:val="24"/>
          <w:szCs w:val="24"/>
        </w:rPr>
        <w:t xml:space="preserve"> remain </w:t>
      </w:r>
      <w:proofErr w:type="gramStart"/>
      <w:r w:rsidR="00093059">
        <w:rPr>
          <w:sz w:val="24"/>
          <w:szCs w:val="24"/>
        </w:rPr>
        <w:t>in close proximity to</w:t>
      </w:r>
      <w:proofErr w:type="gramEnd"/>
      <w:r w:rsidR="00093059">
        <w:rPr>
          <w:sz w:val="24"/>
          <w:szCs w:val="24"/>
        </w:rPr>
        <w:t xml:space="preserve"> the local hospital-partner</w:t>
      </w:r>
      <w:r w:rsidR="002D7BB9">
        <w:rPr>
          <w:sz w:val="24"/>
          <w:szCs w:val="24"/>
        </w:rPr>
        <w:t>, an arrangement</w:t>
      </w:r>
      <w:r w:rsidR="00093059">
        <w:rPr>
          <w:sz w:val="24"/>
          <w:szCs w:val="24"/>
        </w:rPr>
        <w:t xml:space="preserve"> which improves access to care and coordination of care. </w:t>
      </w:r>
    </w:p>
    <w:p w14:paraId="46DC692E" w14:textId="10BBE20E" w:rsidR="00050A3A" w:rsidRDefault="00050A3A" w:rsidP="006B66D0">
      <w:pPr>
        <w:spacing w:after="0" w:line="240" w:lineRule="auto"/>
        <w:rPr>
          <w:sz w:val="24"/>
          <w:szCs w:val="24"/>
        </w:rPr>
      </w:pPr>
    </w:p>
    <w:p w14:paraId="4D1B2DB8" w14:textId="62C3059F" w:rsidR="00837441" w:rsidRPr="006B66D0" w:rsidRDefault="00E72FE7" w:rsidP="006B66D0">
      <w:pPr>
        <w:spacing w:after="0" w:line="240" w:lineRule="auto"/>
        <w:rPr>
          <w:b/>
          <w:bCs/>
          <w:sz w:val="24"/>
          <w:szCs w:val="24"/>
        </w:rPr>
      </w:pPr>
      <w:r>
        <w:rPr>
          <w:b/>
          <w:bCs/>
          <w:sz w:val="24"/>
          <w:szCs w:val="24"/>
        </w:rPr>
        <w:t>P</w:t>
      </w:r>
      <w:r w:rsidR="00837441" w:rsidRPr="006B66D0">
        <w:rPr>
          <w:b/>
          <w:bCs/>
          <w:sz w:val="24"/>
          <w:szCs w:val="24"/>
        </w:rPr>
        <w:t>roposed Project</w:t>
      </w:r>
    </w:p>
    <w:p w14:paraId="4D7A4B18" w14:textId="48EE871A" w:rsidR="00513147" w:rsidRPr="006B66D0" w:rsidRDefault="00FB7558" w:rsidP="006B66D0">
      <w:pPr>
        <w:spacing w:after="0" w:line="240" w:lineRule="auto"/>
        <w:rPr>
          <w:sz w:val="24"/>
          <w:szCs w:val="24"/>
        </w:rPr>
      </w:pPr>
      <w:r>
        <w:rPr>
          <w:sz w:val="24"/>
          <w:szCs w:val="24"/>
        </w:rPr>
        <w:t xml:space="preserve">MRI and PET-CT services are currently offered at Heywood and Athol Hospitals through an arrangement with an existing imaging vendor. The </w:t>
      </w:r>
      <w:r w:rsidR="002D7BB9">
        <w:rPr>
          <w:sz w:val="24"/>
          <w:szCs w:val="24"/>
        </w:rPr>
        <w:t>contract</w:t>
      </w:r>
      <w:r>
        <w:rPr>
          <w:sz w:val="24"/>
          <w:szCs w:val="24"/>
        </w:rPr>
        <w:t xml:space="preserve"> is coming to an end and the </w:t>
      </w:r>
      <w:r w:rsidR="00840622">
        <w:rPr>
          <w:sz w:val="24"/>
          <w:szCs w:val="24"/>
        </w:rPr>
        <w:t xml:space="preserve">Applicant </w:t>
      </w:r>
      <w:r>
        <w:rPr>
          <w:sz w:val="24"/>
          <w:szCs w:val="24"/>
        </w:rPr>
        <w:t xml:space="preserve">is </w:t>
      </w:r>
      <w:r w:rsidR="00840622">
        <w:rPr>
          <w:sz w:val="24"/>
          <w:szCs w:val="24"/>
        </w:rPr>
        <w:t>propos</w:t>
      </w:r>
      <w:r>
        <w:rPr>
          <w:sz w:val="24"/>
          <w:szCs w:val="24"/>
        </w:rPr>
        <w:t xml:space="preserve">ing </w:t>
      </w:r>
      <w:r w:rsidR="00840622">
        <w:rPr>
          <w:sz w:val="24"/>
          <w:szCs w:val="24"/>
        </w:rPr>
        <w:t xml:space="preserve">to establish a licensed clinic to provide </w:t>
      </w:r>
      <w:r w:rsidR="00840622" w:rsidRPr="006B66D0">
        <w:rPr>
          <w:sz w:val="24"/>
          <w:szCs w:val="24"/>
        </w:rPr>
        <w:t>fixed MRI services at Heywood Hospital and mobile PET-CT imaging services at Athol Hospital</w:t>
      </w:r>
      <w:r>
        <w:rPr>
          <w:sz w:val="24"/>
          <w:szCs w:val="24"/>
        </w:rPr>
        <w:t xml:space="preserve"> to ensure continued access to these imaging services for the Patient Panel. </w:t>
      </w:r>
      <w:r w:rsidR="00BC3563" w:rsidRPr="006B66D0">
        <w:rPr>
          <w:sz w:val="24"/>
          <w:szCs w:val="24"/>
        </w:rPr>
        <w:t>MRI is</w:t>
      </w:r>
      <w:r w:rsidR="00EC6419">
        <w:rPr>
          <w:sz w:val="24"/>
          <w:szCs w:val="24"/>
        </w:rPr>
        <w:t xml:space="preserve"> a well-established, </w:t>
      </w:r>
      <w:r w:rsidR="00EC6419" w:rsidRPr="00EC6419">
        <w:rPr>
          <w:sz w:val="24"/>
          <w:szCs w:val="24"/>
        </w:rPr>
        <w:t xml:space="preserve">non-invasive imaging modality that is used to visualize internal, and anatomical structures, without the use of </w:t>
      </w:r>
      <w:r w:rsidR="00EC6419" w:rsidRPr="00EC6419">
        <w:rPr>
          <w:sz w:val="24"/>
          <w:szCs w:val="24"/>
        </w:rPr>
        <w:lastRenderedPageBreak/>
        <w:t>ionizing radiation</w:t>
      </w:r>
      <w:r w:rsidR="00BC3563" w:rsidRPr="006B66D0">
        <w:rPr>
          <w:sz w:val="24"/>
          <w:szCs w:val="24"/>
        </w:rPr>
        <w:t>.</w:t>
      </w:r>
      <w:r w:rsidR="00BC3563" w:rsidRPr="006B66D0">
        <w:rPr>
          <w:rStyle w:val="FootnoteReference"/>
          <w:sz w:val="24"/>
          <w:szCs w:val="24"/>
        </w:rPr>
        <w:footnoteReference w:id="3"/>
      </w:r>
      <w:r w:rsidR="00BC3563" w:rsidRPr="006B66D0">
        <w:rPr>
          <w:sz w:val="24"/>
          <w:szCs w:val="24"/>
        </w:rPr>
        <w:t xml:space="preserve"> </w:t>
      </w:r>
      <w:r w:rsidR="00840622">
        <w:rPr>
          <w:sz w:val="24"/>
          <w:szCs w:val="24"/>
        </w:rPr>
        <w:t>C</w:t>
      </w:r>
      <w:r w:rsidR="00840622" w:rsidRPr="006B66D0">
        <w:rPr>
          <w:sz w:val="24"/>
          <w:szCs w:val="24"/>
        </w:rPr>
        <w:t>ombined PET-CT is a dual</w:t>
      </w:r>
      <w:r w:rsidR="00840622">
        <w:rPr>
          <w:sz w:val="24"/>
          <w:szCs w:val="24"/>
        </w:rPr>
        <w:t>-</w:t>
      </w:r>
      <w:r w:rsidR="00840622" w:rsidRPr="006B66D0">
        <w:rPr>
          <w:sz w:val="24"/>
          <w:szCs w:val="24"/>
        </w:rPr>
        <w:t>modality diagnostic imaging technology</w:t>
      </w:r>
      <w:r w:rsidR="00840622">
        <w:rPr>
          <w:sz w:val="24"/>
          <w:szCs w:val="24"/>
        </w:rPr>
        <w:t>.</w:t>
      </w:r>
      <w:r w:rsidRPr="006B66D0">
        <w:rPr>
          <w:rStyle w:val="FootnoteReference"/>
          <w:sz w:val="24"/>
          <w:szCs w:val="24"/>
        </w:rPr>
        <w:footnoteReference w:id="4"/>
      </w:r>
      <w:r w:rsidR="00840622" w:rsidRPr="006B66D0">
        <w:rPr>
          <w:sz w:val="24"/>
          <w:szCs w:val="24"/>
        </w:rPr>
        <w:t xml:space="preserve"> </w:t>
      </w:r>
      <w:r w:rsidR="00BC3563" w:rsidRPr="006B66D0">
        <w:rPr>
          <w:sz w:val="24"/>
          <w:szCs w:val="24"/>
        </w:rPr>
        <w:t xml:space="preserve">The Applicant </w:t>
      </w:r>
      <w:r w:rsidR="002D7BB9">
        <w:rPr>
          <w:sz w:val="24"/>
          <w:szCs w:val="24"/>
        </w:rPr>
        <w:t xml:space="preserve">assesses and </w:t>
      </w:r>
      <w:r w:rsidR="00BC3563" w:rsidRPr="006B66D0">
        <w:rPr>
          <w:sz w:val="24"/>
          <w:szCs w:val="24"/>
        </w:rPr>
        <w:t xml:space="preserve">documents the need for </w:t>
      </w:r>
      <w:r w:rsidR="005B4A09">
        <w:rPr>
          <w:sz w:val="24"/>
          <w:szCs w:val="24"/>
        </w:rPr>
        <w:t xml:space="preserve">continuation of </w:t>
      </w:r>
      <w:r w:rsidR="00BC3563" w:rsidRPr="006B66D0">
        <w:rPr>
          <w:sz w:val="24"/>
          <w:szCs w:val="24"/>
        </w:rPr>
        <w:t xml:space="preserve">the </w:t>
      </w:r>
      <w:r w:rsidR="005B4A09">
        <w:rPr>
          <w:sz w:val="24"/>
          <w:szCs w:val="24"/>
        </w:rPr>
        <w:t xml:space="preserve">existing imaging </w:t>
      </w:r>
      <w:r w:rsidR="00BC3563" w:rsidRPr="006B66D0">
        <w:rPr>
          <w:sz w:val="24"/>
          <w:szCs w:val="24"/>
        </w:rPr>
        <w:t>service</w:t>
      </w:r>
      <w:r w:rsidR="005B4A09">
        <w:rPr>
          <w:sz w:val="24"/>
          <w:szCs w:val="24"/>
        </w:rPr>
        <w:t>s</w:t>
      </w:r>
      <w:r w:rsidR="00BC3563" w:rsidRPr="006B66D0">
        <w:rPr>
          <w:sz w:val="24"/>
          <w:szCs w:val="24"/>
        </w:rPr>
        <w:t xml:space="preserve"> </w:t>
      </w:r>
      <w:r w:rsidR="00BD6929">
        <w:rPr>
          <w:sz w:val="24"/>
          <w:szCs w:val="24"/>
        </w:rPr>
        <w:t xml:space="preserve">and future demand for such imaging services </w:t>
      </w:r>
      <w:r w:rsidR="00BC3563" w:rsidRPr="006B66D0">
        <w:rPr>
          <w:sz w:val="24"/>
          <w:szCs w:val="24"/>
        </w:rPr>
        <w:t xml:space="preserve">based on </w:t>
      </w:r>
      <w:r w:rsidR="00A7157A" w:rsidRPr="006B66D0">
        <w:rPr>
          <w:sz w:val="24"/>
          <w:szCs w:val="24"/>
        </w:rPr>
        <w:t>historical and projected</w:t>
      </w:r>
      <w:r w:rsidR="00BC3563" w:rsidRPr="006B66D0">
        <w:rPr>
          <w:sz w:val="24"/>
          <w:szCs w:val="24"/>
        </w:rPr>
        <w:t xml:space="preserve"> volume of scans,</w:t>
      </w:r>
      <w:r w:rsidR="005B4A09">
        <w:rPr>
          <w:sz w:val="24"/>
          <w:szCs w:val="24"/>
        </w:rPr>
        <w:t xml:space="preserve"> </w:t>
      </w:r>
      <w:r w:rsidR="00BC3563" w:rsidRPr="006B66D0">
        <w:rPr>
          <w:sz w:val="24"/>
          <w:szCs w:val="24"/>
        </w:rPr>
        <w:t xml:space="preserve">the </w:t>
      </w:r>
      <w:r w:rsidR="00A7157A" w:rsidRPr="006B66D0">
        <w:rPr>
          <w:sz w:val="24"/>
          <w:szCs w:val="24"/>
        </w:rPr>
        <w:t>aging of the Patient Panel</w:t>
      </w:r>
      <w:r w:rsidR="00BD6929">
        <w:rPr>
          <w:sz w:val="24"/>
          <w:szCs w:val="24"/>
        </w:rPr>
        <w:t>,</w:t>
      </w:r>
      <w:r w:rsidR="00A7157A" w:rsidRPr="006B66D0">
        <w:rPr>
          <w:sz w:val="24"/>
          <w:szCs w:val="24"/>
        </w:rPr>
        <w:t xml:space="preserve"> and the</w:t>
      </w:r>
      <w:r w:rsidR="00BD6929">
        <w:rPr>
          <w:sz w:val="24"/>
          <w:szCs w:val="24"/>
        </w:rPr>
        <w:t xml:space="preserve"> increasing</w:t>
      </w:r>
      <w:r w:rsidR="00A7157A" w:rsidRPr="006B66D0">
        <w:rPr>
          <w:sz w:val="24"/>
          <w:szCs w:val="24"/>
        </w:rPr>
        <w:t xml:space="preserve"> age 60+ age cohort in Massachusetts </w:t>
      </w:r>
      <w:r w:rsidR="00BD6929">
        <w:rPr>
          <w:sz w:val="24"/>
          <w:szCs w:val="24"/>
        </w:rPr>
        <w:t>that will experience increased</w:t>
      </w:r>
      <w:r w:rsidR="00A7157A" w:rsidRPr="006B66D0">
        <w:rPr>
          <w:sz w:val="24"/>
          <w:szCs w:val="24"/>
        </w:rPr>
        <w:t xml:space="preserve"> risk for age-related conditions that will require the </w:t>
      </w:r>
      <w:r w:rsidR="006607D0" w:rsidRPr="006B66D0">
        <w:rPr>
          <w:sz w:val="24"/>
          <w:szCs w:val="24"/>
        </w:rPr>
        <w:t>proposed imaging</w:t>
      </w:r>
      <w:r w:rsidR="00A7157A" w:rsidRPr="006B66D0">
        <w:rPr>
          <w:sz w:val="24"/>
          <w:szCs w:val="24"/>
        </w:rPr>
        <w:t xml:space="preserve"> services</w:t>
      </w:r>
      <w:r w:rsidR="00BC3563" w:rsidRPr="006B66D0">
        <w:rPr>
          <w:sz w:val="24"/>
          <w:szCs w:val="24"/>
        </w:rPr>
        <w:t>.</w:t>
      </w:r>
      <w:r w:rsidR="00AD25D8" w:rsidRPr="006B66D0">
        <w:rPr>
          <w:sz w:val="24"/>
          <w:szCs w:val="24"/>
        </w:rPr>
        <w:t xml:space="preserve"> The Applicant states </w:t>
      </w:r>
      <w:r w:rsidR="00E644AD" w:rsidRPr="00E644AD">
        <w:rPr>
          <w:sz w:val="24"/>
          <w:szCs w:val="24"/>
        </w:rPr>
        <w:t>through the Proposed Project</w:t>
      </w:r>
      <w:r>
        <w:rPr>
          <w:sz w:val="24"/>
          <w:szCs w:val="24"/>
        </w:rPr>
        <w:t xml:space="preserve">, it will </w:t>
      </w:r>
      <w:r w:rsidR="00AD25D8" w:rsidRPr="006B66D0">
        <w:rPr>
          <w:sz w:val="24"/>
          <w:szCs w:val="24"/>
        </w:rPr>
        <w:t>meet demand</w:t>
      </w:r>
      <w:r w:rsidR="00290BA5">
        <w:rPr>
          <w:sz w:val="24"/>
          <w:szCs w:val="24"/>
        </w:rPr>
        <w:t xml:space="preserve"> for </w:t>
      </w:r>
      <w:r>
        <w:rPr>
          <w:sz w:val="24"/>
          <w:szCs w:val="24"/>
        </w:rPr>
        <w:t xml:space="preserve">high-quality MRI and PET-CT </w:t>
      </w:r>
      <w:r w:rsidR="00290BA5">
        <w:rPr>
          <w:sz w:val="24"/>
          <w:szCs w:val="24"/>
        </w:rPr>
        <w:t>imaging services</w:t>
      </w:r>
      <w:r>
        <w:rPr>
          <w:sz w:val="24"/>
          <w:szCs w:val="24"/>
        </w:rPr>
        <w:t>, in a cost-effective manner</w:t>
      </w:r>
      <w:r w:rsidR="00E644AD" w:rsidRPr="005F4B9F">
        <w:rPr>
          <w:sz w:val="24"/>
          <w:szCs w:val="24"/>
        </w:rPr>
        <w:t>.</w:t>
      </w:r>
      <w:r w:rsidR="00AD25D8" w:rsidRPr="006B66D0">
        <w:rPr>
          <w:sz w:val="24"/>
          <w:szCs w:val="24"/>
        </w:rPr>
        <w:t xml:space="preserve"> </w:t>
      </w:r>
    </w:p>
    <w:p w14:paraId="50D173D0" w14:textId="77777777" w:rsidR="00CA28A2" w:rsidRPr="006B66D0" w:rsidRDefault="00CA28A2">
      <w:pPr>
        <w:rPr>
          <w:b/>
          <w:bCs/>
          <w:sz w:val="24"/>
          <w:szCs w:val="24"/>
        </w:rPr>
      </w:pPr>
    </w:p>
    <w:p w14:paraId="7D2F9134" w14:textId="77777777" w:rsidR="00897353" w:rsidRDefault="00897353">
      <w:pPr>
        <w:rPr>
          <w:b/>
          <w:bCs/>
        </w:rPr>
        <w:sectPr w:rsidR="00897353">
          <w:footerReference w:type="default" r:id="rId8"/>
          <w:pgSz w:w="12240" w:h="15840"/>
          <w:pgMar w:top="1440" w:right="1440" w:bottom="1440" w:left="1440" w:header="720" w:footer="720" w:gutter="0"/>
          <w:cols w:space="720"/>
          <w:docGrid w:linePitch="360"/>
        </w:sectPr>
      </w:pPr>
    </w:p>
    <w:p w14:paraId="12C7C6A3" w14:textId="77777777" w:rsidR="00897353" w:rsidRDefault="00897353">
      <w:pPr>
        <w:rPr>
          <w:b/>
          <w:bCs/>
        </w:rPr>
      </w:pPr>
    </w:p>
    <w:p w14:paraId="6FEB13CA" w14:textId="77777777" w:rsidR="00897353" w:rsidRDefault="00897353">
      <w:pPr>
        <w:rPr>
          <w:b/>
          <w:bCs/>
        </w:rPr>
      </w:pPr>
    </w:p>
    <w:p w14:paraId="780EAF0C" w14:textId="77777777" w:rsidR="00897353" w:rsidRPr="00897353" w:rsidRDefault="00897353" w:rsidP="00897353">
      <w:pPr>
        <w:spacing w:after="0" w:line="240" w:lineRule="auto"/>
        <w:contextualSpacing/>
        <w:jc w:val="center"/>
        <w:rPr>
          <w:rFonts w:ascii="Garamond" w:eastAsia="Calibri" w:hAnsi="Garamond" w:cs="Times New Roman"/>
        </w:rPr>
      </w:pPr>
      <w:bookmarkStart w:id="0" w:name="_Toc17151136"/>
      <w:r w:rsidRPr="00897353">
        <w:rPr>
          <w:rFonts w:ascii="Garamond" w:eastAsia="Calibri" w:hAnsi="Garamond" w:cs="Times New Roman"/>
          <w:b/>
          <w:bCs/>
          <w:sz w:val="32"/>
          <w:szCs w:val="32"/>
        </w:rPr>
        <w:t>OVERVIEW of PROPOSED PROJECT AND FACTOR REVIEW</w:t>
      </w:r>
      <w:bookmarkEnd w:id="0"/>
    </w:p>
    <w:tbl>
      <w:tblPr>
        <w:tblStyle w:val="GridTable4-Accent11"/>
        <w:tblW w:w="0" w:type="auto"/>
        <w:tblInd w:w="-64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establish a licensed clinic to provide MRI services at Heywood Hospital and mobile PET-CT services at Athol Hospital. The imaging services are currently provided through a different vendor whose contract is ending.     &#10;"/>
      </w:tblPr>
      <w:tblGrid>
        <w:gridCol w:w="3367"/>
        <w:gridCol w:w="4085"/>
        <w:gridCol w:w="2830"/>
        <w:gridCol w:w="1084"/>
        <w:gridCol w:w="2947"/>
      </w:tblGrid>
      <w:tr w:rsidR="00BC18C8" w:rsidRPr="00897353" w14:paraId="11FBF5D8" w14:textId="77777777" w:rsidTr="00E72B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6076B4"/>
            </w:tcBorders>
            <w:shd w:val="clear" w:color="auto" w:fill="BFC8E1"/>
          </w:tcPr>
          <w:p w14:paraId="665E5C1D" w14:textId="77777777" w:rsidR="00897353" w:rsidRPr="00897353" w:rsidRDefault="00897353" w:rsidP="00897353">
            <w:pPr>
              <w:contextualSpacing/>
              <w:rPr>
                <w:rFonts w:ascii="Garamond" w:eastAsia="Calibri" w:hAnsi="Garamond" w:cs="Cambria"/>
                <w:color w:val="auto"/>
              </w:rPr>
            </w:pPr>
            <w:r w:rsidRPr="00897353">
              <w:rPr>
                <w:rFonts w:ascii="Garamond" w:eastAsia="Calibri" w:hAnsi="Garamond" w:cs="Cambria"/>
                <w:color w:val="auto"/>
              </w:rPr>
              <w:t>Description</w:t>
            </w:r>
          </w:p>
        </w:tc>
        <w:tc>
          <w:tcPr>
            <w:tcW w:w="0" w:type="auto"/>
            <w:tcBorders>
              <w:left w:val="single" w:sz="4" w:space="0" w:color="6076B4"/>
              <w:right w:val="single" w:sz="4" w:space="0" w:color="6076B4"/>
            </w:tcBorders>
            <w:shd w:val="clear" w:color="auto" w:fill="BFC8E1"/>
          </w:tcPr>
          <w:p w14:paraId="4D00AF02"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2E46BDD7"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rPr>
            </w:pPr>
          </w:p>
        </w:tc>
        <w:tc>
          <w:tcPr>
            <w:tcW w:w="0" w:type="auto"/>
            <w:tcBorders>
              <w:left w:val="single" w:sz="4" w:space="0" w:color="6076B4"/>
              <w:right w:val="single" w:sz="4" w:space="0" w:color="6076B4"/>
            </w:tcBorders>
            <w:shd w:val="clear" w:color="auto" w:fill="BFC8E1"/>
          </w:tcPr>
          <w:p w14:paraId="6AED99F9"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What’s Needed to Meet Factor 2: Demonstration of cost containment, improved public health outcomes, and delivery system transformation</w:t>
            </w:r>
          </w:p>
          <w:p w14:paraId="3838E07D"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p>
        </w:tc>
        <w:tc>
          <w:tcPr>
            <w:tcW w:w="0" w:type="auto"/>
            <w:tcBorders>
              <w:left w:val="single" w:sz="4" w:space="0" w:color="6076B4"/>
              <w:right w:val="single" w:sz="4" w:space="0" w:color="6076B4"/>
            </w:tcBorders>
            <w:shd w:val="clear" w:color="auto" w:fill="BFC8E1"/>
          </w:tcPr>
          <w:p w14:paraId="7908FF23"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Factors 3, 4 &amp; 5</w:t>
            </w:r>
            <w:r w:rsidRPr="00897353">
              <w:rPr>
                <w:rFonts w:ascii="Garamond" w:eastAsia="Calibri" w:hAnsi="Garamond" w:cs="Cambria"/>
                <w:color w:val="auto"/>
                <w:vertAlign w:val="superscript"/>
              </w:rPr>
              <w:footnoteReference w:id="5"/>
            </w:r>
          </w:p>
        </w:tc>
        <w:tc>
          <w:tcPr>
            <w:tcW w:w="0" w:type="auto"/>
            <w:tcBorders>
              <w:left w:val="single" w:sz="4" w:space="0" w:color="6076B4"/>
            </w:tcBorders>
            <w:shd w:val="clear" w:color="auto" w:fill="BFC8E1"/>
          </w:tcPr>
          <w:p w14:paraId="6930D8D9" w14:textId="77777777" w:rsidR="00897353" w:rsidRPr="00897353" w:rsidRDefault="00897353" w:rsidP="00897353">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rPr>
            </w:pPr>
            <w:r w:rsidRPr="00897353">
              <w:rPr>
                <w:rFonts w:ascii="Garamond" w:eastAsia="Calibri" w:hAnsi="Garamond" w:cs="Cambria"/>
                <w:color w:val="auto"/>
              </w:rPr>
              <w:t>What’s Needed to Meet Factor 6: Demonstration of plans for fulfilling … responsibilities … in the DPH Community-based Health Initiatives Guideline.</w:t>
            </w:r>
          </w:p>
        </w:tc>
      </w:tr>
      <w:tr w:rsidR="00BC18C8" w:rsidRPr="00897353" w14:paraId="332BBE9F" w14:textId="77777777" w:rsidTr="00E72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A13205C" w14:textId="77777777" w:rsidR="00897353" w:rsidRPr="00897353" w:rsidRDefault="00897353" w:rsidP="00897353">
            <w:pPr>
              <w:contextualSpacing/>
              <w:rPr>
                <w:rFonts w:ascii="Garamond" w:eastAsia="Calibri" w:hAnsi="Garamond" w:cs="Cambria"/>
              </w:rPr>
            </w:pPr>
            <w:bookmarkStart w:id="1" w:name="_GoBack" w:colFirst="1" w:colLast="1"/>
          </w:p>
        </w:tc>
        <w:tc>
          <w:tcPr>
            <w:tcW w:w="0" w:type="auto"/>
            <w:gridSpan w:val="3"/>
          </w:tcPr>
          <w:p w14:paraId="1ACD2870" w14:textId="77777777" w:rsidR="00897353" w:rsidRPr="00897353" w:rsidRDefault="00897353" w:rsidP="008973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897353">
              <w:rPr>
                <w:rFonts w:ascii="Garamond" w:eastAsia="Calibri" w:hAnsi="Garamond" w:cs="Cambria"/>
                <w:b/>
                <w:i/>
                <w:iCs/>
              </w:rPr>
              <w:t>Staff Report finds</w:t>
            </w:r>
          </w:p>
        </w:tc>
        <w:tc>
          <w:tcPr>
            <w:tcW w:w="0" w:type="auto"/>
          </w:tcPr>
          <w:p w14:paraId="4B95214F" w14:textId="77777777" w:rsidR="00897353" w:rsidRPr="00897353" w:rsidRDefault="00897353" w:rsidP="008973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bookmarkEnd w:id="1"/>
      <w:tr w:rsidR="00BC18C8" w:rsidRPr="00897353" w14:paraId="40090232" w14:textId="77777777" w:rsidTr="00E72B07">
        <w:trPr>
          <w:trHeight w:val="323"/>
        </w:trPr>
        <w:tc>
          <w:tcPr>
            <w:cnfStyle w:val="001000000000" w:firstRow="0" w:lastRow="0" w:firstColumn="1" w:lastColumn="0" w:oddVBand="0" w:evenVBand="0" w:oddHBand="0" w:evenHBand="0" w:firstRowFirstColumn="0" w:firstRowLastColumn="0" w:lastRowFirstColumn="0" w:lastRowLastColumn="0"/>
            <w:tcW w:w="0" w:type="auto"/>
            <w:vMerge/>
          </w:tcPr>
          <w:p w14:paraId="303CBB52" w14:textId="77777777" w:rsidR="00897353" w:rsidRPr="00897353" w:rsidRDefault="00897353" w:rsidP="00897353">
            <w:pPr>
              <w:contextualSpacing/>
              <w:rPr>
                <w:rFonts w:ascii="Garamond" w:eastAsia="Calibri" w:hAnsi="Garamond" w:cs="Cambria"/>
              </w:rPr>
            </w:pPr>
          </w:p>
        </w:tc>
        <w:tc>
          <w:tcPr>
            <w:tcW w:w="0" w:type="auto"/>
            <w:shd w:val="clear" w:color="auto" w:fill="DFE3F0"/>
          </w:tcPr>
          <w:p w14:paraId="24EAFF4C" w14:textId="77777777" w:rsidR="00897353" w:rsidRPr="00897353" w:rsidRDefault="00897353" w:rsidP="00897353">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897353">
              <w:rPr>
                <w:rFonts w:ascii="Garamond" w:eastAsia="Calibri" w:hAnsi="Garamond" w:cs="Cambria"/>
                <w:b/>
                <w:bCs/>
                <w:smallCaps/>
              </w:rPr>
              <w:t>MEETS</w:t>
            </w:r>
          </w:p>
        </w:tc>
        <w:tc>
          <w:tcPr>
            <w:tcW w:w="0" w:type="auto"/>
            <w:shd w:val="clear" w:color="auto" w:fill="DFE3F0"/>
          </w:tcPr>
          <w:p w14:paraId="6650DD86" w14:textId="77777777" w:rsidR="00897353" w:rsidRPr="00897353" w:rsidRDefault="00897353" w:rsidP="00897353">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897353">
              <w:rPr>
                <w:rFonts w:ascii="Garamond" w:eastAsia="Calibri" w:hAnsi="Garamond" w:cs="Cambria"/>
                <w:b/>
                <w:bCs/>
                <w:smallCaps/>
              </w:rPr>
              <w:t>MEETS</w:t>
            </w:r>
          </w:p>
        </w:tc>
        <w:tc>
          <w:tcPr>
            <w:tcW w:w="0" w:type="auto"/>
            <w:shd w:val="clear" w:color="auto" w:fill="DFE3F0"/>
          </w:tcPr>
          <w:p w14:paraId="474F527E" w14:textId="77777777" w:rsidR="00897353" w:rsidRPr="00897353" w:rsidRDefault="00897353" w:rsidP="00897353">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897353">
              <w:rPr>
                <w:rFonts w:ascii="Garamond" w:eastAsia="Calibri" w:hAnsi="Garamond" w:cs="Cambria"/>
                <w:b/>
                <w:bCs/>
                <w:smallCaps/>
              </w:rPr>
              <w:t>MEETS</w:t>
            </w:r>
          </w:p>
          <w:p w14:paraId="491C8C6E" w14:textId="77777777" w:rsidR="00897353" w:rsidRPr="00897353" w:rsidRDefault="00897353" w:rsidP="00897353">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0" w:type="auto"/>
            <w:shd w:val="clear" w:color="auto" w:fill="DFE3F0"/>
          </w:tcPr>
          <w:p w14:paraId="67443DF0" w14:textId="77777777" w:rsidR="00897353" w:rsidRPr="00897353" w:rsidRDefault="00897353" w:rsidP="00897353">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897353">
              <w:rPr>
                <w:rFonts w:ascii="Garamond" w:eastAsia="Calibri" w:hAnsi="Garamond" w:cs="Cambria"/>
                <w:b/>
                <w:bCs/>
                <w:smallCaps/>
              </w:rPr>
              <w:t>MEETS</w:t>
            </w:r>
          </w:p>
        </w:tc>
      </w:tr>
      <w:tr w:rsidR="00BC18C8" w:rsidRPr="00897353" w14:paraId="1951F3C5" w14:textId="77777777" w:rsidTr="00E72B07">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0" w:type="auto"/>
          </w:tcPr>
          <w:p w14:paraId="34A6021F" w14:textId="19356E54" w:rsidR="00897353" w:rsidRPr="00897353" w:rsidRDefault="00897353" w:rsidP="00897353">
            <w:pPr>
              <w:contextualSpacing/>
              <w:rPr>
                <w:rFonts w:ascii="Garamond" w:eastAsia="Calibri" w:hAnsi="Garamond" w:cs="Times New Roman"/>
                <w:sz w:val="20"/>
                <w:szCs w:val="20"/>
              </w:rPr>
            </w:pPr>
            <w:r w:rsidRPr="00897353">
              <w:rPr>
                <w:rFonts w:ascii="Garamond" w:eastAsia="Calibri" w:hAnsi="Garamond" w:cs="Times New Roman"/>
                <w:sz w:val="20"/>
                <w:szCs w:val="20"/>
              </w:rPr>
              <w:t>The Applicant is proposing to</w:t>
            </w:r>
            <w:r w:rsidR="00BC0558">
              <w:rPr>
                <w:rFonts w:ascii="Garamond" w:eastAsia="Calibri" w:hAnsi="Garamond" w:cs="Times New Roman"/>
                <w:sz w:val="20"/>
                <w:szCs w:val="20"/>
              </w:rPr>
              <w:t xml:space="preserve"> establish a licensed clinic to provide MRI services at Heywood Hospital and mobile </w:t>
            </w:r>
            <w:r w:rsidR="00635F72">
              <w:rPr>
                <w:rFonts w:ascii="Garamond" w:eastAsia="Calibri" w:hAnsi="Garamond" w:cs="Times New Roman"/>
                <w:sz w:val="20"/>
                <w:szCs w:val="20"/>
              </w:rPr>
              <w:t xml:space="preserve">PET-CT </w:t>
            </w:r>
            <w:r w:rsidR="00BC0558">
              <w:rPr>
                <w:rFonts w:ascii="Garamond" w:eastAsia="Calibri" w:hAnsi="Garamond" w:cs="Times New Roman"/>
                <w:sz w:val="20"/>
                <w:szCs w:val="20"/>
              </w:rPr>
              <w:t>services at Athol Hospital.</w:t>
            </w:r>
            <w:r w:rsidR="00BC18C8">
              <w:rPr>
                <w:rFonts w:ascii="Garamond" w:eastAsia="Calibri" w:hAnsi="Garamond" w:cs="Times New Roman"/>
                <w:sz w:val="20"/>
                <w:szCs w:val="20"/>
              </w:rPr>
              <w:t xml:space="preserve"> The imaging services are currently provided through a different vendor whose contract is ending. </w:t>
            </w:r>
          </w:p>
        </w:tc>
        <w:tc>
          <w:tcPr>
            <w:tcW w:w="0" w:type="auto"/>
          </w:tcPr>
          <w:p w14:paraId="5FAC1D73" w14:textId="77777777" w:rsidR="00897353" w:rsidRPr="00897353" w:rsidRDefault="00897353" w:rsidP="00897353">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897353">
              <w:rPr>
                <w:rFonts w:ascii="Garamond" w:eastAsia="Calibri" w:hAnsi="Garamond" w:cs="Cambria"/>
                <w:sz w:val="20"/>
                <w:szCs w:val="20"/>
              </w:rPr>
              <w:sym w:font="Wingdings" w:char="F0FC"/>
            </w:r>
          </w:p>
        </w:tc>
        <w:tc>
          <w:tcPr>
            <w:tcW w:w="0" w:type="auto"/>
          </w:tcPr>
          <w:p w14:paraId="68F2BBD6" w14:textId="77777777" w:rsidR="00897353" w:rsidRPr="00897353" w:rsidRDefault="00897353" w:rsidP="00897353">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897353">
              <w:rPr>
                <w:rFonts w:ascii="Garamond" w:eastAsia="Calibri" w:hAnsi="Garamond" w:cs="Cambria"/>
                <w:sz w:val="20"/>
                <w:szCs w:val="20"/>
              </w:rPr>
              <w:sym w:font="Wingdings" w:char="F0FC"/>
            </w:r>
          </w:p>
        </w:tc>
        <w:tc>
          <w:tcPr>
            <w:tcW w:w="0" w:type="auto"/>
          </w:tcPr>
          <w:p w14:paraId="431CF2A2" w14:textId="77777777" w:rsidR="00897353" w:rsidRPr="00897353" w:rsidRDefault="00897353" w:rsidP="00897353">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sidRPr="00897353">
              <w:rPr>
                <w:rFonts w:ascii="Garamond" w:eastAsia="Calibri" w:hAnsi="Garamond" w:cs="Cambria"/>
                <w:sz w:val="20"/>
                <w:szCs w:val="20"/>
              </w:rPr>
              <w:sym w:font="Wingdings" w:char="F0FC"/>
            </w:r>
          </w:p>
        </w:tc>
        <w:tc>
          <w:tcPr>
            <w:tcW w:w="0" w:type="auto"/>
          </w:tcPr>
          <w:p w14:paraId="48950E49" w14:textId="77777777" w:rsidR="00897353" w:rsidRPr="00897353" w:rsidRDefault="00897353" w:rsidP="00897353">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sidRPr="00897353">
              <w:rPr>
                <w:rFonts w:ascii="Garamond" w:eastAsia="Calibri" w:hAnsi="Garamond" w:cs="Cambria"/>
                <w:sz w:val="20"/>
                <w:szCs w:val="20"/>
              </w:rPr>
              <w:sym w:font="Wingdings" w:char="F0FC"/>
            </w:r>
          </w:p>
        </w:tc>
      </w:tr>
    </w:tbl>
    <w:p w14:paraId="78017998" w14:textId="77777777" w:rsidR="00897353" w:rsidRPr="00897353" w:rsidRDefault="00897353" w:rsidP="00897353">
      <w:pPr>
        <w:spacing w:after="0" w:line="240" w:lineRule="auto"/>
        <w:contextualSpacing/>
        <w:rPr>
          <w:rFonts w:ascii="Garamond" w:eastAsia="Calibri" w:hAnsi="Garamond" w:cs="Times New Roman"/>
        </w:rPr>
        <w:sectPr w:rsidR="00897353" w:rsidRPr="00897353" w:rsidSect="00E72B07">
          <w:endnotePr>
            <w:numFmt w:val="lowerLetter"/>
          </w:endnotePr>
          <w:pgSz w:w="15840" w:h="12240" w:orient="landscape"/>
          <w:pgMar w:top="360" w:right="1080" w:bottom="1440" w:left="1080" w:header="720" w:footer="720" w:gutter="0"/>
          <w:cols w:space="720"/>
          <w:docGrid w:linePitch="360"/>
        </w:sectPr>
      </w:pPr>
    </w:p>
    <w:p w14:paraId="72606428" w14:textId="5F3FD3DF" w:rsidR="00513147" w:rsidRPr="00837441" w:rsidRDefault="00D57998">
      <w:pPr>
        <w:rPr>
          <w:b/>
          <w:bCs/>
          <w:sz w:val="28"/>
          <w:szCs w:val="28"/>
        </w:rPr>
      </w:pPr>
      <w:r w:rsidRPr="00837441">
        <w:rPr>
          <w:b/>
          <w:bCs/>
          <w:sz w:val="28"/>
          <w:szCs w:val="28"/>
        </w:rPr>
        <w:lastRenderedPageBreak/>
        <w:t>Patient Panel</w:t>
      </w:r>
      <w:r w:rsidR="0017637D" w:rsidRPr="00837441">
        <w:rPr>
          <w:rStyle w:val="FootnoteReference"/>
          <w:b/>
          <w:bCs/>
          <w:sz w:val="28"/>
          <w:szCs w:val="28"/>
        </w:rPr>
        <w:footnoteReference w:id="6"/>
      </w:r>
      <w:r w:rsidRPr="00837441">
        <w:rPr>
          <w:b/>
          <w:bCs/>
          <w:sz w:val="28"/>
          <w:szCs w:val="28"/>
        </w:rPr>
        <w:t xml:space="preserve"> </w:t>
      </w:r>
    </w:p>
    <w:p w14:paraId="64F10805" w14:textId="45C44098" w:rsidR="00373F67" w:rsidRPr="00193129" w:rsidRDefault="00DB394D" w:rsidP="009F3023">
      <w:pPr>
        <w:spacing w:after="0" w:line="240" w:lineRule="auto"/>
        <w:rPr>
          <w:sz w:val="24"/>
          <w:szCs w:val="24"/>
        </w:rPr>
      </w:pPr>
      <w:r w:rsidRPr="00151371">
        <w:rPr>
          <w:sz w:val="24"/>
          <w:szCs w:val="24"/>
        </w:rPr>
        <w:t xml:space="preserve">The Applicant is a </w:t>
      </w:r>
      <w:r w:rsidR="006607D0" w:rsidRPr="00151371">
        <w:rPr>
          <w:sz w:val="24"/>
          <w:szCs w:val="24"/>
        </w:rPr>
        <w:t>newly formed</w:t>
      </w:r>
      <w:r w:rsidRPr="00151371">
        <w:rPr>
          <w:sz w:val="24"/>
          <w:szCs w:val="24"/>
        </w:rPr>
        <w:t xml:space="preserve"> joint venture and does not have its own Patient Panel. </w:t>
      </w:r>
      <w:r w:rsidR="00B72E77">
        <w:rPr>
          <w:sz w:val="24"/>
          <w:szCs w:val="24"/>
        </w:rPr>
        <w:t>The Applicant review</w:t>
      </w:r>
      <w:r w:rsidR="00913287">
        <w:rPr>
          <w:sz w:val="24"/>
          <w:szCs w:val="24"/>
        </w:rPr>
        <w:t>ed</w:t>
      </w:r>
      <w:r w:rsidR="00B72E77">
        <w:rPr>
          <w:sz w:val="24"/>
          <w:szCs w:val="24"/>
        </w:rPr>
        <w:t xml:space="preserve"> the Patient Panels of Heywood and Athol Hospitals </w:t>
      </w:r>
      <w:r w:rsidR="00913287">
        <w:rPr>
          <w:sz w:val="24"/>
          <w:szCs w:val="24"/>
        </w:rPr>
        <w:t xml:space="preserve">from fiscal year (FY)18 </w:t>
      </w:r>
      <w:r w:rsidR="00C75273">
        <w:rPr>
          <w:sz w:val="24"/>
          <w:szCs w:val="24"/>
        </w:rPr>
        <w:t>to FY20 and</w:t>
      </w:r>
      <w:r w:rsidR="00AF58D5">
        <w:rPr>
          <w:sz w:val="24"/>
          <w:szCs w:val="24"/>
        </w:rPr>
        <w:t xml:space="preserve"> the first quarter of FY2</w:t>
      </w:r>
      <w:r w:rsidR="00281F95">
        <w:rPr>
          <w:sz w:val="24"/>
          <w:szCs w:val="24"/>
        </w:rPr>
        <w:t>1</w:t>
      </w:r>
      <w:r w:rsidR="00913287">
        <w:rPr>
          <w:sz w:val="24"/>
          <w:szCs w:val="24"/>
        </w:rPr>
        <w:t xml:space="preserve"> </w:t>
      </w:r>
      <w:r w:rsidR="00B72E77">
        <w:rPr>
          <w:sz w:val="24"/>
          <w:szCs w:val="24"/>
        </w:rPr>
        <w:t>to define its Patient Panel and to determine need for the Proposed Project.</w:t>
      </w:r>
      <w:r w:rsidR="00E724AC">
        <w:rPr>
          <w:rStyle w:val="FootnoteReference"/>
          <w:sz w:val="24"/>
          <w:szCs w:val="24"/>
        </w:rPr>
        <w:footnoteReference w:id="7"/>
      </w:r>
      <w:r w:rsidR="00B72E77">
        <w:rPr>
          <w:sz w:val="24"/>
          <w:szCs w:val="24"/>
        </w:rPr>
        <w:t xml:space="preserve"> </w:t>
      </w:r>
      <w:r w:rsidR="00097CC1">
        <w:rPr>
          <w:sz w:val="24"/>
          <w:szCs w:val="24"/>
        </w:rPr>
        <w:t xml:space="preserve">The Patient Panel data for FY18-20 are provided in Table </w:t>
      </w:r>
      <w:r w:rsidR="006607D0">
        <w:rPr>
          <w:sz w:val="24"/>
          <w:szCs w:val="24"/>
        </w:rPr>
        <w:t xml:space="preserve">1 </w:t>
      </w:r>
      <w:r w:rsidR="00097CC1">
        <w:rPr>
          <w:sz w:val="24"/>
          <w:szCs w:val="24"/>
        </w:rPr>
        <w:t xml:space="preserve">below. </w:t>
      </w:r>
      <w:r w:rsidR="00F84FDD">
        <w:rPr>
          <w:sz w:val="24"/>
          <w:szCs w:val="24"/>
        </w:rPr>
        <w:t xml:space="preserve">Heywood </w:t>
      </w:r>
      <w:r w:rsidR="006607D0">
        <w:rPr>
          <w:sz w:val="24"/>
          <w:szCs w:val="24"/>
        </w:rPr>
        <w:t xml:space="preserve">and Athol </w:t>
      </w:r>
      <w:r w:rsidR="00F84FDD">
        <w:rPr>
          <w:sz w:val="24"/>
          <w:szCs w:val="24"/>
        </w:rPr>
        <w:t>Hospital</w:t>
      </w:r>
      <w:r w:rsidR="006607D0">
        <w:rPr>
          <w:sz w:val="24"/>
          <w:szCs w:val="24"/>
        </w:rPr>
        <w:t>s</w:t>
      </w:r>
      <w:r w:rsidR="00F84FDD">
        <w:rPr>
          <w:sz w:val="24"/>
          <w:szCs w:val="24"/>
        </w:rPr>
        <w:t xml:space="preserve"> serve</w:t>
      </w:r>
      <w:r w:rsidR="003634E3">
        <w:rPr>
          <w:sz w:val="24"/>
          <w:szCs w:val="24"/>
        </w:rPr>
        <w:t>d ~</w:t>
      </w:r>
      <w:r w:rsidR="00771D31">
        <w:rPr>
          <w:sz w:val="24"/>
          <w:szCs w:val="24"/>
        </w:rPr>
        <w:t>49,000 and</w:t>
      </w:r>
      <w:r w:rsidR="006607D0">
        <w:rPr>
          <w:sz w:val="24"/>
          <w:szCs w:val="24"/>
        </w:rPr>
        <w:t xml:space="preserve"> ~ 15,000 </w:t>
      </w:r>
      <w:r w:rsidR="003634E3">
        <w:rPr>
          <w:sz w:val="24"/>
          <w:szCs w:val="24"/>
        </w:rPr>
        <w:t xml:space="preserve">patients </w:t>
      </w:r>
      <w:r w:rsidR="00F84FDD">
        <w:rPr>
          <w:sz w:val="24"/>
          <w:szCs w:val="24"/>
        </w:rPr>
        <w:t xml:space="preserve">annually. </w:t>
      </w:r>
    </w:p>
    <w:p w14:paraId="2194A8F4" w14:textId="59325BE0" w:rsidR="00373F67" w:rsidRDefault="00373F67" w:rsidP="0059582B">
      <w:pPr>
        <w:spacing w:after="0"/>
      </w:pPr>
    </w:p>
    <w:p w14:paraId="75E4F6EC" w14:textId="79423B15" w:rsidR="00193129" w:rsidRPr="00193129" w:rsidRDefault="00193129" w:rsidP="00193129">
      <w:pPr>
        <w:spacing w:after="0"/>
        <w:jc w:val="center"/>
        <w:rPr>
          <w:b/>
          <w:bCs/>
          <w:sz w:val="24"/>
          <w:szCs w:val="24"/>
        </w:rPr>
      </w:pPr>
      <w:r w:rsidRPr="00193129">
        <w:rPr>
          <w:b/>
          <w:bCs/>
          <w:sz w:val="24"/>
          <w:szCs w:val="24"/>
        </w:rPr>
        <w:t xml:space="preserve">Table 1: Patient </w:t>
      </w:r>
      <w:r w:rsidR="004112A7">
        <w:rPr>
          <w:b/>
          <w:bCs/>
          <w:sz w:val="24"/>
          <w:szCs w:val="24"/>
        </w:rPr>
        <w:t>Panel</w:t>
      </w:r>
      <w:r w:rsidRPr="00193129">
        <w:rPr>
          <w:b/>
          <w:bCs/>
          <w:sz w:val="24"/>
          <w:szCs w:val="24"/>
        </w:rPr>
        <w:t xml:space="preserve"> (Fiscal Years 2018-2020)</w:t>
      </w:r>
    </w:p>
    <w:p w14:paraId="6BE1B125" w14:textId="77777777" w:rsidR="00193129" w:rsidRPr="00193129" w:rsidRDefault="00193129" w:rsidP="00193129">
      <w:pPr>
        <w:spacing w:after="0"/>
        <w:rPr>
          <w:b/>
          <w:bCs/>
        </w:rPr>
      </w:pPr>
    </w:p>
    <w:tbl>
      <w:tblPr>
        <w:tblStyle w:val="TableGrid"/>
        <w:tblW w:w="0" w:type="auto"/>
        <w:jc w:val="center"/>
        <w:tblLook w:val="04A0" w:firstRow="1" w:lastRow="0" w:firstColumn="1" w:lastColumn="0" w:noHBand="0" w:noVBand="1"/>
        <w:tblCaption w:val="Table 1: Patient Panel (Fiscal Years 2018-2020)"/>
        <w:tblDescription w:val="Hospital FY18 FY19 FY20&#10;Heywood Hospital 48,691 49,580 48,237&#10;Athol Hospital 14,884 15,638 14,802&#10;"/>
      </w:tblPr>
      <w:tblGrid>
        <w:gridCol w:w="2605"/>
        <w:gridCol w:w="1710"/>
        <w:gridCol w:w="1530"/>
        <w:gridCol w:w="1710"/>
      </w:tblGrid>
      <w:tr w:rsidR="00193129" w:rsidRPr="00193129" w14:paraId="00E2B73E" w14:textId="77777777" w:rsidTr="00B52786">
        <w:trPr>
          <w:tblHeader/>
          <w:jc w:val="center"/>
        </w:trPr>
        <w:tc>
          <w:tcPr>
            <w:tcW w:w="2605" w:type="dxa"/>
            <w:shd w:val="clear" w:color="auto" w:fill="F2F2F2" w:themeFill="background1" w:themeFillShade="F2"/>
          </w:tcPr>
          <w:p w14:paraId="4C55CA8F" w14:textId="77777777" w:rsidR="00193129" w:rsidRPr="00193129" w:rsidRDefault="00193129" w:rsidP="00193129">
            <w:pPr>
              <w:spacing w:line="259" w:lineRule="auto"/>
              <w:rPr>
                <w:b/>
                <w:bCs/>
              </w:rPr>
            </w:pPr>
            <w:r w:rsidRPr="00193129">
              <w:rPr>
                <w:b/>
                <w:bCs/>
              </w:rPr>
              <w:t>Hospital</w:t>
            </w:r>
          </w:p>
        </w:tc>
        <w:tc>
          <w:tcPr>
            <w:tcW w:w="1710" w:type="dxa"/>
            <w:shd w:val="clear" w:color="auto" w:fill="F2F2F2" w:themeFill="background1" w:themeFillShade="F2"/>
          </w:tcPr>
          <w:p w14:paraId="12489C01" w14:textId="1C09F19D" w:rsidR="00193129" w:rsidRPr="00193129" w:rsidRDefault="00193129" w:rsidP="00193129">
            <w:pPr>
              <w:spacing w:line="259" w:lineRule="auto"/>
              <w:rPr>
                <w:b/>
                <w:bCs/>
              </w:rPr>
            </w:pPr>
            <w:r w:rsidRPr="00193129">
              <w:rPr>
                <w:b/>
                <w:bCs/>
              </w:rPr>
              <w:t>FY18</w:t>
            </w:r>
          </w:p>
        </w:tc>
        <w:tc>
          <w:tcPr>
            <w:tcW w:w="1530" w:type="dxa"/>
            <w:shd w:val="clear" w:color="auto" w:fill="F2F2F2" w:themeFill="background1" w:themeFillShade="F2"/>
          </w:tcPr>
          <w:p w14:paraId="069593DB" w14:textId="77777777" w:rsidR="00193129" w:rsidRPr="00193129" w:rsidRDefault="00193129" w:rsidP="00193129">
            <w:pPr>
              <w:spacing w:line="259" w:lineRule="auto"/>
              <w:rPr>
                <w:b/>
                <w:bCs/>
              </w:rPr>
            </w:pPr>
            <w:r w:rsidRPr="00193129">
              <w:rPr>
                <w:b/>
                <w:bCs/>
              </w:rPr>
              <w:t>FY19</w:t>
            </w:r>
          </w:p>
        </w:tc>
        <w:tc>
          <w:tcPr>
            <w:tcW w:w="1710" w:type="dxa"/>
            <w:shd w:val="clear" w:color="auto" w:fill="F2F2F2" w:themeFill="background1" w:themeFillShade="F2"/>
          </w:tcPr>
          <w:p w14:paraId="3355E298" w14:textId="77777777" w:rsidR="00193129" w:rsidRPr="00193129" w:rsidRDefault="00193129" w:rsidP="00193129">
            <w:pPr>
              <w:spacing w:line="259" w:lineRule="auto"/>
              <w:rPr>
                <w:b/>
                <w:bCs/>
              </w:rPr>
            </w:pPr>
            <w:r w:rsidRPr="00193129">
              <w:rPr>
                <w:b/>
                <w:bCs/>
              </w:rPr>
              <w:t>FY20</w:t>
            </w:r>
          </w:p>
        </w:tc>
      </w:tr>
      <w:tr w:rsidR="00193129" w:rsidRPr="00193129" w14:paraId="56AEBFD0" w14:textId="77777777" w:rsidTr="00E72B07">
        <w:trPr>
          <w:jc w:val="center"/>
        </w:trPr>
        <w:tc>
          <w:tcPr>
            <w:tcW w:w="2605" w:type="dxa"/>
          </w:tcPr>
          <w:p w14:paraId="149C66B8" w14:textId="77777777" w:rsidR="00193129" w:rsidRPr="00193129" w:rsidRDefault="00193129" w:rsidP="00193129">
            <w:pPr>
              <w:spacing w:line="259" w:lineRule="auto"/>
              <w:rPr>
                <w:b/>
                <w:bCs/>
              </w:rPr>
            </w:pPr>
            <w:r w:rsidRPr="00193129">
              <w:rPr>
                <w:b/>
                <w:bCs/>
              </w:rPr>
              <w:t>Heywood Hospital</w:t>
            </w:r>
          </w:p>
        </w:tc>
        <w:tc>
          <w:tcPr>
            <w:tcW w:w="1710" w:type="dxa"/>
          </w:tcPr>
          <w:p w14:paraId="4F1D663A" w14:textId="77777777" w:rsidR="00193129" w:rsidRPr="00193129" w:rsidRDefault="00193129" w:rsidP="00193129">
            <w:pPr>
              <w:spacing w:line="259" w:lineRule="auto"/>
              <w:rPr>
                <w:b/>
                <w:bCs/>
              </w:rPr>
            </w:pPr>
            <w:r w:rsidRPr="00193129">
              <w:t>48,691</w:t>
            </w:r>
          </w:p>
        </w:tc>
        <w:tc>
          <w:tcPr>
            <w:tcW w:w="1530" w:type="dxa"/>
          </w:tcPr>
          <w:p w14:paraId="35E7AC0E" w14:textId="77777777" w:rsidR="00193129" w:rsidRPr="00193129" w:rsidRDefault="00193129" w:rsidP="00193129">
            <w:pPr>
              <w:spacing w:line="259" w:lineRule="auto"/>
              <w:rPr>
                <w:b/>
                <w:bCs/>
              </w:rPr>
            </w:pPr>
            <w:r w:rsidRPr="00193129">
              <w:t>49,580</w:t>
            </w:r>
          </w:p>
        </w:tc>
        <w:tc>
          <w:tcPr>
            <w:tcW w:w="1710" w:type="dxa"/>
          </w:tcPr>
          <w:p w14:paraId="13C06350" w14:textId="77777777" w:rsidR="00193129" w:rsidRPr="00193129" w:rsidRDefault="00193129" w:rsidP="00193129">
            <w:pPr>
              <w:spacing w:line="259" w:lineRule="auto"/>
              <w:rPr>
                <w:b/>
                <w:bCs/>
              </w:rPr>
            </w:pPr>
            <w:r w:rsidRPr="00193129">
              <w:t>48,237</w:t>
            </w:r>
          </w:p>
        </w:tc>
      </w:tr>
      <w:tr w:rsidR="00193129" w:rsidRPr="00193129" w14:paraId="6B4F1572" w14:textId="77777777" w:rsidTr="00E72B07">
        <w:trPr>
          <w:jc w:val="center"/>
        </w:trPr>
        <w:tc>
          <w:tcPr>
            <w:tcW w:w="2605" w:type="dxa"/>
          </w:tcPr>
          <w:p w14:paraId="090180E8" w14:textId="77777777" w:rsidR="00193129" w:rsidRPr="00193129" w:rsidRDefault="00193129" w:rsidP="00193129">
            <w:pPr>
              <w:spacing w:line="259" w:lineRule="auto"/>
              <w:rPr>
                <w:b/>
                <w:bCs/>
              </w:rPr>
            </w:pPr>
            <w:r w:rsidRPr="00193129">
              <w:rPr>
                <w:b/>
                <w:bCs/>
              </w:rPr>
              <w:t>Athol Hospital</w:t>
            </w:r>
          </w:p>
        </w:tc>
        <w:tc>
          <w:tcPr>
            <w:tcW w:w="1710" w:type="dxa"/>
          </w:tcPr>
          <w:p w14:paraId="19BAFECE" w14:textId="77777777" w:rsidR="00193129" w:rsidRPr="00193129" w:rsidRDefault="00193129" w:rsidP="00193129">
            <w:pPr>
              <w:spacing w:line="259" w:lineRule="auto"/>
              <w:rPr>
                <w:b/>
                <w:bCs/>
              </w:rPr>
            </w:pPr>
            <w:r w:rsidRPr="00193129">
              <w:t>14,884</w:t>
            </w:r>
          </w:p>
        </w:tc>
        <w:tc>
          <w:tcPr>
            <w:tcW w:w="1530" w:type="dxa"/>
          </w:tcPr>
          <w:p w14:paraId="35CDD2FE" w14:textId="77777777" w:rsidR="00193129" w:rsidRPr="00193129" w:rsidRDefault="00193129" w:rsidP="00193129">
            <w:pPr>
              <w:spacing w:line="259" w:lineRule="auto"/>
              <w:rPr>
                <w:b/>
                <w:bCs/>
              </w:rPr>
            </w:pPr>
            <w:r w:rsidRPr="00193129">
              <w:t>15,638</w:t>
            </w:r>
          </w:p>
        </w:tc>
        <w:tc>
          <w:tcPr>
            <w:tcW w:w="1710" w:type="dxa"/>
          </w:tcPr>
          <w:p w14:paraId="34242FEB" w14:textId="77777777" w:rsidR="00193129" w:rsidRPr="00193129" w:rsidRDefault="00193129" w:rsidP="00193129">
            <w:pPr>
              <w:spacing w:line="259" w:lineRule="auto"/>
              <w:rPr>
                <w:b/>
                <w:bCs/>
              </w:rPr>
            </w:pPr>
            <w:r w:rsidRPr="00193129">
              <w:t>14,802</w:t>
            </w:r>
          </w:p>
        </w:tc>
      </w:tr>
    </w:tbl>
    <w:p w14:paraId="7BFB9569" w14:textId="7D9FD2B4" w:rsidR="00193129" w:rsidRDefault="00193129" w:rsidP="0059582B">
      <w:pPr>
        <w:spacing w:after="0"/>
      </w:pPr>
    </w:p>
    <w:p w14:paraId="22673594" w14:textId="3D524332" w:rsidR="00B30C38" w:rsidRPr="000641F1" w:rsidRDefault="000F7F55" w:rsidP="000641F1">
      <w:pPr>
        <w:spacing w:after="0" w:line="240" w:lineRule="auto"/>
        <w:rPr>
          <w:sz w:val="24"/>
          <w:szCs w:val="24"/>
        </w:rPr>
      </w:pPr>
      <w:r w:rsidRPr="000641F1">
        <w:rPr>
          <w:sz w:val="24"/>
          <w:szCs w:val="24"/>
        </w:rPr>
        <w:t>The Applicant provided</w:t>
      </w:r>
      <w:r w:rsidR="00BF75C4" w:rsidRPr="000641F1">
        <w:rPr>
          <w:sz w:val="24"/>
          <w:szCs w:val="24"/>
        </w:rPr>
        <w:t xml:space="preserve"> </w:t>
      </w:r>
      <w:r w:rsidR="009F3023" w:rsidRPr="000641F1">
        <w:rPr>
          <w:sz w:val="24"/>
          <w:szCs w:val="24"/>
        </w:rPr>
        <w:t>demographic</w:t>
      </w:r>
      <w:r w:rsidRPr="000641F1">
        <w:rPr>
          <w:sz w:val="24"/>
          <w:szCs w:val="24"/>
        </w:rPr>
        <w:t xml:space="preserve"> information on </w:t>
      </w:r>
      <w:r w:rsidR="006607D0">
        <w:rPr>
          <w:sz w:val="24"/>
          <w:szCs w:val="24"/>
        </w:rPr>
        <w:t xml:space="preserve">the </w:t>
      </w:r>
      <w:r w:rsidRPr="000641F1">
        <w:rPr>
          <w:sz w:val="24"/>
          <w:szCs w:val="24"/>
        </w:rPr>
        <w:t>Heywood Hospital and Athol Hospital patient populations</w:t>
      </w:r>
      <w:r w:rsidR="004A4242" w:rsidRPr="000641F1">
        <w:rPr>
          <w:sz w:val="24"/>
          <w:szCs w:val="24"/>
        </w:rPr>
        <w:t xml:space="preserve">. This information is presented </w:t>
      </w:r>
      <w:r w:rsidR="009F3023" w:rsidRPr="000641F1">
        <w:rPr>
          <w:sz w:val="24"/>
          <w:szCs w:val="24"/>
        </w:rPr>
        <w:t xml:space="preserve">in Table </w:t>
      </w:r>
      <w:r w:rsidR="006607D0">
        <w:rPr>
          <w:sz w:val="24"/>
          <w:szCs w:val="24"/>
        </w:rPr>
        <w:t>2</w:t>
      </w:r>
      <w:r w:rsidR="006607D0" w:rsidRPr="000641F1">
        <w:rPr>
          <w:sz w:val="24"/>
          <w:szCs w:val="24"/>
        </w:rPr>
        <w:t xml:space="preserve"> </w:t>
      </w:r>
      <w:r w:rsidR="009F3023" w:rsidRPr="000641F1">
        <w:rPr>
          <w:sz w:val="24"/>
          <w:szCs w:val="24"/>
        </w:rPr>
        <w:t>below</w:t>
      </w:r>
      <w:r w:rsidR="004A4242" w:rsidRPr="000641F1">
        <w:rPr>
          <w:sz w:val="24"/>
          <w:szCs w:val="24"/>
        </w:rPr>
        <w:t xml:space="preserve"> for FY20.</w:t>
      </w:r>
      <w:r w:rsidR="00CA397C" w:rsidRPr="000641F1">
        <w:rPr>
          <w:sz w:val="24"/>
          <w:szCs w:val="24"/>
        </w:rPr>
        <w:t xml:space="preserve"> Staff notes the following observations about these data below:</w:t>
      </w:r>
    </w:p>
    <w:p w14:paraId="0E15CB49" w14:textId="78D3E37C" w:rsidR="009F3023" w:rsidRPr="00D408CF" w:rsidRDefault="009F3023" w:rsidP="000641F1">
      <w:pPr>
        <w:pStyle w:val="ListParagraph"/>
        <w:numPr>
          <w:ilvl w:val="0"/>
          <w:numId w:val="3"/>
        </w:numPr>
        <w:spacing w:line="240" w:lineRule="auto"/>
        <w:rPr>
          <w:sz w:val="24"/>
          <w:szCs w:val="24"/>
        </w:rPr>
      </w:pPr>
      <w:r w:rsidRPr="000641F1">
        <w:rPr>
          <w:b/>
          <w:bCs/>
          <w:sz w:val="24"/>
          <w:szCs w:val="24"/>
        </w:rPr>
        <w:t>Age</w:t>
      </w:r>
      <w:r w:rsidR="00D408CF">
        <w:rPr>
          <w:b/>
          <w:bCs/>
          <w:sz w:val="24"/>
          <w:szCs w:val="24"/>
        </w:rPr>
        <w:t xml:space="preserve">. </w:t>
      </w:r>
      <w:r w:rsidR="00D408CF" w:rsidRPr="00D408CF">
        <w:rPr>
          <w:sz w:val="24"/>
          <w:szCs w:val="24"/>
        </w:rPr>
        <w:t>The age 60 and over population make up ~30% of the Heywood Hospital and Athol Hospital patient population</w:t>
      </w:r>
      <w:r w:rsidR="00C02029">
        <w:rPr>
          <w:sz w:val="24"/>
          <w:szCs w:val="24"/>
        </w:rPr>
        <w:t>s</w:t>
      </w:r>
      <w:r w:rsidR="00D408CF" w:rsidRPr="00D408CF">
        <w:rPr>
          <w:sz w:val="24"/>
          <w:szCs w:val="24"/>
        </w:rPr>
        <w:t xml:space="preserve">. </w:t>
      </w:r>
    </w:p>
    <w:p w14:paraId="752458BA" w14:textId="513FB260" w:rsidR="009F3023" w:rsidRPr="00B10A15" w:rsidRDefault="009F3023" w:rsidP="00B10A15">
      <w:pPr>
        <w:pStyle w:val="ListParagraph"/>
        <w:numPr>
          <w:ilvl w:val="0"/>
          <w:numId w:val="3"/>
        </w:numPr>
        <w:spacing w:line="240" w:lineRule="auto"/>
        <w:rPr>
          <w:b/>
          <w:bCs/>
          <w:sz w:val="24"/>
          <w:szCs w:val="24"/>
        </w:rPr>
      </w:pPr>
      <w:r w:rsidRPr="000641F1">
        <w:rPr>
          <w:b/>
          <w:bCs/>
          <w:sz w:val="24"/>
          <w:szCs w:val="24"/>
        </w:rPr>
        <w:t>Race/Ethnicity</w:t>
      </w:r>
      <w:r w:rsidR="00D408CF">
        <w:rPr>
          <w:b/>
          <w:bCs/>
          <w:sz w:val="24"/>
          <w:szCs w:val="24"/>
        </w:rPr>
        <w:t xml:space="preserve">. </w:t>
      </w:r>
      <w:r w:rsidR="00B10A15" w:rsidRPr="00B10A15">
        <w:rPr>
          <w:sz w:val="24"/>
          <w:szCs w:val="24"/>
        </w:rPr>
        <w:t xml:space="preserve">Caucasian is the largest race category represented among Athol Hospital and Heywood Hospital patient populations. The Applicant did not include Hispanic in their initial reporting of their patient population, so it was not included in Table 2. </w:t>
      </w:r>
      <w:proofErr w:type="spellStart"/>
      <w:r w:rsidR="00B10A15" w:rsidRPr="00B10A15">
        <w:rPr>
          <w:sz w:val="24"/>
          <w:szCs w:val="24"/>
        </w:rPr>
        <w:t>DoN</w:t>
      </w:r>
      <w:proofErr w:type="spellEnd"/>
      <w:r w:rsidR="00B10A15" w:rsidRPr="00B10A15">
        <w:rPr>
          <w:sz w:val="24"/>
          <w:szCs w:val="24"/>
        </w:rPr>
        <w:t xml:space="preserve"> staff inquired about Hispanic patients and the Applicant reported that percentage of Hispanic patients for FY20 is 3% for Heywood Hospital and 2% for Athol Hospital.</w:t>
      </w:r>
    </w:p>
    <w:p w14:paraId="0E6CD408" w14:textId="5EF9310E" w:rsidR="009F3023" w:rsidRPr="000641F1" w:rsidRDefault="009F3023" w:rsidP="000641F1">
      <w:pPr>
        <w:pStyle w:val="ListParagraph"/>
        <w:numPr>
          <w:ilvl w:val="0"/>
          <w:numId w:val="3"/>
        </w:numPr>
        <w:spacing w:line="240" w:lineRule="auto"/>
        <w:rPr>
          <w:b/>
          <w:bCs/>
          <w:sz w:val="24"/>
          <w:szCs w:val="24"/>
        </w:rPr>
      </w:pPr>
      <w:r w:rsidRPr="000641F1">
        <w:rPr>
          <w:b/>
          <w:bCs/>
          <w:sz w:val="24"/>
          <w:szCs w:val="24"/>
        </w:rPr>
        <w:t>Primary Service Area</w:t>
      </w:r>
      <w:r w:rsidR="00D408CF">
        <w:rPr>
          <w:b/>
          <w:bCs/>
          <w:sz w:val="24"/>
          <w:szCs w:val="24"/>
        </w:rPr>
        <w:t xml:space="preserve">. </w:t>
      </w:r>
      <w:r w:rsidR="00D70878" w:rsidRPr="00D70878">
        <w:rPr>
          <w:sz w:val="24"/>
          <w:szCs w:val="24"/>
        </w:rPr>
        <w:t xml:space="preserve">Athol Hospital and Heywood Hospital share </w:t>
      </w:r>
      <w:r w:rsidR="00726DFA">
        <w:rPr>
          <w:sz w:val="24"/>
          <w:szCs w:val="24"/>
        </w:rPr>
        <w:t>five</w:t>
      </w:r>
      <w:r w:rsidR="00D70878" w:rsidRPr="00D70878">
        <w:rPr>
          <w:sz w:val="24"/>
          <w:szCs w:val="24"/>
        </w:rPr>
        <w:t xml:space="preserve"> of the </w:t>
      </w:r>
      <w:r w:rsidR="00DE0077">
        <w:rPr>
          <w:sz w:val="24"/>
          <w:szCs w:val="24"/>
        </w:rPr>
        <w:t xml:space="preserve">top </w:t>
      </w:r>
      <w:r w:rsidR="006607D0" w:rsidRPr="00D70878">
        <w:rPr>
          <w:sz w:val="24"/>
          <w:szCs w:val="24"/>
        </w:rPr>
        <w:t>zip codes</w:t>
      </w:r>
      <w:r w:rsidR="00D70878" w:rsidRPr="00D70878">
        <w:rPr>
          <w:sz w:val="24"/>
          <w:szCs w:val="24"/>
        </w:rPr>
        <w:t xml:space="preserve"> for their patient populations.</w:t>
      </w:r>
    </w:p>
    <w:p w14:paraId="4C9ECD85" w14:textId="033F388B" w:rsidR="00B30C38" w:rsidRDefault="00B30C38" w:rsidP="0059582B">
      <w:pPr>
        <w:spacing w:after="0"/>
      </w:pPr>
    </w:p>
    <w:p w14:paraId="376D446A" w14:textId="4193AB4D" w:rsidR="00D40C69" w:rsidRPr="008C1ACC" w:rsidRDefault="009F3023" w:rsidP="009F3023">
      <w:pPr>
        <w:jc w:val="center"/>
        <w:rPr>
          <w:b/>
          <w:bCs/>
          <w:sz w:val="24"/>
          <w:szCs w:val="24"/>
        </w:rPr>
      </w:pPr>
      <w:r w:rsidRPr="008C1ACC">
        <w:rPr>
          <w:b/>
          <w:bCs/>
          <w:sz w:val="24"/>
          <w:szCs w:val="24"/>
        </w:rPr>
        <w:t xml:space="preserve">Table </w:t>
      </w:r>
      <w:r w:rsidR="00DE4C72">
        <w:rPr>
          <w:b/>
          <w:bCs/>
          <w:sz w:val="24"/>
          <w:szCs w:val="24"/>
        </w:rPr>
        <w:t>2</w:t>
      </w:r>
      <w:r w:rsidRPr="008C1ACC">
        <w:rPr>
          <w:b/>
          <w:bCs/>
          <w:sz w:val="24"/>
          <w:szCs w:val="24"/>
        </w:rPr>
        <w:t xml:space="preserve">: </w:t>
      </w:r>
      <w:r w:rsidR="00D40C69" w:rsidRPr="008C1ACC">
        <w:rPr>
          <w:b/>
          <w:bCs/>
          <w:sz w:val="24"/>
          <w:szCs w:val="24"/>
        </w:rPr>
        <w:t>Demographic Profiles (</w:t>
      </w:r>
      <w:r w:rsidR="004A4242" w:rsidRPr="008C1ACC">
        <w:rPr>
          <w:b/>
          <w:bCs/>
          <w:sz w:val="24"/>
          <w:szCs w:val="24"/>
        </w:rPr>
        <w:t>FY</w:t>
      </w:r>
      <w:r w:rsidR="00D40C69" w:rsidRPr="008C1ACC">
        <w:rPr>
          <w:b/>
          <w:bCs/>
          <w:sz w:val="24"/>
          <w:szCs w:val="24"/>
        </w:rPr>
        <w:t>20)</w:t>
      </w:r>
    </w:p>
    <w:tbl>
      <w:tblPr>
        <w:tblStyle w:val="TableGrid"/>
        <w:tblW w:w="0" w:type="auto"/>
        <w:jc w:val="center"/>
        <w:tblLook w:val="04A0" w:firstRow="1" w:lastRow="0" w:firstColumn="1" w:lastColumn="0" w:noHBand="0" w:noVBand="1"/>
        <w:tblCaption w:val="Table 2: Demographic Profiles (FY20)"/>
        <w:tblDescription w:val=" Heywood Hospital Athol Hospital&#10;Patients 48,237 14,802&#10;Gender &#10;Male or data unavailable&#10;Female  &#10;43.3%&#10;56.6% &#10;44%&#10;56%&#10;Age &#10;0-17&#10;18-59&#10;60+ &#10;13.7%&#10;56%&#10;30.3% &#10;12.7%&#10;54.2%&#10;33.1%&#10;Race/Ethnicity &#10;White/Caucasian&#10;Black&#10;Asian&#10;Hawaiian or Pacific Islander,&#10;American Indian or Alaska Native &#10;Unknown, identified as race/ethnicity not listed, or declined to respond &#10;87.73%&#10;1.70%&#10;0.55%&#10;0.04%&#10;&#10;9.98% &#10;92.8%&#10;1.3%&#10;0.4%&#10;&#10;&#10;5.5%&#10;Patient Origin &#10; &#10;Gardner (25.2%) &#10;Winchendon (11.5%)&#10;Athol (11.0%)&#10;Templeton (9.0%) Ashburnham (5.5%) Westminster (5.4%)&#10;Fitchburg (4.8%)&#10;Orange (4.8%)&#10;Hubbardston (3.3%)&#10;Reside in another town or city in Massachusetts or reside outside of &#10;Massachusetts (19.5%) &#10;Athol (45.8%)&#10;Orange (24.2%)&#10;Gardner (3.6%)&#10;Templeton (3.6%)&#10;Petersham (2.4%)&#10;Royalston (2.3%)&#10;Winchendon (2.2%)&#10;New Salem (1.7%)&#10;Warwick (1.1%)&#10;Reside in another town or city in Massachusetts or reside outside of &#10;Massachusetts (13.1%)&#10;"/>
      </w:tblPr>
      <w:tblGrid>
        <w:gridCol w:w="3415"/>
        <w:gridCol w:w="2818"/>
        <w:gridCol w:w="3117"/>
      </w:tblGrid>
      <w:tr w:rsidR="00D40C69" w:rsidRPr="0050158A" w14:paraId="6CF194BB" w14:textId="77777777" w:rsidTr="00B52786">
        <w:trPr>
          <w:tblHeader/>
          <w:jc w:val="center"/>
        </w:trPr>
        <w:tc>
          <w:tcPr>
            <w:tcW w:w="3415" w:type="dxa"/>
          </w:tcPr>
          <w:p w14:paraId="75E66C26" w14:textId="77777777" w:rsidR="00D40C69" w:rsidRPr="0050158A" w:rsidRDefault="00D40C69" w:rsidP="00E72B07">
            <w:pPr>
              <w:rPr>
                <w:rFonts w:cstheme="minorHAnsi"/>
              </w:rPr>
            </w:pPr>
          </w:p>
        </w:tc>
        <w:tc>
          <w:tcPr>
            <w:tcW w:w="2818" w:type="dxa"/>
            <w:shd w:val="clear" w:color="auto" w:fill="F2F2F2" w:themeFill="background1" w:themeFillShade="F2"/>
          </w:tcPr>
          <w:p w14:paraId="23CFEDA2" w14:textId="4C7157C7" w:rsidR="00D40C69" w:rsidRPr="0050158A" w:rsidRDefault="00D40C69" w:rsidP="00E72B07">
            <w:pPr>
              <w:rPr>
                <w:rFonts w:cstheme="minorHAnsi"/>
                <w:b/>
                <w:bCs/>
              </w:rPr>
            </w:pPr>
            <w:r w:rsidRPr="0050158A">
              <w:rPr>
                <w:rFonts w:cstheme="minorHAnsi"/>
                <w:b/>
                <w:bCs/>
              </w:rPr>
              <w:t>Heywood Hospital</w:t>
            </w:r>
          </w:p>
        </w:tc>
        <w:tc>
          <w:tcPr>
            <w:tcW w:w="3117" w:type="dxa"/>
            <w:shd w:val="clear" w:color="auto" w:fill="F2F2F2" w:themeFill="background1" w:themeFillShade="F2"/>
          </w:tcPr>
          <w:p w14:paraId="7ADC3531" w14:textId="44445712" w:rsidR="00D40C69" w:rsidRPr="0050158A" w:rsidRDefault="00D40C69" w:rsidP="00E72B07">
            <w:pPr>
              <w:rPr>
                <w:rFonts w:cstheme="minorHAnsi"/>
                <w:b/>
                <w:bCs/>
              </w:rPr>
            </w:pPr>
            <w:r w:rsidRPr="0050158A">
              <w:rPr>
                <w:rFonts w:cstheme="minorHAnsi"/>
                <w:b/>
                <w:bCs/>
              </w:rPr>
              <w:t>Athol Hospital</w:t>
            </w:r>
          </w:p>
        </w:tc>
      </w:tr>
      <w:tr w:rsidR="000F7F55" w:rsidRPr="0050158A" w14:paraId="2AAA1743" w14:textId="77777777" w:rsidTr="009F3023">
        <w:trPr>
          <w:jc w:val="center"/>
        </w:trPr>
        <w:tc>
          <w:tcPr>
            <w:tcW w:w="3415" w:type="dxa"/>
          </w:tcPr>
          <w:p w14:paraId="5B90D20E" w14:textId="1CC67DAE" w:rsidR="000F7F55" w:rsidRPr="0050158A" w:rsidRDefault="005848E1" w:rsidP="00E72B07">
            <w:pPr>
              <w:rPr>
                <w:rFonts w:cstheme="minorHAnsi"/>
              </w:rPr>
            </w:pPr>
            <w:r w:rsidRPr="0050158A">
              <w:rPr>
                <w:rFonts w:cstheme="minorHAnsi"/>
              </w:rPr>
              <w:t>Patients</w:t>
            </w:r>
          </w:p>
        </w:tc>
        <w:tc>
          <w:tcPr>
            <w:tcW w:w="2818" w:type="dxa"/>
          </w:tcPr>
          <w:p w14:paraId="5DD749BC" w14:textId="6362BCFF" w:rsidR="000F7F55" w:rsidRPr="0050158A" w:rsidRDefault="005848E1" w:rsidP="00E72B07">
            <w:pPr>
              <w:rPr>
                <w:rFonts w:cstheme="minorHAnsi"/>
              </w:rPr>
            </w:pPr>
            <w:r w:rsidRPr="0050158A">
              <w:rPr>
                <w:rFonts w:cstheme="minorHAnsi"/>
              </w:rPr>
              <w:t>48,237</w:t>
            </w:r>
          </w:p>
        </w:tc>
        <w:tc>
          <w:tcPr>
            <w:tcW w:w="3117" w:type="dxa"/>
          </w:tcPr>
          <w:p w14:paraId="2734ABA8" w14:textId="46263C94" w:rsidR="000F7F55" w:rsidRPr="0050158A" w:rsidRDefault="00CB2DA0" w:rsidP="00E72B07">
            <w:pPr>
              <w:rPr>
                <w:rFonts w:cstheme="minorHAnsi"/>
              </w:rPr>
            </w:pPr>
            <w:r w:rsidRPr="0050158A">
              <w:rPr>
                <w:rFonts w:cstheme="minorHAnsi"/>
              </w:rPr>
              <w:t>14,802</w:t>
            </w:r>
          </w:p>
        </w:tc>
      </w:tr>
      <w:tr w:rsidR="00D40C69" w:rsidRPr="0050158A" w14:paraId="15123DAB" w14:textId="77777777" w:rsidTr="009F3023">
        <w:trPr>
          <w:jc w:val="center"/>
        </w:trPr>
        <w:tc>
          <w:tcPr>
            <w:tcW w:w="3415" w:type="dxa"/>
          </w:tcPr>
          <w:p w14:paraId="0AE3B48F" w14:textId="77777777" w:rsidR="00D40C69" w:rsidRPr="0050158A" w:rsidRDefault="00D40C69" w:rsidP="00E72B07">
            <w:pPr>
              <w:rPr>
                <w:rFonts w:cstheme="minorHAnsi"/>
              </w:rPr>
            </w:pPr>
            <w:r w:rsidRPr="0050158A">
              <w:rPr>
                <w:rFonts w:cstheme="minorHAnsi"/>
              </w:rPr>
              <w:t xml:space="preserve">Gender </w:t>
            </w:r>
          </w:p>
          <w:p w14:paraId="5C9297B5" w14:textId="7258B79C" w:rsidR="00D40C69" w:rsidRPr="0050158A" w:rsidRDefault="00D40C69" w:rsidP="00E72B07">
            <w:pPr>
              <w:ind w:left="144"/>
              <w:rPr>
                <w:rFonts w:cstheme="minorHAnsi"/>
              </w:rPr>
            </w:pPr>
            <w:r w:rsidRPr="0050158A">
              <w:rPr>
                <w:rFonts w:cstheme="minorHAnsi"/>
              </w:rPr>
              <w:t xml:space="preserve">Male </w:t>
            </w:r>
            <w:r w:rsidR="005848E1" w:rsidRPr="0050158A">
              <w:rPr>
                <w:rFonts w:cstheme="minorHAnsi"/>
              </w:rPr>
              <w:t>or data unavailable</w:t>
            </w:r>
          </w:p>
          <w:p w14:paraId="7ED2D8B6" w14:textId="77777777" w:rsidR="00D40C69" w:rsidRPr="0050158A" w:rsidRDefault="00D40C69" w:rsidP="00E72B07">
            <w:pPr>
              <w:ind w:left="144"/>
              <w:rPr>
                <w:rFonts w:cstheme="minorHAnsi"/>
              </w:rPr>
            </w:pPr>
            <w:r w:rsidRPr="0050158A">
              <w:rPr>
                <w:rFonts w:cstheme="minorHAnsi"/>
              </w:rPr>
              <w:t xml:space="preserve">Female </w:t>
            </w:r>
          </w:p>
        </w:tc>
        <w:tc>
          <w:tcPr>
            <w:tcW w:w="2818" w:type="dxa"/>
          </w:tcPr>
          <w:p w14:paraId="46E6D1BF" w14:textId="77777777" w:rsidR="00D40C69" w:rsidRPr="0050158A" w:rsidRDefault="00D40C69" w:rsidP="00E72B07">
            <w:pPr>
              <w:rPr>
                <w:rFonts w:cstheme="minorHAnsi"/>
              </w:rPr>
            </w:pPr>
          </w:p>
          <w:p w14:paraId="2147EBE7" w14:textId="54DCC1B4" w:rsidR="005848E1" w:rsidRPr="0050158A" w:rsidRDefault="008C2CF0" w:rsidP="00E72B07">
            <w:pPr>
              <w:rPr>
                <w:rFonts w:cstheme="minorHAnsi"/>
              </w:rPr>
            </w:pPr>
            <w:r w:rsidRPr="0050158A">
              <w:rPr>
                <w:rFonts w:cstheme="minorHAnsi"/>
              </w:rPr>
              <w:t>43.3%</w:t>
            </w:r>
          </w:p>
          <w:p w14:paraId="79D0B5C6" w14:textId="4CE98379" w:rsidR="005848E1" w:rsidRPr="0050158A" w:rsidRDefault="005848E1" w:rsidP="00E72B07">
            <w:pPr>
              <w:rPr>
                <w:rFonts w:cstheme="minorHAnsi"/>
              </w:rPr>
            </w:pPr>
            <w:r w:rsidRPr="0050158A">
              <w:rPr>
                <w:rFonts w:cstheme="minorHAnsi"/>
              </w:rPr>
              <w:t>56.6%</w:t>
            </w:r>
          </w:p>
        </w:tc>
        <w:tc>
          <w:tcPr>
            <w:tcW w:w="3117" w:type="dxa"/>
          </w:tcPr>
          <w:p w14:paraId="3DFBFEAD" w14:textId="77777777" w:rsidR="00D40C69" w:rsidRPr="0050158A" w:rsidRDefault="00D40C69" w:rsidP="00E72B07">
            <w:pPr>
              <w:rPr>
                <w:rFonts w:cstheme="minorHAnsi"/>
              </w:rPr>
            </w:pPr>
          </w:p>
          <w:p w14:paraId="71B6A576" w14:textId="4D755925" w:rsidR="00CB2DA0" w:rsidRPr="0050158A" w:rsidRDefault="00840622" w:rsidP="00E72B07">
            <w:pPr>
              <w:rPr>
                <w:rFonts w:cstheme="minorHAnsi"/>
              </w:rPr>
            </w:pPr>
            <w:r>
              <w:rPr>
                <w:rFonts w:cstheme="minorHAnsi"/>
              </w:rPr>
              <w:t>44%</w:t>
            </w:r>
          </w:p>
          <w:p w14:paraId="56DA7047" w14:textId="75253882" w:rsidR="00CB2DA0" w:rsidRPr="0050158A" w:rsidRDefault="00CB2DA0" w:rsidP="00E72B07">
            <w:pPr>
              <w:rPr>
                <w:rFonts w:cstheme="minorHAnsi"/>
              </w:rPr>
            </w:pPr>
            <w:r w:rsidRPr="0050158A">
              <w:rPr>
                <w:rFonts w:cstheme="minorHAnsi"/>
              </w:rPr>
              <w:t>56%</w:t>
            </w:r>
          </w:p>
        </w:tc>
      </w:tr>
      <w:tr w:rsidR="00D40C69" w:rsidRPr="0050158A" w14:paraId="393E4E9C" w14:textId="77777777" w:rsidTr="009F3023">
        <w:trPr>
          <w:jc w:val="center"/>
        </w:trPr>
        <w:tc>
          <w:tcPr>
            <w:tcW w:w="3415" w:type="dxa"/>
          </w:tcPr>
          <w:p w14:paraId="77D495D8" w14:textId="77777777" w:rsidR="00D40C69" w:rsidRPr="0050158A" w:rsidRDefault="00D40C69" w:rsidP="00E72B07">
            <w:pPr>
              <w:rPr>
                <w:rFonts w:cstheme="minorHAnsi"/>
              </w:rPr>
            </w:pPr>
            <w:r w:rsidRPr="0050158A">
              <w:rPr>
                <w:rFonts w:cstheme="minorHAnsi"/>
              </w:rPr>
              <w:t xml:space="preserve">Age </w:t>
            </w:r>
          </w:p>
          <w:p w14:paraId="31857FAC" w14:textId="7D426F34" w:rsidR="00D40C69" w:rsidRPr="0050158A" w:rsidRDefault="00D40C69" w:rsidP="00E72B07">
            <w:pPr>
              <w:ind w:left="144"/>
              <w:rPr>
                <w:rFonts w:cstheme="minorHAnsi"/>
              </w:rPr>
            </w:pPr>
            <w:r w:rsidRPr="0050158A">
              <w:rPr>
                <w:rFonts w:cstheme="minorHAnsi"/>
              </w:rPr>
              <w:t>0-1</w:t>
            </w:r>
            <w:r w:rsidR="009F37E1" w:rsidRPr="0050158A">
              <w:rPr>
                <w:rFonts w:cstheme="minorHAnsi"/>
              </w:rPr>
              <w:t>7</w:t>
            </w:r>
          </w:p>
          <w:p w14:paraId="697FBB3B" w14:textId="281F7EE4" w:rsidR="00D40C69" w:rsidRPr="0050158A" w:rsidRDefault="009F37E1" w:rsidP="00E72B07">
            <w:pPr>
              <w:ind w:left="144"/>
              <w:rPr>
                <w:rFonts w:cstheme="minorHAnsi"/>
              </w:rPr>
            </w:pPr>
            <w:r w:rsidRPr="0050158A">
              <w:rPr>
                <w:rFonts w:cstheme="minorHAnsi"/>
              </w:rPr>
              <w:t>18-59</w:t>
            </w:r>
          </w:p>
          <w:p w14:paraId="643EA6CA" w14:textId="77777777" w:rsidR="00D40C69" w:rsidRPr="0050158A" w:rsidRDefault="00D40C69" w:rsidP="00E72B07">
            <w:pPr>
              <w:ind w:left="144"/>
              <w:rPr>
                <w:rFonts w:cstheme="minorHAnsi"/>
              </w:rPr>
            </w:pPr>
            <w:r w:rsidRPr="0050158A">
              <w:rPr>
                <w:rFonts w:cstheme="minorHAnsi"/>
              </w:rPr>
              <w:t>60+</w:t>
            </w:r>
          </w:p>
        </w:tc>
        <w:tc>
          <w:tcPr>
            <w:tcW w:w="2818" w:type="dxa"/>
          </w:tcPr>
          <w:p w14:paraId="7BDF7284" w14:textId="77777777" w:rsidR="00D40C69" w:rsidRPr="0050158A" w:rsidRDefault="00D40C69" w:rsidP="00E72B07">
            <w:pPr>
              <w:rPr>
                <w:rFonts w:cstheme="minorHAnsi"/>
              </w:rPr>
            </w:pPr>
          </w:p>
          <w:p w14:paraId="5AA07894" w14:textId="30B9D8E0" w:rsidR="009F37E1" w:rsidRPr="0050158A" w:rsidRDefault="0017011D" w:rsidP="00E72B07">
            <w:pPr>
              <w:rPr>
                <w:rFonts w:cstheme="minorHAnsi"/>
              </w:rPr>
            </w:pPr>
            <w:r w:rsidRPr="0050158A">
              <w:rPr>
                <w:rFonts w:cstheme="minorHAnsi"/>
              </w:rPr>
              <w:t>13.7%</w:t>
            </w:r>
          </w:p>
          <w:p w14:paraId="7C8D9805" w14:textId="77777777" w:rsidR="009F37E1" w:rsidRPr="0050158A" w:rsidRDefault="009F37E1" w:rsidP="00E72B07">
            <w:pPr>
              <w:rPr>
                <w:rFonts w:cstheme="minorHAnsi"/>
              </w:rPr>
            </w:pPr>
            <w:r w:rsidRPr="0050158A">
              <w:rPr>
                <w:rFonts w:cstheme="minorHAnsi"/>
              </w:rPr>
              <w:t>56%</w:t>
            </w:r>
          </w:p>
          <w:p w14:paraId="529183D9" w14:textId="70579884" w:rsidR="009F37E1" w:rsidRPr="0050158A" w:rsidRDefault="009F37E1" w:rsidP="00E72B07">
            <w:pPr>
              <w:rPr>
                <w:rFonts w:cstheme="minorHAnsi"/>
              </w:rPr>
            </w:pPr>
            <w:r w:rsidRPr="0050158A">
              <w:rPr>
                <w:rFonts w:cstheme="minorHAnsi"/>
              </w:rPr>
              <w:t>30.3%</w:t>
            </w:r>
          </w:p>
        </w:tc>
        <w:tc>
          <w:tcPr>
            <w:tcW w:w="3117" w:type="dxa"/>
          </w:tcPr>
          <w:p w14:paraId="01DA3606" w14:textId="77777777" w:rsidR="00D40C69" w:rsidRPr="0050158A" w:rsidRDefault="00D40C69" w:rsidP="00E72B07">
            <w:pPr>
              <w:rPr>
                <w:rFonts w:cstheme="minorHAnsi"/>
              </w:rPr>
            </w:pPr>
          </w:p>
          <w:p w14:paraId="7659C823" w14:textId="2AEA14E9" w:rsidR="00CB2DA0" w:rsidRPr="0050158A" w:rsidRDefault="003A78FE" w:rsidP="00E72B07">
            <w:pPr>
              <w:rPr>
                <w:rFonts w:cstheme="minorHAnsi"/>
              </w:rPr>
            </w:pPr>
            <w:r w:rsidRPr="0050158A">
              <w:rPr>
                <w:rFonts w:cstheme="minorHAnsi"/>
              </w:rPr>
              <w:t>12.7%</w:t>
            </w:r>
          </w:p>
          <w:p w14:paraId="3D58EAAD" w14:textId="77777777" w:rsidR="00CB2DA0" w:rsidRPr="0050158A" w:rsidRDefault="00CB2DA0" w:rsidP="00E72B07">
            <w:pPr>
              <w:rPr>
                <w:rFonts w:cstheme="minorHAnsi"/>
              </w:rPr>
            </w:pPr>
            <w:r w:rsidRPr="0050158A">
              <w:rPr>
                <w:rFonts w:cstheme="minorHAnsi"/>
              </w:rPr>
              <w:t>54.2%</w:t>
            </w:r>
          </w:p>
          <w:p w14:paraId="337C0E53" w14:textId="1437C5DB" w:rsidR="00CB2DA0" w:rsidRPr="0050158A" w:rsidRDefault="00CB2DA0" w:rsidP="00E72B07">
            <w:pPr>
              <w:rPr>
                <w:rFonts w:cstheme="minorHAnsi"/>
              </w:rPr>
            </w:pPr>
            <w:r w:rsidRPr="0050158A">
              <w:rPr>
                <w:rFonts w:cstheme="minorHAnsi"/>
              </w:rPr>
              <w:t>33.1%</w:t>
            </w:r>
          </w:p>
        </w:tc>
      </w:tr>
      <w:tr w:rsidR="00D40C69" w:rsidRPr="0050158A" w14:paraId="2D10A438" w14:textId="77777777" w:rsidTr="009F3023">
        <w:trPr>
          <w:jc w:val="center"/>
        </w:trPr>
        <w:tc>
          <w:tcPr>
            <w:tcW w:w="3415" w:type="dxa"/>
          </w:tcPr>
          <w:p w14:paraId="265A82F3" w14:textId="6B279C3A" w:rsidR="00D40C69" w:rsidRPr="0050158A" w:rsidRDefault="00D40C69" w:rsidP="00E72B07">
            <w:pPr>
              <w:rPr>
                <w:rFonts w:cstheme="minorHAnsi"/>
              </w:rPr>
            </w:pPr>
            <w:r w:rsidRPr="0050158A">
              <w:rPr>
                <w:rFonts w:cstheme="minorHAnsi"/>
              </w:rPr>
              <w:lastRenderedPageBreak/>
              <w:t>Race/Ethnicity</w:t>
            </w:r>
            <w:r w:rsidR="00EF2458">
              <w:rPr>
                <w:rStyle w:val="FootnoteReference"/>
                <w:rFonts w:cstheme="minorHAnsi"/>
              </w:rPr>
              <w:footnoteReference w:id="8"/>
            </w:r>
          </w:p>
          <w:p w14:paraId="16F56665" w14:textId="4F4E92EF" w:rsidR="009F37E1" w:rsidRPr="0050158A" w:rsidRDefault="009F37E1" w:rsidP="00952543">
            <w:pPr>
              <w:ind w:left="144"/>
              <w:rPr>
                <w:rFonts w:cstheme="minorHAnsi"/>
              </w:rPr>
            </w:pPr>
            <w:r w:rsidRPr="0050158A">
              <w:rPr>
                <w:rFonts w:cstheme="minorHAnsi"/>
              </w:rPr>
              <w:t>White/Caucasian</w:t>
            </w:r>
          </w:p>
          <w:p w14:paraId="1467BFE8" w14:textId="37A1BBEC" w:rsidR="009F37E1" w:rsidRPr="0050158A" w:rsidRDefault="009F37E1" w:rsidP="00952543">
            <w:pPr>
              <w:ind w:left="144"/>
              <w:rPr>
                <w:rFonts w:cstheme="minorHAnsi"/>
              </w:rPr>
            </w:pPr>
            <w:r w:rsidRPr="0050158A">
              <w:rPr>
                <w:rFonts w:cstheme="minorHAnsi"/>
              </w:rPr>
              <w:t>Black</w:t>
            </w:r>
          </w:p>
          <w:p w14:paraId="52B30B26" w14:textId="055D8413" w:rsidR="009F37E1" w:rsidRPr="0050158A" w:rsidRDefault="009F37E1" w:rsidP="00952543">
            <w:pPr>
              <w:ind w:left="144"/>
              <w:rPr>
                <w:rFonts w:cstheme="minorHAnsi"/>
              </w:rPr>
            </w:pPr>
            <w:r w:rsidRPr="0050158A">
              <w:rPr>
                <w:rFonts w:cstheme="minorHAnsi"/>
              </w:rPr>
              <w:t>Asian</w:t>
            </w:r>
          </w:p>
          <w:p w14:paraId="6FA07A9B" w14:textId="12F82C49" w:rsidR="009F37E1" w:rsidRPr="0050158A" w:rsidRDefault="009F37E1" w:rsidP="00952543">
            <w:pPr>
              <w:ind w:left="144"/>
              <w:rPr>
                <w:rFonts w:cstheme="minorHAnsi"/>
              </w:rPr>
            </w:pPr>
            <w:r w:rsidRPr="0050158A">
              <w:rPr>
                <w:rFonts w:cstheme="minorHAnsi"/>
              </w:rPr>
              <w:t>Hawaiian or Pacific Islander</w:t>
            </w:r>
            <w:r w:rsidR="00744B8D">
              <w:rPr>
                <w:rFonts w:cstheme="minorHAnsi"/>
              </w:rPr>
              <w:t>,</w:t>
            </w:r>
          </w:p>
          <w:p w14:paraId="2F036817" w14:textId="0A5EB54D" w:rsidR="00D40C69" w:rsidRPr="0050158A" w:rsidRDefault="009F37E1" w:rsidP="00952543">
            <w:pPr>
              <w:ind w:left="144"/>
              <w:rPr>
                <w:rFonts w:cstheme="minorHAnsi"/>
              </w:rPr>
            </w:pPr>
            <w:r w:rsidRPr="0050158A">
              <w:rPr>
                <w:rFonts w:cstheme="minorHAnsi"/>
              </w:rPr>
              <w:t>American Indian or Alaska Nativ</w:t>
            </w:r>
            <w:r w:rsidR="003A78FE" w:rsidRPr="0050158A">
              <w:rPr>
                <w:rFonts w:cstheme="minorHAnsi"/>
              </w:rPr>
              <w:t>e</w:t>
            </w:r>
            <w:r w:rsidR="00E23B5C">
              <w:rPr>
                <w:rStyle w:val="FootnoteReference"/>
                <w:rFonts w:cstheme="minorHAnsi"/>
              </w:rPr>
              <w:footnoteReference w:id="9"/>
            </w:r>
          </w:p>
          <w:p w14:paraId="3894DC85" w14:textId="31281FC2" w:rsidR="003A78FE" w:rsidRPr="0050158A" w:rsidRDefault="003A78FE" w:rsidP="00952543">
            <w:pPr>
              <w:ind w:left="144"/>
              <w:rPr>
                <w:rFonts w:cstheme="minorHAnsi"/>
              </w:rPr>
            </w:pPr>
            <w:r w:rsidRPr="0050158A">
              <w:rPr>
                <w:rFonts w:cstheme="minorHAnsi"/>
              </w:rPr>
              <w:t>Unknown, identified as race/ethnicity not listed, or declined to respond</w:t>
            </w:r>
          </w:p>
        </w:tc>
        <w:tc>
          <w:tcPr>
            <w:tcW w:w="2818" w:type="dxa"/>
          </w:tcPr>
          <w:p w14:paraId="49369DBF" w14:textId="7A8C84DD" w:rsidR="00D40C69" w:rsidRPr="0050158A" w:rsidRDefault="00D40C69" w:rsidP="00E72B07">
            <w:pPr>
              <w:rPr>
                <w:rFonts w:cstheme="minorHAnsi"/>
              </w:rPr>
            </w:pPr>
          </w:p>
          <w:p w14:paraId="7BD21C86" w14:textId="057982E4" w:rsidR="009F37E1" w:rsidRPr="0050158A" w:rsidRDefault="009F37E1" w:rsidP="00E72B07">
            <w:pPr>
              <w:rPr>
                <w:rFonts w:cstheme="minorHAnsi"/>
              </w:rPr>
            </w:pPr>
            <w:r w:rsidRPr="0050158A">
              <w:rPr>
                <w:rFonts w:cstheme="minorHAnsi"/>
              </w:rPr>
              <w:t>87.7</w:t>
            </w:r>
            <w:r w:rsidR="009158F1">
              <w:rPr>
                <w:rFonts w:cstheme="minorHAnsi"/>
              </w:rPr>
              <w:t>3</w:t>
            </w:r>
            <w:r w:rsidRPr="0050158A">
              <w:rPr>
                <w:rFonts w:cstheme="minorHAnsi"/>
              </w:rPr>
              <w:t>%</w:t>
            </w:r>
          </w:p>
          <w:p w14:paraId="27158B29" w14:textId="6D30C5C4" w:rsidR="009F37E1" w:rsidRPr="0050158A" w:rsidRDefault="009F37E1" w:rsidP="00E72B07">
            <w:pPr>
              <w:rPr>
                <w:rFonts w:cstheme="minorHAnsi"/>
              </w:rPr>
            </w:pPr>
            <w:r w:rsidRPr="0050158A">
              <w:rPr>
                <w:rFonts w:cstheme="minorHAnsi"/>
              </w:rPr>
              <w:t>1.7</w:t>
            </w:r>
            <w:r w:rsidR="009158F1">
              <w:rPr>
                <w:rFonts w:cstheme="minorHAnsi"/>
              </w:rPr>
              <w:t>0</w:t>
            </w:r>
            <w:r w:rsidRPr="0050158A">
              <w:rPr>
                <w:rFonts w:cstheme="minorHAnsi"/>
              </w:rPr>
              <w:t>%</w:t>
            </w:r>
          </w:p>
          <w:p w14:paraId="31797D0F" w14:textId="5A9E694D" w:rsidR="009F37E1" w:rsidRPr="0050158A" w:rsidRDefault="009F37E1" w:rsidP="00E72B07">
            <w:pPr>
              <w:rPr>
                <w:rFonts w:cstheme="minorHAnsi"/>
              </w:rPr>
            </w:pPr>
            <w:r w:rsidRPr="0050158A">
              <w:rPr>
                <w:rFonts w:cstheme="minorHAnsi"/>
              </w:rPr>
              <w:t>0.5</w:t>
            </w:r>
            <w:r w:rsidR="009158F1">
              <w:rPr>
                <w:rFonts w:cstheme="minorHAnsi"/>
              </w:rPr>
              <w:t>5</w:t>
            </w:r>
            <w:r w:rsidRPr="0050158A">
              <w:rPr>
                <w:rFonts w:cstheme="minorHAnsi"/>
              </w:rPr>
              <w:t>%</w:t>
            </w:r>
          </w:p>
          <w:p w14:paraId="067147D2" w14:textId="49ED1C6F" w:rsidR="009F37E1" w:rsidRPr="0050158A" w:rsidRDefault="009F37E1" w:rsidP="00E72B07">
            <w:pPr>
              <w:rPr>
                <w:rFonts w:cstheme="minorHAnsi"/>
              </w:rPr>
            </w:pPr>
            <w:r w:rsidRPr="0050158A">
              <w:rPr>
                <w:rFonts w:cstheme="minorHAnsi"/>
              </w:rPr>
              <w:t>0.</w:t>
            </w:r>
            <w:r w:rsidR="009158F1">
              <w:rPr>
                <w:rFonts w:cstheme="minorHAnsi"/>
              </w:rPr>
              <w:t>04</w:t>
            </w:r>
            <w:r w:rsidRPr="0050158A">
              <w:rPr>
                <w:rFonts w:cstheme="minorHAnsi"/>
              </w:rPr>
              <w:t>%</w:t>
            </w:r>
          </w:p>
          <w:p w14:paraId="00EB29B2" w14:textId="77777777" w:rsidR="004A4488" w:rsidRDefault="004A4488" w:rsidP="00E72B07">
            <w:pPr>
              <w:rPr>
                <w:rFonts w:cstheme="minorHAnsi"/>
              </w:rPr>
            </w:pPr>
          </w:p>
          <w:p w14:paraId="41DCB175" w14:textId="6024DACF" w:rsidR="00FA530A" w:rsidRPr="0050158A" w:rsidRDefault="009158F1" w:rsidP="00E72B07">
            <w:pPr>
              <w:rPr>
                <w:rFonts w:cstheme="minorHAnsi"/>
              </w:rPr>
            </w:pPr>
            <w:r>
              <w:rPr>
                <w:rFonts w:cstheme="minorHAnsi"/>
              </w:rPr>
              <w:t>9.98</w:t>
            </w:r>
            <w:r w:rsidR="00FA530A" w:rsidRPr="0050158A">
              <w:rPr>
                <w:rFonts w:cstheme="minorHAnsi"/>
              </w:rPr>
              <w:t>%</w:t>
            </w:r>
          </w:p>
        </w:tc>
        <w:tc>
          <w:tcPr>
            <w:tcW w:w="3117" w:type="dxa"/>
          </w:tcPr>
          <w:p w14:paraId="47617CF8" w14:textId="77777777" w:rsidR="00D40C69" w:rsidRPr="0050158A" w:rsidRDefault="00D40C69" w:rsidP="00E72B07">
            <w:pPr>
              <w:rPr>
                <w:rFonts w:cstheme="minorHAnsi"/>
              </w:rPr>
            </w:pPr>
          </w:p>
          <w:p w14:paraId="387187D9" w14:textId="77777777" w:rsidR="00CB2DA0" w:rsidRPr="0050158A" w:rsidRDefault="003A78FE" w:rsidP="00E72B07">
            <w:pPr>
              <w:rPr>
                <w:rFonts w:cstheme="minorHAnsi"/>
              </w:rPr>
            </w:pPr>
            <w:r w:rsidRPr="0050158A">
              <w:rPr>
                <w:rFonts w:cstheme="minorHAnsi"/>
              </w:rPr>
              <w:t>92.8%</w:t>
            </w:r>
          </w:p>
          <w:p w14:paraId="77350520" w14:textId="77777777" w:rsidR="003A78FE" w:rsidRPr="0050158A" w:rsidRDefault="003A78FE" w:rsidP="00E72B07">
            <w:pPr>
              <w:rPr>
                <w:rFonts w:cstheme="minorHAnsi"/>
              </w:rPr>
            </w:pPr>
            <w:r w:rsidRPr="0050158A">
              <w:rPr>
                <w:rFonts w:cstheme="minorHAnsi"/>
              </w:rPr>
              <w:t>1.3%</w:t>
            </w:r>
          </w:p>
          <w:p w14:paraId="622132AF" w14:textId="77777777" w:rsidR="003A78FE" w:rsidRPr="0050158A" w:rsidRDefault="003A78FE" w:rsidP="00E72B07">
            <w:pPr>
              <w:rPr>
                <w:rFonts w:cstheme="minorHAnsi"/>
              </w:rPr>
            </w:pPr>
            <w:r w:rsidRPr="0050158A">
              <w:rPr>
                <w:rFonts w:cstheme="minorHAnsi"/>
              </w:rPr>
              <w:t>0.4%</w:t>
            </w:r>
          </w:p>
          <w:p w14:paraId="0760AEE6" w14:textId="57D80A4C" w:rsidR="003A78FE" w:rsidRPr="0050158A" w:rsidRDefault="003A78FE" w:rsidP="00E72B07">
            <w:pPr>
              <w:rPr>
                <w:rFonts w:cstheme="minorHAnsi"/>
              </w:rPr>
            </w:pPr>
          </w:p>
          <w:p w14:paraId="7A333317" w14:textId="77777777" w:rsidR="003A78FE" w:rsidRPr="0050158A" w:rsidRDefault="003A78FE" w:rsidP="00E72B07">
            <w:pPr>
              <w:rPr>
                <w:rFonts w:cstheme="minorHAnsi"/>
              </w:rPr>
            </w:pPr>
          </w:p>
          <w:p w14:paraId="4A90B8DC" w14:textId="2766FB30" w:rsidR="003A78FE" w:rsidRPr="0050158A" w:rsidRDefault="003A78FE" w:rsidP="00E72B07">
            <w:pPr>
              <w:rPr>
                <w:rFonts w:cstheme="minorHAnsi"/>
              </w:rPr>
            </w:pPr>
            <w:r w:rsidRPr="0050158A">
              <w:rPr>
                <w:rFonts w:cstheme="minorHAnsi"/>
              </w:rPr>
              <w:t>5.5%</w:t>
            </w:r>
          </w:p>
        </w:tc>
      </w:tr>
      <w:tr w:rsidR="00D40C69" w:rsidRPr="0050158A" w14:paraId="38B56559" w14:textId="77777777" w:rsidTr="009F3023">
        <w:trPr>
          <w:jc w:val="center"/>
        </w:trPr>
        <w:tc>
          <w:tcPr>
            <w:tcW w:w="3415" w:type="dxa"/>
          </w:tcPr>
          <w:p w14:paraId="7278B914" w14:textId="2B6A23BF" w:rsidR="00D40C69" w:rsidRPr="0050158A" w:rsidRDefault="00D40C69" w:rsidP="00E72B07">
            <w:pPr>
              <w:rPr>
                <w:rFonts w:cstheme="minorHAnsi"/>
              </w:rPr>
            </w:pPr>
            <w:r w:rsidRPr="0050158A">
              <w:rPr>
                <w:rFonts w:cstheme="minorHAnsi"/>
              </w:rPr>
              <w:t>Patient Origin</w:t>
            </w:r>
            <w:r w:rsidR="002B56B7">
              <w:rPr>
                <w:rStyle w:val="FootnoteReference"/>
                <w:rFonts w:cstheme="minorHAnsi"/>
              </w:rPr>
              <w:footnoteReference w:id="10"/>
            </w:r>
          </w:p>
          <w:p w14:paraId="1C613213" w14:textId="72C93103" w:rsidR="00D40C69" w:rsidRPr="0050158A" w:rsidRDefault="00D40C69" w:rsidP="00466A89">
            <w:pPr>
              <w:ind w:left="144"/>
              <w:rPr>
                <w:rFonts w:cstheme="minorHAnsi"/>
              </w:rPr>
            </w:pPr>
          </w:p>
        </w:tc>
        <w:tc>
          <w:tcPr>
            <w:tcW w:w="2818" w:type="dxa"/>
          </w:tcPr>
          <w:p w14:paraId="7E81EA8D" w14:textId="77777777" w:rsidR="00D40C69" w:rsidRPr="0050158A" w:rsidRDefault="00D40C69" w:rsidP="00E72B07">
            <w:pPr>
              <w:rPr>
                <w:rFonts w:cstheme="minorHAnsi"/>
              </w:rPr>
            </w:pPr>
          </w:p>
          <w:p w14:paraId="7A295641" w14:textId="61B38F70" w:rsidR="004802A7" w:rsidRPr="004802A7" w:rsidRDefault="004802A7" w:rsidP="004802A7">
            <w:pPr>
              <w:rPr>
                <w:rFonts w:cstheme="minorHAnsi"/>
              </w:rPr>
            </w:pPr>
            <w:r w:rsidRPr="004802A7">
              <w:rPr>
                <w:rFonts w:cstheme="minorHAnsi"/>
              </w:rPr>
              <w:t xml:space="preserve">Gardner (25.2%) </w:t>
            </w:r>
          </w:p>
          <w:p w14:paraId="5A35414D" w14:textId="77777777" w:rsidR="00004B2A" w:rsidRDefault="004802A7" w:rsidP="004802A7">
            <w:pPr>
              <w:rPr>
                <w:rFonts w:cstheme="minorHAnsi"/>
              </w:rPr>
            </w:pPr>
            <w:r w:rsidRPr="004802A7">
              <w:rPr>
                <w:rFonts w:cstheme="minorHAnsi"/>
              </w:rPr>
              <w:t>Winchendon (11.5%)</w:t>
            </w:r>
          </w:p>
          <w:p w14:paraId="06E49591" w14:textId="77777777" w:rsidR="00004B2A" w:rsidRDefault="004802A7" w:rsidP="004802A7">
            <w:pPr>
              <w:rPr>
                <w:rFonts w:cstheme="minorHAnsi"/>
              </w:rPr>
            </w:pPr>
            <w:r w:rsidRPr="004802A7">
              <w:rPr>
                <w:rFonts w:cstheme="minorHAnsi"/>
              </w:rPr>
              <w:t>Athol (11.0%)</w:t>
            </w:r>
          </w:p>
          <w:p w14:paraId="04F347D2" w14:textId="0416F545" w:rsidR="00004B2A" w:rsidRDefault="004802A7" w:rsidP="004802A7">
            <w:pPr>
              <w:rPr>
                <w:rFonts w:cstheme="minorHAnsi"/>
              </w:rPr>
            </w:pPr>
            <w:r w:rsidRPr="004802A7">
              <w:rPr>
                <w:rFonts w:cstheme="minorHAnsi"/>
              </w:rPr>
              <w:t>Templeton (9.0%) Ashburnham (5.5%) Westminster</w:t>
            </w:r>
            <w:r w:rsidR="00004B2A">
              <w:rPr>
                <w:rFonts w:cstheme="minorHAnsi"/>
              </w:rPr>
              <w:t xml:space="preserve"> </w:t>
            </w:r>
            <w:r w:rsidRPr="004802A7">
              <w:rPr>
                <w:rFonts w:cstheme="minorHAnsi"/>
              </w:rPr>
              <w:t>(5.4%)</w:t>
            </w:r>
          </w:p>
          <w:p w14:paraId="2CFEE973" w14:textId="77777777" w:rsidR="00004B2A" w:rsidRDefault="004802A7" w:rsidP="004802A7">
            <w:pPr>
              <w:rPr>
                <w:rFonts w:cstheme="minorHAnsi"/>
              </w:rPr>
            </w:pPr>
            <w:r w:rsidRPr="004802A7">
              <w:rPr>
                <w:rFonts w:cstheme="minorHAnsi"/>
              </w:rPr>
              <w:t>Fitchburg (4.8%)</w:t>
            </w:r>
          </w:p>
          <w:p w14:paraId="47F9A4A4" w14:textId="77777777" w:rsidR="00004B2A" w:rsidRDefault="004802A7" w:rsidP="004802A7">
            <w:pPr>
              <w:rPr>
                <w:rFonts w:cstheme="minorHAnsi"/>
              </w:rPr>
            </w:pPr>
            <w:r w:rsidRPr="004802A7">
              <w:rPr>
                <w:rFonts w:cstheme="minorHAnsi"/>
              </w:rPr>
              <w:t>Orange (4.8%)</w:t>
            </w:r>
          </w:p>
          <w:p w14:paraId="5A06052E" w14:textId="10FCC3FC" w:rsidR="00633AC9" w:rsidRDefault="004802A7" w:rsidP="004802A7">
            <w:pPr>
              <w:rPr>
                <w:rFonts w:cstheme="minorHAnsi"/>
              </w:rPr>
            </w:pPr>
            <w:r w:rsidRPr="004802A7">
              <w:rPr>
                <w:rFonts w:cstheme="minorHAnsi"/>
              </w:rPr>
              <w:t>Hubbardston (3.3%)</w:t>
            </w:r>
          </w:p>
          <w:p w14:paraId="68BE7112" w14:textId="00DF757A" w:rsidR="004802A7" w:rsidRPr="004802A7" w:rsidRDefault="004802A7" w:rsidP="004802A7">
            <w:pPr>
              <w:rPr>
                <w:rFonts w:cstheme="minorHAnsi"/>
              </w:rPr>
            </w:pPr>
            <w:r>
              <w:rPr>
                <w:rFonts w:cstheme="minorHAnsi"/>
              </w:rPr>
              <w:t xml:space="preserve">Reside in </w:t>
            </w:r>
            <w:r w:rsidRPr="004802A7">
              <w:rPr>
                <w:rFonts w:cstheme="minorHAnsi"/>
              </w:rPr>
              <w:t xml:space="preserve">another town or city in Massachusetts or reside outside of </w:t>
            </w:r>
          </w:p>
          <w:p w14:paraId="57CAB57A" w14:textId="6C32D14E" w:rsidR="004802A7" w:rsidRPr="0050158A" w:rsidRDefault="004802A7" w:rsidP="004802A7">
            <w:pPr>
              <w:rPr>
                <w:rFonts w:cstheme="minorHAnsi"/>
              </w:rPr>
            </w:pPr>
            <w:r w:rsidRPr="004802A7">
              <w:rPr>
                <w:rFonts w:cstheme="minorHAnsi"/>
              </w:rPr>
              <w:t>Massachusetts</w:t>
            </w:r>
            <w:r>
              <w:rPr>
                <w:rFonts w:cstheme="minorHAnsi"/>
              </w:rPr>
              <w:t xml:space="preserve"> (19.5%)</w:t>
            </w:r>
          </w:p>
        </w:tc>
        <w:tc>
          <w:tcPr>
            <w:tcW w:w="3117" w:type="dxa"/>
          </w:tcPr>
          <w:p w14:paraId="77648E4F" w14:textId="77777777" w:rsidR="00D40C69" w:rsidRPr="0050158A" w:rsidRDefault="00D40C69" w:rsidP="00E72B07">
            <w:pPr>
              <w:rPr>
                <w:rFonts w:cstheme="minorHAnsi"/>
              </w:rPr>
            </w:pPr>
          </w:p>
          <w:p w14:paraId="0DAA258B" w14:textId="77777777" w:rsidR="00BB1015" w:rsidRDefault="00BB1015" w:rsidP="00E72B07">
            <w:pPr>
              <w:rPr>
                <w:rFonts w:cstheme="minorHAnsi"/>
              </w:rPr>
            </w:pPr>
            <w:r w:rsidRPr="00BB1015">
              <w:rPr>
                <w:rFonts w:cstheme="minorHAnsi"/>
              </w:rPr>
              <w:t>Athol (45.8%)</w:t>
            </w:r>
          </w:p>
          <w:p w14:paraId="2CB0FA67" w14:textId="27DDE676" w:rsidR="00BB1015" w:rsidRDefault="00BB1015" w:rsidP="00E72B07">
            <w:pPr>
              <w:rPr>
                <w:rFonts w:cstheme="minorHAnsi"/>
              </w:rPr>
            </w:pPr>
            <w:r w:rsidRPr="00BB1015">
              <w:rPr>
                <w:rFonts w:cstheme="minorHAnsi"/>
              </w:rPr>
              <w:t>Orange (24.2%)</w:t>
            </w:r>
          </w:p>
          <w:p w14:paraId="126ED22B" w14:textId="77777777" w:rsidR="00BB1015" w:rsidRDefault="00BB1015" w:rsidP="00E72B07">
            <w:pPr>
              <w:rPr>
                <w:rFonts w:cstheme="minorHAnsi"/>
              </w:rPr>
            </w:pPr>
            <w:r w:rsidRPr="00BB1015">
              <w:rPr>
                <w:rFonts w:cstheme="minorHAnsi"/>
              </w:rPr>
              <w:t>Gardner (3.6%)</w:t>
            </w:r>
          </w:p>
          <w:p w14:paraId="75BB26FE" w14:textId="77777777" w:rsidR="00BB1015" w:rsidRDefault="00BB1015" w:rsidP="00E72B07">
            <w:pPr>
              <w:rPr>
                <w:rFonts w:cstheme="minorHAnsi"/>
              </w:rPr>
            </w:pPr>
            <w:r w:rsidRPr="00BB1015">
              <w:rPr>
                <w:rFonts w:cstheme="minorHAnsi"/>
              </w:rPr>
              <w:t>Templeton (3.6%)</w:t>
            </w:r>
          </w:p>
          <w:p w14:paraId="6F472D3D" w14:textId="77777777" w:rsidR="00BB1015" w:rsidRDefault="00BB1015" w:rsidP="00E72B07">
            <w:pPr>
              <w:rPr>
                <w:rFonts w:cstheme="minorHAnsi"/>
              </w:rPr>
            </w:pPr>
            <w:proofErr w:type="spellStart"/>
            <w:r w:rsidRPr="00BB1015">
              <w:rPr>
                <w:rFonts w:cstheme="minorHAnsi"/>
              </w:rPr>
              <w:t>Petersham</w:t>
            </w:r>
            <w:proofErr w:type="spellEnd"/>
            <w:r w:rsidRPr="00BB1015">
              <w:rPr>
                <w:rFonts w:cstheme="minorHAnsi"/>
              </w:rPr>
              <w:t xml:space="preserve"> (2.4%)</w:t>
            </w:r>
          </w:p>
          <w:p w14:paraId="27C9D0A6" w14:textId="77777777" w:rsidR="00BB1015" w:rsidRDefault="00BB1015" w:rsidP="00E72B07">
            <w:pPr>
              <w:rPr>
                <w:rFonts w:cstheme="minorHAnsi"/>
              </w:rPr>
            </w:pPr>
            <w:proofErr w:type="spellStart"/>
            <w:r w:rsidRPr="00BB1015">
              <w:rPr>
                <w:rFonts w:cstheme="minorHAnsi"/>
              </w:rPr>
              <w:t>Royalston</w:t>
            </w:r>
            <w:proofErr w:type="spellEnd"/>
            <w:r w:rsidRPr="00BB1015">
              <w:rPr>
                <w:rFonts w:cstheme="minorHAnsi"/>
              </w:rPr>
              <w:t xml:space="preserve"> (2.3%)</w:t>
            </w:r>
          </w:p>
          <w:p w14:paraId="234E6EB7" w14:textId="77777777" w:rsidR="00BB1015" w:rsidRDefault="00BB1015" w:rsidP="00E72B07">
            <w:pPr>
              <w:rPr>
                <w:rFonts w:cstheme="minorHAnsi"/>
              </w:rPr>
            </w:pPr>
            <w:r w:rsidRPr="00BB1015">
              <w:rPr>
                <w:rFonts w:cstheme="minorHAnsi"/>
              </w:rPr>
              <w:t>Winchendon (2.2%)</w:t>
            </w:r>
          </w:p>
          <w:p w14:paraId="5D42AB0B" w14:textId="77777777" w:rsidR="00BB1015" w:rsidRDefault="00BB1015" w:rsidP="00E72B07">
            <w:pPr>
              <w:rPr>
                <w:rFonts w:cstheme="minorHAnsi"/>
              </w:rPr>
            </w:pPr>
            <w:r w:rsidRPr="00BB1015">
              <w:rPr>
                <w:rFonts w:cstheme="minorHAnsi"/>
              </w:rPr>
              <w:t>New Salem (1.7%)</w:t>
            </w:r>
          </w:p>
          <w:p w14:paraId="335992D8" w14:textId="77777777" w:rsidR="00294C50" w:rsidRDefault="00BB1015" w:rsidP="00E72B07">
            <w:pPr>
              <w:rPr>
                <w:rFonts w:cstheme="minorHAnsi"/>
              </w:rPr>
            </w:pPr>
            <w:r w:rsidRPr="00BB1015">
              <w:rPr>
                <w:rFonts w:cstheme="minorHAnsi"/>
              </w:rPr>
              <w:t>Warwick (1.1%)</w:t>
            </w:r>
          </w:p>
          <w:p w14:paraId="17A8F006" w14:textId="77777777" w:rsidR="00BB1015" w:rsidRPr="00BB1015" w:rsidRDefault="00BB1015" w:rsidP="00BB1015">
            <w:pPr>
              <w:rPr>
                <w:rFonts w:cstheme="minorHAnsi"/>
              </w:rPr>
            </w:pPr>
            <w:r w:rsidRPr="00BB1015">
              <w:rPr>
                <w:rFonts w:cstheme="minorHAnsi"/>
              </w:rPr>
              <w:t xml:space="preserve">Reside in another town or city in Massachusetts or reside outside of </w:t>
            </w:r>
          </w:p>
          <w:p w14:paraId="16A0FA77" w14:textId="18F3A8D6" w:rsidR="00BB1015" w:rsidRPr="0050158A" w:rsidRDefault="00BB1015" w:rsidP="00BB1015">
            <w:pPr>
              <w:rPr>
                <w:rFonts w:cstheme="minorHAnsi"/>
              </w:rPr>
            </w:pPr>
            <w:r w:rsidRPr="00BB1015">
              <w:rPr>
                <w:rFonts w:cstheme="minorHAnsi"/>
              </w:rPr>
              <w:t>Massachusetts</w:t>
            </w:r>
            <w:r>
              <w:rPr>
                <w:rFonts w:cstheme="minorHAnsi"/>
              </w:rPr>
              <w:t xml:space="preserve"> (13.1%)</w:t>
            </w:r>
          </w:p>
        </w:tc>
      </w:tr>
    </w:tbl>
    <w:p w14:paraId="21FDD110" w14:textId="19824840" w:rsidR="00D40C69" w:rsidRDefault="00D40C69" w:rsidP="00D40C69"/>
    <w:p w14:paraId="361A70C7" w14:textId="79633D5C" w:rsidR="004E6BEB" w:rsidRPr="004410D3" w:rsidRDefault="004E6BEB" w:rsidP="00D40C69">
      <w:pPr>
        <w:rPr>
          <w:sz w:val="24"/>
          <w:szCs w:val="24"/>
        </w:rPr>
      </w:pPr>
      <w:r w:rsidRPr="004410D3">
        <w:rPr>
          <w:sz w:val="24"/>
          <w:szCs w:val="24"/>
        </w:rPr>
        <w:t>Table 3 below presents FY20 payer mix for Athol and Heywood Hospitals.</w:t>
      </w:r>
    </w:p>
    <w:p w14:paraId="214A2277" w14:textId="6A96664F" w:rsidR="00D40C69" w:rsidRPr="00F27223" w:rsidRDefault="008C1ACC" w:rsidP="008C1ACC">
      <w:pPr>
        <w:jc w:val="center"/>
        <w:rPr>
          <w:b/>
          <w:bCs/>
          <w:sz w:val="24"/>
          <w:szCs w:val="24"/>
        </w:rPr>
      </w:pPr>
      <w:r w:rsidRPr="00F27223">
        <w:rPr>
          <w:b/>
          <w:bCs/>
          <w:sz w:val="24"/>
          <w:szCs w:val="24"/>
        </w:rPr>
        <w:t>Table</w:t>
      </w:r>
      <w:r w:rsidR="004E6BEB" w:rsidRPr="00F27223">
        <w:rPr>
          <w:b/>
          <w:bCs/>
          <w:sz w:val="24"/>
          <w:szCs w:val="24"/>
        </w:rPr>
        <w:t xml:space="preserve"> 3</w:t>
      </w:r>
      <w:r w:rsidRPr="00F27223">
        <w:rPr>
          <w:b/>
          <w:bCs/>
          <w:sz w:val="24"/>
          <w:szCs w:val="24"/>
        </w:rPr>
        <w:t xml:space="preserve">: </w:t>
      </w:r>
      <w:r w:rsidR="00D40C69" w:rsidRPr="00F27223">
        <w:rPr>
          <w:b/>
          <w:bCs/>
          <w:sz w:val="24"/>
          <w:szCs w:val="24"/>
        </w:rPr>
        <w:t xml:space="preserve">Payer Mix </w:t>
      </w:r>
    </w:p>
    <w:tbl>
      <w:tblPr>
        <w:tblStyle w:val="TableGrid"/>
        <w:tblW w:w="0" w:type="auto"/>
        <w:jc w:val="center"/>
        <w:tblLook w:val="04A0" w:firstRow="1" w:lastRow="0" w:firstColumn="1" w:lastColumn="0" w:noHBand="0" w:noVBand="1"/>
        <w:tblCaption w:val="Table 3: Payer Mix"/>
        <w:tblDescription w:val=" Heywood Hospital Athol Hospital&#10;Payer Mix&#10;Commercial&#10;Commercial HMO&#10;Commercial PPO/Indemnity&#10;Medicaid&#10;Medicare &#10;Other Govt&#10;All Other  &#10;1.1%&#10;34.7%&#10;10.9%&#10;22.2%&#10;24.0%&#10;1.6%&#10;5.5% &#10;1.4%&#10;31.7%&#10;8.9%&#10;24.6%&#10;27.9%&#10;1.7%&#10;3.7%&#10;"/>
      </w:tblPr>
      <w:tblGrid>
        <w:gridCol w:w="3595"/>
        <w:gridCol w:w="2638"/>
        <w:gridCol w:w="3117"/>
      </w:tblGrid>
      <w:tr w:rsidR="00D40C69" w14:paraId="30C789DB" w14:textId="77777777" w:rsidTr="00B52786">
        <w:trPr>
          <w:tblHeader/>
          <w:jc w:val="center"/>
        </w:trPr>
        <w:tc>
          <w:tcPr>
            <w:tcW w:w="3595" w:type="dxa"/>
          </w:tcPr>
          <w:p w14:paraId="3418E5EE" w14:textId="77777777" w:rsidR="00D40C69" w:rsidRDefault="00D40C69" w:rsidP="00E72B07"/>
        </w:tc>
        <w:tc>
          <w:tcPr>
            <w:tcW w:w="2638" w:type="dxa"/>
            <w:shd w:val="clear" w:color="auto" w:fill="F2F2F2" w:themeFill="background1" w:themeFillShade="F2"/>
          </w:tcPr>
          <w:p w14:paraId="3A39A5DE" w14:textId="2C3FDA87" w:rsidR="00D40C69" w:rsidRPr="00D32614" w:rsidRDefault="00D40C69" w:rsidP="00E72B07">
            <w:pPr>
              <w:rPr>
                <w:b/>
                <w:bCs/>
              </w:rPr>
            </w:pPr>
            <w:r>
              <w:rPr>
                <w:b/>
                <w:bCs/>
              </w:rPr>
              <w:t>Heywood Hospital</w:t>
            </w:r>
          </w:p>
        </w:tc>
        <w:tc>
          <w:tcPr>
            <w:tcW w:w="3117" w:type="dxa"/>
            <w:shd w:val="clear" w:color="auto" w:fill="F2F2F2" w:themeFill="background1" w:themeFillShade="F2"/>
          </w:tcPr>
          <w:p w14:paraId="509CF749" w14:textId="08A08B90" w:rsidR="00D40C69" w:rsidRPr="00D32614" w:rsidRDefault="00D40C69" w:rsidP="00E72B07">
            <w:pPr>
              <w:rPr>
                <w:b/>
                <w:bCs/>
              </w:rPr>
            </w:pPr>
            <w:r>
              <w:rPr>
                <w:b/>
                <w:bCs/>
              </w:rPr>
              <w:t>Athol Hospital</w:t>
            </w:r>
          </w:p>
        </w:tc>
      </w:tr>
      <w:tr w:rsidR="00D40C69" w14:paraId="04C46455" w14:textId="77777777" w:rsidTr="008C1ACC">
        <w:trPr>
          <w:jc w:val="center"/>
        </w:trPr>
        <w:tc>
          <w:tcPr>
            <w:tcW w:w="3595" w:type="dxa"/>
          </w:tcPr>
          <w:p w14:paraId="72006455" w14:textId="77777777" w:rsidR="00D40C69" w:rsidRDefault="00D40C69" w:rsidP="00E72B07">
            <w:r>
              <w:t>Payer Mix</w:t>
            </w:r>
          </w:p>
          <w:p w14:paraId="375310E4" w14:textId="12BAEF53" w:rsidR="00C700CC" w:rsidRDefault="00C700CC" w:rsidP="00C700CC">
            <w:r>
              <w:t>Commercial</w:t>
            </w:r>
          </w:p>
          <w:p w14:paraId="1415FF8D" w14:textId="2A2061C2" w:rsidR="00D40C69" w:rsidRDefault="00D40C69" w:rsidP="00D40C69">
            <w:pPr>
              <w:ind w:left="144"/>
            </w:pPr>
            <w:r>
              <w:t>Commercial HMO</w:t>
            </w:r>
          </w:p>
          <w:p w14:paraId="2AF982A4" w14:textId="77777777" w:rsidR="00D40C69" w:rsidRDefault="00D40C69" w:rsidP="00D40C69">
            <w:pPr>
              <w:ind w:left="144"/>
            </w:pPr>
            <w:r>
              <w:t>Commercial PPO/Indemnity</w:t>
            </w:r>
          </w:p>
          <w:p w14:paraId="581CA9F5" w14:textId="77777777" w:rsidR="00D40C69" w:rsidRDefault="00F4438F" w:rsidP="00E72B07">
            <w:r>
              <w:t>Medicaid</w:t>
            </w:r>
          </w:p>
          <w:p w14:paraId="70B49D56" w14:textId="77777777" w:rsidR="00F4438F" w:rsidRDefault="00F4438F" w:rsidP="00E72B07">
            <w:r>
              <w:t xml:space="preserve">Medicare </w:t>
            </w:r>
          </w:p>
          <w:p w14:paraId="1ED0046C" w14:textId="58AD260E" w:rsidR="00F4438F" w:rsidRDefault="00F4438F" w:rsidP="00E72B07">
            <w:proofErr w:type="gramStart"/>
            <w:r>
              <w:t>Other</w:t>
            </w:r>
            <w:proofErr w:type="gramEnd"/>
            <w:r>
              <w:t xml:space="preserve"> Govt</w:t>
            </w:r>
          </w:p>
          <w:p w14:paraId="733921CD" w14:textId="0599DA8E" w:rsidR="00F4438F" w:rsidRDefault="00F4438F" w:rsidP="00E72B07">
            <w:r>
              <w:t>All Other</w:t>
            </w:r>
            <w:r w:rsidR="00F22CCA">
              <w:rPr>
                <w:rStyle w:val="FootnoteReference"/>
              </w:rPr>
              <w:footnoteReference w:id="11"/>
            </w:r>
          </w:p>
        </w:tc>
        <w:tc>
          <w:tcPr>
            <w:tcW w:w="2638" w:type="dxa"/>
          </w:tcPr>
          <w:p w14:paraId="23B24CC9" w14:textId="77777777" w:rsidR="00D40C69" w:rsidRDefault="00D40C69" w:rsidP="00E72B07"/>
          <w:p w14:paraId="38CAD7FA" w14:textId="77ACEB76" w:rsidR="00C700CC" w:rsidRDefault="00452D33" w:rsidP="00E72B07">
            <w:r>
              <w:t>1.1%</w:t>
            </w:r>
          </w:p>
          <w:p w14:paraId="7A631BFA" w14:textId="287C04A4" w:rsidR="00F4438F" w:rsidRDefault="00F4438F" w:rsidP="00E72B07">
            <w:r>
              <w:t>34.7%</w:t>
            </w:r>
          </w:p>
          <w:p w14:paraId="51B0CB31" w14:textId="77777777" w:rsidR="00F4438F" w:rsidRDefault="00F4438F" w:rsidP="00E72B07">
            <w:r>
              <w:t>10.9%</w:t>
            </w:r>
          </w:p>
          <w:p w14:paraId="6653EB7E" w14:textId="77777777" w:rsidR="00F4438F" w:rsidRDefault="00F4438F" w:rsidP="00E72B07">
            <w:r>
              <w:t>22.2%</w:t>
            </w:r>
          </w:p>
          <w:p w14:paraId="5D1DC290" w14:textId="77777777" w:rsidR="00F4438F" w:rsidRDefault="00F4438F" w:rsidP="00E72B07">
            <w:r>
              <w:t>24.0%</w:t>
            </w:r>
          </w:p>
          <w:p w14:paraId="7D2526EF" w14:textId="77777777" w:rsidR="00F4438F" w:rsidRDefault="00F4438F" w:rsidP="00E72B07">
            <w:r>
              <w:t>1.6%</w:t>
            </w:r>
          </w:p>
          <w:p w14:paraId="71D29E98" w14:textId="1C312394" w:rsidR="00F4438F" w:rsidRDefault="00F4438F" w:rsidP="00E72B07">
            <w:r>
              <w:t>5.5%</w:t>
            </w:r>
          </w:p>
        </w:tc>
        <w:tc>
          <w:tcPr>
            <w:tcW w:w="3117" w:type="dxa"/>
          </w:tcPr>
          <w:p w14:paraId="391F505B" w14:textId="77777777" w:rsidR="00D40C69" w:rsidRDefault="00D40C69" w:rsidP="00E72B07"/>
          <w:p w14:paraId="0DC06577" w14:textId="5F17C93A" w:rsidR="00452D33" w:rsidRDefault="00452D33" w:rsidP="00E72B07">
            <w:r>
              <w:t>1.4%</w:t>
            </w:r>
          </w:p>
          <w:p w14:paraId="72017C47" w14:textId="3A02854B" w:rsidR="00294C50" w:rsidRDefault="00294C50" w:rsidP="00E72B07">
            <w:r>
              <w:t>31.7%</w:t>
            </w:r>
          </w:p>
          <w:p w14:paraId="6D3A9A30" w14:textId="77777777" w:rsidR="00294C50" w:rsidRDefault="00294C50" w:rsidP="00E72B07">
            <w:r>
              <w:t>8.9%</w:t>
            </w:r>
          </w:p>
          <w:p w14:paraId="006F39CE" w14:textId="77777777" w:rsidR="00294C50" w:rsidRDefault="00294C50" w:rsidP="00E72B07">
            <w:r>
              <w:t>24.6%</w:t>
            </w:r>
            <w:r>
              <w:br/>
              <w:t>27.9%</w:t>
            </w:r>
          </w:p>
          <w:p w14:paraId="59A567AD" w14:textId="77777777" w:rsidR="00294C50" w:rsidRDefault="00294C50" w:rsidP="00E72B07">
            <w:r>
              <w:t>1.7%</w:t>
            </w:r>
          </w:p>
          <w:p w14:paraId="381B276D" w14:textId="148DE8B4" w:rsidR="00294C50" w:rsidRDefault="00294C50" w:rsidP="00E72B07">
            <w:r>
              <w:t>3.7%</w:t>
            </w:r>
          </w:p>
        </w:tc>
      </w:tr>
    </w:tbl>
    <w:p w14:paraId="2B68DC14" w14:textId="5B1A7359" w:rsidR="00B30C38" w:rsidRDefault="00B30C38" w:rsidP="0059582B">
      <w:pPr>
        <w:spacing w:after="0"/>
      </w:pPr>
    </w:p>
    <w:p w14:paraId="20C809FB" w14:textId="77777777" w:rsidR="00B30C38" w:rsidRDefault="00B30C38" w:rsidP="0059582B">
      <w:pPr>
        <w:spacing w:after="0"/>
      </w:pPr>
    </w:p>
    <w:p w14:paraId="7CB25DC3" w14:textId="77777777" w:rsidR="003E1CDA" w:rsidRPr="003E1CDA" w:rsidRDefault="003E1CDA" w:rsidP="003E1CDA">
      <w:pPr>
        <w:rPr>
          <w:b/>
          <w:bCs/>
          <w:sz w:val="28"/>
          <w:szCs w:val="28"/>
        </w:rPr>
      </w:pPr>
      <w:r w:rsidRPr="003E1CDA">
        <w:rPr>
          <w:b/>
          <w:bCs/>
          <w:sz w:val="28"/>
          <w:szCs w:val="28"/>
        </w:rPr>
        <w:t>Factor 1: a) Patient Panel Need</w:t>
      </w:r>
    </w:p>
    <w:p w14:paraId="517C7C5A" w14:textId="27BF6022" w:rsidR="00684D63" w:rsidRPr="00684D63" w:rsidRDefault="00684D63" w:rsidP="00684D63">
      <w:pPr>
        <w:rPr>
          <w:sz w:val="24"/>
          <w:szCs w:val="24"/>
        </w:rPr>
      </w:pPr>
      <w:r w:rsidRPr="003E1CDA">
        <w:rPr>
          <w:sz w:val="24"/>
          <w:szCs w:val="24"/>
        </w:rPr>
        <w:lastRenderedPageBreak/>
        <w:t xml:space="preserve">The Applicant </w:t>
      </w:r>
      <w:proofErr w:type="gramStart"/>
      <w:r w:rsidRPr="003E1CDA">
        <w:rPr>
          <w:sz w:val="24"/>
          <w:szCs w:val="24"/>
        </w:rPr>
        <w:t>attributes</w:t>
      </w:r>
      <w:proofErr w:type="gramEnd"/>
      <w:r w:rsidRPr="003E1CDA">
        <w:rPr>
          <w:sz w:val="24"/>
          <w:szCs w:val="24"/>
        </w:rPr>
        <w:t xml:space="preserve"> Patient Panel need for </w:t>
      </w:r>
      <w:r>
        <w:rPr>
          <w:sz w:val="24"/>
          <w:szCs w:val="24"/>
        </w:rPr>
        <w:t xml:space="preserve">the Proposed Project </w:t>
      </w:r>
      <w:r w:rsidRPr="003E1CDA">
        <w:rPr>
          <w:sz w:val="24"/>
          <w:szCs w:val="24"/>
        </w:rPr>
        <w:t>to the following:</w:t>
      </w:r>
    </w:p>
    <w:p w14:paraId="4AADCA4F" w14:textId="4252C1B0" w:rsidR="00684D63" w:rsidRDefault="006F70CA" w:rsidP="00684D63">
      <w:pPr>
        <w:pStyle w:val="ListParagraph"/>
        <w:numPr>
          <w:ilvl w:val="0"/>
          <w:numId w:val="17"/>
        </w:numPr>
        <w:spacing w:after="0" w:line="240" w:lineRule="auto"/>
        <w:rPr>
          <w:sz w:val="24"/>
          <w:szCs w:val="24"/>
        </w:rPr>
      </w:pPr>
      <w:r>
        <w:rPr>
          <w:sz w:val="24"/>
          <w:szCs w:val="24"/>
        </w:rPr>
        <w:t xml:space="preserve">Need </w:t>
      </w:r>
      <w:r w:rsidR="00032EB5">
        <w:rPr>
          <w:sz w:val="24"/>
          <w:szCs w:val="24"/>
        </w:rPr>
        <w:t>for</w:t>
      </w:r>
      <w:r>
        <w:rPr>
          <w:sz w:val="24"/>
          <w:szCs w:val="24"/>
        </w:rPr>
        <w:t xml:space="preserve"> Heywood Healthcare to maintain access to MRI and PET-CT services for the Patient Panel. </w:t>
      </w:r>
    </w:p>
    <w:p w14:paraId="57C8A1A6" w14:textId="5DB051A4" w:rsidR="00684D63" w:rsidRDefault="00684D63" w:rsidP="0052171F">
      <w:pPr>
        <w:pStyle w:val="ListParagraph"/>
        <w:numPr>
          <w:ilvl w:val="1"/>
          <w:numId w:val="17"/>
        </w:numPr>
        <w:spacing w:after="0" w:line="240" w:lineRule="auto"/>
        <w:rPr>
          <w:sz w:val="24"/>
          <w:szCs w:val="24"/>
        </w:rPr>
      </w:pPr>
      <w:bookmarkStart w:id="2" w:name="_Hlk78097347"/>
      <w:r w:rsidRPr="00684D63">
        <w:rPr>
          <w:sz w:val="24"/>
          <w:szCs w:val="24"/>
        </w:rPr>
        <w:t>MRI and PET-CT Historical Demand</w:t>
      </w:r>
    </w:p>
    <w:bookmarkEnd w:id="2"/>
    <w:p w14:paraId="7A1B73D0" w14:textId="77777777" w:rsidR="00684D63" w:rsidRDefault="00684D63" w:rsidP="0052171F">
      <w:pPr>
        <w:pStyle w:val="ListParagraph"/>
        <w:numPr>
          <w:ilvl w:val="1"/>
          <w:numId w:val="17"/>
        </w:numPr>
        <w:spacing w:after="0" w:line="240" w:lineRule="auto"/>
        <w:rPr>
          <w:sz w:val="24"/>
          <w:szCs w:val="24"/>
        </w:rPr>
      </w:pPr>
      <w:r w:rsidRPr="00684D63">
        <w:rPr>
          <w:sz w:val="24"/>
          <w:szCs w:val="24"/>
        </w:rPr>
        <w:t>Aging Population</w:t>
      </w:r>
    </w:p>
    <w:p w14:paraId="1F1F658E" w14:textId="135109BF" w:rsidR="00684D63" w:rsidRPr="0006601B" w:rsidRDefault="00684D63" w:rsidP="0052171F">
      <w:pPr>
        <w:pStyle w:val="ListParagraph"/>
        <w:numPr>
          <w:ilvl w:val="1"/>
          <w:numId w:val="17"/>
        </w:numPr>
        <w:spacing w:after="0" w:line="240" w:lineRule="auto"/>
        <w:rPr>
          <w:sz w:val="24"/>
          <w:szCs w:val="24"/>
        </w:rPr>
      </w:pPr>
      <w:r w:rsidRPr="0006601B">
        <w:rPr>
          <w:sz w:val="24"/>
          <w:szCs w:val="24"/>
        </w:rPr>
        <w:t>Population</w:t>
      </w:r>
      <w:r w:rsidR="004E5357">
        <w:rPr>
          <w:sz w:val="24"/>
          <w:szCs w:val="24"/>
        </w:rPr>
        <w:t xml:space="preserve"> and Demand</w:t>
      </w:r>
      <w:r w:rsidRPr="0006601B">
        <w:rPr>
          <w:sz w:val="24"/>
          <w:szCs w:val="24"/>
        </w:rPr>
        <w:t xml:space="preserve"> Projections</w:t>
      </w:r>
    </w:p>
    <w:p w14:paraId="7BFA4A99" w14:textId="23E23303" w:rsidR="00684D63" w:rsidRDefault="00684D63" w:rsidP="00684D63">
      <w:pPr>
        <w:spacing w:after="0" w:line="240" w:lineRule="auto"/>
        <w:ind w:left="360"/>
        <w:rPr>
          <w:sz w:val="24"/>
          <w:szCs w:val="24"/>
        </w:rPr>
      </w:pPr>
    </w:p>
    <w:p w14:paraId="37CBCF49" w14:textId="77777777" w:rsidR="00533A88" w:rsidRPr="00684D63" w:rsidRDefault="00533A88" w:rsidP="00684D63">
      <w:pPr>
        <w:spacing w:after="0" w:line="240" w:lineRule="auto"/>
        <w:ind w:left="360"/>
        <w:rPr>
          <w:sz w:val="24"/>
          <w:szCs w:val="24"/>
        </w:rPr>
      </w:pPr>
    </w:p>
    <w:p w14:paraId="199FC1EC" w14:textId="05D4F1BB" w:rsidR="007D0939" w:rsidRDefault="00F83833" w:rsidP="00CC6ADB">
      <w:pPr>
        <w:pStyle w:val="ListParagraph"/>
        <w:numPr>
          <w:ilvl w:val="0"/>
          <w:numId w:val="18"/>
        </w:numPr>
        <w:spacing w:after="0" w:line="240" w:lineRule="auto"/>
        <w:rPr>
          <w:sz w:val="24"/>
          <w:szCs w:val="24"/>
        </w:rPr>
      </w:pPr>
      <w:r w:rsidRPr="00F83833">
        <w:rPr>
          <w:b/>
          <w:bCs/>
          <w:sz w:val="24"/>
          <w:szCs w:val="24"/>
        </w:rPr>
        <w:t xml:space="preserve">Need to </w:t>
      </w:r>
      <w:r w:rsidR="006607D0">
        <w:rPr>
          <w:b/>
          <w:bCs/>
          <w:sz w:val="24"/>
          <w:szCs w:val="24"/>
        </w:rPr>
        <w:t>M</w:t>
      </w:r>
      <w:r w:rsidR="006607D0" w:rsidRPr="00F83833">
        <w:rPr>
          <w:b/>
          <w:bCs/>
          <w:sz w:val="24"/>
          <w:szCs w:val="24"/>
        </w:rPr>
        <w:t xml:space="preserve">aintain </w:t>
      </w:r>
      <w:r w:rsidR="006607D0">
        <w:rPr>
          <w:b/>
          <w:bCs/>
          <w:sz w:val="24"/>
          <w:szCs w:val="24"/>
        </w:rPr>
        <w:t>A</w:t>
      </w:r>
      <w:r w:rsidR="006607D0" w:rsidRPr="00F83833">
        <w:rPr>
          <w:b/>
          <w:bCs/>
          <w:sz w:val="24"/>
          <w:szCs w:val="24"/>
        </w:rPr>
        <w:t xml:space="preserve">ccess </w:t>
      </w:r>
      <w:r w:rsidRPr="00F83833">
        <w:rPr>
          <w:b/>
          <w:bCs/>
          <w:sz w:val="24"/>
          <w:szCs w:val="24"/>
        </w:rPr>
        <w:t>to MRI and PET-CT Services.</w:t>
      </w:r>
      <w:r>
        <w:rPr>
          <w:sz w:val="24"/>
          <w:szCs w:val="24"/>
        </w:rPr>
        <w:t xml:space="preserve"> </w:t>
      </w:r>
    </w:p>
    <w:p w14:paraId="4FE61D57" w14:textId="77777777" w:rsidR="00DC35E5" w:rsidRDefault="00DC35E5" w:rsidP="00DC35E5">
      <w:pPr>
        <w:pStyle w:val="ListParagraph"/>
        <w:spacing w:after="0" w:line="240" w:lineRule="auto"/>
        <w:rPr>
          <w:sz w:val="24"/>
          <w:szCs w:val="24"/>
        </w:rPr>
      </w:pPr>
    </w:p>
    <w:p w14:paraId="243E8087" w14:textId="2F29BDCD" w:rsidR="007D0939" w:rsidRPr="00DC35E5" w:rsidRDefault="007D0939" w:rsidP="007D0939">
      <w:pPr>
        <w:spacing w:after="0" w:line="240" w:lineRule="auto"/>
        <w:ind w:left="360"/>
        <w:rPr>
          <w:b/>
          <w:bCs/>
          <w:i/>
          <w:iCs/>
          <w:sz w:val="24"/>
          <w:szCs w:val="24"/>
        </w:rPr>
      </w:pPr>
      <w:r w:rsidRPr="00DC35E5">
        <w:rPr>
          <w:b/>
          <w:bCs/>
          <w:i/>
          <w:iCs/>
          <w:sz w:val="24"/>
          <w:szCs w:val="24"/>
        </w:rPr>
        <w:t>Background</w:t>
      </w:r>
    </w:p>
    <w:p w14:paraId="16C68814" w14:textId="1A63628D" w:rsidR="005B732C" w:rsidRDefault="00CC6ADB" w:rsidP="007D0939">
      <w:pPr>
        <w:spacing w:after="0" w:line="240" w:lineRule="auto"/>
        <w:ind w:left="360"/>
        <w:rPr>
          <w:sz w:val="24"/>
          <w:szCs w:val="24"/>
        </w:rPr>
      </w:pPr>
      <w:bookmarkStart w:id="3" w:name="_Hlk85810411"/>
      <w:r w:rsidRPr="007D0939">
        <w:rPr>
          <w:sz w:val="24"/>
          <w:szCs w:val="24"/>
        </w:rPr>
        <w:t>Heywood H</w:t>
      </w:r>
      <w:r w:rsidR="00E92072">
        <w:rPr>
          <w:sz w:val="24"/>
          <w:szCs w:val="24"/>
        </w:rPr>
        <w:t>ealthcare</w:t>
      </w:r>
      <w:r w:rsidR="00287B15">
        <w:rPr>
          <w:sz w:val="24"/>
          <w:szCs w:val="24"/>
        </w:rPr>
        <w:t xml:space="preserve"> currently</w:t>
      </w:r>
      <w:r w:rsidRPr="007D0939">
        <w:rPr>
          <w:sz w:val="24"/>
          <w:szCs w:val="24"/>
        </w:rPr>
        <w:t xml:space="preserve"> arranges for access to on-site MRI </w:t>
      </w:r>
      <w:r w:rsidR="00E04F72">
        <w:rPr>
          <w:sz w:val="24"/>
          <w:szCs w:val="24"/>
        </w:rPr>
        <w:t xml:space="preserve">and PET-CT </w:t>
      </w:r>
      <w:r w:rsidRPr="007D0939">
        <w:rPr>
          <w:sz w:val="24"/>
          <w:szCs w:val="24"/>
        </w:rPr>
        <w:t xml:space="preserve">services at Heywood Hospital and Athol Hospital through an agreement with an </w:t>
      </w:r>
      <w:r w:rsidR="00513316">
        <w:rPr>
          <w:sz w:val="24"/>
          <w:szCs w:val="24"/>
        </w:rPr>
        <w:t>outside</w:t>
      </w:r>
      <w:r w:rsidRPr="007D0939">
        <w:rPr>
          <w:sz w:val="24"/>
          <w:szCs w:val="24"/>
        </w:rPr>
        <w:t xml:space="preserve"> vendor. </w:t>
      </w:r>
      <w:r w:rsidR="004E1741" w:rsidRPr="007D0939">
        <w:rPr>
          <w:sz w:val="24"/>
          <w:szCs w:val="24"/>
        </w:rPr>
        <w:t>The contract with the existing vendor is ending and</w:t>
      </w:r>
      <w:r w:rsidR="00DC011A" w:rsidRPr="007D0939">
        <w:rPr>
          <w:sz w:val="24"/>
          <w:szCs w:val="24"/>
        </w:rPr>
        <w:t xml:space="preserve"> Heywood Healthcare has determined that it will not </w:t>
      </w:r>
      <w:r w:rsidR="00281A92">
        <w:rPr>
          <w:sz w:val="24"/>
          <w:szCs w:val="24"/>
        </w:rPr>
        <w:t xml:space="preserve">be </w:t>
      </w:r>
      <w:r w:rsidR="00DC011A" w:rsidRPr="007D0939">
        <w:rPr>
          <w:sz w:val="24"/>
          <w:szCs w:val="24"/>
        </w:rPr>
        <w:t>renew</w:t>
      </w:r>
      <w:r w:rsidR="00281A92">
        <w:rPr>
          <w:sz w:val="24"/>
          <w:szCs w:val="24"/>
        </w:rPr>
        <w:t>ed</w:t>
      </w:r>
      <w:r w:rsidR="00DC011A" w:rsidRPr="007D0939">
        <w:rPr>
          <w:sz w:val="24"/>
          <w:szCs w:val="24"/>
        </w:rPr>
        <w:t>. T</w:t>
      </w:r>
      <w:r w:rsidR="004E1741" w:rsidRPr="007D0939">
        <w:rPr>
          <w:sz w:val="24"/>
          <w:szCs w:val="24"/>
        </w:rPr>
        <w:t>he Applicant seeks to bring the imaging services under the Applicant to maintain access to high-quality imaging services for the Patient Panel</w:t>
      </w:r>
      <w:r w:rsidR="00084C68" w:rsidRPr="007D0939">
        <w:rPr>
          <w:sz w:val="24"/>
          <w:szCs w:val="24"/>
        </w:rPr>
        <w:t xml:space="preserve"> and fulfill the continued need for these services</w:t>
      </w:r>
      <w:r w:rsidR="004E1741" w:rsidRPr="007D0939">
        <w:rPr>
          <w:sz w:val="24"/>
          <w:szCs w:val="24"/>
        </w:rPr>
        <w:t xml:space="preserve">. </w:t>
      </w:r>
      <w:r w:rsidR="007B226B">
        <w:rPr>
          <w:sz w:val="24"/>
          <w:szCs w:val="24"/>
        </w:rPr>
        <w:t>T</w:t>
      </w:r>
      <w:r w:rsidR="007B226B" w:rsidRPr="007B226B">
        <w:rPr>
          <w:sz w:val="24"/>
          <w:szCs w:val="24"/>
        </w:rPr>
        <w:t xml:space="preserve">he </w:t>
      </w:r>
      <w:r w:rsidR="000E1528">
        <w:rPr>
          <w:sz w:val="24"/>
          <w:szCs w:val="24"/>
        </w:rPr>
        <w:t xml:space="preserve">MRI and PET-CT </w:t>
      </w:r>
      <w:r w:rsidR="001B71E8">
        <w:rPr>
          <w:sz w:val="24"/>
          <w:szCs w:val="24"/>
        </w:rPr>
        <w:t xml:space="preserve">imaging </w:t>
      </w:r>
      <w:r w:rsidR="007B226B" w:rsidRPr="007B226B">
        <w:rPr>
          <w:sz w:val="24"/>
          <w:szCs w:val="24"/>
        </w:rPr>
        <w:t>equipment owned by the joint venture will be newer and as a part owner</w:t>
      </w:r>
      <w:r w:rsidR="0070406C">
        <w:rPr>
          <w:sz w:val="24"/>
          <w:szCs w:val="24"/>
        </w:rPr>
        <w:t>,</w:t>
      </w:r>
      <w:r w:rsidR="007B226B" w:rsidRPr="007B226B">
        <w:rPr>
          <w:sz w:val="24"/>
          <w:szCs w:val="24"/>
        </w:rPr>
        <w:t xml:space="preserve"> </w:t>
      </w:r>
      <w:r w:rsidR="0070406C">
        <w:rPr>
          <w:sz w:val="24"/>
          <w:szCs w:val="24"/>
        </w:rPr>
        <w:t>Heywood Healthcare</w:t>
      </w:r>
      <w:r w:rsidR="007B226B" w:rsidRPr="007B226B">
        <w:rPr>
          <w:sz w:val="24"/>
          <w:szCs w:val="24"/>
        </w:rPr>
        <w:t xml:space="preserve"> will have more control</w:t>
      </w:r>
      <w:r w:rsidR="001B71E8">
        <w:rPr>
          <w:sz w:val="24"/>
          <w:szCs w:val="24"/>
        </w:rPr>
        <w:t xml:space="preserve"> over imaging services</w:t>
      </w:r>
      <w:r w:rsidR="007B226B" w:rsidRPr="007B226B">
        <w:rPr>
          <w:sz w:val="24"/>
          <w:szCs w:val="24"/>
        </w:rPr>
        <w:t xml:space="preserve">. </w:t>
      </w:r>
      <w:r w:rsidR="007D31EE">
        <w:rPr>
          <w:sz w:val="24"/>
          <w:szCs w:val="24"/>
        </w:rPr>
        <w:t xml:space="preserve">Newer </w:t>
      </w:r>
      <w:r w:rsidR="00904F92">
        <w:rPr>
          <w:sz w:val="24"/>
          <w:szCs w:val="24"/>
        </w:rPr>
        <w:t xml:space="preserve">imaging </w:t>
      </w:r>
      <w:r w:rsidR="007D31EE">
        <w:rPr>
          <w:sz w:val="24"/>
          <w:szCs w:val="24"/>
        </w:rPr>
        <w:t>equipment</w:t>
      </w:r>
      <w:r w:rsidR="00B309F0">
        <w:rPr>
          <w:sz w:val="24"/>
          <w:szCs w:val="24"/>
        </w:rPr>
        <w:t xml:space="preserve"> will </w:t>
      </w:r>
      <w:r w:rsidR="00281A92">
        <w:rPr>
          <w:sz w:val="24"/>
          <w:szCs w:val="24"/>
        </w:rPr>
        <w:t xml:space="preserve">be more efficient and will </w:t>
      </w:r>
      <w:r w:rsidR="00B309F0">
        <w:rPr>
          <w:sz w:val="24"/>
          <w:szCs w:val="24"/>
        </w:rPr>
        <w:t>shorten scan times</w:t>
      </w:r>
      <w:r w:rsidR="00281A92">
        <w:rPr>
          <w:sz w:val="24"/>
          <w:szCs w:val="24"/>
        </w:rPr>
        <w:t>,</w:t>
      </w:r>
      <w:r w:rsidR="00B309F0">
        <w:rPr>
          <w:sz w:val="24"/>
          <w:szCs w:val="24"/>
        </w:rPr>
        <w:t xml:space="preserve"> allow</w:t>
      </w:r>
      <w:r w:rsidR="00066246">
        <w:rPr>
          <w:sz w:val="24"/>
          <w:szCs w:val="24"/>
        </w:rPr>
        <w:t>ing</w:t>
      </w:r>
      <w:r w:rsidR="00B309F0">
        <w:rPr>
          <w:sz w:val="24"/>
          <w:szCs w:val="24"/>
        </w:rPr>
        <w:t xml:space="preserve"> more appointments to be scheduled daily</w:t>
      </w:r>
      <w:r w:rsidR="004B01AC">
        <w:rPr>
          <w:sz w:val="24"/>
          <w:szCs w:val="24"/>
        </w:rPr>
        <w:t xml:space="preserve">, which </w:t>
      </w:r>
      <w:r w:rsidR="00B309F0">
        <w:rPr>
          <w:sz w:val="24"/>
          <w:szCs w:val="24"/>
        </w:rPr>
        <w:t>will reduce wait times and expand access to imaging services</w:t>
      </w:r>
      <w:r w:rsidR="00281A92">
        <w:rPr>
          <w:sz w:val="24"/>
          <w:szCs w:val="24"/>
        </w:rPr>
        <w:t xml:space="preserve">. </w:t>
      </w:r>
      <w:r w:rsidR="001E2279">
        <w:rPr>
          <w:sz w:val="24"/>
          <w:szCs w:val="24"/>
        </w:rPr>
        <w:t>Further</w:t>
      </w:r>
      <w:r w:rsidR="004A461A">
        <w:rPr>
          <w:sz w:val="24"/>
          <w:szCs w:val="24"/>
        </w:rPr>
        <w:t>,</w:t>
      </w:r>
      <w:r w:rsidR="001E2279">
        <w:rPr>
          <w:sz w:val="24"/>
          <w:szCs w:val="24"/>
        </w:rPr>
        <w:t xml:space="preserve"> efficiencies may be realized as the </w:t>
      </w:r>
      <w:r w:rsidR="00BF2B16">
        <w:rPr>
          <w:sz w:val="24"/>
          <w:szCs w:val="24"/>
        </w:rPr>
        <w:t xml:space="preserve">newer unit </w:t>
      </w:r>
      <w:r w:rsidR="00265584">
        <w:rPr>
          <w:sz w:val="24"/>
          <w:szCs w:val="24"/>
        </w:rPr>
        <w:t xml:space="preserve">will </w:t>
      </w:r>
      <w:r w:rsidR="004246C7">
        <w:rPr>
          <w:sz w:val="24"/>
          <w:szCs w:val="24"/>
        </w:rPr>
        <w:t xml:space="preserve">also </w:t>
      </w:r>
      <w:r w:rsidR="00B309F0">
        <w:rPr>
          <w:sz w:val="24"/>
          <w:szCs w:val="24"/>
        </w:rPr>
        <w:t>improve the quality of imaging</w:t>
      </w:r>
      <w:r w:rsidR="004246C7">
        <w:rPr>
          <w:sz w:val="24"/>
          <w:szCs w:val="24"/>
        </w:rPr>
        <w:t>,</w:t>
      </w:r>
      <w:r w:rsidR="00503C10">
        <w:rPr>
          <w:sz w:val="24"/>
          <w:szCs w:val="24"/>
        </w:rPr>
        <w:t xml:space="preserve"> </w:t>
      </w:r>
      <w:r w:rsidR="001E2279">
        <w:rPr>
          <w:sz w:val="24"/>
          <w:szCs w:val="24"/>
        </w:rPr>
        <w:t>potentially reducing the need for repeat imaging</w:t>
      </w:r>
      <w:r w:rsidR="00BF2B16">
        <w:rPr>
          <w:sz w:val="24"/>
          <w:szCs w:val="24"/>
        </w:rPr>
        <w:t xml:space="preserve">. Additional benefits of the Proposed Project include </w:t>
      </w:r>
      <w:r w:rsidR="00EC1BBA">
        <w:rPr>
          <w:sz w:val="24"/>
          <w:szCs w:val="24"/>
        </w:rPr>
        <w:t>e</w:t>
      </w:r>
      <w:r w:rsidR="00426563">
        <w:rPr>
          <w:sz w:val="24"/>
          <w:szCs w:val="24"/>
        </w:rPr>
        <w:t>nhan</w:t>
      </w:r>
      <w:r w:rsidR="00BF2B16">
        <w:rPr>
          <w:sz w:val="24"/>
          <w:szCs w:val="24"/>
        </w:rPr>
        <w:t>ced</w:t>
      </w:r>
      <w:r w:rsidR="00066246">
        <w:rPr>
          <w:sz w:val="24"/>
          <w:szCs w:val="24"/>
        </w:rPr>
        <w:t xml:space="preserve"> </w:t>
      </w:r>
      <w:r w:rsidR="00426563">
        <w:rPr>
          <w:sz w:val="24"/>
          <w:szCs w:val="24"/>
        </w:rPr>
        <w:t>disease detection</w:t>
      </w:r>
      <w:r w:rsidR="00B309F0">
        <w:rPr>
          <w:sz w:val="24"/>
          <w:szCs w:val="24"/>
        </w:rPr>
        <w:t>,</w:t>
      </w:r>
      <w:r w:rsidR="004B01AC">
        <w:rPr>
          <w:sz w:val="24"/>
          <w:szCs w:val="24"/>
        </w:rPr>
        <w:t xml:space="preserve"> </w:t>
      </w:r>
      <w:r w:rsidR="00904F92">
        <w:rPr>
          <w:sz w:val="24"/>
          <w:szCs w:val="24"/>
        </w:rPr>
        <w:t>reduc</w:t>
      </w:r>
      <w:r w:rsidR="00BF2B16">
        <w:rPr>
          <w:sz w:val="24"/>
          <w:szCs w:val="24"/>
        </w:rPr>
        <w:t>ed</w:t>
      </w:r>
      <w:r w:rsidR="00066246">
        <w:rPr>
          <w:sz w:val="24"/>
          <w:szCs w:val="24"/>
        </w:rPr>
        <w:t xml:space="preserve"> </w:t>
      </w:r>
      <w:r w:rsidR="007A74E8">
        <w:rPr>
          <w:sz w:val="24"/>
          <w:szCs w:val="24"/>
        </w:rPr>
        <w:t xml:space="preserve">delays in diagnosis and treatment, and </w:t>
      </w:r>
      <w:r w:rsidR="00426563">
        <w:rPr>
          <w:sz w:val="24"/>
          <w:szCs w:val="24"/>
        </w:rPr>
        <w:t>impro</w:t>
      </w:r>
      <w:r w:rsidR="00BF2B16">
        <w:rPr>
          <w:sz w:val="24"/>
          <w:szCs w:val="24"/>
        </w:rPr>
        <w:t>ved</w:t>
      </w:r>
      <w:r w:rsidR="00426563">
        <w:rPr>
          <w:sz w:val="24"/>
          <w:szCs w:val="24"/>
        </w:rPr>
        <w:t xml:space="preserve"> </w:t>
      </w:r>
      <w:r w:rsidR="007A74E8">
        <w:rPr>
          <w:sz w:val="24"/>
          <w:szCs w:val="24"/>
        </w:rPr>
        <w:t>health outcomes</w:t>
      </w:r>
      <w:r w:rsidR="00426563">
        <w:rPr>
          <w:sz w:val="24"/>
          <w:szCs w:val="24"/>
        </w:rPr>
        <w:t xml:space="preserve"> and patient satisfaction</w:t>
      </w:r>
      <w:r w:rsidR="00623E73">
        <w:rPr>
          <w:sz w:val="24"/>
          <w:szCs w:val="24"/>
        </w:rPr>
        <w:t xml:space="preserve">. </w:t>
      </w:r>
      <w:r w:rsidR="00265584">
        <w:rPr>
          <w:sz w:val="24"/>
          <w:szCs w:val="24"/>
        </w:rPr>
        <w:t xml:space="preserve">The Applicant notes that </w:t>
      </w:r>
      <w:r w:rsidR="004246C7">
        <w:rPr>
          <w:sz w:val="24"/>
          <w:szCs w:val="24"/>
        </w:rPr>
        <w:t>streamlining</w:t>
      </w:r>
      <w:r w:rsidR="00650B64">
        <w:rPr>
          <w:sz w:val="24"/>
          <w:szCs w:val="24"/>
        </w:rPr>
        <w:t xml:space="preserve"> physician access to higher-quality imaging records</w:t>
      </w:r>
      <w:r w:rsidR="00623E73">
        <w:rPr>
          <w:sz w:val="24"/>
          <w:szCs w:val="24"/>
        </w:rPr>
        <w:t xml:space="preserve"> </w:t>
      </w:r>
      <w:r w:rsidR="00426563">
        <w:rPr>
          <w:sz w:val="24"/>
          <w:szCs w:val="24"/>
        </w:rPr>
        <w:t>will</w:t>
      </w:r>
      <w:r w:rsidR="004B01AC">
        <w:rPr>
          <w:sz w:val="24"/>
          <w:szCs w:val="24"/>
        </w:rPr>
        <w:t xml:space="preserve"> </w:t>
      </w:r>
      <w:r w:rsidR="00623E73">
        <w:rPr>
          <w:sz w:val="24"/>
          <w:szCs w:val="24"/>
        </w:rPr>
        <w:t>improve physician satisfaction</w:t>
      </w:r>
      <w:r w:rsidR="00503C10">
        <w:rPr>
          <w:sz w:val="24"/>
          <w:szCs w:val="24"/>
        </w:rPr>
        <w:t xml:space="preserve"> </w:t>
      </w:r>
      <w:r w:rsidR="004246C7">
        <w:rPr>
          <w:sz w:val="24"/>
          <w:szCs w:val="24"/>
        </w:rPr>
        <w:t>as well</w:t>
      </w:r>
      <w:r w:rsidR="00623E73">
        <w:rPr>
          <w:sz w:val="24"/>
          <w:szCs w:val="24"/>
        </w:rPr>
        <w:t>.</w:t>
      </w:r>
    </w:p>
    <w:bookmarkEnd w:id="3"/>
    <w:p w14:paraId="34A52DC0" w14:textId="77777777" w:rsidR="005B732C" w:rsidRDefault="005B732C" w:rsidP="007D0939">
      <w:pPr>
        <w:spacing w:after="0" w:line="240" w:lineRule="auto"/>
        <w:ind w:left="360"/>
        <w:rPr>
          <w:sz w:val="24"/>
          <w:szCs w:val="24"/>
        </w:rPr>
      </w:pPr>
    </w:p>
    <w:p w14:paraId="42CCD8D5" w14:textId="435048A7" w:rsidR="005B732C" w:rsidRDefault="00C81A54" w:rsidP="005B732C">
      <w:pPr>
        <w:spacing w:after="0" w:line="240" w:lineRule="auto"/>
        <w:ind w:left="360"/>
        <w:rPr>
          <w:sz w:val="24"/>
          <w:szCs w:val="24"/>
        </w:rPr>
      </w:pPr>
      <w:r>
        <w:rPr>
          <w:sz w:val="24"/>
          <w:szCs w:val="24"/>
        </w:rPr>
        <w:t>The Applicant</w:t>
      </w:r>
      <w:r w:rsidR="004246C7">
        <w:rPr>
          <w:sz w:val="24"/>
          <w:szCs w:val="24"/>
        </w:rPr>
        <w:t xml:space="preserve"> assessed </w:t>
      </w:r>
      <w:r>
        <w:rPr>
          <w:sz w:val="24"/>
          <w:szCs w:val="24"/>
        </w:rPr>
        <w:t>historical utilization and physical space</w:t>
      </w:r>
      <w:r w:rsidR="004246C7">
        <w:rPr>
          <w:sz w:val="24"/>
          <w:szCs w:val="24"/>
        </w:rPr>
        <w:t xml:space="preserve"> to accommodate services</w:t>
      </w:r>
      <w:r>
        <w:rPr>
          <w:sz w:val="24"/>
          <w:szCs w:val="24"/>
        </w:rPr>
        <w:t xml:space="preserve"> </w:t>
      </w:r>
      <w:r w:rsidR="004246C7">
        <w:rPr>
          <w:sz w:val="24"/>
          <w:szCs w:val="24"/>
        </w:rPr>
        <w:t>and its proposed siting of the MRI services at Heywood Hospital and mobile PET-CT services at Athol Hospital aligns with their findings</w:t>
      </w:r>
      <w:r>
        <w:rPr>
          <w:sz w:val="24"/>
          <w:szCs w:val="24"/>
        </w:rPr>
        <w:t>.</w:t>
      </w:r>
      <w:r w:rsidR="004246C7">
        <w:rPr>
          <w:sz w:val="24"/>
          <w:szCs w:val="24"/>
        </w:rPr>
        <w:t xml:space="preserve"> Most notably, the </w:t>
      </w:r>
      <w:r w:rsidR="00D75499">
        <w:rPr>
          <w:sz w:val="24"/>
          <w:szCs w:val="24"/>
        </w:rPr>
        <w:t xml:space="preserve">proposed scheduling is reflective of the </w:t>
      </w:r>
      <w:r w:rsidR="004246C7">
        <w:rPr>
          <w:sz w:val="24"/>
          <w:szCs w:val="24"/>
        </w:rPr>
        <w:t>Applicant</w:t>
      </w:r>
      <w:r w:rsidR="00D75499">
        <w:rPr>
          <w:sz w:val="24"/>
          <w:szCs w:val="24"/>
        </w:rPr>
        <w:t>’s</w:t>
      </w:r>
      <w:r w:rsidR="004246C7">
        <w:rPr>
          <w:sz w:val="24"/>
          <w:szCs w:val="24"/>
        </w:rPr>
        <w:t xml:space="preserve"> f</w:t>
      </w:r>
      <w:r w:rsidR="00D75499">
        <w:rPr>
          <w:sz w:val="24"/>
          <w:szCs w:val="24"/>
        </w:rPr>
        <w:t xml:space="preserve">inding </w:t>
      </w:r>
      <w:r w:rsidR="004246C7">
        <w:rPr>
          <w:sz w:val="24"/>
          <w:szCs w:val="24"/>
        </w:rPr>
        <w:t>that utilization of MRI at Athol is very low</w:t>
      </w:r>
      <w:r w:rsidR="00D75499">
        <w:rPr>
          <w:sz w:val="24"/>
          <w:szCs w:val="24"/>
        </w:rPr>
        <w:t xml:space="preserve"> and that the newer PET-CT unit will be more efficient allowing more scans in fewer hours of operation. </w:t>
      </w:r>
    </w:p>
    <w:p w14:paraId="385246AB" w14:textId="1C0166B2" w:rsidR="00CB0207" w:rsidRPr="00CC6ADB" w:rsidRDefault="00CB0207" w:rsidP="00CB0207">
      <w:pPr>
        <w:spacing w:after="0" w:line="240" w:lineRule="auto"/>
        <w:rPr>
          <w:sz w:val="24"/>
          <w:szCs w:val="24"/>
        </w:rPr>
      </w:pPr>
    </w:p>
    <w:p w14:paraId="50FF9E0D" w14:textId="0ACA1E9A" w:rsidR="00CB0207" w:rsidRDefault="005B732C" w:rsidP="003A360B">
      <w:pPr>
        <w:spacing w:after="0" w:line="240" w:lineRule="auto"/>
        <w:ind w:left="360"/>
        <w:rPr>
          <w:sz w:val="24"/>
          <w:szCs w:val="24"/>
        </w:rPr>
      </w:pPr>
      <w:r>
        <w:rPr>
          <w:sz w:val="24"/>
          <w:szCs w:val="24"/>
          <w:u w:val="single"/>
        </w:rPr>
        <w:t xml:space="preserve">MRI Services: </w:t>
      </w:r>
      <w:r w:rsidR="00512A41">
        <w:rPr>
          <w:sz w:val="24"/>
          <w:szCs w:val="24"/>
        </w:rPr>
        <w:t xml:space="preserve">Currently, </w:t>
      </w:r>
      <w:r>
        <w:rPr>
          <w:sz w:val="24"/>
          <w:szCs w:val="24"/>
        </w:rPr>
        <w:t>both Hospitals offer MRI services</w:t>
      </w:r>
      <w:r w:rsidR="00DE404E">
        <w:rPr>
          <w:sz w:val="24"/>
          <w:szCs w:val="24"/>
        </w:rPr>
        <w:t xml:space="preserve">: </w:t>
      </w:r>
    </w:p>
    <w:p w14:paraId="432B98BD" w14:textId="2F4003BB" w:rsidR="00CB0207" w:rsidRDefault="00DE404E" w:rsidP="00CB0207">
      <w:pPr>
        <w:pStyle w:val="ListParagraph"/>
        <w:numPr>
          <w:ilvl w:val="0"/>
          <w:numId w:val="36"/>
        </w:numPr>
        <w:spacing w:after="0" w:line="240" w:lineRule="auto"/>
        <w:rPr>
          <w:sz w:val="24"/>
          <w:szCs w:val="24"/>
        </w:rPr>
      </w:pPr>
      <w:r w:rsidRPr="00DB1ED0">
        <w:rPr>
          <w:sz w:val="24"/>
          <w:szCs w:val="24"/>
        </w:rPr>
        <w:t xml:space="preserve">mobile MRI on the Athol campus </w:t>
      </w:r>
      <w:r w:rsidR="00CB0207">
        <w:rPr>
          <w:sz w:val="24"/>
          <w:szCs w:val="24"/>
        </w:rPr>
        <w:t xml:space="preserve">(operating Monday, Tuesday, and Thursday) </w:t>
      </w:r>
      <w:r w:rsidRPr="00DB1ED0">
        <w:rPr>
          <w:sz w:val="24"/>
          <w:szCs w:val="24"/>
        </w:rPr>
        <w:t xml:space="preserve">and </w:t>
      </w:r>
    </w:p>
    <w:p w14:paraId="2684B6C1" w14:textId="0FC0901D" w:rsidR="00CB0207" w:rsidRPr="007C4192" w:rsidRDefault="00DE404E" w:rsidP="007C4192">
      <w:pPr>
        <w:pStyle w:val="ListParagraph"/>
        <w:numPr>
          <w:ilvl w:val="0"/>
          <w:numId w:val="36"/>
        </w:numPr>
        <w:spacing w:after="0" w:line="240" w:lineRule="auto"/>
        <w:rPr>
          <w:sz w:val="24"/>
          <w:szCs w:val="24"/>
        </w:rPr>
      </w:pPr>
      <w:r w:rsidRPr="00DB1ED0">
        <w:rPr>
          <w:sz w:val="24"/>
          <w:szCs w:val="24"/>
        </w:rPr>
        <w:t>a fixed MRI located within Heywood Hospital</w:t>
      </w:r>
      <w:r w:rsidR="00CB0207">
        <w:rPr>
          <w:sz w:val="24"/>
          <w:szCs w:val="24"/>
        </w:rPr>
        <w:t xml:space="preserve"> (operating Monday-Friday)</w:t>
      </w:r>
      <w:r w:rsidR="00840622" w:rsidRPr="00DB1ED0">
        <w:rPr>
          <w:sz w:val="24"/>
          <w:szCs w:val="24"/>
        </w:rPr>
        <w:t>.</w:t>
      </w:r>
      <w:r w:rsidR="00EC1BBA" w:rsidRPr="00EC1BBA">
        <w:rPr>
          <w:rStyle w:val="FootnoteReference"/>
          <w:sz w:val="24"/>
          <w:szCs w:val="24"/>
        </w:rPr>
        <w:t xml:space="preserve"> </w:t>
      </w:r>
      <w:r w:rsidR="00EC1BBA">
        <w:rPr>
          <w:rStyle w:val="FootnoteReference"/>
          <w:sz w:val="24"/>
          <w:szCs w:val="24"/>
        </w:rPr>
        <w:footnoteReference w:id="12"/>
      </w:r>
      <w:r w:rsidR="00EC1BBA">
        <w:rPr>
          <w:sz w:val="24"/>
          <w:szCs w:val="24"/>
        </w:rPr>
        <w:t xml:space="preserve"> </w:t>
      </w:r>
      <w:r w:rsidR="005B732C" w:rsidRPr="00DB1ED0">
        <w:rPr>
          <w:sz w:val="24"/>
          <w:szCs w:val="24"/>
        </w:rPr>
        <w:t xml:space="preserve"> </w:t>
      </w:r>
    </w:p>
    <w:p w14:paraId="6EC44BA4" w14:textId="43AE6E7C" w:rsidR="005B732C" w:rsidRPr="00900C3E" w:rsidRDefault="00CB4796" w:rsidP="00900C3E">
      <w:pPr>
        <w:spacing w:after="0" w:line="240" w:lineRule="auto"/>
        <w:ind w:left="360"/>
      </w:pPr>
      <w:r w:rsidRPr="00C24BFA">
        <w:rPr>
          <w:sz w:val="24"/>
          <w:szCs w:val="24"/>
        </w:rPr>
        <w:t>Through the Proposed Project</w:t>
      </w:r>
      <w:r w:rsidR="00840622" w:rsidRPr="00C24BFA">
        <w:rPr>
          <w:sz w:val="24"/>
          <w:szCs w:val="24"/>
        </w:rPr>
        <w:t>,</w:t>
      </w:r>
      <w:r w:rsidRPr="00C24BFA">
        <w:rPr>
          <w:sz w:val="24"/>
          <w:szCs w:val="24"/>
        </w:rPr>
        <w:t xml:space="preserve"> MRI services will only be offered at Heywood Hospital</w:t>
      </w:r>
      <w:r w:rsidR="00900C3E" w:rsidRPr="00C24BFA">
        <w:rPr>
          <w:sz w:val="24"/>
          <w:szCs w:val="24"/>
        </w:rPr>
        <w:t>,</w:t>
      </w:r>
      <w:r w:rsidR="00DE404E" w:rsidRPr="00C24BFA">
        <w:rPr>
          <w:sz w:val="24"/>
          <w:szCs w:val="24"/>
        </w:rPr>
        <w:t xml:space="preserve"> in roughly the same location as the current unit</w:t>
      </w:r>
      <w:r w:rsidRPr="00C24BFA">
        <w:rPr>
          <w:sz w:val="24"/>
          <w:szCs w:val="24"/>
        </w:rPr>
        <w:t xml:space="preserve">. </w:t>
      </w:r>
      <w:r w:rsidR="003520D5" w:rsidRPr="00C24BFA">
        <w:rPr>
          <w:sz w:val="24"/>
          <w:szCs w:val="24"/>
        </w:rPr>
        <w:t xml:space="preserve">The mobile unit at Athol Hospital averages only five to six MRI patients per day, and the Applicant has determined that this low volume makes it unsustainable to continue to operate in this location. </w:t>
      </w:r>
      <w:r w:rsidR="00AF5769" w:rsidRPr="00C24BFA">
        <w:rPr>
          <w:sz w:val="24"/>
          <w:szCs w:val="24"/>
        </w:rPr>
        <w:t xml:space="preserve">Heywood Hospital, the remaining site for MRI services, is 14 miles from Athol Hospital, and currently Heywood </w:t>
      </w:r>
      <w:r w:rsidR="00AF5769" w:rsidRPr="00C24BFA">
        <w:rPr>
          <w:sz w:val="24"/>
          <w:szCs w:val="24"/>
        </w:rPr>
        <w:lastRenderedPageBreak/>
        <w:t xml:space="preserve">Healthcare patients already access MRI services at this location. </w:t>
      </w:r>
      <w:r w:rsidR="006C6374" w:rsidRPr="00C24BFA">
        <w:rPr>
          <w:sz w:val="24"/>
          <w:szCs w:val="24"/>
        </w:rPr>
        <w:t xml:space="preserve">The </w:t>
      </w:r>
      <w:r w:rsidR="003520D5" w:rsidRPr="00C24BFA">
        <w:rPr>
          <w:sz w:val="24"/>
          <w:szCs w:val="24"/>
        </w:rPr>
        <w:t xml:space="preserve">current </w:t>
      </w:r>
      <w:r w:rsidR="006C6374" w:rsidRPr="00C24BFA">
        <w:rPr>
          <w:sz w:val="24"/>
          <w:szCs w:val="24"/>
        </w:rPr>
        <w:t xml:space="preserve">MRI services at Athol Hospital serve primarily outpatients. There </w:t>
      </w:r>
      <w:r w:rsidR="00AF5769" w:rsidRPr="00C24BFA">
        <w:rPr>
          <w:sz w:val="24"/>
          <w:szCs w:val="24"/>
        </w:rPr>
        <w:t>are</w:t>
      </w:r>
      <w:r w:rsidR="006C6374" w:rsidRPr="00C24BFA">
        <w:rPr>
          <w:sz w:val="24"/>
          <w:szCs w:val="24"/>
        </w:rPr>
        <w:t xml:space="preserve"> a limited number of non-urgent inpatients requiring MRI (typically </w:t>
      </w:r>
      <w:r w:rsidR="003520D5" w:rsidRPr="00C24BFA">
        <w:rPr>
          <w:sz w:val="24"/>
          <w:szCs w:val="24"/>
        </w:rPr>
        <w:t>zero to two</w:t>
      </w:r>
      <w:r w:rsidR="006C6374" w:rsidRPr="00C24BFA">
        <w:rPr>
          <w:sz w:val="24"/>
          <w:szCs w:val="24"/>
        </w:rPr>
        <w:t xml:space="preserve"> patients per </w:t>
      </w:r>
      <w:r w:rsidR="00193EB0" w:rsidRPr="00C24BFA">
        <w:rPr>
          <w:sz w:val="24"/>
          <w:szCs w:val="24"/>
        </w:rPr>
        <w:t>month</w:t>
      </w:r>
      <w:r w:rsidR="00E27194">
        <w:rPr>
          <w:sz w:val="24"/>
          <w:szCs w:val="24"/>
        </w:rPr>
        <w:t>)</w:t>
      </w:r>
      <w:r w:rsidR="00193EB0" w:rsidRPr="00C24BFA">
        <w:rPr>
          <w:sz w:val="24"/>
          <w:szCs w:val="24"/>
        </w:rPr>
        <w:t xml:space="preserve"> who</w:t>
      </w:r>
      <w:r w:rsidR="00AF5769" w:rsidRPr="00C24BFA">
        <w:rPr>
          <w:sz w:val="24"/>
          <w:szCs w:val="24"/>
        </w:rPr>
        <w:t xml:space="preserve"> are</w:t>
      </w:r>
      <w:r w:rsidR="006C6374" w:rsidRPr="00C24BFA">
        <w:rPr>
          <w:sz w:val="24"/>
          <w:szCs w:val="24"/>
        </w:rPr>
        <w:t xml:space="preserve"> transported to Heywood Hospital</w:t>
      </w:r>
      <w:r w:rsidR="00AF5769" w:rsidRPr="00C24BFA">
        <w:rPr>
          <w:sz w:val="24"/>
          <w:szCs w:val="24"/>
        </w:rPr>
        <w:t xml:space="preserve"> when an </w:t>
      </w:r>
      <w:r w:rsidR="00193EB0" w:rsidRPr="00C24BFA">
        <w:rPr>
          <w:sz w:val="24"/>
          <w:szCs w:val="24"/>
        </w:rPr>
        <w:t>i</w:t>
      </w:r>
      <w:r w:rsidR="00E27194">
        <w:rPr>
          <w:sz w:val="24"/>
          <w:szCs w:val="24"/>
        </w:rPr>
        <w:t>n</w:t>
      </w:r>
      <w:r w:rsidR="00193EB0" w:rsidRPr="00C24BFA">
        <w:rPr>
          <w:sz w:val="24"/>
          <w:szCs w:val="24"/>
        </w:rPr>
        <w:t>patient</w:t>
      </w:r>
      <w:r w:rsidR="00AF5769" w:rsidRPr="00C24BFA">
        <w:rPr>
          <w:sz w:val="24"/>
          <w:szCs w:val="24"/>
        </w:rPr>
        <w:t xml:space="preserve"> MRI is needed</w:t>
      </w:r>
      <w:r w:rsidR="006C6374" w:rsidRPr="00C24BFA">
        <w:rPr>
          <w:sz w:val="24"/>
          <w:szCs w:val="24"/>
        </w:rPr>
        <w:t xml:space="preserve">. When an urgent MRI is requested by Athol Hospital, Heywood Hospital </w:t>
      </w:r>
      <w:proofErr w:type="gramStart"/>
      <w:r w:rsidR="006C6374" w:rsidRPr="00C24BFA">
        <w:rPr>
          <w:sz w:val="24"/>
          <w:szCs w:val="24"/>
        </w:rPr>
        <w:t>is able to</w:t>
      </w:r>
      <w:proofErr w:type="gramEnd"/>
      <w:r w:rsidR="006C6374" w:rsidRPr="00C24BFA">
        <w:rPr>
          <w:sz w:val="24"/>
          <w:szCs w:val="24"/>
        </w:rPr>
        <w:t xml:space="preserve"> accommodate those </w:t>
      </w:r>
      <w:r w:rsidR="00AF5769" w:rsidRPr="00C24BFA">
        <w:rPr>
          <w:sz w:val="24"/>
          <w:szCs w:val="24"/>
        </w:rPr>
        <w:t xml:space="preserve">transported </w:t>
      </w:r>
      <w:r w:rsidR="006C6374" w:rsidRPr="00C24BFA">
        <w:rPr>
          <w:sz w:val="24"/>
          <w:szCs w:val="24"/>
        </w:rPr>
        <w:t xml:space="preserve">patients immediately. Heywood Hospital currently reserves three emergency slots per day for MRI requests and the Applicant states that this will </w:t>
      </w:r>
      <w:r w:rsidR="003520D5" w:rsidRPr="00C24BFA">
        <w:rPr>
          <w:sz w:val="24"/>
          <w:szCs w:val="24"/>
        </w:rPr>
        <w:t>continue,</w:t>
      </w:r>
      <w:r w:rsidR="006C6374" w:rsidRPr="00C24BFA">
        <w:rPr>
          <w:sz w:val="24"/>
          <w:szCs w:val="24"/>
        </w:rPr>
        <w:t xml:space="preserve"> and the availability of emergency slots will be adjusted to accommodate any increas</w:t>
      </w:r>
      <w:r w:rsidR="003520D5" w:rsidRPr="00C24BFA">
        <w:rPr>
          <w:sz w:val="24"/>
          <w:szCs w:val="24"/>
        </w:rPr>
        <w:t>e</w:t>
      </w:r>
      <w:r w:rsidR="006C6374" w:rsidRPr="00C24BFA">
        <w:rPr>
          <w:sz w:val="24"/>
          <w:szCs w:val="24"/>
        </w:rPr>
        <w:t xml:space="preserve"> in demand from Athol Hospital. </w:t>
      </w:r>
      <w:r w:rsidR="00AF5769" w:rsidRPr="00C24BFA">
        <w:rPr>
          <w:sz w:val="24"/>
          <w:szCs w:val="24"/>
        </w:rPr>
        <w:t>For outpatient MRI visits, t</w:t>
      </w:r>
      <w:r w:rsidR="00722734" w:rsidRPr="00C24BFA">
        <w:rPr>
          <w:sz w:val="24"/>
          <w:szCs w:val="24"/>
        </w:rPr>
        <w:t xml:space="preserve">he Applicant states that there is a minibus (via </w:t>
      </w:r>
      <w:proofErr w:type="spellStart"/>
      <w:r w:rsidR="00722734" w:rsidRPr="00C24BFA">
        <w:rPr>
          <w:sz w:val="24"/>
          <w:szCs w:val="24"/>
        </w:rPr>
        <w:t>Montachusett</w:t>
      </w:r>
      <w:proofErr w:type="spellEnd"/>
      <w:r w:rsidR="00722734" w:rsidRPr="00C24BFA">
        <w:rPr>
          <w:sz w:val="24"/>
          <w:szCs w:val="24"/>
        </w:rPr>
        <w:t xml:space="preserve"> Regional Transit Authority) available to patients that </w:t>
      </w:r>
      <w:r w:rsidR="005C4EF5" w:rsidRPr="00C24BFA">
        <w:rPr>
          <w:sz w:val="24"/>
          <w:szCs w:val="24"/>
        </w:rPr>
        <w:t>runs</w:t>
      </w:r>
      <w:r w:rsidR="00722734" w:rsidRPr="00C24BFA">
        <w:rPr>
          <w:sz w:val="24"/>
          <w:szCs w:val="24"/>
        </w:rPr>
        <w:t xml:space="preserve"> between Athol and Gardner and </w:t>
      </w:r>
      <w:r w:rsidR="006D7788" w:rsidRPr="00C24BFA">
        <w:rPr>
          <w:sz w:val="24"/>
          <w:szCs w:val="24"/>
        </w:rPr>
        <w:t xml:space="preserve">that </w:t>
      </w:r>
      <w:r w:rsidR="00722734" w:rsidRPr="00C24BFA">
        <w:rPr>
          <w:sz w:val="24"/>
          <w:szCs w:val="24"/>
        </w:rPr>
        <w:t xml:space="preserve">stops </w:t>
      </w:r>
      <w:r w:rsidR="005C4EF5" w:rsidRPr="00C24BFA">
        <w:rPr>
          <w:sz w:val="24"/>
          <w:szCs w:val="24"/>
        </w:rPr>
        <w:t xml:space="preserve">right </w:t>
      </w:r>
      <w:r w:rsidR="00722734" w:rsidRPr="00C24BFA">
        <w:rPr>
          <w:sz w:val="24"/>
          <w:szCs w:val="24"/>
        </w:rPr>
        <w:t xml:space="preserve">in front of </w:t>
      </w:r>
      <w:r w:rsidR="00D84503" w:rsidRPr="00C24BFA">
        <w:rPr>
          <w:sz w:val="24"/>
          <w:szCs w:val="24"/>
        </w:rPr>
        <w:t>both hospitals</w:t>
      </w:r>
      <w:r w:rsidR="00AF1025" w:rsidRPr="00C24BFA">
        <w:rPr>
          <w:sz w:val="24"/>
          <w:szCs w:val="24"/>
        </w:rPr>
        <w:t>, and that transportation assistance is available for eligible patients (further described in Factor 1b below)</w:t>
      </w:r>
      <w:r w:rsidR="00722734" w:rsidRPr="00C24BFA">
        <w:rPr>
          <w:sz w:val="24"/>
          <w:szCs w:val="24"/>
        </w:rPr>
        <w:t>.</w:t>
      </w:r>
      <w:r w:rsidR="00722734">
        <w:rPr>
          <w:sz w:val="24"/>
          <w:szCs w:val="24"/>
        </w:rPr>
        <w:t xml:space="preserve"> </w:t>
      </w:r>
    </w:p>
    <w:p w14:paraId="1641548B" w14:textId="77777777" w:rsidR="0052365A" w:rsidRDefault="0052365A" w:rsidP="005B732C">
      <w:pPr>
        <w:spacing w:after="0" w:line="240" w:lineRule="auto"/>
        <w:ind w:left="360"/>
        <w:rPr>
          <w:sz w:val="24"/>
          <w:szCs w:val="24"/>
        </w:rPr>
      </w:pPr>
    </w:p>
    <w:p w14:paraId="03BB04E2" w14:textId="1D19641A" w:rsidR="00A155B4" w:rsidRPr="007D0939" w:rsidRDefault="005B732C" w:rsidP="007C4192">
      <w:pPr>
        <w:spacing w:after="0" w:line="240" w:lineRule="auto"/>
        <w:ind w:left="360"/>
        <w:rPr>
          <w:sz w:val="24"/>
          <w:szCs w:val="24"/>
        </w:rPr>
      </w:pPr>
      <w:r>
        <w:rPr>
          <w:sz w:val="24"/>
          <w:szCs w:val="24"/>
          <w:u w:val="single"/>
        </w:rPr>
        <w:t>PET</w:t>
      </w:r>
      <w:r w:rsidR="0008371D">
        <w:rPr>
          <w:sz w:val="24"/>
          <w:szCs w:val="24"/>
          <w:u w:val="single"/>
        </w:rPr>
        <w:t>-</w:t>
      </w:r>
      <w:r>
        <w:rPr>
          <w:sz w:val="24"/>
          <w:szCs w:val="24"/>
          <w:u w:val="single"/>
        </w:rPr>
        <w:t>CT Services:</w:t>
      </w:r>
      <w:r>
        <w:rPr>
          <w:sz w:val="24"/>
          <w:szCs w:val="24"/>
        </w:rPr>
        <w:t xml:space="preserve"> </w:t>
      </w:r>
      <w:r w:rsidR="00CB4796">
        <w:rPr>
          <w:sz w:val="24"/>
          <w:szCs w:val="24"/>
        </w:rPr>
        <w:t>Currently, both Hospitals offer PET</w:t>
      </w:r>
      <w:r w:rsidR="00FF63F5">
        <w:rPr>
          <w:sz w:val="24"/>
          <w:szCs w:val="24"/>
        </w:rPr>
        <w:t>-</w:t>
      </w:r>
      <w:r w:rsidR="00CB4796">
        <w:rPr>
          <w:sz w:val="24"/>
          <w:szCs w:val="24"/>
        </w:rPr>
        <w:t>CT services</w:t>
      </w:r>
      <w:r w:rsidR="00D50C9B">
        <w:rPr>
          <w:sz w:val="24"/>
          <w:szCs w:val="24"/>
        </w:rPr>
        <w:t xml:space="preserve"> one day a week</w:t>
      </w:r>
      <w:r w:rsidR="00E23B5C">
        <w:rPr>
          <w:sz w:val="24"/>
          <w:szCs w:val="24"/>
        </w:rPr>
        <w:t xml:space="preserve"> (Saturday)</w:t>
      </w:r>
      <w:r w:rsidR="00D50C9B">
        <w:rPr>
          <w:sz w:val="24"/>
          <w:szCs w:val="24"/>
        </w:rPr>
        <w:t>.</w:t>
      </w:r>
      <w:r w:rsidR="006E24FE">
        <w:rPr>
          <w:sz w:val="24"/>
          <w:szCs w:val="24"/>
        </w:rPr>
        <w:t xml:space="preserve"> T</w:t>
      </w:r>
      <w:r w:rsidR="00D50C9B">
        <w:rPr>
          <w:sz w:val="24"/>
          <w:szCs w:val="24"/>
        </w:rPr>
        <w:t xml:space="preserve">he total </w:t>
      </w:r>
      <w:r w:rsidR="00CA28B3">
        <w:rPr>
          <w:sz w:val="24"/>
          <w:szCs w:val="24"/>
        </w:rPr>
        <w:t xml:space="preserve">hours </w:t>
      </w:r>
      <w:r w:rsidR="00D50C9B">
        <w:rPr>
          <w:sz w:val="24"/>
          <w:szCs w:val="24"/>
        </w:rPr>
        <w:t xml:space="preserve">PET-CT services are </w:t>
      </w:r>
      <w:r w:rsidR="00E23B5C">
        <w:rPr>
          <w:sz w:val="24"/>
          <w:szCs w:val="24"/>
        </w:rPr>
        <w:t xml:space="preserve">now </w:t>
      </w:r>
      <w:r w:rsidR="00D50C9B">
        <w:rPr>
          <w:sz w:val="24"/>
          <w:szCs w:val="24"/>
        </w:rPr>
        <w:t xml:space="preserve">offered </w:t>
      </w:r>
      <w:r w:rsidR="00847A5F">
        <w:rPr>
          <w:sz w:val="24"/>
          <w:szCs w:val="24"/>
        </w:rPr>
        <w:t>across</w:t>
      </w:r>
      <w:r w:rsidR="00D50C9B">
        <w:rPr>
          <w:sz w:val="24"/>
          <w:szCs w:val="24"/>
        </w:rPr>
        <w:t xml:space="preserve"> both sites is </w:t>
      </w:r>
      <w:r w:rsidR="00847A5F">
        <w:rPr>
          <w:sz w:val="24"/>
          <w:szCs w:val="24"/>
        </w:rPr>
        <w:t xml:space="preserve">11.5 hours. </w:t>
      </w:r>
      <w:r w:rsidR="00E54CFE">
        <w:rPr>
          <w:sz w:val="24"/>
          <w:szCs w:val="24"/>
        </w:rPr>
        <w:t xml:space="preserve">Heywood Hospital offers PET-CT services </w:t>
      </w:r>
      <w:r w:rsidR="003533B7">
        <w:rPr>
          <w:sz w:val="24"/>
          <w:szCs w:val="24"/>
        </w:rPr>
        <w:t xml:space="preserve">through a mobile unit one day </w:t>
      </w:r>
      <w:r w:rsidR="00CB0207">
        <w:rPr>
          <w:sz w:val="24"/>
          <w:szCs w:val="24"/>
        </w:rPr>
        <w:t>per</w:t>
      </w:r>
      <w:r w:rsidR="003533B7">
        <w:rPr>
          <w:sz w:val="24"/>
          <w:szCs w:val="24"/>
        </w:rPr>
        <w:t xml:space="preserve"> week </w:t>
      </w:r>
      <w:r w:rsidR="00DE6178">
        <w:rPr>
          <w:sz w:val="24"/>
          <w:szCs w:val="24"/>
        </w:rPr>
        <w:t xml:space="preserve">in the hospital parking lot. </w:t>
      </w:r>
      <w:r w:rsidR="001F18E2">
        <w:rPr>
          <w:sz w:val="24"/>
          <w:szCs w:val="24"/>
        </w:rPr>
        <w:t>P</w:t>
      </w:r>
      <w:r w:rsidR="003533B7">
        <w:rPr>
          <w:sz w:val="24"/>
          <w:szCs w:val="24"/>
        </w:rPr>
        <w:t>rimarily due to</w:t>
      </w:r>
      <w:r w:rsidR="00DE6178">
        <w:rPr>
          <w:sz w:val="24"/>
          <w:szCs w:val="24"/>
        </w:rPr>
        <w:t xml:space="preserve"> </w:t>
      </w:r>
      <w:r w:rsidR="001F18E2">
        <w:rPr>
          <w:sz w:val="24"/>
          <w:szCs w:val="24"/>
        </w:rPr>
        <w:t xml:space="preserve">too much </w:t>
      </w:r>
      <w:r w:rsidR="00DE6178">
        <w:rPr>
          <w:sz w:val="24"/>
          <w:szCs w:val="24"/>
        </w:rPr>
        <w:t>congestion in the parking lot</w:t>
      </w:r>
      <w:r w:rsidR="00CB0207">
        <w:rPr>
          <w:sz w:val="24"/>
          <w:szCs w:val="24"/>
        </w:rPr>
        <w:t xml:space="preserve"> during the week, mobile </w:t>
      </w:r>
      <w:r w:rsidR="001F18E2">
        <w:rPr>
          <w:sz w:val="24"/>
          <w:szCs w:val="24"/>
        </w:rPr>
        <w:t xml:space="preserve">PET-CT services </w:t>
      </w:r>
      <w:r w:rsidR="00CB0207">
        <w:rPr>
          <w:sz w:val="24"/>
          <w:szCs w:val="24"/>
        </w:rPr>
        <w:t>are</w:t>
      </w:r>
      <w:r w:rsidR="001F18E2">
        <w:rPr>
          <w:sz w:val="24"/>
          <w:szCs w:val="24"/>
        </w:rPr>
        <w:t xml:space="preserve"> </w:t>
      </w:r>
      <w:r w:rsidR="00CB0207">
        <w:rPr>
          <w:sz w:val="24"/>
          <w:szCs w:val="24"/>
        </w:rPr>
        <w:t xml:space="preserve">only </w:t>
      </w:r>
      <w:r w:rsidR="001F18E2">
        <w:rPr>
          <w:sz w:val="24"/>
          <w:szCs w:val="24"/>
        </w:rPr>
        <w:t xml:space="preserve">available </w:t>
      </w:r>
      <w:r w:rsidR="003533B7">
        <w:rPr>
          <w:sz w:val="24"/>
          <w:szCs w:val="24"/>
        </w:rPr>
        <w:t xml:space="preserve">on </w:t>
      </w:r>
      <w:r w:rsidR="00CB0207">
        <w:rPr>
          <w:sz w:val="24"/>
          <w:szCs w:val="24"/>
        </w:rPr>
        <w:t>Saturdays</w:t>
      </w:r>
      <w:r w:rsidR="00ED73D4">
        <w:rPr>
          <w:sz w:val="24"/>
          <w:szCs w:val="24"/>
        </w:rPr>
        <w:t>.</w:t>
      </w:r>
      <w:r w:rsidR="006B0E0B">
        <w:rPr>
          <w:sz w:val="24"/>
          <w:szCs w:val="24"/>
        </w:rPr>
        <w:t xml:space="preserve"> Athol Hospital </w:t>
      </w:r>
      <w:r w:rsidR="00A26AA7">
        <w:rPr>
          <w:sz w:val="24"/>
          <w:szCs w:val="24"/>
        </w:rPr>
        <w:t xml:space="preserve">parking lot </w:t>
      </w:r>
      <w:r w:rsidR="006B0E0B">
        <w:rPr>
          <w:sz w:val="24"/>
          <w:szCs w:val="24"/>
        </w:rPr>
        <w:t>does not have the same space constraints</w:t>
      </w:r>
      <w:r w:rsidR="009668E1">
        <w:rPr>
          <w:sz w:val="24"/>
          <w:szCs w:val="24"/>
        </w:rPr>
        <w:t xml:space="preserve">, </w:t>
      </w:r>
      <w:r w:rsidR="006B0E0B">
        <w:rPr>
          <w:sz w:val="24"/>
          <w:szCs w:val="24"/>
        </w:rPr>
        <w:t xml:space="preserve">so </w:t>
      </w:r>
      <w:r w:rsidR="001F18E2">
        <w:rPr>
          <w:sz w:val="24"/>
          <w:szCs w:val="24"/>
        </w:rPr>
        <w:t>through the Proposed Project</w:t>
      </w:r>
      <w:r w:rsidR="00900C3E">
        <w:rPr>
          <w:sz w:val="24"/>
          <w:szCs w:val="24"/>
        </w:rPr>
        <w:t>,</w:t>
      </w:r>
      <w:r w:rsidR="001F18E2">
        <w:rPr>
          <w:sz w:val="24"/>
          <w:szCs w:val="24"/>
        </w:rPr>
        <w:t xml:space="preserve"> PET</w:t>
      </w:r>
      <w:r w:rsidR="00FF63F5">
        <w:rPr>
          <w:sz w:val="24"/>
          <w:szCs w:val="24"/>
        </w:rPr>
        <w:t>-</w:t>
      </w:r>
      <w:r w:rsidR="001F18E2">
        <w:rPr>
          <w:sz w:val="24"/>
          <w:szCs w:val="24"/>
        </w:rPr>
        <w:t>CT services</w:t>
      </w:r>
      <w:r w:rsidR="00900C3E">
        <w:rPr>
          <w:sz w:val="24"/>
          <w:szCs w:val="24"/>
        </w:rPr>
        <w:t xml:space="preserve"> for Heywood Healthcare patients</w:t>
      </w:r>
      <w:r w:rsidR="001F18E2">
        <w:rPr>
          <w:sz w:val="24"/>
          <w:szCs w:val="24"/>
        </w:rPr>
        <w:t xml:space="preserve"> will be offered at Athol Hospital</w:t>
      </w:r>
      <w:r w:rsidR="00DE404E">
        <w:rPr>
          <w:sz w:val="24"/>
          <w:szCs w:val="24"/>
        </w:rPr>
        <w:t xml:space="preserve"> in the same location as the existing mobile MRI unit</w:t>
      </w:r>
      <w:r w:rsidR="001F18E2">
        <w:rPr>
          <w:sz w:val="24"/>
          <w:szCs w:val="24"/>
        </w:rPr>
        <w:t xml:space="preserve">. </w:t>
      </w:r>
      <w:r w:rsidR="00847A5F">
        <w:rPr>
          <w:sz w:val="24"/>
          <w:szCs w:val="24"/>
        </w:rPr>
        <w:t xml:space="preserve">Operating hours will be Saturday 7am-5pm, for a total of 10 hours. </w:t>
      </w:r>
      <w:r w:rsidR="004D441C">
        <w:rPr>
          <w:sz w:val="24"/>
          <w:szCs w:val="24"/>
        </w:rPr>
        <w:t>While this represents a reduction of 1.5 hours, w</w:t>
      </w:r>
      <w:r w:rsidR="00847A5F">
        <w:rPr>
          <w:sz w:val="24"/>
          <w:szCs w:val="24"/>
        </w:rPr>
        <w:t xml:space="preserve">ith the newer, more efficient unit the new vendor will provide, the Applicant anticipates it will be able to accommodate patient demand for PET-CT services. </w:t>
      </w:r>
      <w:r w:rsidR="00900C3E">
        <w:rPr>
          <w:sz w:val="24"/>
          <w:szCs w:val="24"/>
        </w:rPr>
        <w:t xml:space="preserve">Although PET-CT will initially be offered only on Saturdays. </w:t>
      </w:r>
      <w:r w:rsidR="0091092D">
        <w:rPr>
          <w:sz w:val="24"/>
          <w:szCs w:val="24"/>
        </w:rPr>
        <w:t>S</w:t>
      </w:r>
      <w:r w:rsidR="006B0E0B">
        <w:rPr>
          <w:sz w:val="24"/>
          <w:szCs w:val="24"/>
        </w:rPr>
        <w:t>iting PET-CT services at Athol Hospital will allow the Applicant</w:t>
      </w:r>
      <w:r w:rsidR="001F18E2">
        <w:rPr>
          <w:sz w:val="24"/>
          <w:szCs w:val="24"/>
        </w:rPr>
        <w:t xml:space="preserve"> more flexibility in </w:t>
      </w:r>
      <w:r w:rsidR="00900C3E">
        <w:rPr>
          <w:sz w:val="24"/>
          <w:szCs w:val="24"/>
        </w:rPr>
        <w:t>scheduling</w:t>
      </w:r>
      <w:r w:rsidR="006B0E0B">
        <w:rPr>
          <w:sz w:val="24"/>
          <w:szCs w:val="24"/>
        </w:rPr>
        <w:t xml:space="preserve"> </w:t>
      </w:r>
      <w:r w:rsidR="009668E1">
        <w:rPr>
          <w:sz w:val="24"/>
          <w:szCs w:val="24"/>
        </w:rPr>
        <w:t xml:space="preserve">these </w:t>
      </w:r>
      <w:r w:rsidR="006B0E0B">
        <w:rPr>
          <w:sz w:val="24"/>
          <w:szCs w:val="24"/>
        </w:rPr>
        <w:t xml:space="preserve">services </w:t>
      </w:r>
      <w:r w:rsidR="001F18E2">
        <w:rPr>
          <w:sz w:val="24"/>
          <w:szCs w:val="24"/>
        </w:rPr>
        <w:t xml:space="preserve">as </w:t>
      </w:r>
      <w:r w:rsidR="006B0E0B">
        <w:rPr>
          <w:sz w:val="24"/>
          <w:szCs w:val="24"/>
        </w:rPr>
        <w:t>volume dictates.</w:t>
      </w:r>
      <w:r w:rsidR="00B021B1">
        <w:rPr>
          <w:rStyle w:val="FootnoteReference"/>
          <w:sz w:val="24"/>
          <w:szCs w:val="24"/>
        </w:rPr>
        <w:footnoteReference w:id="13"/>
      </w:r>
      <w:r w:rsidR="006B0E0B">
        <w:rPr>
          <w:sz w:val="24"/>
          <w:szCs w:val="24"/>
        </w:rPr>
        <w:t xml:space="preserve"> </w:t>
      </w:r>
      <w:r w:rsidR="001E2279">
        <w:rPr>
          <w:sz w:val="24"/>
          <w:szCs w:val="24"/>
        </w:rPr>
        <w:t xml:space="preserve"> </w:t>
      </w:r>
    </w:p>
    <w:p w14:paraId="532FA378" w14:textId="20DBEB27" w:rsidR="00684D63" w:rsidRPr="00F83141" w:rsidRDefault="00F83833" w:rsidP="0052171F">
      <w:pPr>
        <w:pStyle w:val="ListParagraph"/>
        <w:numPr>
          <w:ilvl w:val="0"/>
          <w:numId w:val="20"/>
        </w:numPr>
        <w:rPr>
          <w:b/>
          <w:bCs/>
          <w:sz w:val="24"/>
          <w:szCs w:val="24"/>
        </w:rPr>
      </w:pPr>
      <w:r w:rsidRPr="00F83141">
        <w:rPr>
          <w:b/>
          <w:bCs/>
          <w:sz w:val="24"/>
          <w:szCs w:val="24"/>
        </w:rPr>
        <w:t>MRI and PET-CT Historical Demand</w:t>
      </w:r>
    </w:p>
    <w:p w14:paraId="0423D74E" w14:textId="66049C17" w:rsidR="00174EF8" w:rsidRPr="001C0C4E" w:rsidRDefault="00174EF8" w:rsidP="008D6923">
      <w:pPr>
        <w:spacing w:after="0" w:line="240" w:lineRule="auto"/>
        <w:rPr>
          <w:sz w:val="24"/>
          <w:szCs w:val="24"/>
        </w:rPr>
      </w:pPr>
      <w:r w:rsidRPr="00151371">
        <w:rPr>
          <w:sz w:val="24"/>
          <w:szCs w:val="24"/>
        </w:rPr>
        <w:t xml:space="preserve">The Applicant </w:t>
      </w:r>
      <w:r w:rsidR="006F70CA">
        <w:rPr>
          <w:sz w:val="24"/>
          <w:szCs w:val="24"/>
        </w:rPr>
        <w:t>relies on</w:t>
      </w:r>
      <w:r w:rsidRPr="00151371">
        <w:rPr>
          <w:sz w:val="24"/>
          <w:szCs w:val="24"/>
        </w:rPr>
        <w:t xml:space="preserve"> data on </w:t>
      </w:r>
      <w:r w:rsidR="001E2279">
        <w:rPr>
          <w:sz w:val="24"/>
          <w:szCs w:val="24"/>
        </w:rPr>
        <w:t>its</w:t>
      </w:r>
      <w:r w:rsidRPr="00151371">
        <w:rPr>
          <w:sz w:val="24"/>
          <w:szCs w:val="24"/>
        </w:rPr>
        <w:t xml:space="preserve"> MRI and PET-CT patient populations served over the last three years to establish need for the Proposed Project</w:t>
      </w:r>
      <w:r w:rsidR="00DC5C1B">
        <w:rPr>
          <w:sz w:val="24"/>
          <w:szCs w:val="24"/>
        </w:rPr>
        <w:t>.</w:t>
      </w:r>
      <w:r w:rsidRPr="00151371">
        <w:rPr>
          <w:rStyle w:val="FootnoteReference"/>
          <w:sz w:val="24"/>
          <w:szCs w:val="24"/>
        </w:rPr>
        <w:footnoteReference w:id="14"/>
      </w:r>
      <w:r w:rsidRPr="00151371">
        <w:rPr>
          <w:sz w:val="24"/>
          <w:szCs w:val="24"/>
          <w:vertAlign w:val="superscript"/>
        </w:rPr>
        <w:t>,</w:t>
      </w:r>
      <w:r w:rsidRPr="00151371">
        <w:rPr>
          <w:rStyle w:val="FootnoteReference"/>
          <w:sz w:val="24"/>
          <w:szCs w:val="24"/>
        </w:rPr>
        <w:footnoteReference w:id="15"/>
      </w:r>
      <w:r w:rsidR="001C0C4E">
        <w:rPr>
          <w:sz w:val="24"/>
          <w:szCs w:val="24"/>
          <w:vertAlign w:val="superscript"/>
        </w:rPr>
        <w:t xml:space="preserve"> </w:t>
      </w:r>
      <w:r w:rsidR="00CE7AFB">
        <w:rPr>
          <w:sz w:val="24"/>
          <w:szCs w:val="24"/>
          <w:vertAlign w:val="superscript"/>
        </w:rPr>
        <w:t xml:space="preserve"> </w:t>
      </w:r>
      <w:r w:rsidR="00D54707">
        <w:rPr>
          <w:sz w:val="24"/>
          <w:szCs w:val="24"/>
        </w:rPr>
        <w:t xml:space="preserve">Table </w:t>
      </w:r>
      <w:r w:rsidR="007E45D4">
        <w:rPr>
          <w:sz w:val="24"/>
          <w:szCs w:val="24"/>
        </w:rPr>
        <w:t>4</w:t>
      </w:r>
      <w:r w:rsidR="0008371D">
        <w:rPr>
          <w:sz w:val="24"/>
          <w:szCs w:val="24"/>
        </w:rPr>
        <w:t xml:space="preserve"> </w:t>
      </w:r>
      <w:r w:rsidR="00D54707">
        <w:rPr>
          <w:sz w:val="24"/>
          <w:szCs w:val="24"/>
        </w:rPr>
        <w:t>below shows MRI and PET-CT volume from CY18 to CY</w:t>
      </w:r>
      <w:r w:rsidR="0044784C">
        <w:rPr>
          <w:sz w:val="24"/>
          <w:szCs w:val="24"/>
        </w:rPr>
        <w:t>20</w:t>
      </w:r>
      <w:r w:rsidR="00D54707">
        <w:rPr>
          <w:sz w:val="24"/>
          <w:szCs w:val="24"/>
        </w:rPr>
        <w:t>.</w:t>
      </w:r>
      <w:r w:rsidR="002F6868">
        <w:rPr>
          <w:rStyle w:val="FootnoteReference"/>
          <w:sz w:val="24"/>
          <w:szCs w:val="24"/>
        </w:rPr>
        <w:footnoteReference w:id="16"/>
      </w:r>
      <w:r w:rsidR="00D54707">
        <w:rPr>
          <w:sz w:val="24"/>
          <w:szCs w:val="24"/>
        </w:rPr>
        <w:t xml:space="preserve"> </w:t>
      </w:r>
      <w:r w:rsidR="002F2E5C" w:rsidRPr="002F2E5C">
        <w:rPr>
          <w:sz w:val="24"/>
          <w:szCs w:val="24"/>
        </w:rPr>
        <w:t xml:space="preserve">Table </w:t>
      </w:r>
      <w:r w:rsidR="007E45D4">
        <w:rPr>
          <w:sz w:val="24"/>
          <w:szCs w:val="24"/>
        </w:rPr>
        <w:t>4</w:t>
      </w:r>
      <w:r w:rsidR="002F2E5C" w:rsidRPr="002F2E5C">
        <w:rPr>
          <w:sz w:val="24"/>
          <w:szCs w:val="24"/>
        </w:rPr>
        <w:t xml:space="preserve"> shows a 0.7% (36 scans) decrease in MRI scan volume from CY18 to CY19 and a </w:t>
      </w:r>
      <w:r w:rsidR="00765850">
        <w:rPr>
          <w:sz w:val="24"/>
          <w:szCs w:val="24"/>
        </w:rPr>
        <w:t>0</w:t>
      </w:r>
      <w:r w:rsidR="002F2E5C" w:rsidRPr="002F2E5C">
        <w:rPr>
          <w:sz w:val="24"/>
          <w:szCs w:val="24"/>
        </w:rPr>
        <w:t>.</w:t>
      </w:r>
      <w:r w:rsidR="00523D7F">
        <w:rPr>
          <w:sz w:val="24"/>
          <w:szCs w:val="24"/>
        </w:rPr>
        <w:t>4</w:t>
      </w:r>
      <w:r w:rsidR="002F2E5C" w:rsidRPr="002F2E5C">
        <w:rPr>
          <w:sz w:val="24"/>
          <w:szCs w:val="24"/>
        </w:rPr>
        <w:t>5% (1 scan) increase in PET-CT scans</w:t>
      </w:r>
      <w:r w:rsidR="00765850">
        <w:rPr>
          <w:sz w:val="24"/>
          <w:szCs w:val="24"/>
        </w:rPr>
        <w:t xml:space="preserve"> during this same </w:t>
      </w:r>
      <w:proofErr w:type="gramStart"/>
      <w:r w:rsidR="00765850">
        <w:rPr>
          <w:sz w:val="24"/>
          <w:szCs w:val="24"/>
        </w:rPr>
        <w:t>time period</w:t>
      </w:r>
      <w:proofErr w:type="gramEnd"/>
      <w:r w:rsidR="002F2E5C" w:rsidRPr="002F2E5C">
        <w:rPr>
          <w:sz w:val="24"/>
          <w:szCs w:val="24"/>
        </w:rPr>
        <w:t xml:space="preserve">. </w:t>
      </w:r>
      <w:r w:rsidR="001C0C4E">
        <w:rPr>
          <w:sz w:val="24"/>
          <w:szCs w:val="24"/>
        </w:rPr>
        <w:t xml:space="preserve">The Applicant states that the 2020 volume decreased </w:t>
      </w:r>
      <w:proofErr w:type="gramStart"/>
      <w:r w:rsidR="001C0C4E">
        <w:rPr>
          <w:sz w:val="24"/>
          <w:szCs w:val="24"/>
        </w:rPr>
        <w:t>as a result of</w:t>
      </w:r>
      <w:proofErr w:type="gramEnd"/>
      <w:r w:rsidR="001C0C4E">
        <w:rPr>
          <w:sz w:val="24"/>
          <w:szCs w:val="24"/>
        </w:rPr>
        <w:t xml:space="preserve"> the COVID-19 pandemic. </w:t>
      </w:r>
    </w:p>
    <w:p w14:paraId="6E077AFD" w14:textId="5D8BC146" w:rsidR="00174EF8" w:rsidRDefault="00174EF8" w:rsidP="00174EF8">
      <w:pPr>
        <w:spacing w:after="0" w:line="240" w:lineRule="auto"/>
        <w:rPr>
          <w:sz w:val="24"/>
          <w:szCs w:val="24"/>
        </w:rPr>
      </w:pPr>
    </w:p>
    <w:p w14:paraId="558285A7" w14:textId="52A65F2C" w:rsidR="008C1ACC" w:rsidRPr="008C1ACC" w:rsidRDefault="008C1ACC" w:rsidP="008C1ACC">
      <w:pPr>
        <w:spacing w:after="0" w:line="240" w:lineRule="auto"/>
        <w:jc w:val="center"/>
        <w:rPr>
          <w:b/>
          <w:bCs/>
          <w:sz w:val="24"/>
          <w:szCs w:val="24"/>
        </w:rPr>
      </w:pPr>
      <w:r w:rsidRPr="008C1ACC">
        <w:rPr>
          <w:b/>
          <w:bCs/>
          <w:sz w:val="24"/>
          <w:szCs w:val="24"/>
        </w:rPr>
        <w:t>Table</w:t>
      </w:r>
      <w:r w:rsidR="008D6923">
        <w:rPr>
          <w:b/>
          <w:bCs/>
          <w:sz w:val="24"/>
          <w:szCs w:val="24"/>
        </w:rPr>
        <w:t xml:space="preserve"> </w:t>
      </w:r>
      <w:r w:rsidR="007E45D4">
        <w:rPr>
          <w:b/>
          <w:bCs/>
          <w:sz w:val="24"/>
          <w:szCs w:val="24"/>
        </w:rPr>
        <w:t>4</w:t>
      </w:r>
      <w:r w:rsidRPr="008C1ACC">
        <w:rPr>
          <w:b/>
          <w:bCs/>
          <w:sz w:val="24"/>
          <w:szCs w:val="24"/>
        </w:rPr>
        <w:t>:</w:t>
      </w:r>
      <w:r w:rsidR="00F94DD8">
        <w:rPr>
          <w:b/>
          <w:bCs/>
          <w:sz w:val="24"/>
          <w:szCs w:val="24"/>
        </w:rPr>
        <w:t xml:space="preserve"> MRI and PET-CT Patients </w:t>
      </w:r>
    </w:p>
    <w:tbl>
      <w:tblPr>
        <w:tblStyle w:val="TableGrid"/>
        <w:tblW w:w="0" w:type="auto"/>
        <w:jc w:val="center"/>
        <w:tblLook w:val="04A0" w:firstRow="1" w:lastRow="0" w:firstColumn="1" w:lastColumn="0" w:noHBand="0" w:noVBand="1"/>
        <w:tblCaption w:val="Table 4: MRI and PET-CT Patients"/>
        <w:tblDescription w:val=" MRI Patients PET-CT Patients  MRI + PET-CT&#10;CY18 4,873 221 5,094CY19 4,837 222 5,059CY20 4,542 214 4,756Total 14,252&#10;657&#10;14,909"/>
      </w:tblPr>
      <w:tblGrid>
        <w:gridCol w:w="683"/>
        <w:gridCol w:w="1390"/>
        <w:gridCol w:w="1641"/>
        <w:gridCol w:w="1426"/>
      </w:tblGrid>
      <w:tr w:rsidR="00174EF8" w14:paraId="53BFD75B" w14:textId="77777777" w:rsidTr="00B52786">
        <w:trPr>
          <w:tblHeader/>
          <w:jc w:val="center"/>
        </w:trPr>
        <w:tc>
          <w:tcPr>
            <w:tcW w:w="0" w:type="auto"/>
          </w:tcPr>
          <w:p w14:paraId="300629D5" w14:textId="77777777" w:rsidR="00174EF8" w:rsidRDefault="00174EF8" w:rsidP="00E72B07"/>
        </w:tc>
        <w:tc>
          <w:tcPr>
            <w:tcW w:w="0" w:type="auto"/>
            <w:shd w:val="clear" w:color="auto" w:fill="F2F2F2" w:themeFill="background1" w:themeFillShade="F2"/>
          </w:tcPr>
          <w:p w14:paraId="777F95D6" w14:textId="77777777" w:rsidR="00174EF8" w:rsidRPr="00EF3053" w:rsidRDefault="00174EF8" w:rsidP="00E72B07">
            <w:pPr>
              <w:rPr>
                <w:b/>
                <w:bCs/>
              </w:rPr>
            </w:pPr>
            <w:r w:rsidRPr="00EF3053">
              <w:rPr>
                <w:b/>
                <w:bCs/>
              </w:rPr>
              <w:t>MRI Patients</w:t>
            </w:r>
          </w:p>
        </w:tc>
        <w:tc>
          <w:tcPr>
            <w:tcW w:w="0" w:type="auto"/>
            <w:shd w:val="clear" w:color="auto" w:fill="F2F2F2" w:themeFill="background1" w:themeFillShade="F2"/>
          </w:tcPr>
          <w:p w14:paraId="74A41B30" w14:textId="77777777" w:rsidR="00174EF8" w:rsidRPr="00EF3053" w:rsidRDefault="00174EF8" w:rsidP="00E72B07">
            <w:pPr>
              <w:rPr>
                <w:b/>
                <w:bCs/>
              </w:rPr>
            </w:pPr>
            <w:r w:rsidRPr="00EF3053">
              <w:rPr>
                <w:b/>
                <w:bCs/>
              </w:rPr>
              <w:t xml:space="preserve">PET-CT Patients </w:t>
            </w:r>
          </w:p>
        </w:tc>
        <w:tc>
          <w:tcPr>
            <w:tcW w:w="0" w:type="auto"/>
            <w:shd w:val="clear" w:color="auto" w:fill="F2F2F2" w:themeFill="background1" w:themeFillShade="F2"/>
          </w:tcPr>
          <w:p w14:paraId="56B408BB" w14:textId="77777777" w:rsidR="00174EF8" w:rsidRPr="00BD3C3E" w:rsidRDefault="00174EF8" w:rsidP="00E72B07">
            <w:pPr>
              <w:rPr>
                <w:b/>
                <w:bCs/>
              </w:rPr>
            </w:pPr>
            <w:r>
              <w:rPr>
                <w:b/>
                <w:bCs/>
              </w:rPr>
              <w:t>MRI + PET-CT</w:t>
            </w:r>
          </w:p>
        </w:tc>
      </w:tr>
      <w:tr w:rsidR="00174EF8" w14:paraId="21BA244C" w14:textId="77777777" w:rsidTr="00E72B07">
        <w:trPr>
          <w:jc w:val="center"/>
        </w:trPr>
        <w:tc>
          <w:tcPr>
            <w:tcW w:w="0" w:type="auto"/>
            <w:shd w:val="clear" w:color="auto" w:fill="F2F2F2" w:themeFill="background1" w:themeFillShade="F2"/>
          </w:tcPr>
          <w:p w14:paraId="01B5ADB5" w14:textId="77777777" w:rsidR="00174EF8" w:rsidRPr="00EF3053" w:rsidRDefault="00174EF8" w:rsidP="00E72B07">
            <w:pPr>
              <w:rPr>
                <w:b/>
                <w:bCs/>
              </w:rPr>
            </w:pPr>
            <w:r w:rsidRPr="00EF3053">
              <w:rPr>
                <w:b/>
                <w:bCs/>
              </w:rPr>
              <w:t>CY18</w:t>
            </w:r>
          </w:p>
        </w:tc>
        <w:tc>
          <w:tcPr>
            <w:tcW w:w="0" w:type="auto"/>
          </w:tcPr>
          <w:p w14:paraId="31D59E98" w14:textId="77777777" w:rsidR="00174EF8" w:rsidRDefault="00174EF8" w:rsidP="00E72B07">
            <w:r>
              <w:t>4,873</w:t>
            </w:r>
          </w:p>
        </w:tc>
        <w:tc>
          <w:tcPr>
            <w:tcW w:w="0" w:type="auto"/>
          </w:tcPr>
          <w:p w14:paraId="6B31FCA5" w14:textId="77777777" w:rsidR="00174EF8" w:rsidRDefault="00174EF8" w:rsidP="00E72B07">
            <w:r>
              <w:t>221</w:t>
            </w:r>
          </w:p>
        </w:tc>
        <w:tc>
          <w:tcPr>
            <w:tcW w:w="0" w:type="auto"/>
          </w:tcPr>
          <w:p w14:paraId="77B62519" w14:textId="77777777" w:rsidR="00174EF8" w:rsidRDefault="00174EF8" w:rsidP="00E72B07">
            <w:r>
              <w:fldChar w:fldCharType="begin"/>
            </w:r>
            <w:r>
              <w:instrText xml:space="preserve"> =SUM(LEFT) </w:instrText>
            </w:r>
            <w:r>
              <w:fldChar w:fldCharType="separate"/>
            </w:r>
            <w:r>
              <w:rPr>
                <w:noProof/>
              </w:rPr>
              <w:t>5,094</w:t>
            </w:r>
            <w:r>
              <w:fldChar w:fldCharType="end"/>
            </w:r>
          </w:p>
        </w:tc>
      </w:tr>
      <w:tr w:rsidR="00174EF8" w14:paraId="50121EB5" w14:textId="77777777" w:rsidTr="00E72B07">
        <w:trPr>
          <w:jc w:val="center"/>
        </w:trPr>
        <w:tc>
          <w:tcPr>
            <w:tcW w:w="0" w:type="auto"/>
            <w:shd w:val="clear" w:color="auto" w:fill="F2F2F2" w:themeFill="background1" w:themeFillShade="F2"/>
          </w:tcPr>
          <w:p w14:paraId="7D0F46F4" w14:textId="77777777" w:rsidR="00174EF8" w:rsidRPr="00EF3053" w:rsidRDefault="00174EF8" w:rsidP="00E72B07">
            <w:pPr>
              <w:rPr>
                <w:b/>
                <w:bCs/>
              </w:rPr>
            </w:pPr>
            <w:r w:rsidRPr="00EF3053">
              <w:rPr>
                <w:b/>
                <w:bCs/>
              </w:rPr>
              <w:t>CY19</w:t>
            </w:r>
          </w:p>
        </w:tc>
        <w:tc>
          <w:tcPr>
            <w:tcW w:w="0" w:type="auto"/>
          </w:tcPr>
          <w:p w14:paraId="4E220C8E" w14:textId="77777777" w:rsidR="00174EF8" w:rsidRDefault="00174EF8" w:rsidP="00E72B07">
            <w:r>
              <w:t>4,837</w:t>
            </w:r>
          </w:p>
        </w:tc>
        <w:tc>
          <w:tcPr>
            <w:tcW w:w="0" w:type="auto"/>
          </w:tcPr>
          <w:p w14:paraId="0B487EA1" w14:textId="77777777" w:rsidR="00174EF8" w:rsidRDefault="00174EF8" w:rsidP="00E72B07">
            <w:r>
              <w:t>222</w:t>
            </w:r>
          </w:p>
        </w:tc>
        <w:tc>
          <w:tcPr>
            <w:tcW w:w="0" w:type="auto"/>
          </w:tcPr>
          <w:p w14:paraId="772E8E32" w14:textId="77777777" w:rsidR="00174EF8" w:rsidRDefault="00174EF8" w:rsidP="00E72B07">
            <w:r>
              <w:fldChar w:fldCharType="begin"/>
            </w:r>
            <w:r>
              <w:instrText xml:space="preserve"> =SUM(LEFT) </w:instrText>
            </w:r>
            <w:r>
              <w:fldChar w:fldCharType="separate"/>
            </w:r>
            <w:r>
              <w:rPr>
                <w:noProof/>
              </w:rPr>
              <w:t>5,059</w:t>
            </w:r>
            <w:r>
              <w:fldChar w:fldCharType="end"/>
            </w:r>
          </w:p>
        </w:tc>
      </w:tr>
      <w:tr w:rsidR="00174EF8" w14:paraId="08B2C0A4" w14:textId="77777777" w:rsidTr="00E72B07">
        <w:trPr>
          <w:jc w:val="center"/>
        </w:trPr>
        <w:tc>
          <w:tcPr>
            <w:tcW w:w="0" w:type="auto"/>
            <w:shd w:val="clear" w:color="auto" w:fill="F2F2F2" w:themeFill="background1" w:themeFillShade="F2"/>
          </w:tcPr>
          <w:p w14:paraId="6230DA0C" w14:textId="77777777" w:rsidR="00174EF8" w:rsidRPr="00EF3053" w:rsidRDefault="00174EF8" w:rsidP="00E72B07">
            <w:pPr>
              <w:rPr>
                <w:b/>
                <w:bCs/>
              </w:rPr>
            </w:pPr>
            <w:r w:rsidRPr="00EF3053">
              <w:rPr>
                <w:b/>
                <w:bCs/>
              </w:rPr>
              <w:lastRenderedPageBreak/>
              <w:t>CY20</w:t>
            </w:r>
          </w:p>
        </w:tc>
        <w:tc>
          <w:tcPr>
            <w:tcW w:w="0" w:type="auto"/>
          </w:tcPr>
          <w:p w14:paraId="0729E577" w14:textId="77777777" w:rsidR="00174EF8" w:rsidRDefault="00174EF8" w:rsidP="00E72B07">
            <w:r>
              <w:t>4,542</w:t>
            </w:r>
          </w:p>
        </w:tc>
        <w:tc>
          <w:tcPr>
            <w:tcW w:w="0" w:type="auto"/>
          </w:tcPr>
          <w:p w14:paraId="6D54B74E" w14:textId="77777777" w:rsidR="00174EF8" w:rsidRDefault="00174EF8" w:rsidP="00E72B07">
            <w:r>
              <w:t>214</w:t>
            </w:r>
          </w:p>
        </w:tc>
        <w:tc>
          <w:tcPr>
            <w:tcW w:w="0" w:type="auto"/>
          </w:tcPr>
          <w:p w14:paraId="66092A90" w14:textId="77777777" w:rsidR="00174EF8" w:rsidRDefault="00174EF8" w:rsidP="00E72B07">
            <w:r>
              <w:fldChar w:fldCharType="begin"/>
            </w:r>
            <w:r>
              <w:instrText xml:space="preserve"> =SUM(LEFT) </w:instrText>
            </w:r>
            <w:r>
              <w:fldChar w:fldCharType="separate"/>
            </w:r>
            <w:r>
              <w:rPr>
                <w:noProof/>
              </w:rPr>
              <w:t>4,756</w:t>
            </w:r>
            <w:r>
              <w:fldChar w:fldCharType="end"/>
            </w:r>
          </w:p>
        </w:tc>
      </w:tr>
      <w:tr w:rsidR="00174EF8" w14:paraId="7D892C99" w14:textId="77777777" w:rsidTr="00E72B07">
        <w:trPr>
          <w:jc w:val="center"/>
        </w:trPr>
        <w:tc>
          <w:tcPr>
            <w:tcW w:w="0" w:type="auto"/>
            <w:shd w:val="clear" w:color="auto" w:fill="F2F2F2" w:themeFill="background1" w:themeFillShade="F2"/>
          </w:tcPr>
          <w:p w14:paraId="4C94FD63" w14:textId="77777777" w:rsidR="00174EF8" w:rsidRPr="00EF3053" w:rsidRDefault="00174EF8" w:rsidP="00E72B07">
            <w:pPr>
              <w:rPr>
                <w:b/>
                <w:bCs/>
              </w:rPr>
            </w:pPr>
            <w:r>
              <w:rPr>
                <w:b/>
                <w:bCs/>
              </w:rPr>
              <w:t>Total</w:t>
            </w:r>
          </w:p>
        </w:tc>
        <w:tc>
          <w:tcPr>
            <w:tcW w:w="0" w:type="auto"/>
          </w:tcPr>
          <w:p w14:paraId="0AC9A672" w14:textId="070B09C2" w:rsidR="00174EF8" w:rsidRDefault="00CD511D" w:rsidP="00E72B07">
            <w:r>
              <w:fldChar w:fldCharType="begin"/>
            </w:r>
            <w:r>
              <w:instrText xml:space="preserve"> =SUM(ABOVE) </w:instrText>
            </w:r>
            <w:r>
              <w:fldChar w:fldCharType="separate"/>
            </w:r>
            <w:r>
              <w:rPr>
                <w:noProof/>
              </w:rPr>
              <w:t>14,252</w:t>
            </w:r>
            <w:r>
              <w:fldChar w:fldCharType="end"/>
            </w:r>
          </w:p>
        </w:tc>
        <w:tc>
          <w:tcPr>
            <w:tcW w:w="0" w:type="auto"/>
          </w:tcPr>
          <w:p w14:paraId="750310F8" w14:textId="7D56D9DD" w:rsidR="00174EF8" w:rsidRDefault="00CD511D" w:rsidP="00E72B07">
            <w:r>
              <w:fldChar w:fldCharType="begin"/>
            </w:r>
            <w:r>
              <w:instrText xml:space="preserve"> =SUM(ABOVE) </w:instrText>
            </w:r>
            <w:r>
              <w:fldChar w:fldCharType="separate"/>
            </w:r>
            <w:r>
              <w:rPr>
                <w:noProof/>
              </w:rPr>
              <w:t>657</w:t>
            </w:r>
            <w:r>
              <w:fldChar w:fldCharType="end"/>
            </w:r>
          </w:p>
        </w:tc>
        <w:tc>
          <w:tcPr>
            <w:tcW w:w="0" w:type="auto"/>
          </w:tcPr>
          <w:p w14:paraId="11AEE4B8" w14:textId="1B356BBB" w:rsidR="00174EF8" w:rsidRDefault="00CD511D" w:rsidP="00E72B07">
            <w:r>
              <w:fldChar w:fldCharType="begin"/>
            </w:r>
            <w:r>
              <w:instrText xml:space="preserve"> =SUM(ABOVE) </w:instrText>
            </w:r>
            <w:r>
              <w:fldChar w:fldCharType="separate"/>
            </w:r>
            <w:r>
              <w:rPr>
                <w:noProof/>
              </w:rPr>
              <w:t>14,909</w:t>
            </w:r>
            <w:r>
              <w:fldChar w:fldCharType="end"/>
            </w:r>
          </w:p>
        </w:tc>
      </w:tr>
    </w:tbl>
    <w:p w14:paraId="1280EDE9" w14:textId="761F5CA8" w:rsidR="00174EF8" w:rsidRDefault="00174EF8" w:rsidP="00174EF8"/>
    <w:p w14:paraId="2C32909E" w14:textId="539E05E8" w:rsidR="00D54707" w:rsidRPr="008D6923" w:rsidRDefault="00D54707" w:rsidP="008D6923">
      <w:pPr>
        <w:spacing w:line="240" w:lineRule="auto"/>
        <w:rPr>
          <w:sz w:val="24"/>
          <w:szCs w:val="24"/>
        </w:rPr>
      </w:pPr>
      <w:r w:rsidRPr="008D6923">
        <w:rPr>
          <w:sz w:val="24"/>
          <w:szCs w:val="24"/>
        </w:rPr>
        <w:t>The Applicant provide</w:t>
      </w:r>
      <w:r w:rsidR="00417174">
        <w:rPr>
          <w:sz w:val="24"/>
          <w:szCs w:val="24"/>
        </w:rPr>
        <w:t>d</w:t>
      </w:r>
      <w:r w:rsidRPr="008D6923">
        <w:rPr>
          <w:sz w:val="24"/>
          <w:szCs w:val="24"/>
        </w:rPr>
        <w:t xml:space="preserve"> demographic information on MRI and PET-CT patients which is presented in Table </w:t>
      </w:r>
      <w:r w:rsidR="007E45D4">
        <w:rPr>
          <w:sz w:val="24"/>
          <w:szCs w:val="24"/>
        </w:rPr>
        <w:t>5</w:t>
      </w:r>
      <w:r w:rsidR="0008371D" w:rsidRPr="008D6923">
        <w:rPr>
          <w:sz w:val="24"/>
          <w:szCs w:val="24"/>
        </w:rPr>
        <w:t xml:space="preserve"> </w:t>
      </w:r>
      <w:r w:rsidRPr="008D6923">
        <w:rPr>
          <w:sz w:val="24"/>
          <w:szCs w:val="24"/>
        </w:rPr>
        <w:t xml:space="preserve">below. </w:t>
      </w:r>
      <w:r w:rsidR="00E90234" w:rsidRPr="008D6923">
        <w:rPr>
          <w:sz w:val="24"/>
          <w:szCs w:val="24"/>
        </w:rPr>
        <w:t xml:space="preserve">The Applicant notes that race/ethnicity data for MRI and PET-CT patients is not currently tracked and therefore unavailable for inclusion in the </w:t>
      </w:r>
      <w:r w:rsidR="00D8289D">
        <w:rPr>
          <w:sz w:val="24"/>
          <w:szCs w:val="24"/>
        </w:rPr>
        <w:t>t</w:t>
      </w:r>
      <w:r w:rsidR="00E90234" w:rsidRPr="008D6923">
        <w:rPr>
          <w:sz w:val="24"/>
          <w:szCs w:val="24"/>
        </w:rPr>
        <w:t xml:space="preserve">able. </w:t>
      </w:r>
      <w:r w:rsidR="00614EC5">
        <w:rPr>
          <w:sz w:val="24"/>
          <w:szCs w:val="24"/>
        </w:rPr>
        <w:t>MRI is used more predominantly by women than PET-CT which is more evenly distributed across gender. Utilization of PET-CT is heavily weighted to the 60+ population while MRI utilization is more evenly distributed across ages.</w:t>
      </w:r>
    </w:p>
    <w:p w14:paraId="2A6C8A6E" w14:textId="705576D6" w:rsidR="00174EF8" w:rsidRPr="008C1ACC" w:rsidRDefault="008C1ACC" w:rsidP="008C1ACC">
      <w:pPr>
        <w:jc w:val="center"/>
        <w:rPr>
          <w:b/>
          <w:bCs/>
          <w:sz w:val="24"/>
          <w:szCs w:val="24"/>
        </w:rPr>
      </w:pPr>
      <w:r>
        <w:rPr>
          <w:b/>
          <w:bCs/>
          <w:sz w:val="24"/>
          <w:szCs w:val="24"/>
        </w:rPr>
        <w:t>Table</w:t>
      </w:r>
      <w:r w:rsidR="0009066A">
        <w:rPr>
          <w:b/>
          <w:bCs/>
          <w:sz w:val="24"/>
          <w:szCs w:val="24"/>
        </w:rPr>
        <w:t xml:space="preserve"> </w:t>
      </w:r>
      <w:r w:rsidR="007E45D4">
        <w:rPr>
          <w:b/>
          <w:bCs/>
          <w:sz w:val="24"/>
          <w:szCs w:val="24"/>
        </w:rPr>
        <w:t>5</w:t>
      </w:r>
      <w:r>
        <w:rPr>
          <w:b/>
          <w:bCs/>
          <w:sz w:val="24"/>
          <w:szCs w:val="24"/>
        </w:rPr>
        <w:t xml:space="preserve">: </w:t>
      </w:r>
      <w:r w:rsidR="00174EF8" w:rsidRPr="008C1ACC">
        <w:rPr>
          <w:b/>
          <w:bCs/>
          <w:sz w:val="24"/>
          <w:szCs w:val="24"/>
        </w:rPr>
        <w:t>Demographic Profiles (CY20)</w:t>
      </w:r>
    </w:p>
    <w:tbl>
      <w:tblPr>
        <w:tblStyle w:val="TableGrid"/>
        <w:tblW w:w="0" w:type="auto"/>
        <w:jc w:val="center"/>
        <w:tblLook w:val="04A0" w:firstRow="1" w:lastRow="0" w:firstColumn="1" w:lastColumn="0" w:noHBand="0" w:noVBand="1"/>
        <w:tblCaption w:val="Table 5: Demographic Profiles (CY20) "/>
        <w:tblDescription w:val=" MRI Patients PET-CT Patients&#10;Patients  4,542 214&#10;Gender &#10;Male &#10;Female  &#10;39.6%&#10;60.4% &#10;43.5%&#10;56.5%&#10;Age &#10;0-19&#10;20-59&#10;60+ &#10;7.1%&#10;50.2%&#10;42.7% &#10;18.7% (0-59)&#10;&#10;81.3% &#10;Patient Origin &#10;Based on Zip Code Data 71% of MRI patient population originate from the following ten communities: &#10;Gardner, Athol, Winchendon, Orange, Templeton, Ashburnham, Westminster, Baldwinville, Fitchburg, and Hubbardston 80% of the PET-CT patient population originates from the following ten communities: &#10;Gardner, Athol, Orange, Winchendon, Templeton, Fitchburg, Royalston, Ashburnham, Westminster, Baldwinville. &#10;"/>
      </w:tblPr>
      <w:tblGrid>
        <w:gridCol w:w="3116"/>
        <w:gridCol w:w="3117"/>
        <w:gridCol w:w="3117"/>
      </w:tblGrid>
      <w:tr w:rsidR="00174EF8" w14:paraId="34F1E3E0" w14:textId="77777777" w:rsidTr="00B52786">
        <w:trPr>
          <w:tblHeader/>
          <w:jc w:val="center"/>
        </w:trPr>
        <w:tc>
          <w:tcPr>
            <w:tcW w:w="3116" w:type="dxa"/>
          </w:tcPr>
          <w:p w14:paraId="2107697E" w14:textId="77777777" w:rsidR="00174EF8" w:rsidRDefault="00174EF8" w:rsidP="00E72B07"/>
        </w:tc>
        <w:tc>
          <w:tcPr>
            <w:tcW w:w="3117" w:type="dxa"/>
            <w:shd w:val="clear" w:color="auto" w:fill="F2F2F2" w:themeFill="background1" w:themeFillShade="F2"/>
          </w:tcPr>
          <w:p w14:paraId="3466BDD9" w14:textId="77777777" w:rsidR="00174EF8" w:rsidRPr="00D32614" w:rsidRDefault="00174EF8" w:rsidP="00E72B07">
            <w:pPr>
              <w:rPr>
                <w:b/>
                <w:bCs/>
              </w:rPr>
            </w:pPr>
            <w:r w:rsidRPr="00D32614">
              <w:rPr>
                <w:b/>
                <w:bCs/>
              </w:rPr>
              <w:t>MRI Patients</w:t>
            </w:r>
          </w:p>
        </w:tc>
        <w:tc>
          <w:tcPr>
            <w:tcW w:w="3117" w:type="dxa"/>
            <w:shd w:val="clear" w:color="auto" w:fill="F2F2F2" w:themeFill="background1" w:themeFillShade="F2"/>
          </w:tcPr>
          <w:p w14:paraId="648DF4B6" w14:textId="77777777" w:rsidR="00174EF8" w:rsidRPr="00D32614" w:rsidRDefault="00174EF8" w:rsidP="00E72B07">
            <w:pPr>
              <w:rPr>
                <w:b/>
                <w:bCs/>
              </w:rPr>
            </w:pPr>
            <w:r w:rsidRPr="00D32614">
              <w:rPr>
                <w:b/>
                <w:bCs/>
              </w:rPr>
              <w:t>PET-CT Patients</w:t>
            </w:r>
          </w:p>
        </w:tc>
      </w:tr>
      <w:tr w:rsidR="00B7645B" w14:paraId="6D2169B2" w14:textId="77777777" w:rsidTr="00B7645B">
        <w:trPr>
          <w:jc w:val="center"/>
        </w:trPr>
        <w:tc>
          <w:tcPr>
            <w:tcW w:w="3116" w:type="dxa"/>
          </w:tcPr>
          <w:p w14:paraId="5C6FB20B" w14:textId="7B57191B" w:rsidR="00B7645B" w:rsidRDefault="00B7645B" w:rsidP="00B7645B">
            <w:pPr>
              <w:tabs>
                <w:tab w:val="left" w:pos="2175"/>
              </w:tabs>
            </w:pPr>
            <w:r>
              <w:t xml:space="preserve">Patients </w:t>
            </w:r>
          </w:p>
        </w:tc>
        <w:tc>
          <w:tcPr>
            <w:tcW w:w="3117" w:type="dxa"/>
          </w:tcPr>
          <w:p w14:paraId="440E2F74" w14:textId="423A4759" w:rsidR="00B7645B" w:rsidRDefault="00B7645B" w:rsidP="00E72B07">
            <w:r>
              <w:t>4</w:t>
            </w:r>
            <w:r w:rsidR="004E5357">
              <w:t>,</w:t>
            </w:r>
            <w:r>
              <w:t>542</w:t>
            </w:r>
          </w:p>
        </w:tc>
        <w:tc>
          <w:tcPr>
            <w:tcW w:w="3117" w:type="dxa"/>
          </w:tcPr>
          <w:p w14:paraId="6F3F5EB6" w14:textId="197E4F1F" w:rsidR="00B7645B" w:rsidRDefault="000775A2" w:rsidP="00E72B07">
            <w:r>
              <w:t>214</w:t>
            </w:r>
          </w:p>
        </w:tc>
      </w:tr>
      <w:tr w:rsidR="00174EF8" w14:paraId="2176FCF9" w14:textId="77777777" w:rsidTr="00B7645B">
        <w:trPr>
          <w:jc w:val="center"/>
        </w:trPr>
        <w:tc>
          <w:tcPr>
            <w:tcW w:w="3116" w:type="dxa"/>
          </w:tcPr>
          <w:p w14:paraId="3EBFE895" w14:textId="77777777" w:rsidR="00174EF8" w:rsidRDefault="00174EF8" w:rsidP="00E72B07">
            <w:r>
              <w:t xml:space="preserve">Gender </w:t>
            </w:r>
          </w:p>
          <w:p w14:paraId="634A7EA8" w14:textId="77777777" w:rsidR="00174EF8" w:rsidRDefault="00174EF8" w:rsidP="00E72B07">
            <w:pPr>
              <w:ind w:left="144"/>
            </w:pPr>
            <w:r>
              <w:t xml:space="preserve">Male </w:t>
            </w:r>
          </w:p>
          <w:p w14:paraId="3BE9EDC4" w14:textId="77777777" w:rsidR="00174EF8" w:rsidRDefault="00174EF8" w:rsidP="00E72B07">
            <w:pPr>
              <w:ind w:left="144"/>
            </w:pPr>
            <w:r>
              <w:t xml:space="preserve">Female </w:t>
            </w:r>
          </w:p>
        </w:tc>
        <w:tc>
          <w:tcPr>
            <w:tcW w:w="3117" w:type="dxa"/>
          </w:tcPr>
          <w:p w14:paraId="49969E73" w14:textId="77777777" w:rsidR="00174EF8" w:rsidRDefault="00174EF8" w:rsidP="00E72B07"/>
          <w:p w14:paraId="393A7834" w14:textId="77777777" w:rsidR="00B7645B" w:rsidRDefault="00B7645B" w:rsidP="00E72B07">
            <w:r>
              <w:t>39.6%</w:t>
            </w:r>
          </w:p>
          <w:p w14:paraId="18533FEA" w14:textId="41304D7B" w:rsidR="00B7645B" w:rsidRDefault="00B7645B" w:rsidP="00E72B07">
            <w:r>
              <w:t>60.4%</w:t>
            </w:r>
          </w:p>
        </w:tc>
        <w:tc>
          <w:tcPr>
            <w:tcW w:w="3117" w:type="dxa"/>
          </w:tcPr>
          <w:p w14:paraId="4F8B9C4F" w14:textId="77777777" w:rsidR="00174EF8" w:rsidRDefault="00174EF8" w:rsidP="00E72B07"/>
          <w:p w14:paraId="0FA16A4A" w14:textId="77777777" w:rsidR="00947E4C" w:rsidRDefault="00947E4C" w:rsidP="00E72B07">
            <w:r>
              <w:t>43.5%</w:t>
            </w:r>
          </w:p>
          <w:p w14:paraId="4CC7A0F7" w14:textId="5C833D5C" w:rsidR="00947E4C" w:rsidRDefault="00947E4C" w:rsidP="00E72B07">
            <w:r>
              <w:t>56.5%</w:t>
            </w:r>
          </w:p>
        </w:tc>
      </w:tr>
      <w:tr w:rsidR="00174EF8" w14:paraId="2A16785E" w14:textId="77777777" w:rsidTr="00B7645B">
        <w:trPr>
          <w:jc w:val="center"/>
        </w:trPr>
        <w:tc>
          <w:tcPr>
            <w:tcW w:w="3116" w:type="dxa"/>
          </w:tcPr>
          <w:p w14:paraId="6CD39CBE" w14:textId="77777777" w:rsidR="00174EF8" w:rsidRDefault="00174EF8" w:rsidP="00E72B07">
            <w:r>
              <w:t xml:space="preserve">Age </w:t>
            </w:r>
          </w:p>
          <w:p w14:paraId="0D311F63" w14:textId="77777777" w:rsidR="00174EF8" w:rsidRPr="009A5744" w:rsidRDefault="00174EF8" w:rsidP="00E72B07">
            <w:pPr>
              <w:ind w:left="144"/>
            </w:pPr>
            <w:r w:rsidRPr="009A5744">
              <w:t>0-19</w:t>
            </w:r>
          </w:p>
          <w:p w14:paraId="308DBDE8" w14:textId="77777777" w:rsidR="00174EF8" w:rsidRPr="009A5744" w:rsidRDefault="00174EF8" w:rsidP="00E72B07">
            <w:pPr>
              <w:ind w:left="144"/>
            </w:pPr>
            <w:r w:rsidRPr="009A5744">
              <w:t>20-59</w:t>
            </w:r>
          </w:p>
          <w:p w14:paraId="48BB35D0" w14:textId="77777777" w:rsidR="00174EF8" w:rsidRDefault="00174EF8" w:rsidP="00E72B07">
            <w:pPr>
              <w:ind w:left="144"/>
            </w:pPr>
            <w:r w:rsidRPr="009A5744">
              <w:t>60+</w:t>
            </w:r>
          </w:p>
        </w:tc>
        <w:tc>
          <w:tcPr>
            <w:tcW w:w="3117" w:type="dxa"/>
          </w:tcPr>
          <w:p w14:paraId="634176E1" w14:textId="77777777" w:rsidR="00174EF8" w:rsidRDefault="00174EF8" w:rsidP="00E72B07"/>
          <w:p w14:paraId="7B622AEA" w14:textId="77777777" w:rsidR="00B7645B" w:rsidRDefault="00B7645B" w:rsidP="00E72B07">
            <w:r>
              <w:t>7.1%</w:t>
            </w:r>
          </w:p>
          <w:p w14:paraId="3CB0A564" w14:textId="77777777" w:rsidR="00B7645B" w:rsidRDefault="00B7645B" w:rsidP="00E72B07">
            <w:r>
              <w:t>50.2%</w:t>
            </w:r>
          </w:p>
          <w:p w14:paraId="510C3FCF" w14:textId="4DE0E2C7" w:rsidR="00B7645B" w:rsidRDefault="00B7645B" w:rsidP="00E72B07">
            <w:r>
              <w:t>42.7%</w:t>
            </w:r>
          </w:p>
        </w:tc>
        <w:tc>
          <w:tcPr>
            <w:tcW w:w="3117" w:type="dxa"/>
          </w:tcPr>
          <w:p w14:paraId="75936F45" w14:textId="77777777" w:rsidR="00174EF8" w:rsidRDefault="00174EF8" w:rsidP="00E72B07"/>
          <w:p w14:paraId="70A9968F" w14:textId="3AE7D946" w:rsidR="00947E4C" w:rsidRDefault="00947E4C" w:rsidP="00E72B07">
            <w:r>
              <w:t>18.7% (0-59)</w:t>
            </w:r>
          </w:p>
          <w:p w14:paraId="2E6B0862" w14:textId="77777777" w:rsidR="00947E4C" w:rsidRDefault="00947E4C" w:rsidP="00E72B07"/>
          <w:p w14:paraId="5DF8BA78" w14:textId="3ADC59EC" w:rsidR="00947E4C" w:rsidRDefault="00947E4C" w:rsidP="00E72B07">
            <w:r>
              <w:t xml:space="preserve">81.3% </w:t>
            </w:r>
          </w:p>
        </w:tc>
      </w:tr>
      <w:tr w:rsidR="00174EF8" w14:paraId="66FCC6FC" w14:textId="77777777" w:rsidTr="00B7645B">
        <w:trPr>
          <w:jc w:val="center"/>
        </w:trPr>
        <w:tc>
          <w:tcPr>
            <w:tcW w:w="3116" w:type="dxa"/>
          </w:tcPr>
          <w:p w14:paraId="7A089321" w14:textId="1A5665AF" w:rsidR="00174EF8" w:rsidRDefault="00174EF8" w:rsidP="00E72B07">
            <w:r>
              <w:t>Patient Origin</w:t>
            </w:r>
            <w:r w:rsidR="000A1F97">
              <w:rPr>
                <w:rStyle w:val="FootnoteReference"/>
              </w:rPr>
              <w:footnoteReference w:id="17"/>
            </w:r>
          </w:p>
          <w:p w14:paraId="3601578B" w14:textId="77777777" w:rsidR="00174EF8" w:rsidRDefault="00174EF8" w:rsidP="00E72B07">
            <w:r>
              <w:t>Based on Zip Code Data</w:t>
            </w:r>
          </w:p>
        </w:tc>
        <w:tc>
          <w:tcPr>
            <w:tcW w:w="3117" w:type="dxa"/>
          </w:tcPr>
          <w:p w14:paraId="203A46C0" w14:textId="77777777" w:rsidR="00A40793" w:rsidRDefault="00174EF8" w:rsidP="00E72B07">
            <w:r>
              <w:t>71% of MRI patient population originate from the following ten communitie</w:t>
            </w:r>
            <w:r w:rsidR="00B7645B">
              <w:t>s</w:t>
            </w:r>
            <w:r>
              <w:t xml:space="preserve">: </w:t>
            </w:r>
          </w:p>
          <w:p w14:paraId="6C884164" w14:textId="76B8E5B9" w:rsidR="00174EF8" w:rsidRDefault="00174EF8" w:rsidP="00A40793">
            <w:pPr>
              <w:ind w:left="144"/>
            </w:pPr>
            <w:r>
              <w:t xml:space="preserve">Gardner, Athol, Winchendon, Orange, Templeton, Ashburnham, Westminster, </w:t>
            </w:r>
            <w:proofErr w:type="spellStart"/>
            <w:r>
              <w:t>Baldwinville</w:t>
            </w:r>
            <w:proofErr w:type="spellEnd"/>
            <w:r>
              <w:t>, Fitchburg, and Hubbardston</w:t>
            </w:r>
          </w:p>
        </w:tc>
        <w:tc>
          <w:tcPr>
            <w:tcW w:w="3117" w:type="dxa"/>
          </w:tcPr>
          <w:p w14:paraId="599D3482" w14:textId="77777777" w:rsidR="00856566" w:rsidRDefault="00174EF8" w:rsidP="00856566">
            <w:r>
              <w:t xml:space="preserve">80% of the PET-CT patient population originates from the following ten communities: </w:t>
            </w:r>
          </w:p>
          <w:p w14:paraId="4241879F" w14:textId="7EF43E9B" w:rsidR="00174EF8" w:rsidRDefault="00174EF8" w:rsidP="00856566">
            <w:pPr>
              <w:ind w:left="144"/>
            </w:pPr>
            <w:r>
              <w:t xml:space="preserve">Gardner, Athol, Orange, Winchendon, Templeton, Fitchburg, </w:t>
            </w:r>
            <w:proofErr w:type="spellStart"/>
            <w:r>
              <w:t>Royalston</w:t>
            </w:r>
            <w:proofErr w:type="spellEnd"/>
            <w:r>
              <w:t xml:space="preserve">, Ashburnham, Westminster, </w:t>
            </w:r>
            <w:proofErr w:type="spellStart"/>
            <w:r>
              <w:t>Baldwinville</w:t>
            </w:r>
            <w:proofErr w:type="spellEnd"/>
            <w:r>
              <w:t xml:space="preserve">. </w:t>
            </w:r>
          </w:p>
        </w:tc>
      </w:tr>
    </w:tbl>
    <w:p w14:paraId="0A6AA4CA" w14:textId="5237D4CE" w:rsidR="00174EF8" w:rsidRDefault="00174EF8" w:rsidP="00174EF8"/>
    <w:p w14:paraId="6C63BFF8" w14:textId="19BCDC9E" w:rsidR="00610EBD" w:rsidRPr="00610EBD" w:rsidRDefault="00610EBD" w:rsidP="007B4494">
      <w:pPr>
        <w:spacing w:line="240" w:lineRule="auto"/>
        <w:rPr>
          <w:sz w:val="24"/>
          <w:szCs w:val="24"/>
        </w:rPr>
      </w:pPr>
      <w:r w:rsidRPr="00610EBD">
        <w:rPr>
          <w:sz w:val="24"/>
          <w:szCs w:val="24"/>
        </w:rPr>
        <w:t>The Applicant also provided information on the payer mix of MRI patients for FY20, which is shown in Table</w:t>
      </w:r>
      <w:r w:rsidR="007E45D4">
        <w:rPr>
          <w:sz w:val="24"/>
          <w:szCs w:val="24"/>
        </w:rPr>
        <w:t xml:space="preserve"> 6</w:t>
      </w:r>
      <w:r w:rsidRPr="002A23BC">
        <w:rPr>
          <w:sz w:val="24"/>
          <w:szCs w:val="24"/>
        </w:rPr>
        <w:t xml:space="preserve"> </w:t>
      </w:r>
      <w:r w:rsidRPr="00610EBD">
        <w:rPr>
          <w:sz w:val="24"/>
          <w:szCs w:val="24"/>
        </w:rPr>
        <w:t>below.</w:t>
      </w:r>
      <w:r w:rsidR="005044E5">
        <w:rPr>
          <w:sz w:val="24"/>
          <w:szCs w:val="24"/>
        </w:rPr>
        <w:t xml:space="preserve"> The Applicant notes that because the existing vendor bills for PET-CT services, it does not have access to the payer mix data for this patient population. </w:t>
      </w:r>
    </w:p>
    <w:p w14:paraId="38409ACC" w14:textId="6A829B44" w:rsidR="00174EF8" w:rsidRPr="00824733" w:rsidRDefault="008C1ACC" w:rsidP="001834EC">
      <w:pPr>
        <w:jc w:val="center"/>
        <w:rPr>
          <w:b/>
          <w:bCs/>
          <w:sz w:val="24"/>
          <w:szCs w:val="24"/>
        </w:rPr>
      </w:pPr>
      <w:r w:rsidRPr="00824733">
        <w:rPr>
          <w:b/>
          <w:bCs/>
          <w:sz w:val="24"/>
          <w:szCs w:val="24"/>
        </w:rPr>
        <w:t>Table</w:t>
      </w:r>
      <w:r w:rsidR="00610EBD">
        <w:rPr>
          <w:b/>
          <w:bCs/>
          <w:sz w:val="24"/>
          <w:szCs w:val="24"/>
        </w:rPr>
        <w:t xml:space="preserve"> </w:t>
      </w:r>
      <w:r w:rsidR="007E45D4">
        <w:rPr>
          <w:b/>
          <w:bCs/>
          <w:sz w:val="24"/>
          <w:szCs w:val="24"/>
        </w:rPr>
        <w:t>6</w:t>
      </w:r>
      <w:r w:rsidRPr="00824733">
        <w:rPr>
          <w:b/>
          <w:bCs/>
          <w:sz w:val="24"/>
          <w:szCs w:val="24"/>
        </w:rPr>
        <w:t xml:space="preserve">: </w:t>
      </w:r>
      <w:r w:rsidR="00174EF8" w:rsidRPr="00824733">
        <w:rPr>
          <w:b/>
          <w:bCs/>
          <w:sz w:val="24"/>
          <w:szCs w:val="24"/>
        </w:rPr>
        <w:t>Payer Mix</w:t>
      </w:r>
      <w:r w:rsidR="001834EC" w:rsidRPr="00824733">
        <w:rPr>
          <w:rStyle w:val="FootnoteReference"/>
          <w:b/>
          <w:bCs/>
          <w:sz w:val="24"/>
          <w:szCs w:val="24"/>
        </w:rPr>
        <w:footnoteReference w:id="18"/>
      </w:r>
    </w:p>
    <w:tbl>
      <w:tblPr>
        <w:tblStyle w:val="TableGrid"/>
        <w:tblW w:w="0" w:type="auto"/>
        <w:jc w:val="center"/>
        <w:tblLook w:val="04A0" w:firstRow="1" w:lastRow="0" w:firstColumn="1" w:lastColumn="0" w:noHBand="0" w:noVBand="1"/>
        <w:tblCaption w:val="Table 6: Payer Mix Superscript 18"/>
        <w:tblDescription w:val=" MRI Patients&#10;Payer Mix&#10;Commercial HMO&#10;Commercial PPO/Indemnity&#10;Medicaid HMO&#10;Medicare&#10;Medicare HMO&#10;Other Government&#10;Other HMO/Self-Pay &#10;43%&#10;4.1%&#10;15.3%&#10;28%&#10;2.7%&#10;70%&#10;6.1%&#10;Footnote 18: The Applicant notes that the existing vendor bills for PET-CT services and the Applicant does not have access to the payer mix data for PET-CT patients"/>
      </w:tblPr>
      <w:tblGrid>
        <w:gridCol w:w="3116"/>
        <w:gridCol w:w="3117"/>
      </w:tblGrid>
      <w:tr w:rsidR="001834EC" w14:paraId="00104CF2" w14:textId="77777777" w:rsidTr="00B52786">
        <w:trPr>
          <w:tblHeader/>
          <w:jc w:val="center"/>
        </w:trPr>
        <w:tc>
          <w:tcPr>
            <w:tcW w:w="3116" w:type="dxa"/>
          </w:tcPr>
          <w:p w14:paraId="217F4D8B" w14:textId="77777777" w:rsidR="001834EC" w:rsidRDefault="001834EC" w:rsidP="00E72B07"/>
        </w:tc>
        <w:tc>
          <w:tcPr>
            <w:tcW w:w="3117" w:type="dxa"/>
            <w:shd w:val="clear" w:color="auto" w:fill="F2F2F2" w:themeFill="background1" w:themeFillShade="F2"/>
          </w:tcPr>
          <w:p w14:paraId="2BCE8146" w14:textId="77777777" w:rsidR="001834EC" w:rsidRPr="00D32614" w:rsidRDefault="001834EC" w:rsidP="00E72B07">
            <w:pPr>
              <w:rPr>
                <w:b/>
                <w:bCs/>
              </w:rPr>
            </w:pPr>
            <w:r w:rsidRPr="00D32614">
              <w:rPr>
                <w:b/>
                <w:bCs/>
              </w:rPr>
              <w:t>MRI Patients</w:t>
            </w:r>
          </w:p>
        </w:tc>
      </w:tr>
      <w:tr w:rsidR="001834EC" w14:paraId="01D887BB" w14:textId="77777777" w:rsidTr="001834EC">
        <w:trPr>
          <w:jc w:val="center"/>
        </w:trPr>
        <w:tc>
          <w:tcPr>
            <w:tcW w:w="3116" w:type="dxa"/>
          </w:tcPr>
          <w:p w14:paraId="0C648947" w14:textId="77777777" w:rsidR="001834EC" w:rsidRDefault="001834EC" w:rsidP="00E72B07">
            <w:r>
              <w:t>Payer Mix</w:t>
            </w:r>
          </w:p>
          <w:p w14:paraId="07F32677" w14:textId="77777777" w:rsidR="001834EC" w:rsidRDefault="001834EC" w:rsidP="00E72B07">
            <w:r>
              <w:t>Commercial HMO</w:t>
            </w:r>
          </w:p>
          <w:p w14:paraId="161750CF" w14:textId="77777777" w:rsidR="001834EC" w:rsidRDefault="001834EC" w:rsidP="00E72B07">
            <w:r>
              <w:t>Commercial PPO/Indemnity</w:t>
            </w:r>
          </w:p>
          <w:p w14:paraId="1783D19D" w14:textId="77777777" w:rsidR="001834EC" w:rsidRDefault="001834EC" w:rsidP="00E72B07">
            <w:r>
              <w:t>Medicaid HMO</w:t>
            </w:r>
          </w:p>
          <w:p w14:paraId="370D2F19" w14:textId="77777777" w:rsidR="001834EC" w:rsidRDefault="001834EC" w:rsidP="00E72B07">
            <w:r>
              <w:lastRenderedPageBreak/>
              <w:t>Medicare</w:t>
            </w:r>
          </w:p>
          <w:p w14:paraId="0FD4A92C" w14:textId="77777777" w:rsidR="001834EC" w:rsidRDefault="001834EC" w:rsidP="00E72B07">
            <w:r>
              <w:t>Medicare HMO</w:t>
            </w:r>
          </w:p>
          <w:p w14:paraId="6C6AAB23" w14:textId="77777777" w:rsidR="001834EC" w:rsidRDefault="001834EC" w:rsidP="00E72B07">
            <w:r>
              <w:t>Other Government</w:t>
            </w:r>
          </w:p>
          <w:p w14:paraId="533459B8" w14:textId="3FE833AE" w:rsidR="001834EC" w:rsidRDefault="001834EC" w:rsidP="00E72B07">
            <w:proofErr w:type="gramStart"/>
            <w:r>
              <w:t>Other</w:t>
            </w:r>
            <w:proofErr w:type="gramEnd"/>
            <w:r>
              <w:t xml:space="preserve"> HMO/Self-Pay</w:t>
            </w:r>
          </w:p>
        </w:tc>
        <w:tc>
          <w:tcPr>
            <w:tcW w:w="3117" w:type="dxa"/>
          </w:tcPr>
          <w:p w14:paraId="4C9CD79C" w14:textId="77777777" w:rsidR="001834EC" w:rsidRDefault="001834EC" w:rsidP="00E72B07"/>
          <w:p w14:paraId="7C8B7A67" w14:textId="77777777" w:rsidR="001834EC" w:rsidRDefault="001834EC" w:rsidP="00E72B07">
            <w:r>
              <w:t>43%</w:t>
            </w:r>
          </w:p>
          <w:p w14:paraId="35D90147" w14:textId="77777777" w:rsidR="001834EC" w:rsidRDefault="001834EC" w:rsidP="00E72B07">
            <w:r>
              <w:t>4.1%</w:t>
            </w:r>
          </w:p>
          <w:p w14:paraId="0DFB46DC" w14:textId="77777777" w:rsidR="001834EC" w:rsidRDefault="001834EC" w:rsidP="00E72B07">
            <w:r>
              <w:t>15.3%</w:t>
            </w:r>
          </w:p>
          <w:p w14:paraId="6BCC9F40" w14:textId="77777777" w:rsidR="001834EC" w:rsidRDefault="001834EC" w:rsidP="00E72B07">
            <w:r>
              <w:lastRenderedPageBreak/>
              <w:t>28%</w:t>
            </w:r>
          </w:p>
          <w:p w14:paraId="2EC207AF" w14:textId="77777777" w:rsidR="001834EC" w:rsidRDefault="001834EC" w:rsidP="00E72B07">
            <w:r>
              <w:t>2.7%</w:t>
            </w:r>
          </w:p>
          <w:p w14:paraId="304D0AEF" w14:textId="77777777" w:rsidR="001834EC" w:rsidRDefault="001834EC" w:rsidP="00E72B07">
            <w:r>
              <w:t>70%</w:t>
            </w:r>
          </w:p>
          <w:p w14:paraId="1A62D95D" w14:textId="508D24E9" w:rsidR="001834EC" w:rsidRDefault="001834EC" w:rsidP="00E72B07">
            <w:r>
              <w:t>6.1%</w:t>
            </w:r>
          </w:p>
        </w:tc>
      </w:tr>
    </w:tbl>
    <w:p w14:paraId="30AAB55C" w14:textId="5D834D2C" w:rsidR="008E6504" w:rsidRDefault="008E6504" w:rsidP="00F83833">
      <w:pPr>
        <w:rPr>
          <w:b/>
          <w:bCs/>
          <w:sz w:val="24"/>
          <w:szCs w:val="24"/>
        </w:rPr>
      </w:pPr>
    </w:p>
    <w:p w14:paraId="02A23FA2" w14:textId="37795352" w:rsidR="001D1C8A" w:rsidRPr="0005623C" w:rsidRDefault="001D1C8A" w:rsidP="005309E7">
      <w:pPr>
        <w:pStyle w:val="ListParagraph"/>
        <w:numPr>
          <w:ilvl w:val="0"/>
          <w:numId w:val="20"/>
        </w:numPr>
        <w:spacing w:line="240" w:lineRule="auto"/>
        <w:rPr>
          <w:b/>
          <w:bCs/>
          <w:sz w:val="24"/>
          <w:szCs w:val="24"/>
        </w:rPr>
      </w:pPr>
      <w:r w:rsidRPr="002F055F">
        <w:rPr>
          <w:b/>
          <w:bCs/>
          <w:sz w:val="24"/>
          <w:szCs w:val="24"/>
        </w:rPr>
        <w:t>Aging Population</w:t>
      </w:r>
      <w:r w:rsidR="0005623C">
        <w:rPr>
          <w:b/>
          <w:bCs/>
          <w:sz w:val="24"/>
          <w:szCs w:val="24"/>
        </w:rPr>
        <w:t xml:space="preserve">. </w:t>
      </w:r>
      <w:r w:rsidR="0005623C">
        <w:rPr>
          <w:sz w:val="24"/>
          <w:szCs w:val="24"/>
        </w:rPr>
        <w:t>The Applicant asserts that need for continued access to MRI and PET-CT services is supported by an aging Patient Panel and an aging population</w:t>
      </w:r>
      <w:r w:rsidR="00B324EE">
        <w:rPr>
          <w:sz w:val="24"/>
          <w:szCs w:val="24"/>
        </w:rPr>
        <w:t xml:space="preserve"> in Massachusetts</w:t>
      </w:r>
      <w:r w:rsidR="0005623C">
        <w:rPr>
          <w:sz w:val="24"/>
          <w:szCs w:val="24"/>
        </w:rPr>
        <w:t xml:space="preserve">. </w:t>
      </w:r>
      <w:r w:rsidR="00614EC5">
        <w:rPr>
          <w:sz w:val="24"/>
          <w:szCs w:val="24"/>
        </w:rPr>
        <w:t xml:space="preserve">As shown in Table </w:t>
      </w:r>
      <w:r w:rsidR="007E45D4">
        <w:rPr>
          <w:sz w:val="24"/>
          <w:szCs w:val="24"/>
        </w:rPr>
        <w:t>5</w:t>
      </w:r>
      <w:r w:rsidR="00721DCD">
        <w:rPr>
          <w:sz w:val="24"/>
          <w:szCs w:val="24"/>
        </w:rPr>
        <w:t xml:space="preserve"> above</w:t>
      </w:r>
      <w:r w:rsidR="00614EC5">
        <w:rPr>
          <w:sz w:val="24"/>
          <w:szCs w:val="24"/>
        </w:rPr>
        <w:t xml:space="preserve">, </w:t>
      </w:r>
      <w:r w:rsidR="0005623C">
        <w:rPr>
          <w:sz w:val="24"/>
          <w:szCs w:val="24"/>
        </w:rPr>
        <w:t>42.7% of</w:t>
      </w:r>
      <w:r w:rsidR="009550C7">
        <w:rPr>
          <w:sz w:val="24"/>
          <w:szCs w:val="24"/>
        </w:rPr>
        <w:t xml:space="preserve"> Heywood Healthcare’s</w:t>
      </w:r>
      <w:r w:rsidR="0005623C">
        <w:rPr>
          <w:sz w:val="24"/>
          <w:szCs w:val="24"/>
        </w:rPr>
        <w:t xml:space="preserve"> MRI patients and 81.3% of </w:t>
      </w:r>
      <w:r w:rsidR="009550C7">
        <w:rPr>
          <w:sz w:val="24"/>
          <w:szCs w:val="24"/>
        </w:rPr>
        <w:t xml:space="preserve">Heywood Healthcare’s </w:t>
      </w:r>
      <w:r w:rsidR="0005623C">
        <w:rPr>
          <w:sz w:val="24"/>
          <w:szCs w:val="24"/>
        </w:rPr>
        <w:t>PET-CT patients are age</w:t>
      </w:r>
      <w:r w:rsidR="00B324EE">
        <w:rPr>
          <w:sz w:val="24"/>
          <w:szCs w:val="24"/>
        </w:rPr>
        <w:t>d</w:t>
      </w:r>
      <w:r w:rsidR="0005623C">
        <w:rPr>
          <w:sz w:val="24"/>
          <w:szCs w:val="24"/>
        </w:rPr>
        <w:t xml:space="preserve"> 60 and older. </w:t>
      </w:r>
      <w:r w:rsidR="00B324EE">
        <w:rPr>
          <w:sz w:val="24"/>
          <w:szCs w:val="24"/>
        </w:rPr>
        <w:t xml:space="preserve">Additionally, the </w:t>
      </w:r>
      <w:r w:rsidR="0005623C">
        <w:rPr>
          <w:sz w:val="24"/>
          <w:szCs w:val="24"/>
        </w:rPr>
        <w:t xml:space="preserve">Applicant cites UMass Donohue population projections which </w:t>
      </w:r>
      <w:r w:rsidR="009C4C14">
        <w:rPr>
          <w:sz w:val="24"/>
          <w:szCs w:val="24"/>
        </w:rPr>
        <w:t xml:space="preserve">suggest that </w:t>
      </w:r>
      <w:r w:rsidR="00842A2F">
        <w:rPr>
          <w:sz w:val="24"/>
          <w:szCs w:val="24"/>
        </w:rPr>
        <w:t>by 2035, the age 65 and older population will represent a quarter of the state’s population and will make up 23% of the population in the Central Region</w:t>
      </w:r>
      <w:r w:rsidR="003A5CBA">
        <w:rPr>
          <w:sz w:val="24"/>
          <w:szCs w:val="24"/>
        </w:rPr>
        <w:t xml:space="preserve"> (compared to 13% in 2010)</w:t>
      </w:r>
      <w:r w:rsidR="00842A2F">
        <w:rPr>
          <w:sz w:val="24"/>
          <w:szCs w:val="24"/>
        </w:rPr>
        <w:t xml:space="preserve"> of MA where the Applicant states the majority of</w:t>
      </w:r>
      <w:r w:rsidR="00A740A7">
        <w:rPr>
          <w:sz w:val="24"/>
          <w:szCs w:val="24"/>
        </w:rPr>
        <w:t xml:space="preserve"> the</w:t>
      </w:r>
      <w:r w:rsidR="00842A2F">
        <w:rPr>
          <w:sz w:val="24"/>
          <w:szCs w:val="24"/>
        </w:rPr>
        <w:t xml:space="preserve"> Heywood Healthcare population reside.</w:t>
      </w:r>
      <w:r w:rsidR="00842A2F">
        <w:rPr>
          <w:rStyle w:val="FootnoteReference"/>
          <w:sz w:val="24"/>
          <w:szCs w:val="24"/>
        </w:rPr>
        <w:footnoteReference w:id="19"/>
      </w:r>
      <w:r w:rsidR="006A2997" w:rsidRPr="006A2997">
        <w:rPr>
          <w:sz w:val="24"/>
          <w:szCs w:val="24"/>
          <w:vertAlign w:val="superscript"/>
        </w:rPr>
        <w:t>,</w:t>
      </w:r>
      <w:r w:rsidR="00842A2F">
        <w:rPr>
          <w:rStyle w:val="EndnoteReference"/>
          <w:sz w:val="24"/>
          <w:szCs w:val="24"/>
        </w:rPr>
        <w:endnoteReference w:id="1"/>
      </w:r>
      <w:r w:rsidR="00842A2F">
        <w:rPr>
          <w:sz w:val="24"/>
          <w:szCs w:val="24"/>
        </w:rPr>
        <w:t xml:space="preserve"> The Applicant asserts that </w:t>
      </w:r>
      <w:r w:rsidR="00B324EE">
        <w:rPr>
          <w:sz w:val="24"/>
          <w:szCs w:val="24"/>
        </w:rPr>
        <w:t>an</w:t>
      </w:r>
      <w:r w:rsidR="00842A2F">
        <w:rPr>
          <w:sz w:val="24"/>
          <w:szCs w:val="24"/>
        </w:rPr>
        <w:t xml:space="preserve"> increasing aging population will contribute to an increasing demand for healthcare services in general</w:t>
      </w:r>
      <w:r w:rsidR="00B324EE">
        <w:rPr>
          <w:sz w:val="24"/>
          <w:szCs w:val="24"/>
        </w:rPr>
        <w:t xml:space="preserve">, </w:t>
      </w:r>
      <w:r w:rsidR="00842A2F">
        <w:rPr>
          <w:sz w:val="24"/>
          <w:szCs w:val="24"/>
        </w:rPr>
        <w:t xml:space="preserve">and </w:t>
      </w:r>
      <w:r w:rsidR="001E2279">
        <w:rPr>
          <w:sz w:val="24"/>
          <w:szCs w:val="24"/>
        </w:rPr>
        <w:t xml:space="preserve">a sustained need </w:t>
      </w:r>
      <w:r w:rsidR="00B324EE">
        <w:rPr>
          <w:sz w:val="24"/>
          <w:szCs w:val="24"/>
        </w:rPr>
        <w:t xml:space="preserve">for </w:t>
      </w:r>
      <w:r w:rsidR="00842A2F">
        <w:rPr>
          <w:sz w:val="24"/>
          <w:szCs w:val="24"/>
        </w:rPr>
        <w:t xml:space="preserve">MRI and PET-CT services </w:t>
      </w:r>
      <w:r w:rsidR="001E2279">
        <w:rPr>
          <w:sz w:val="24"/>
          <w:szCs w:val="24"/>
        </w:rPr>
        <w:t xml:space="preserve">which are </w:t>
      </w:r>
      <w:r w:rsidR="00B324EE">
        <w:rPr>
          <w:sz w:val="24"/>
          <w:szCs w:val="24"/>
        </w:rPr>
        <w:t>use</w:t>
      </w:r>
      <w:r w:rsidR="001E2279">
        <w:rPr>
          <w:sz w:val="24"/>
          <w:szCs w:val="24"/>
        </w:rPr>
        <w:t>d</w:t>
      </w:r>
      <w:r w:rsidR="00B324EE">
        <w:rPr>
          <w:sz w:val="24"/>
          <w:szCs w:val="24"/>
        </w:rPr>
        <w:t xml:space="preserve"> in</w:t>
      </w:r>
      <w:r w:rsidR="00842A2F">
        <w:rPr>
          <w:sz w:val="24"/>
          <w:szCs w:val="24"/>
        </w:rPr>
        <w:t xml:space="preserve"> the diagnosis and treatment of conditions</w:t>
      </w:r>
      <w:r w:rsidR="001E2279">
        <w:rPr>
          <w:sz w:val="24"/>
          <w:szCs w:val="24"/>
        </w:rPr>
        <w:t xml:space="preserve"> seen in an aging population</w:t>
      </w:r>
      <w:r w:rsidR="00842A2F">
        <w:rPr>
          <w:sz w:val="24"/>
          <w:szCs w:val="24"/>
        </w:rPr>
        <w:t>.</w:t>
      </w:r>
      <w:r w:rsidR="006A2997">
        <w:rPr>
          <w:sz w:val="24"/>
          <w:szCs w:val="24"/>
        </w:rPr>
        <w:t xml:space="preserve"> This is discussed further in Factor 1b. </w:t>
      </w:r>
    </w:p>
    <w:p w14:paraId="49E31159" w14:textId="76A2D339" w:rsidR="00813C36" w:rsidRDefault="00813C36" w:rsidP="00813C36">
      <w:pPr>
        <w:pStyle w:val="ListParagraph"/>
        <w:ind w:left="1080"/>
        <w:rPr>
          <w:b/>
          <w:bCs/>
          <w:sz w:val="24"/>
          <w:szCs w:val="24"/>
        </w:rPr>
      </w:pPr>
    </w:p>
    <w:p w14:paraId="1EAEC3AA" w14:textId="1FB8837C" w:rsidR="001D1C8A" w:rsidRPr="00B928D8" w:rsidRDefault="001D1C8A" w:rsidP="0052171F">
      <w:pPr>
        <w:pStyle w:val="ListParagraph"/>
        <w:numPr>
          <w:ilvl w:val="0"/>
          <w:numId w:val="20"/>
        </w:numPr>
        <w:rPr>
          <w:b/>
          <w:bCs/>
          <w:sz w:val="24"/>
          <w:szCs w:val="24"/>
        </w:rPr>
      </w:pPr>
      <w:r w:rsidRPr="00B928D8">
        <w:rPr>
          <w:b/>
          <w:bCs/>
          <w:sz w:val="24"/>
          <w:szCs w:val="24"/>
        </w:rPr>
        <w:t xml:space="preserve">Population </w:t>
      </w:r>
      <w:r w:rsidR="004E5357">
        <w:rPr>
          <w:b/>
          <w:bCs/>
          <w:sz w:val="24"/>
          <w:szCs w:val="24"/>
        </w:rPr>
        <w:t xml:space="preserve">and Demand </w:t>
      </w:r>
      <w:r w:rsidRPr="00B928D8">
        <w:rPr>
          <w:b/>
          <w:bCs/>
          <w:sz w:val="24"/>
          <w:szCs w:val="24"/>
        </w:rPr>
        <w:t xml:space="preserve">Projections </w:t>
      </w:r>
    </w:p>
    <w:p w14:paraId="0CCB8A91" w14:textId="447E50FF" w:rsidR="00853D23" w:rsidRPr="00B05DF7" w:rsidRDefault="00B05DF7" w:rsidP="00B928D8">
      <w:pPr>
        <w:jc w:val="center"/>
        <w:rPr>
          <w:b/>
          <w:bCs/>
          <w:sz w:val="24"/>
          <w:szCs w:val="24"/>
        </w:rPr>
      </w:pPr>
      <w:r w:rsidRPr="00B05DF7">
        <w:rPr>
          <w:b/>
          <w:bCs/>
          <w:sz w:val="24"/>
          <w:szCs w:val="24"/>
        </w:rPr>
        <w:t>Table</w:t>
      </w:r>
      <w:r w:rsidR="00A740A7">
        <w:rPr>
          <w:b/>
          <w:bCs/>
          <w:sz w:val="24"/>
          <w:szCs w:val="24"/>
        </w:rPr>
        <w:t xml:space="preserve"> </w:t>
      </w:r>
      <w:r w:rsidR="00930EC1">
        <w:rPr>
          <w:b/>
          <w:bCs/>
          <w:sz w:val="24"/>
          <w:szCs w:val="24"/>
        </w:rPr>
        <w:t>7</w:t>
      </w:r>
      <w:r w:rsidRPr="00B05DF7">
        <w:rPr>
          <w:b/>
          <w:bCs/>
          <w:sz w:val="24"/>
          <w:szCs w:val="24"/>
        </w:rPr>
        <w:t xml:space="preserve">: </w:t>
      </w:r>
      <w:r w:rsidR="00D86AAD">
        <w:rPr>
          <w:b/>
          <w:bCs/>
          <w:sz w:val="24"/>
          <w:szCs w:val="24"/>
        </w:rPr>
        <w:t xml:space="preserve">MRI </w:t>
      </w:r>
      <w:r w:rsidRPr="00B05DF7">
        <w:rPr>
          <w:b/>
          <w:bCs/>
          <w:sz w:val="24"/>
          <w:szCs w:val="24"/>
        </w:rPr>
        <w:t>V</w:t>
      </w:r>
      <w:r w:rsidR="00853D23" w:rsidRPr="00B05DF7">
        <w:rPr>
          <w:b/>
          <w:bCs/>
          <w:sz w:val="24"/>
          <w:szCs w:val="24"/>
        </w:rPr>
        <w:t>olume Projections</w:t>
      </w:r>
    </w:p>
    <w:tbl>
      <w:tblPr>
        <w:tblStyle w:val="TableGrid"/>
        <w:tblW w:w="0" w:type="auto"/>
        <w:jc w:val="center"/>
        <w:tblLook w:val="04A0" w:firstRow="1" w:lastRow="0" w:firstColumn="1" w:lastColumn="0" w:noHBand="0" w:noVBand="1"/>
        <w:tblCaption w:val="Table 7: MRI Volume Projections"/>
        <w:tblDescription w:val=" Year 1 Year 2 Year 3 Year 4 Year 5&#10;Heywood MRI 4,999 5,213 5,358 5,575 5,751&#10;"/>
      </w:tblPr>
      <w:tblGrid>
        <w:gridCol w:w="1480"/>
        <w:gridCol w:w="790"/>
        <w:gridCol w:w="790"/>
        <w:gridCol w:w="790"/>
        <w:gridCol w:w="790"/>
        <w:gridCol w:w="790"/>
      </w:tblGrid>
      <w:tr w:rsidR="004A7F8D" w14:paraId="2B257F0F" w14:textId="77777777" w:rsidTr="00B52786">
        <w:trPr>
          <w:tblHeader/>
          <w:jc w:val="center"/>
        </w:trPr>
        <w:tc>
          <w:tcPr>
            <w:tcW w:w="0" w:type="auto"/>
            <w:shd w:val="clear" w:color="auto" w:fill="F2F2F2" w:themeFill="background1" w:themeFillShade="F2"/>
          </w:tcPr>
          <w:p w14:paraId="1E4C945A" w14:textId="77777777" w:rsidR="004A7F8D" w:rsidRPr="00853D23" w:rsidRDefault="004A7F8D" w:rsidP="00853D23">
            <w:pPr>
              <w:jc w:val="center"/>
              <w:rPr>
                <w:b/>
                <w:bCs/>
              </w:rPr>
            </w:pPr>
          </w:p>
        </w:tc>
        <w:tc>
          <w:tcPr>
            <w:tcW w:w="0" w:type="auto"/>
            <w:shd w:val="clear" w:color="auto" w:fill="F2F2F2" w:themeFill="background1" w:themeFillShade="F2"/>
          </w:tcPr>
          <w:p w14:paraId="03C473B0" w14:textId="104410FE" w:rsidR="004A7F8D" w:rsidRPr="00853D23" w:rsidRDefault="004A7F8D" w:rsidP="00853D23">
            <w:pPr>
              <w:jc w:val="center"/>
              <w:rPr>
                <w:b/>
                <w:bCs/>
              </w:rPr>
            </w:pPr>
            <w:r w:rsidRPr="00853D23">
              <w:rPr>
                <w:b/>
                <w:bCs/>
              </w:rPr>
              <w:t>Year 1</w:t>
            </w:r>
          </w:p>
        </w:tc>
        <w:tc>
          <w:tcPr>
            <w:tcW w:w="0" w:type="auto"/>
            <w:shd w:val="clear" w:color="auto" w:fill="F2F2F2" w:themeFill="background1" w:themeFillShade="F2"/>
          </w:tcPr>
          <w:p w14:paraId="2296EC40" w14:textId="70764DD2" w:rsidR="004A7F8D" w:rsidRPr="00853D23" w:rsidRDefault="004A7F8D" w:rsidP="00853D23">
            <w:pPr>
              <w:jc w:val="center"/>
              <w:rPr>
                <w:b/>
                <w:bCs/>
              </w:rPr>
            </w:pPr>
            <w:r w:rsidRPr="00853D23">
              <w:rPr>
                <w:b/>
                <w:bCs/>
              </w:rPr>
              <w:t>Year 2</w:t>
            </w:r>
          </w:p>
        </w:tc>
        <w:tc>
          <w:tcPr>
            <w:tcW w:w="0" w:type="auto"/>
            <w:shd w:val="clear" w:color="auto" w:fill="F2F2F2" w:themeFill="background1" w:themeFillShade="F2"/>
          </w:tcPr>
          <w:p w14:paraId="12F20767" w14:textId="508414EB" w:rsidR="004A7F8D" w:rsidRPr="00853D23" w:rsidRDefault="004A7F8D" w:rsidP="00853D23">
            <w:pPr>
              <w:jc w:val="center"/>
              <w:rPr>
                <w:b/>
                <w:bCs/>
              </w:rPr>
            </w:pPr>
            <w:r w:rsidRPr="00853D23">
              <w:rPr>
                <w:b/>
                <w:bCs/>
              </w:rPr>
              <w:t>Year 3</w:t>
            </w:r>
          </w:p>
        </w:tc>
        <w:tc>
          <w:tcPr>
            <w:tcW w:w="0" w:type="auto"/>
            <w:shd w:val="clear" w:color="auto" w:fill="F2F2F2" w:themeFill="background1" w:themeFillShade="F2"/>
          </w:tcPr>
          <w:p w14:paraId="6A12BE13" w14:textId="099B0530" w:rsidR="004A7F8D" w:rsidRPr="00853D23" w:rsidRDefault="004A7F8D" w:rsidP="00853D23">
            <w:pPr>
              <w:jc w:val="center"/>
              <w:rPr>
                <w:b/>
                <w:bCs/>
              </w:rPr>
            </w:pPr>
            <w:r w:rsidRPr="00853D23">
              <w:rPr>
                <w:b/>
                <w:bCs/>
              </w:rPr>
              <w:t>Year 4</w:t>
            </w:r>
          </w:p>
        </w:tc>
        <w:tc>
          <w:tcPr>
            <w:tcW w:w="0" w:type="auto"/>
            <w:shd w:val="clear" w:color="auto" w:fill="F2F2F2" w:themeFill="background1" w:themeFillShade="F2"/>
          </w:tcPr>
          <w:p w14:paraId="6C12DFED" w14:textId="01DB875B" w:rsidR="004A7F8D" w:rsidRPr="00853D23" w:rsidRDefault="004A7F8D" w:rsidP="00853D23">
            <w:pPr>
              <w:jc w:val="center"/>
              <w:rPr>
                <w:b/>
                <w:bCs/>
              </w:rPr>
            </w:pPr>
            <w:r w:rsidRPr="00853D23">
              <w:rPr>
                <w:b/>
                <w:bCs/>
              </w:rPr>
              <w:t>Year 5</w:t>
            </w:r>
          </w:p>
        </w:tc>
      </w:tr>
      <w:tr w:rsidR="004A7F8D" w14:paraId="5B2EEA92" w14:textId="77777777" w:rsidTr="00B050A3">
        <w:trPr>
          <w:jc w:val="center"/>
        </w:trPr>
        <w:tc>
          <w:tcPr>
            <w:tcW w:w="0" w:type="auto"/>
          </w:tcPr>
          <w:p w14:paraId="177C9DC0" w14:textId="76EECAE8" w:rsidR="004A7F8D" w:rsidRPr="00521D6E" w:rsidRDefault="004A7F8D" w:rsidP="00853D23">
            <w:pPr>
              <w:jc w:val="center"/>
            </w:pPr>
            <w:r w:rsidRPr="00521D6E">
              <w:t>Heywood MRI</w:t>
            </w:r>
          </w:p>
        </w:tc>
        <w:tc>
          <w:tcPr>
            <w:tcW w:w="0" w:type="auto"/>
          </w:tcPr>
          <w:p w14:paraId="588834F2" w14:textId="7AE3FD62" w:rsidR="004A7F8D" w:rsidRDefault="004A7F8D" w:rsidP="00853D23">
            <w:pPr>
              <w:jc w:val="center"/>
            </w:pPr>
            <w:r>
              <w:t>4,999</w:t>
            </w:r>
          </w:p>
        </w:tc>
        <w:tc>
          <w:tcPr>
            <w:tcW w:w="0" w:type="auto"/>
          </w:tcPr>
          <w:p w14:paraId="7C64013A" w14:textId="7389F196" w:rsidR="004A7F8D" w:rsidRDefault="004A7F8D" w:rsidP="00853D23">
            <w:pPr>
              <w:jc w:val="center"/>
            </w:pPr>
            <w:r>
              <w:t>5,213</w:t>
            </w:r>
          </w:p>
        </w:tc>
        <w:tc>
          <w:tcPr>
            <w:tcW w:w="0" w:type="auto"/>
          </w:tcPr>
          <w:p w14:paraId="238FFBB1" w14:textId="7C90DFD8" w:rsidR="004A7F8D" w:rsidRDefault="004A7F8D" w:rsidP="00853D23">
            <w:pPr>
              <w:jc w:val="center"/>
            </w:pPr>
            <w:r>
              <w:t>5,358</w:t>
            </w:r>
          </w:p>
        </w:tc>
        <w:tc>
          <w:tcPr>
            <w:tcW w:w="0" w:type="auto"/>
          </w:tcPr>
          <w:p w14:paraId="65B7853F" w14:textId="26D22E1E" w:rsidR="004A7F8D" w:rsidRDefault="004A7F8D" w:rsidP="00853D23">
            <w:pPr>
              <w:jc w:val="center"/>
            </w:pPr>
            <w:r>
              <w:t>5,575</w:t>
            </w:r>
          </w:p>
        </w:tc>
        <w:tc>
          <w:tcPr>
            <w:tcW w:w="0" w:type="auto"/>
          </w:tcPr>
          <w:p w14:paraId="4C7FBAD2" w14:textId="0B349F59" w:rsidR="004A7F8D" w:rsidRDefault="004A7F8D" w:rsidP="00853D23">
            <w:pPr>
              <w:jc w:val="center"/>
            </w:pPr>
            <w:r>
              <w:t>5,751</w:t>
            </w:r>
          </w:p>
        </w:tc>
      </w:tr>
    </w:tbl>
    <w:p w14:paraId="13611CBA" w14:textId="61CE6747" w:rsidR="00853D23" w:rsidRDefault="00853D23"/>
    <w:p w14:paraId="576CEA55" w14:textId="3CF6292B" w:rsidR="00D86AAD" w:rsidRPr="00B05DF7" w:rsidRDefault="00D86AAD" w:rsidP="00D86AAD">
      <w:pPr>
        <w:jc w:val="center"/>
        <w:rPr>
          <w:b/>
          <w:bCs/>
          <w:sz w:val="24"/>
          <w:szCs w:val="24"/>
        </w:rPr>
      </w:pPr>
      <w:r w:rsidRPr="00B05DF7">
        <w:rPr>
          <w:b/>
          <w:bCs/>
          <w:sz w:val="24"/>
          <w:szCs w:val="24"/>
        </w:rPr>
        <w:t>Table</w:t>
      </w:r>
      <w:r>
        <w:rPr>
          <w:b/>
          <w:bCs/>
          <w:sz w:val="24"/>
          <w:szCs w:val="24"/>
        </w:rPr>
        <w:t xml:space="preserve"> </w:t>
      </w:r>
      <w:r w:rsidR="00930EC1">
        <w:rPr>
          <w:b/>
          <w:bCs/>
          <w:sz w:val="24"/>
          <w:szCs w:val="24"/>
        </w:rPr>
        <w:t>8</w:t>
      </w:r>
      <w:r w:rsidRPr="00B05DF7">
        <w:rPr>
          <w:b/>
          <w:bCs/>
          <w:sz w:val="24"/>
          <w:szCs w:val="24"/>
        </w:rPr>
        <w:t xml:space="preserve">: </w:t>
      </w:r>
      <w:r>
        <w:rPr>
          <w:b/>
          <w:bCs/>
          <w:sz w:val="24"/>
          <w:szCs w:val="24"/>
        </w:rPr>
        <w:t xml:space="preserve">PET-CT </w:t>
      </w:r>
      <w:r w:rsidRPr="00B05DF7">
        <w:rPr>
          <w:b/>
          <w:bCs/>
          <w:sz w:val="24"/>
          <w:szCs w:val="24"/>
        </w:rPr>
        <w:t>Volume Projections</w:t>
      </w:r>
    </w:p>
    <w:tbl>
      <w:tblPr>
        <w:tblStyle w:val="TableGrid"/>
        <w:tblW w:w="0" w:type="auto"/>
        <w:jc w:val="center"/>
        <w:tblLook w:val="04A0" w:firstRow="1" w:lastRow="0" w:firstColumn="1" w:lastColumn="0" w:noHBand="0" w:noVBand="1"/>
        <w:tblCaption w:val="Table 8: PET-CT Volume Projections"/>
        <w:tblDescription w:val=" Year 1 Year 2 Year 3 Year 4 Year 5&#10;Athol Mobile PET-CT 222 249 278 312 343&#10;"/>
      </w:tblPr>
      <w:tblGrid>
        <w:gridCol w:w="2049"/>
        <w:gridCol w:w="790"/>
        <w:gridCol w:w="790"/>
        <w:gridCol w:w="790"/>
        <w:gridCol w:w="790"/>
        <w:gridCol w:w="790"/>
      </w:tblGrid>
      <w:tr w:rsidR="004246C7" w14:paraId="02200018" w14:textId="77777777" w:rsidTr="00B52786">
        <w:trPr>
          <w:tblHeader/>
          <w:jc w:val="center"/>
        </w:trPr>
        <w:tc>
          <w:tcPr>
            <w:tcW w:w="0" w:type="auto"/>
            <w:shd w:val="clear" w:color="auto" w:fill="F2F2F2" w:themeFill="background1" w:themeFillShade="F2"/>
          </w:tcPr>
          <w:p w14:paraId="08669520" w14:textId="77777777" w:rsidR="00D86AAD" w:rsidRPr="00853D23" w:rsidRDefault="00D86AAD" w:rsidP="00653E08">
            <w:pPr>
              <w:jc w:val="center"/>
              <w:rPr>
                <w:b/>
                <w:bCs/>
              </w:rPr>
            </w:pPr>
          </w:p>
        </w:tc>
        <w:tc>
          <w:tcPr>
            <w:tcW w:w="0" w:type="auto"/>
            <w:shd w:val="clear" w:color="auto" w:fill="F2F2F2" w:themeFill="background1" w:themeFillShade="F2"/>
          </w:tcPr>
          <w:p w14:paraId="6273A2B9" w14:textId="77777777" w:rsidR="00D86AAD" w:rsidRPr="00853D23" w:rsidRDefault="00D86AAD" w:rsidP="00653E08">
            <w:pPr>
              <w:jc w:val="center"/>
              <w:rPr>
                <w:b/>
                <w:bCs/>
              </w:rPr>
            </w:pPr>
            <w:r w:rsidRPr="00853D23">
              <w:rPr>
                <w:b/>
                <w:bCs/>
              </w:rPr>
              <w:t>Year 1</w:t>
            </w:r>
          </w:p>
        </w:tc>
        <w:tc>
          <w:tcPr>
            <w:tcW w:w="0" w:type="auto"/>
            <w:shd w:val="clear" w:color="auto" w:fill="F2F2F2" w:themeFill="background1" w:themeFillShade="F2"/>
          </w:tcPr>
          <w:p w14:paraId="09367298" w14:textId="77777777" w:rsidR="00D86AAD" w:rsidRPr="00853D23" w:rsidRDefault="00D86AAD" w:rsidP="00653E08">
            <w:pPr>
              <w:jc w:val="center"/>
              <w:rPr>
                <w:b/>
                <w:bCs/>
              </w:rPr>
            </w:pPr>
            <w:r w:rsidRPr="00853D23">
              <w:rPr>
                <w:b/>
                <w:bCs/>
              </w:rPr>
              <w:t>Year 2</w:t>
            </w:r>
          </w:p>
        </w:tc>
        <w:tc>
          <w:tcPr>
            <w:tcW w:w="0" w:type="auto"/>
            <w:shd w:val="clear" w:color="auto" w:fill="F2F2F2" w:themeFill="background1" w:themeFillShade="F2"/>
          </w:tcPr>
          <w:p w14:paraId="08D6ED77" w14:textId="77777777" w:rsidR="00D86AAD" w:rsidRPr="00853D23" w:rsidRDefault="00D86AAD" w:rsidP="00653E08">
            <w:pPr>
              <w:jc w:val="center"/>
              <w:rPr>
                <w:b/>
                <w:bCs/>
              </w:rPr>
            </w:pPr>
            <w:r w:rsidRPr="00853D23">
              <w:rPr>
                <w:b/>
                <w:bCs/>
              </w:rPr>
              <w:t>Year 3</w:t>
            </w:r>
          </w:p>
        </w:tc>
        <w:tc>
          <w:tcPr>
            <w:tcW w:w="0" w:type="auto"/>
            <w:shd w:val="clear" w:color="auto" w:fill="F2F2F2" w:themeFill="background1" w:themeFillShade="F2"/>
          </w:tcPr>
          <w:p w14:paraId="3860A335" w14:textId="77777777" w:rsidR="00D86AAD" w:rsidRPr="00853D23" w:rsidRDefault="00D86AAD" w:rsidP="00653E08">
            <w:pPr>
              <w:jc w:val="center"/>
              <w:rPr>
                <w:b/>
                <w:bCs/>
              </w:rPr>
            </w:pPr>
            <w:r w:rsidRPr="00853D23">
              <w:rPr>
                <w:b/>
                <w:bCs/>
              </w:rPr>
              <w:t>Year 4</w:t>
            </w:r>
          </w:p>
        </w:tc>
        <w:tc>
          <w:tcPr>
            <w:tcW w:w="0" w:type="auto"/>
            <w:shd w:val="clear" w:color="auto" w:fill="F2F2F2" w:themeFill="background1" w:themeFillShade="F2"/>
          </w:tcPr>
          <w:p w14:paraId="6E61EBD6" w14:textId="77777777" w:rsidR="00D86AAD" w:rsidRPr="00853D23" w:rsidRDefault="00D86AAD" w:rsidP="00653E08">
            <w:pPr>
              <w:jc w:val="center"/>
              <w:rPr>
                <w:b/>
                <w:bCs/>
              </w:rPr>
            </w:pPr>
            <w:r w:rsidRPr="00853D23">
              <w:rPr>
                <w:b/>
                <w:bCs/>
              </w:rPr>
              <w:t>Year 5</w:t>
            </w:r>
          </w:p>
        </w:tc>
      </w:tr>
      <w:tr w:rsidR="004246C7" w14:paraId="4C439FBB" w14:textId="77777777" w:rsidTr="00653E08">
        <w:trPr>
          <w:jc w:val="center"/>
        </w:trPr>
        <w:tc>
          <w:tcPr>
            <w:tcW w:w="0" w:type="auto"/>
          </w:tcPr>
          <w:p w14:paraId="7DE7AE86" w14:textId="77777777" w:rsidR="00D86AAD" w:rsidRPr="00853D23" w:rsidRDefault="00D86AAD" w:rsidP="00653E08">
            <w:pPr>
              <w:jc w:val="center"/>
              <w:rPr>
                <w:b/>
                <w:bCs/>
              </w:rPr>
            </w:pPr>
            <w:r w:rsidRPr="00B72646">
              <w:t>Athol Mobile PET-CT</w:t>
            </w:r>
          </w:p>
        </w:tc>
        <w:tc>
          <w:tcPr>
            <w:tcW w:w="0" w:type="auto"/>
          </w:tcPr>
          <w:p w14:paraId="3C1F4065" w14:textId="77777777" w:rsidR="00D86AAD" w:rsidRDefault="00D86AAD" w:rsidP="00653E08">
            <w:pPr>
              <w:jc w:val="center"/>
            </w:pPr>
            <w:r w:rsidRPr="00B72646">
              <w:t>222</w:t>
            </w:r>
          </w:p>
        </w:tc>
        <w:tc>
          <w:tcPr>
            <w:tcW w:w="0" w:type="auto"/>
          </w:tcPr>
          <w:p w14:paraId="15F623F5" w14:textId="77777777" w:rsidR="00D86AAD" w:rsidRDefault="00D86AAD" w:rsidP="00653E08">
            <w:pPr>
              <w:jc w:val="center"/>
            </w:pPr>
            <w:r w:rsidRPr="00B72646">
              <w:t>249</w:t>
            </w:r>
          </w:p>
        </w:tc>
        <w:tc>
          <w:tcPr>
            <w:tcW w:w="0" w:type="auto"/>
          </w:tcPr>
          <w:p w14:paraId="1ECE2980" w14:textId="77777777" w:rsidR="00D86AAD" w:rsidRDefault="00D86AAD" w:rsidP="00653E08">
            <w:pPr>
              <w:jc w:val="center"/>
            </w:pPr>
            <w:r w:rsidRPr="00B72646">
              <w:t>278</w:t>
            </w:r>
          </w:p>
        </w:tc>
        <w:tc>
          <w:tcPr>
            <w:tcW w:w="0" w:type="auto"/>
          </w:tcPr>
          <w:p w14:paraId="661ACF84" w14:textId="77777777" w:rsidR="00D86AAD" w:rsidRDefault="00D86AAD" w:rsidP="00653E08">
            <w:pPr>
              <w:jc w:val="center"/>
            </w:pPr>
            <w:r w:rsidRPr="00B72646">
              <w:t>312</w:t>
            </w:r>
          </w:p>
        </w:tc>
        <w:tc>
          <w:tcPr>
            <w:tcW w:w="0" w:type="auto"/>
          </w:tcPr>
          <w:p w14:paraId="2D97E7C0" w14:textId="77777777" w:rsidR="00D86AAD" w:rsidRDefault="00D86AAD" w:rsidP="00653E08">
            <w:pPr>
              <w:jc w:val="center"/>
            </w:pPr>
            <w:r w:rsidRPr="00B72646">
              <w:t>343</w:t>
            </w:r>
          </w:p>
        </w:tc>
      </w:tr>
    </w:tbl>
    <w:p w14:paraId="465CF25F" w14:textId="77777777" w:rsidR="00D86AAD" w:rsidRDefault="00D86AAD"/>
    <w:p w14:paraId="22DFC708" w14:textId="30A22EB1" w:rsidR="0006601B" w:rsidRDefault="00521D6E" w:rsidP="00550671">
      <w:pPr>
        <w:spacing w:line="240" w:lineRule="auto"/>
        <w:ind w:left="720"/>
        <w:rPr>
          <w:sz w:val="24"/>
          <w:szCs w:val="24"/>
        </w:rPr>
      </w:pPr>
      <w:r w:rsidRPr="00134B3A">
        <w:rPr>
          <w:sz w:val="24"/>
          <w:szCs w:val="24"/>
        </w:rPr>
        <w:t xml:space="preserve">The Applicant provided </w:t>
      </w:r>
      <w:r w:rsidR="00856D8F">
        <w:rPr>
          <w:sz w:val="24"/>
          <w:szCs w:val="24"/>
        </w:rPr>
        <w:t xml:space="preserve">MRI and PET-CT </w:t>
      </w:r>
      <w:r w:rsidRPr="00134B3A">
        <w:rPr>
          <w:sz w:val="24"/>
          <w:szCs w:val="24"/>
        </w:rPr>
        <w:t>volume projections for five years</w:t>
      </w:r>
      <w:r w:rsidR="003B48BB">
        <w:rPr>
          <w:sz w:val="24"/>
          <w:szCs w:val="24"/>
        </w:rPr>
        <w:t xml:space="preserve"> as is shown in Table</w:t>
      </w:r>
      <w:r w:rsidR="00071A17">
        <w:rPr>
          <w:sz w:val="24"/>
          <w:szCs w:val="24"/>
        </w:rPr>
        <w:t>s</w:t>
      </w:r>
      <w:r w:rsidR="003B48BB">
        <w:rPr>
          <w:sz w:val="24"/>
          <w:szCs w:val="24"/>
        </w:rPr>
        <w:t xml:space="preserve"> </w:t>
      </w:r>
      <w:r w:rsidR="00930EC1">
        <w:rPr>
          <w:sz w:val="24"/>
          <w:szCs w:val="24"/>
        </w:rPr>
        <w:t>7</w:t>
      </w:r>
      <w:r w:rsidR="003B48BB">
        <w:rPr>
          <w:sz w:val="24"/>
          <w:szCs w:val="24"/>
        </w:rPr>
        <w:t xml:space="preserve"> </w:t>
      </w:r>
      <w:r w:rsidR="00071A17">
        <w:rPr>
          <w:sz w:val="24"/>
          <w:szCs w:val="24"/>
        </w:rPr>
        <w:t xml:space="preserve">and </w:t>
      </w:r>
      <w:r w:rsidR="00930EC1">
        <w:rPr>
          <w:sz w:val="24"/>
          <w:szCs w:val="24"/>
        </w:rPr>
        <w:t>8</w:t>
      </w:r>
      <w:r w:rsidR="00071A17">
        <w:rPr>
          <w:sz w:val="24"/>
          <w:szCs w:val="24"/>
        </w:rPr>
        <w:t xml:space="preserve"> </w:t>
      </w:r>
      <w:r w:rsidR="003B48BB">
        <w:rPr>
          <w:sz w:val="24"/>
          <w:szCs w:val="24"/>
        </w:rPr>
        <w:t>above. The first year of operation is 2022.</w:t>
      </w:r>
      <w:r w:rsidR="00647CA3" w:rsidRPr="00134B3A">
        <w:rPr>
          <w:sz w:val="24"/>
          <w:szCs w:val="24"/>
        </w:rPr>
        <w:t xml:space="preserve"> The Applicant states the projections are based on historical utilization of MRI and PET-CT services</w:t>
      </w:r>
      <w:r w:rsidR="00422911" w:rsidRPr="00134B3A">
        <w:rPr>
          <w:sz w:val="24"/>
          <w:szCs w:val="24"/>
        </w:rPr>
        <w:t>, market forecasting data,</w:t>
      </w:r>
      <w:r w:rsidR="00647CA3" w:rsidRPr="00134B3A">
        <w:rPr>
          <w:sz w:val="24"/>
          <w:szCs w:val="24"/>
        </w:rPr>
        <w:t xml:space="preserve"> </w:t>
      </w:r>
      <w:r w:rsidR="00422911" w:rsidRPr="00134B3A">
        <w:rPr>
          <w:sz w:val="24"/>
          <w:szCs w:val="24"/>
        </w:rPr>
        <w:t xml:space="preserve">and </w:t>
      </w:r>
      <w:r w:rsidR="00647CA3" w:rsidRPr="00134B3A">
        <w:rPr>
          <w:sz w:val="24"/>
          <w:szCs w:val="24"/>
        </w:rPr>
        <w:t>an increasing aging population that will</w:t>
      </w:r>
      <w:r w:rsidR="00043B29" w:rsidRPr="00134B3A">
        <w:rPr>
          <w:sz w:val="24"/>
          <w:szCs w:val="24"/>
        </w:rPr>
        <w:t xml:space="preserve"> contribute to</w:t>
      </w:r>
      <w:r w:rsidR="00647CA3" w:rsidRPr="00134B3A">
        <w:rPr>
          <w:sz w:val="24"/>
          <w:szCs w:val="24"/>
        </w:rPr>
        <w:t xml:space="preserve"> increas</w:t>
      </w:r>
      <w:r w:rsidR="00043B29" w:rsidRPr="00134B3A">
        <w:rPr>
          <w:sz w:val="24"/>
          <w:szCs w:val="24"/>
        </w:rPr>
        <w:t>ing</w:t>
      </w:r>
      <w:r w:rsidR="00647CA3" w:rsidRPr="00134B3A">
        <w:rPr>
          <w:sz w:val="24"/>
          <w:szCs w:val="24"/>
        </w:rPr>
        <w:t xml:space="preserve"> demand for </w:t>
      </w:r>
      <w:r w:rsidR="00856D8F">
        <w:rPr>
          <w:sz w:val="24"/>
          <w:szCs w:val="24"/>
        </w:rPr>
        <w:t>MRI and PET-CT</w:t>
      </w:r>
      <w:r w:rsidR="00647CA3" w:rsidRPr="00134B3A">
        <w:rPr>
          <w:sz w:val="24"/>
          <w:szCs w:val="24"/>
        </w:rPr>
        <w:t xml:space="preserve"> </w:t>
      </w:r>
      <w:r w:rsidR="00412FEB" w:rsidRPr="00134B3A">
        <w:rPr>
          <w:sz w:val="24"/>
          <w:szCs w:val="24"/>
        </w:rPr>
        <w:t xml:space="preserve">imaging </w:t>
      </w:r>
      <w:r w:rsidR="00647CA3" w:rsidRPr="00134B3A">
        <w:rPr>
          <w:sz w:val="24"/>
          <w:szCs w:val="24"/>
        </w:rPr>
        <w:t>services.</w:t>
      </w:r>
      <w:r w:rsidRPr="00134B3A">
        <w:rPr>
          <w:sz w:val="24"/>
          <w:szCs w:val="24"/>
        </w:rPr>
        <w:t xml:space="preserve"> </w:t>
      </w:r>
      <w:r w:rsidR="00392BCA" w:rsidRPr="00134B3A">
        <w:rPr>
          <w:sz w:val="24"/>
          <w:szCs w:val="24"/>
        </w:rPr>
        <w:t xml:space="preserve">The Applicant notes that </w:t>
      </w:r>
      <w:proofErr w:type="gramStart"/>
      <w:r w:rsidR="00392BCA" w:rsidRPr="00134B3A">
        <w:rPr>
          <w:sz w:val="24"/>
          <w:szCs w:val="24"/>
        </w:rPr>
        <w:t>the</w:t>
      </w:r>
      <w:r w:rsidR="00856D8F">
        <w:rPr>
          <w:sz w:val="24"/>
          <w:szCs w:val="24"/>
        </w:rPr>
        <w:t xml:space="preserve"> majority of</w:t>
      </w:r>
      <w:proofErr w:type="gramEnd"/>
      <w:r w:rsidR="00856D8F">
        <w:rPr>
          <w:sz w:val="24"/>
          <w:szCs w:val="24"/>
        </w:rPr>
        <w:t xml:space="preserve"> the</w:t>
      </w:r>
      <w:r w:rsidR="00392BCA" w:rsidRPr="00134B3A">
        <w:rPr>
          <w:sz w:val="24"/>
          <w:szCs w:val="24"/>
        </w:rPr>
        <w:t xml:space="preserve"> PET-CT patient population </w:t>
      </w:r>
      <w:r w:rsidR="00FF31D8">
        <w:rPr>
          <w:sz w:val="24"/>
          <w:szCs w:val="24"/>
        </w:rPr>
        <w:t xml:space="preserve">is </w:t>
      </w:r>
      <w:r w:rsidR="00856D8F">
        <w:rPr>
          <w:sz w:val="24"/>
          <w:szCs w:val="24"/>
        </w:rPr>
        <w:t>aged 60 and older</w:t>
      </w:r>
      <w:r w:rsidR="00392BCA" w:rsidRPr="00134B3A">
        <w:rPr>
          <w:sz w:val="24"/>
          <w:szCs w:val="24"/>
        </w:rPr>
        <w:t xml:space="preserve"> and increasing (</w:t>
      </w:r>
      <w:r w:rsidR="004E5357">
        <w:rPr>
          <w:sz w:val="24"/>
          <w:szCs w:val="24"/>
        </w:rPr>
        <w:t xml:space="preserve">up </w:t>
      </w:r>
      <w:r w:rsidR="00046C7B">
        <w:rPr>
          <w:sz w:val="24"/>
          <w:szCs w:val="24"/>
        </w:rPr>
        <w:t>4.4</w:t>
      </w:r>
      <w:r w:rsidR="00392BCA" w:rsidRPr="00134B3A">
        <w:rPr>
          <w:sz w:val="24"/>
          <w:szCs w:val="24"/>
        </w:rPr>
        <w:t>% between 2018 and 2020), and that PET-CT services are beneficial to the diagnosis, evaluation and treatment monitoring of certain conditions, the risk and prevalence of which increase with age, including brain/neurologic cancer and cardiovascular conditions.</w:t>
      </w:r>
      <w:r w:rsidR="00A740A7">
        <w:rPr>
          <w:sz w:val="24"/>
          <w:szCs w:val="24"/>
        </w:rPr>
        <w:t xml:space="preserve"> The </w:t>
      </w:r>
      <w:r w:rsidR="00A740A7">
        <w:rPr>
          <w:sz w:val="24"/>
          <w:szCs w:val="24"/>
        </w:rPr>
        <w:lastRenderedPageBreak/>
        <w:t>projections show a 1</w:t>
      </w:r>
      <w:r w:rsidR="00D1219D">
        <w:rPr>
          <w:sz w:val="24"/>
          <w:szCs w:val="24"/>
        </w:rPr>
        <w:t>5</w:t>
      </w:r>
      <w:r w:rsidR="00A740A7">
        <w:rPr>
          <w:sz w:val="24"/>
          <w:szCs w:val="24"/>
        </w:rPr>
        <w:t>% (</w:t>
      </w:r>
      <w:r w:rsidR="00D1219D">
        <w:rPr>
          <w:sz w:val="24"/>
          <w:szCs w:val="24"/>
        </w:rPr>
        <w:t>752</w:t>
      </w:r>
      <w:r w:rsidR="00A740A7">
        <w:rPr>
          <w:sz w:val="24"/>
          <w:szCs w:val="24"/>
        </w:rPr>
        <w:t xml:space="preserve"> scans) increase in MRI volume over the five-year period and a 5</w:t>
      </w:r>
      <w:r w:rsidR="00B27E26">
        <w:rPr>
          <w:sz w:val="24"/>
          <w:szCs w:val="24"/>
        </w:rPr>
        <w:t>4.5</w:t>
      </w:r>
      <w:r w:rsidR="00A740A7">
        <w:rPr>
          <w:sz w:val="24"/>
          <w:szCs w:val="24"/>
        </w:rPr>
        <w:t xml:space="preserve">% (121 scans) increase in PET-CT volume over this same period. </w:t>
      </w:r>
      <w:r w:rsidR="00392BCA" w:rsidRPr="00134B3A">
        <w:rPr>
          <w:sz w:val="24"/>
          <w:szCs w:val="24"/>
        </w:rPr>
        <w:t xml:space="preserve"> </w:t>
      </w:r>
    </w:p>
    <w:p w14:paraId="3EEDF15E" w14:textId="540CE069" w:rsidR="003E1CDA" w:rsidRPr="009D16FA" w:rsidRDefault="003E1CDA">
      <w:pPr>
        <w:rPr>
          <w:b/>
          <w:bCs/>
          <w:i/>
          <w:iCs/>
          <w:sz w:val="24"/>
          <w:szCs w:val="24"/>
        </w:rPr>
      </w:pPr>
      <w:r w:rsidRPr="009D16FA">
        <w:rPr>
          <w:b/>
          <w:bCs/>
          <w:i/>
          <w:iCs/>
          <w:sz w:val="24"/>
          <w:szCs w:val="24"/>
        </w:rPr>
        <w:t>Analysis</w:t>
      </w:r>
    </w:p>
    <w:p w14:paraId="005A463D" w14:textId="46830EDB" w:rsidR="007774EA" w:rsidRDefault="003C243E" w:rsidP="002C29FF">
      <w:pPr>
        <w:spacing w:after="0" w:line="240" w:lineRule="auto"/>
        <w:rPr>
          <w:sz w:val="24"/>
          <w:szCs w:val="24"/>
        </w:rPr>
      </w:pPr>
      <w:r w:rsidRPr="002C29FF">
        <w:rPr>
          <w:sz w:val="24"/>
          <w:szCs w:val="24"/>
        </w:rPr>
        <w:t xml:space="preserve">Staff concurs that the Proposed Project will support </w:t>
      </w:r>
      <w:r w:rsidR="00614EC5">
        <w:rPr>
          <w:sz w:val="24"/>
          <w:szCs w:val="24"/>
        </w:rPr>
        <w:t>ongoing</w:t>
      </w:r>
      <w:r w:rsidR="00614EC5" w:rsidRPr="002C29FF">
        <w:rPr>
          <w:sz w:val="24"/>
          <w:szCs w:val="24"/>
        </w:rPr>
        <w:t xml:space="preserve"> </w:t>
      </w:r>
      <w:r w:rsidRPr="002C29FF">
        <w:rPr>
          <w:sz w:val="24"/>
          <w:szCs w:val="24"/>
        </w:rPr>
        <w:t xml:space="preserve">access to MRI and </w:t>
      </w:r>
      <w:r w:rsidR="00CE30E4">
        <w:rPr>
          <w:sz w:val="24"/>
          <w:szCs w:val="24"/>
        </w:rPr>
        <w:t>PET-CT</w:t>
      </w:r>
      <w:r w:rsidRPr="002C29FF">
        <w:rPr>
          <w:sz w:val="24"/>
          <w:szCs w:val="24"/>
        </w:rPr>
        <w:t xml:space="preserve"> services for the Patient Panel</w:t>
      </w:r>
      <w:r w:rsidR="007D6615">
        <w:rPr>
          <w:sz w:val="24"/>
          <w:szCs w:val="24"/>
        </w:rPr>
        <w:t xml:space="preserve"> and </w:t>
      </w:r>
      <w:r w:rsidRPr="002C29FF">
        <w:rPr>
          <w:sz w:val="24"/>
          <w:szCs w:val="24"/>
        </w:rPr>
        <w:t>th</w:t>
      </w:r>
      <w:r w:rsidR="00F51588">
        <w:rPr>
          <w:sz w:val="24"/>
          <w:szCs w:val="24"/>
        </w:rPr>
        <w:t>at</w:t>
      </w:r>
      <w:r w:rsidRPr="002C29FF">
        <w:rPr>
          <w:sz w:val="24"/>
          <w:szCs w:val="24"/>
        </w:rPr>
        <w:t xml:space="preserve"> </w:t>
      </w:r>
      <w:r w:rsidR="00F51588">
        <w:rPr>
          <w:sz w:val="24"/>
          <w:szCs w:val="24"/>
        </w:rPr>
        <w:t xml:space="preserve">the proposed </w:t>
      </w:r>
      <w:r w:rsidR="007D6615">
        <w:rPr>
          <w:sz w:val="24"/>
          <w:szCs w:val="24"/>
        </w:rPr>
        <w:t xml:space="preserve">siting </w:t>
      </w:r>
      <w:r w:rsidR="00FF31D8">
        <w:rPr>
          <w:sz w:val="24"/>
          <w:szCs w:val="24"/>
        </w:rPr>
        <w:t xml:space="preserve">of </w:t>
      </w:r>
      <w:r w:rsidR="00F51588">
        <w:rPr>
          <w:sz w:val="24"/>
          <w:szCs w:val="24"/>
        </w:rPr>
        <w:t>MRI and PET-CT</w:t>
      </w:r>
      <w:r w:rsidR="007D6615">
        <w:rPr>
          <w:sz w:val="24"/>
          <w:szCs w:val="24"/>
        </w:rPr>
        <w:t xml:space="preserve"> </w:t>
      </w:r>
      <w:r w:rsidRPr="002C29FF">
        <w:rPr>
          <w:sz w:val="24"/>
          <w:szCs w:val="24"/>
        </w:rPr>
        <w:t xml:space="preserve">imaging is designed to ensure appropriate </w:t>
      </w:r>
      <w:r w:rsidR="0080672A" w:rsidRPr="002C29FF">
        <w:rPr>
          <w:sz w:val="24"/>
          <w:szCs w:val="24"/>
        </w:rPr>
        <w:t>access</w:t>
      </w:r>
      <w:r w:rsidR="0080672A">
        <w:rPr>
          <w:sz w:val="24"/>
          <w:szCs w:val="24"/>
        </w:rPr>
        <w:t xml:space="preserve"> for</w:t>
      </w:r>
      <w:r w:rsidR="00F51588">
        <w:rPr>
          <w:sz w:val="24"/>
          <w:szCs w:val="24"/>
        </w:rPr>
        <w:t xml:space="preserve"> the Patient Panel </w:t>
      </w:r>
      <w:r w:rsidRPr="002C29FF">
        <w:rPr>
          <w:sz w:val="24"/>
          <w:szCs w:val="24"/>
        </w:rPr>
        <w:t>based on historical utilization</w:t>
      </w:r>
      <w:r w:rsidR="00F51588">
        <w:rPr>
          <w:sz w:val="24"/>
          <w:szCs w:val="24"/>
        </w:rPr>
        <w:t xml:space="preserve"> of these imaging services</w:t>
      </w:r>
      <w:r w:rsidRPr="002C29FF">
        <w:rPr>
          <w:sz w:val="24"/>
          <w:szCs w:val="24"/>
        </w:rPr>
        <w:t>.</w:t>
      </w:r>
      <w:r w:rsidR="007774EA" w:rsidRPr="002C29FF">
        <w:rPr>
          <w:sz w:val="24"/>
          <w:szCs w:val="24"/>
        </w:rPr>
        <w:t xml:space="preserve"> </w:t>
      </w:r>
      <w:r w:rsidR="00076C81">
        <w:rPr>
          <w:sz w:val="24"/>
          <w:szCs w:val="24"/>
        </w:rPr>
        <w:t>The five-year volume p</w:t>
      </w:r>
      <w:r w:rsidR="007774EA" w:rsidRPr="002C29FF">
        <w:rPr>
          <w:sz w:val="24"/>
          <w:szCs w:val="24"/>
        </w:rPr>
        <w:t xml:space="preserve">rojections show </w:t>
      </w:r>
      <w:r w:rsidR="00076C81">
        <w:rPr>
          <w:sz w:val="24"/>
          <w:szCs w:val="24"/>
        </w:rPr>
        <w:t xml:space="preserve">yearly </w:t>
      </w:r>
      <w:r w:rsidR="007774EA" w:rsidRPr="002C29FF">
        <w:rPr>
          <w:sz w:val="24"/>
          <w:szCs w:val="24"/>
        </w:rPr>
        <w:t xml:space="preserve">increases in </w:t>
      </w:r>
      <w:r w:rsidR="00076C81">
        <w:rPr>
          <w:sz w:val="24"/>
          <w:szCs w:val="24"/>
        </w:rPr>
        <w:t xml:space="preserve">MRI </w:t>
      </w:r>
      <w:r w:rsidR="007774EA" w:rsidRPr="002C29FF">
        <w:rPr>
          <w:sz w:val="24"/>
          <w:szCs w:val="24"/>
        </w:rPr>
        <w:t xml:space="preserve">volume </w:t>
      </w:r>
      <w:r w:rsidR="00F51588">
        <w:rPr>
          <w:sz w:val="24"/>
          <w:szCs w:val="24"/>
        </w:rPr>
        <w:t xml:space="preserve">ranging from 2.8% to 4.3% and </w:t>
      </w:r>
      <w:r w:rsidR="00076C81">
        <w:rPr>
          <w:sz w:val="24"/>
          <w:szCs w:val="24"/>
        </w:rPr>
        <w:t>yearly</w:t>
      </w:r>
      <w:r w:rsidR="00F51588">
        <w:rPr>
          <w:sz w:val="24"/>
          <w:szCs w:val="24"/>
        </w:rPr>
        <w:t xml:space="preserve"> increases in PET-CT volume ranging from 9.9% to 12.2%.</w:t>
      </w:r>
      <w:r w:rsidR="00F51588">
        <w:rPr>
          <w:rStyle w:val="FootnoteReference"/>
          <w:sz w:val="24"/>
          <w:szCs w:val="24"/>
        </w:rPr>
        <w:footnoteReference w:id="20"/>
      </w:r>
      <w:r w:rsidR="00F51588">
        <w:rPr>
          <w:sz w:val="24"/>
          <w:szCs w:val="24"/>
        </w:rPr>
        <w:t xml:space="preserve"> </w:t>
      </w:r>
      <w:r w:rsidR="006227A6">
        <w:rPr>
          <w:sz w:val="24"/>
          <w:szCs w:val="24"/>
        </w:rPr>
        <w:t xml:space="preserve">Through the Proposed Project, the Applicant will attain </w:t>
      </w:r>
      <w:r w:rsidR="008A2D5E">
        <w:rPr>
          <w:sz w:val="24"/>
          <w:szCs w:val="24"/>
        </w:rPr>
        <w:t>greater control over the provision of imaging services</w:t>
      </w:r>
      <w:r w:rsidR="006227A6">
        <w:rPr>
          <w:sz w:val="24"/>
          <w:szCs w:val="24"/>
        </w:rPr>
        <w:t xml:space="preserve"> at Heywood and Athol Hospitals</w:t>
      </w:r>
      <w:r w:rsidR="008A2D5E">
        <w:rPr>
          <w:sz w:val="24"/>
          <w:szCs w:val="24"/>
        </w:rPr>
        <w:t xml:space="preserve">, and </w:t>
      </w:r>
      <w:r w:rsidR="00076C81">
        <w:rPr>
          <w:sz w:val="24"/>
          <w:szCs w:val="24"/>
        </w:rPr>
        <w:t xml:space="preserve">with </w:t>
      </w:r>
      <w:r w:rsidR="006227A6">
        <w:rPr>
          <w:sz w:val="24"/>
          <w:szCs w:val="24"/>
        </w:rPr>
        <w:t>the operating model</w:t>
      </w:r>
      <w:r w:rsidR="008A2D5E">
        <w:rPr>
          <w:sz w:val="24"/>
          <w:szCs w:val="24"/>
        </w:rPr>
        <w:t xml:space="preserve"> provided by Shields, the Applicant will be able to </w:t>
      </w:r>
      <w:r w:rsidR="00D90D0E">
        <w:rPr>
          <w:sz w:val="24"/>
          <w:szCs w:val="24"/>
        </w:rPr>
        <w:t>sustain</w:t>
      </w:r>
      <w:r w:rsidR="008A2D5E">
        <w:rPr>
          <w:sz w:val="24"/>
          <w:szCs w:val="24"/>
        </w:rPr>
        <w:t xml:space="preserve"> local access to high-quality imaging services for the Patient Panel</w:t>
      </w:r>
      <w:r w:rsidR="005960A2">
        <w:rPr>
          <w:sz w:val="24"/>
          <w:szCs w:val="24"/>
        </w:rPr>
        <w:t>, and</w:t>
      </w:r>
      <w:r w:rsidR="006227A6">
        <w:rPr>
          <w:sz w:val="24"/>
          <w:szCs w:val="24"/>
        </w:rPr>
        <w:t xml:space="preserve"> support continuity of care and improve patient satisfaction. </w:t>
      </w:r>
    </w:p>
    <w:p w14:paraId="417B6443" w14:textId="35C22C57" w:rsidR="00F51588" w:rsidRDefault="00F51588" w:rsidP="002C29FF">
      <w:pPr>
        <w:spacing w:after="0" w:line="240" w:lineRule="auto"/>
        <w:rPr>
          <w:sz w:val="24"/>
          <w:szCs w:val="24"/>
        </w:rPr>
      </w:pPr>
    </w:p>
    <w:p w14:paraId="55B52D9C" w14:textId="0C437B84" w:rsidR="003E1CDA" w:rsidRPr="003E1CDA" w:rsidRDefault="007D6615" w:rsidP="003E1CDA">
      <w:pPr>
        <w:rPr>
          <w:b/>
          <w:bCs/>
          <w:sz w:val="28"/>
          <w:szCs w:val="28"/>
        </w:rPr>
      </w:pPr>
      <w:r>
        <w:rPr>
          <w:b/>
          <w:bCs/>
          <w:sz w:val="28"/>
          <w:szCs w:val="28"/>
        </w:rPr>
        <w:t>F</w:t>
      </w:r>
      <w:r w:rsidR="003E1CDA" w:rsidRPr="003E1CDA">
        <w:rPr>
          <w:b/>
          <w:bCs/>
          <w:sz w:val="28"/>
          <w:szCs w:val="28"/>
        </w:rPr>
        <w:t xml:space="preserve">actor 1: b) Public Health Value, Improved Health Outcomes </w:t>
      </w:r>
      <w:proofErr w:type="gramStart"/>
      <w:r w:rsidR="003E1CDA" w:rsidRPr="003E1CDA">
        <w:rPr>
          <w:b/>
          <w:bCs/>
          <w:sz w:val="28"/>
          <w:szCs w:val="28"/>
        </w:rPr>
        <w:t>And</w:t>
      </w:r>
      <w:proofErr w:type="gramEnd"/>
      <w:r w:rsidR="003E1CDA" w:rsidRPr="003E1CDA">
        <w:rPr>
          <w:b/>
          <w:bCs/>
          <w:sz w:val="28"/>
          <w:szCs w:val="28"/>
        </w:rPr>
        <w:t xml:space="preserve"> Quality Of Life; Assurances Of Health Equity</w:t>
      </w:r>
    </w:p>
    <w:p w14:paraId="600B9427" w14:textId="644B2252" w:rsidR="0049665E" w:rsidRPr="008C0B5A" w:rsidRDefault="00A721D4" w:rsidP="008C0B5A">
      <w:pPr>
        <w:spacing w:line="240" w:lineRule="auto"/>
        <w:rPr>
          <w:sz w:val="24"/>
          <w:szCs w:val="24"/>
        </w:rPr>
      </w:pPr>
      <w:r w:rsidRPr="008C0B5A">
        <w:rPr>
          <w:b/>
          <w:bCs/>
          <w:sz w:val="24"/>
          <w:szCs w:val="24"/>
        </w:rPr>
        <w:t>Improved health outcomes</w:t>
      </w:r>
      <w:r w:rsidR="00E043DC" w:rsidRPr="008C0B5A">
        <w:rPr>
          <w:b/>
          <w:bCs/>
          <w:sz w:val="24"/>
          <w:szCs w:val="24"/>
        </w:rPr>
        <w:t xml:space="preserve"> and quality of life</w:t>
      </w:r>
      <w:r w:rsidR="00DC011A" w:rsidRPr="008C0B5A">
        <w:rPr>
          <w:sz w:val="24"/>
          <w:szCs w:val="24"/>
        </w:rPr>
        <w:t>.</w:t>
      </w:r>
      <w:r w:rsidR="00522FAD" w:rsidRPr="008C0B5A">
        <w:rPr>
          <w:sz w:val="24"/>
          <w:szCs w:val="24"/>
        </w:rPr>
        <w:t xml:space="preserve"> </w:t>
      </w:r>
      <w:r w:rsidR="00C75F8F" w:rsidRPr="008C0B5A">
        <w:rPr>
          <w:sz w:val="24"/>
          <w:szCs w:val="24"/>
        </w:rPr>
        <w:t xml:space="preserve">The Applicants states that through the Proposed Project it will maintain timely access to imaging </w:t>
      </w:r>
      <w:r w:rsidR="00ED73D4" w:rsidRPr="008C0B5A">
        <w:rPr>
          <w:sz w:val="24"/>
          <w:szCs w:val="24"/>
        </w:rPr>
        <w:t>services,</w:t>
      </w:r>
      <w:r w:rsidR="00C75F8F" w:rsidRPr="008C0B5A">
        <w:rPr>
          <w:sz w:val="24"/>
          <w:szCs w:val="24"/>
        </w:rPr>
        <w:t xml:space="preserve"> and this will promote patient care and patient experience. </w:t>
      </w:r>
      <w:r w:rsidR="008B7CB9" w:rsidRPr="008C0B5A">
        <w:rPr>
          <w:sz w:val="24"/>
          <w:szCs w:val="24"/>
        </w:rPr>
        <w:t>Clinicians use MRI and PET-CT imaging to better understand disease processes and to make treatment decisions</w:t>
      </w:r>
      <w:r w:rsidR="00040ED6">
        <w:rPr>
          <w:sz w:val="24"/>
          <w:szCs w:val="24"/>
        </w:rPr>
        <w:t>. C</w:t>
      </w:r>
      <w:r w:rsidR="008B7CB9" w:rsidRPr="008C0B5A">
        <w:rPr>
          <w:sz w:val="24"/>
          <w:szCs w:val="24"/>
        </w:rPr>
        <w:t>ontinued access to these imaging services will contribute to appropriate</w:t>
      </w:r>
      <w:r w:rsidR="000A5D87" w:rsidRPr="008C0B5A">
        <w:rPr>
          <w:sz w:val="24"/>
          <w:szCs w:val="24"/>
        </w:rPr>
        <w:t xml:space="preserve"> and timely</w:t>
      </w:r>
      <w:r w:rsidR="008B7CB9" w:rsidRPr="008C0B5A">
        <w:rPr>
          <w:sz w:val="24"/>
          <w:szCs w:val="24"/>
        </w:rPr>
        <w:t xml:space="preserve"> diagnosis and treatment </w:t>
      </w:r>
      <w:r w:rsidR="00040ED6">
        <w:rPr>
          <w:sz w:val="24"/>
          <w:szCs w:val="24"/>
        </w:rPr>
        <w:t>as well as</w:t>
      </w:r>
      <w:r w:rsidR="00040ED6" w:rsidRPr="008C0B5A">
        <w:rPr>
          <w:sz w:val="24"/>
          <w:szCs w:val="24"/>
        </w:rPr>
        <w:t xml:space="preserve"> </w:t>
      </w:r>
      <w:r w:rsidR="008B7CB9" w:rsidRPr="008C0B5A">
        <w:rPr>
          <w:sz w:val="24"/>
          <w:szCs w:val="24"/>
        </w:rPr>
        <w:t>improved health outcomes.</w:t>
      </w:r>
      <w:r w:rsidR="008518C0">
        <w:rPr>
          <w:sz w:val="24"/>
          <w:szCs w:val="24"/>
        </w:rPr>
        <w:t xml:space="preserve"> The transition from one vendor to the next will come with newer</w:t>
      </w:r>
      <w:r w:rsidR="00812D44">
        <w:rPr>
          <w:sz w:val="24"/>
          <w:szCs w:val="24"/>
        </w:rPr>
        <w:t>, more efficient</w:t>
      </w:r>
      <w:r w:rsidR="008518C0">
        <w:rPr>
          <w:sz w:val="24"/>
          <w:szCs w:val="24"/>
        </w:rPr>
        <w:t xml:space="preserve"> technology that will expand its</w:t>
      </w:r>
      <w:r w:rsidR="000D6FDB">
        <w:rPr>
          <w:sz w:val="24"/>
          <w:szCs w:val="24"/>
        </w:rPr>
        <w:t xml:space="preserve"> usage</w:t>
      </w:r>
      <w:r w:rsidR="008518C0">
        <w:rPr>
          <w:sz w:val="24"/>
          <w:szCs w:val="24"/>
        </w:rPr>
        <w:t>.</w:t>
      </w:r>
      <w:r w:rsidR="008B7CB9" w:rsidRPr="008C0B5A">
        <w:rPr>
          <w:sz w:val="24"/>
          <w:szCs w:val="24"/>
        </w:rPr>
        <w:t xml:space="preserve"> </w:t>
      </w:r>
      <w:r w:rsidR="000A5D24" w:rsidRPr="008C0B5A">
        <w:rPr>
          <w:sz w:val="24"/>
          <w:szCs w:val="24"/>
        </w:rPr>
        <w:t>The MRI unit will be important to individuals most at risk for cancer, including those with a family history and those with advancing age who</w:t>
      </w:r>
      <w:r w:rsidR="005557F2">
        <w:rPr>
          <w:sz w:val="24"/>
          <w:szCs w:val="24"/>
        </w:rPr>
        <w:t>se</w:t>
      </w:r>
      <w:r w:rsidR="000A5D24" w:rsidRPr="008C0B5A">
        <w:rPr>
          <w:sz w:val="24"/>
          <w:szCs w:val="24"/>
        </w:rPr>
        <w:t xml:space="preserve"> risk for cancer increases. Advanced MRI scans that will be performed include prostate MRI with and without contrast to diagnose prostate cancer, and breast MRI with and without contrast to diagnose breast cancer. Advanced PET-CT services </w:t>
      </w:r>
      <w:r w:rsidR="008A6C9D" w:rsidRPr="008C0B5A">
        <w:rPr>
          <w:sz w:val="24"/>
          <w:szCs w:val="24"/>
        </w:rPr>
        <w:t xml:space="preserve">will also be beneficial to those individuals at risk for cancer and </w:t>
      </w:r>
      <w:r w:rsidR="000A5D24" w:rsidRPr="008C0B5A">
        <w:rPr>
          <w:sz w:val="24"/>
          <w:szCs w:val="24"/>
        </w:rPr>
        <w:t xml:space="preserve">include tumor finding </w:t>
      </w:r>
      <w:proofErr w:type="spellStart"/>
      <w:r w:rsidR="000A5D24" w:rsidRPr="008C0B5A">
        <w:rPr>
          <w:sz w:val="24"/>
          <w:szCs w:val="24"/>
        </w:rPr>
        <w:t>fluorodeoxyglucose</w:t>
      </w:r>
      <w:proofErr w:type="spellEnd"/>
      <w:r w:rsidR="000A5D24" w:rsidRPr="008C0B5A">
        <w:rPr>
          <w:sz w:val="24"/>
          <w:szCs w:val="24"/>
        </w:rPr>
        <w:t xml:space="preserve"> scans for standard tumor imaging. </w:t>
      </w:r>
      <w:r w:rsidR="003F71DF" w:rsidRPr="008C0B5A">
        <w:rPr>
          <w:sz w:val="24"/>
          <w:szCs w:val="24"/>
        </w:rPr>
        <w:t>T</w:t>
      </w:r>
      <w:r w:rsidR="001055DE" w:rsidRPr="008C0B5A">
        <w:rPr>
          <w:sz w:val="24"/>
          <w:szCs w:val="24"/>
        </w:rPr>
        <w:t xml:space="preserve">he </w:t>
      </w:r>
      <w:r w:rsidR="003F71DF" w:rsidRPr="008C0B5A">
        <w:rPr>
          <w:sz w:val="24"/>
          <w:szCs w:val="24"/>
        </w:rPr>
        <w:t xml:space="preserve">Applicant </w:t>
      </w:r>
      <w:r w:rsidR="00FF31D8">
        <w:rPr>
          <w:sz w:val="24"/>
          <w:szCs w:val="24"/>
        </w:rPr>
        <w:t>described</w:t>
      </w:r>
      <w:r w:rsidR="001055DE" w:rsidRPr="008C0B5A">
        <w:rPr>
          <w:sz w:val="24"/>
          <w:szCs w:val="24"/>
        </w:rPr>
        <w:t xml:space="preserve"> the clinical applications and benefits of MRI and PET-CT imaging.</w:t>
      </w:r>
    </w:p>
    <w:p w14:paraId="408E2855" w14:textId="136FDF5B" w:rsidR="00421B65" w:rsidRDefault="0049665E" w:rsidP="008C0B5A">
      <w:pPr>
        <w:spacing w:line="240" w:lineRule="auto"/>
        <w:rPr>
          <w:sz w:val="24"/>
          <w:szCs w:val="24"/>
        </w:rPr>
      </w:pPr>
      <w:r w:rsidRPr="008C0B5A">
        <w:rPr>
          <w:b/>
          <w:bCs/>
          <w:sz w:val="24"/>
          <w:szCs w:val="24"/>
        </w:rPr>
        <w:t xml:space="preserve">Patient </w:t>
      </w:r>
      <w:r w:rsidR="00B16936">
        <w:rPr>
          <w:b/>
          <w:bCs/>
          <w:sz w:val="24"/>
          <w:szCs w:val="24"/>
        </w:rPr>
        <w:t>s</w:t>
      </w:r>
      <w:r w:rsidRPr="008C0B5A">
        <w:rPr>
          <w:b/>
          <w:bCs/>
          <w:sz w:val="24"/>
          <w:szCs w:val="24"/>
        </w:rPr>
        <w:t xml:space="preserve">atisfaction and </w:t>
      </w:r>
      <w:r w:rsidR="00B16936">
        <w:rPr>
          <w:b/>
          <w:bCs/>
          <w:sz w:val="24"/>
          <w:szCs w:val="24"/>
        </w:rPr>
        <w:t>c</w:t>
      </w:r>
      <w:r w:rsidRPr="008C0B5A">
        <w:rPr>
          <w:b/>
          <w:bCs/>
          <w:sz w:val="24"/>
          <w:szCs w:val="24"/>
        </w:rPr>
        <w:t>onvenience</w:t>
      </w:r>
      <w:r w:rsidRPr="008C0B5A">
        <w:rPr>
          <w:sz w:val="24"/>
          <w:szCs w:val="24"/>
        </w:rPr>
        <w:t xml:space="preserve">. </w:t>
      </w:r>
      <w:r w:rsidR="00522FAD" w:rsidRPr="008C0B5A">
        <w:rPr>
          <w:sz w:val="24"/>
          <w:szCs w:val="24"/>
        </w:rPr>
        <w:t>The Applicant asserts the Proposed Project will sustain patient satisfaction by ensuring continued access to on-campus MRI and PET-CT services</w:t>
      </w:r>
      <w:r w:rsidR="00155EAA" w:rsidRPr="008C0B5A">
        <w:rPr>
          <w:sz w:val="24"/>
          <w:szCs w:val="24"/>
        </w:rPr>
        <w:t xml:space="preserve"> so that patients</w:t>
      </w:r>
      <w:r w:rsidR="00522FAD" w:rsidRPr="008C0B5A">
        <w:rPr>
          <w:sz w:val="24"/>
          <w:szCs w:val="24"/>
        </w:rPr>
        <w:t xml:space="preserve"> will not need to travel</w:t>
      </w:r>
      <w:r w:rsidR="00250BAA">
        <w:rPr>
          <w:sz w:val="24"/>
          <w:szCs w:val="24"/>
        </w:rPr>
        <w:t xml:space="preserve"> </w:t>
      </w:r>
      <w:r w:rsidR="00FA3333">
        <w:rPr>
          <w:sz w:val="24"/>
          <w:szCs w:val="24"/>
        </w:rPr>
        <w:t>outside the</w:t>
      </w:r>
      <w:r w:rsidR="00250BAA">
        <w:rPr>
          <w:sz w:val="24"/>
          <w:szCs w:val="24"/>
        </w:rPr>
        <w:t xml:space="preserve"> </w:t>
      </w:r>
      <w:r w:rsidR="00193EB0">
        <w:rPr>
          <w:sz w:val="24"/>
          <w:szCs w:val="24"/>
        </w:rPr>
        <w:t>Heywood system</w:t>
      </w:r>
      <w:r w:rsidR="00FA3333">
        <w:rPr>
          <w:sz w:val="24"/>
          <w:szCs w:val="24"/>
        </w:rPr>
        <w:t xml:space="preserve"> </w:t>
      </w:r>
      <w:r w:rsidR="00522FAD" w:rsidRPr="008C0B5A">
        <w:rPr>
          <w:sz w:val="24"/>
          <w:szCs w:val="24"/>
        </w:rPr>
        <w:t>to access the imaging services. Citing the literature, the Applicant notes that patient satisfaction i</w:t>
      </w:r>
      <w:r w:rsidR="00155EAA" w:rsidRPr="008C0B5A">
        <w:rPr>
          <w:sz w:val="24"/>
          <w:szCs w:val="24"/>
        </w:rPr>
        <w:t>s</w:t>
      </w:r>
      <w:r w:rsidR="00522FAD" w:rsidRPr="008C0B5A">
        <w:rPr>
          <w:sz w:val="24"/>
          <w:szCs w:val="24"/>
        </w:rPr>
        <w:t xml:space="preserve"> an important indicator for measuring quality in healthcare</w:t>
      </w:r>
      <w:r w:rsidR="0059690C" w:rsidRPr="008C0B5A">
        <w:rPr>
          <w:sz w:val="24"/>
          <w:szCs w:val="24"/>
        </w:rPr>
        <w:t>; patient satisfaction</w:t>
      </w:r>
      <w:r w:rsidR="00522FAD" w:rsidRPr="008C0B5A">
        <w:rPr>
          <w:sz w:val="24"/>
          <w:szCs w:val="24"/>
        </w:rPr>
        <w:t xml:space="preserve"> impacts clinical outcomes, patient retention, medical malpractice claims</w:t>
      </w:r>
      <w:r w:rsidR="0059690C" w:rsidRPr="008C0B5A">
        <w:rPr>
          <w:sz w:val="24"/>
          <w:szCs w:val="24"/>
        </w:rPr>
        <w:t>;</w:t>
      </w:r>
      <w:r w:rsidR="00522FAD" w:rsidRPr="008C0B5A">
        <w:rPr>
          <w:sz w:val="24"/>
          <w:szCs w:val="24"/>
        </w:rPr>
        <w:t xml:space="preserve"> and timely, efficient, </w:t>
      </w:r>
      <w:r w:rsidR="0059690C" w:rsidRPr="008C0B5A">
        <w:rPr>
          <w:sz w:val="24"/>
          <w:szCs w:val="24"/>
        </w:rPr>
        <w:t xml:space="preserve">and </w:t>
      </w:r>
      <w:r w:rsidR="00522FAD" w:rsidRPr="008C0B5A">
        <w:rPr>
          <w:sz w:val="24"/>
          <w:szCs w:val="24"/>
        </w:rPr>
        <w:t>patient-centered care</w:t>
      </w:r>
      <w:r w:rsidR="0059690C" w:rsidRPr="008C0B5A">
        <w:rPr>
          <w:sz w:val="24"/>
          <w:szCs w:val="24"/>
        </w:rPr>
        <w:t xml:space="preserve"> directly influence patient satisfaction</w:t>
      </w:r>
      <w:r w:rsidR="00522FAD" w:rsidRPr="008C0B5A">
        <w:rPr>
          <w:sz w:val="24"/>
          <w:szCs w:val="24"/>
        </w:rPr>
        <w:t>.</w:t>
      </w:r>
      <w:r w:rsidR="0059690C" w:rsidRPr="00550671">
        <w:rPr>
          <w:rStyle w:val="EndnoteReference"/>
          <w:sz w:val="24"/>
          <w:szCs w:val="24"/>
        </w:rPr>
        <w:endnoteReference w:id="2"/>
      </w:r>
    </w:p>
    <w:p w14:paraId="45D86154" w14:textId="2D9F0312" w:rsidR="008E458E" w:rsidRDefault="008E458E" w:rsidP="008C0B5A">
      <w:pPr>
        <w:spacing w:line="240" w:lineRule="auto"/>
        <w:rPr>
          <w:sz w:val="24"/>
          <w:szCs w:val="24"/>
        </w:rPr>
      </w:pPr>
    </w:p>
    <w:p w14:paraId="4845985D" w14:textId="77777777" w:rsidR="008E458E" w:rsidRDefault="008E458E" w:rsidP="008C0B5A">
      <w:pPr>
        <w:spacing w:line="240" w:lineRule="auto"/>
        <w:rPr>
          <w:sz w:val="24"/>
          <w:szCs w:val="24"/>
        </w:rPr>
      </w:pPr>
    </w:p>
    <w:p w14:paraId="60A0F29E" w14:textId="528DB7E1" w:rsidR="00421B65" w:rsidRPr="005173A4" w:rsidRDefault="009527AE" w:rsidP="00421B65">
      <w:pPr>
        <w:rPr>
          <w:b/>
          <w:bCs/>
          <w:i/>
          <w:iCs/>
          <w:sz w:val="24"/>
          <w:szCs w:val="24"/>
        </w:rPr>
      </w:pPr>
      <w:r w:rsidRPr="005173A4">
        <w:rPr>
          <w:b/>
          <w:bCs/>
          <w:i/>
          <w:iCs/>
          <w:sz w:val="24"/>
          <w:szCs w:val="24"/>
        </w:rPr>
        <w:lastRenderedPageBreak/>
        <w:t xml:space="preserve">Analysis </w:t>
      </w:r>
    </w:p>
    <w:p w14:paraId="3E7A1114" w14:textId="2A67FEE9" w:rsidR="00CE1926" w:rsidRPr="003C5D3C" w:rsidRDefault="00707B6B" w:rsidP="003C5D3C">
      <w:pPr>
        <w:spacing w:line="240" w:lineRule="auto"/>
        <w:rPr>
          <w:bCs/>
          <w:sz w:val="24"/>
          <w:szCs w:val="24"/>
        </w:rPr>
      </w:pPr>
      <w:r w:rsidRPr="003C5D3C">
        <w:rPr>
          <w:bCs/>
          <w:sz w:val="24"/>
          <w:szCs w:val="24"/>
        </w:rPr>
        <w:t xml:space="preserve">Staff concur that providing timely access to imaging services contributes to improved health outcomes and patient satisfaction. </w:t>
      </w:r>
      <w:r w:rsidR="00FF31D8">
        <w:rPr>
          <w:bCs/>
          <w:sz w:val="24"/>
          <w:szCs w:val="24"/>
        </w:rPr>
        <w:t>Advanced i</w:t>
      </w:r>
      <w:r w:rsidR="00FF31D8" w:rsidRPr="00FF31D8">
        <w:rPr>
          <w:bCs/>
          <w:sz w:val="24"/>
          <w:szCs w:val="24"/>
        </w:rPr>
        <w:t xml:space="preserve">maging </w:t>
      </w:r>
      <w:r w:rsidR="00FF31D8">
        <w:rPr>
          <w:bCs/>
          <w:sz w:val="24"/>
          <w:szCs w:val="24"/>
        </w:rPr>
        <w:t xml:space="preserve">can </w:t>
      </w:r>
      <w:r w:rsidR="00FF31D8" w:rsidRPr="00FF31D8">
        <w:rPr>
          <w:bCs/>
          <w:sz w:val="24"/>
          <w:szCs w:val="24"/>
        </w:rPr>
        <w:t xml:space="preserve">improve disease detection, diagnosis and treatment allowing for more accurate diagnosis and treatment and </w:t>
      </w:r>
      <w:r w:rsidR="001752D9">
        <w:rPr>
          <w:bCs/>
          <w:sz w:val="24"/>
          <w:szCs w:val="24"/>
        </w:rPr>
        <w:t xml:space="preserve">the </w:t>
      </w:r>
      <w:r w:rsidR="00FF31D8" w:rsidRPr="00FF31D8">
        <w:rPr>
          <w:bCs/>
          <w:sz w:val="24"/>
          <w:szCs w:val="24"/>
        </w:rPr>
        <w:t>avoidance of more inv</w:t>
      </w:r>
      <w:r w:rsidR="00FF31D8">
        <w:rPr>
          <w:bCs/>
          <w:sz w:val="24"/>
          <w:szCs w:val="24"/>
        </w:rPr>
        <w:t>a</w:t>
      </w:r>
      <w:r w:rsidR="00FF31D8" w:rsidRPr="00FF31D8">
        <w:rPr>
          <w:bCs/>
          <w:sz w:val="24"/>
          <w:szCs w:val="24"/>
        </w:rPr>
        <w:t>sive and costly procedures.</w:t>
      </w:r>
      <w:r w:rsidR="00FF31D8" w:rsidRPr="00FF31D8">
        <w:rPr>
          <w:bCs/>
          <w:sz w:val="24"/>
          <w:szCs w:val="24"/>
          <w:vertAlign w:val="superscript"/>
        </w:rPr>
        <w:endnoteReference w:id="3"/>
      </w:r>
      <w:r w:rsidR="00FF31D8">
        <w:rPr>
          <w:bCs/>
          <w:sz w:val="24"/>
          <w:szCs w:val="24"/>
        </w:rPr>
        <w:t xml:space="preserve"> </w:t>
      </w:r>
      <w:r w:rsidR="009527AE" w:rsidRPr="003C5D3C">
        <w:rPr>
          <w:sz w:val="24"/>
          <w:szCs w:val="24"/>
        </w:rPr>
        <w:t xml:space="preserve">Not having adequate </w:t>
      </w:r>
      <w:r w:rsidR="00FF31D8">
        <w:rPr>
          <w:sz w:val="24"/>
          <w:szCs w:val="24"/>
        </w:rPr>
        <w:t>access to advanced imaging</w:t>
      </w:r>
      <w:r w:rsidR="009527AE" w:rsidRPr="003C5D3C">
        <w:rPr>
          <w:sz w:val="24"/>
          <w:szCs w:val="24"/>
        </w:rPr>
        <w:t xml:space="preserve"> leads to delays in diagnosis and treatment, which can negatively affect </w:t>
      </w:r>
      <w:r w:rsidR="00FF31D8">
        <w:rPr>
          <w:sz w:val="24"/>
          <w:szCs w:val="24"/>
        </w:rPr>
        <w:t xml:space="preserve">health </w:t>
      </w:r>
      <w:r w:rsidR="009527AE" w:rsidRPr="003C5D3C">
        <w:rPr>
          <w:sz w:val="24"/>
          <w:szCs w:val="24"/>
        </w:rPr>
        <w:t>outcomes.</w:t>
      </w:r>
      <w:r w:rsidRPr="003C5D3C">
        <w:rPr>
          <w:bCs/>
          <w:sz w:val="24"/>
          <w:szCs w:val="24"/>
        </w:rPr>
        <w:t xml:space="preserve"> </w:t>
      </w:r>
      <w:r w:rsidR="008C3446" w:rsidRPr="003C5D3C">
        <w:rPr>
          <w:sz w:val="24"/>
          <w:szCs w:val="24"/>
        </w:rPr>
        <w:t>Staff confirms ongoing need</w:t>
      </w:r>
      <w:r w:rsidR="00FF31D8">
        <w:rPr>
          <w:sz w:val="24"/>
          <w:szCs w:val="24"/>
        </w:rPr>
        <w:t xml:space="preserve"> for continued access to MRI and PET-CT services</w:t>
      </w:r>
      <w:r w:rsidR="008C3446" w:rsidRPr="003C5D3C">
        <w:rPr>
          <w:sz w:val="24"/>
          <w:szCs w:val="24"/>
        </w:rPr>
        <w:t xml:space="preserve">, especially </w:t>
      </w:r>
      <w:r w:rsidR="00D92130">
        <w:rPr>
          <w:sz w:val="24"/>
          <w:szCs w:val="24"/>
        </w:rPr>
        <w:t>among</w:t>
      </w:r>
      <w:r w:rsidR="00D92130" w:rsidRPr="003C5D3C">
        <w:rPr>
          <w:sz w:val="24"/>
          <w:szCs w:val="24"/>
        </w:rPr>
        <w:t xml:space="preserve"> </w:t>
      </w:r>
      <w:r w:rsidR="008C3446" w:rsidRPr="003C5D3C">
        <w:rPr>
          <w:sz w:val="24"/>
          <w:szCs w:val="24"/>
        </w:rPr>
        <w:t>the 65 and over population which comprises about one-third of the</w:t>
      </w:r>
      <w:r w:rsidR="00FF31D8">
        <w:rPr>
          <w:sz w:val="24"/>
          <w:szCs w:val="24"/>
        </w:rPr>
        <w:t xml:space="preserve"> Applicant’s</w:t>
      </w:r>
      <w:r w:rsidR="008C3446" w:rsidRPr="003C5D3C">
        <w:rPr>
          <w:sz w:val="24"/>
          <w:szCs w:val="24"/>
        </w:rPr>
        <w:t xml:space="preserve"> patient population</w:t>
      </w:r>
      <w:r w:rsidR="00D92130">
        <w:rPr>
          <w:sz w:val="24"/>
          <w:szCs w:val="24"/>
        </w:rPr>
        <w:t>,</w:t>
      </w:r>
      <w:r w:rsidR="00FF31D8">
        <w:rPr>
          <w:sz w:val="24"/>
          <w:szCs w:val="24"/>
        </w:rPr>
        <w:t xml:space="preserve"> and a significant percentage of MRI and PET-CT patient populations</w:t>
      </w:r>
      <w:r w:rsidRPr="003C5D3C">
        <w:rPr>
          <w:sz w:val="24"/>
          <w:szCs w:val="24"/>
        </w:rPr>
        <w:t xml:space="preserve">. </w:t>
      </w:r>
      <w:r w:rsidR="00EF1CF7">
        <w:rPr>
          <w:sz w:val="24"/>
          <w:szCs w:val="24"/>
        </w:rPr>
        <w:t>R</w:t>
      </w:r>
      <w:r w:rsidRPr="003C5D3C">
        <w:rPr>
          <w:sz w:val="24"/>
          <w:szCs w:val="24"/>
        </w:rPr>
        <w:t>isk for</w:t>
      </w:r>
      <w:r w:rsidR="006E5249">
        <w:rPr>
          <w:sz w:val="24"/>
          <w:szCs w:val="24"/>
        </w:rPr>
        <w:t xml:space="preserve"> </w:t>
      </w:r>
      <w:r w:rsidR="00250BAA">
        <w:rPr>
          <w:sz w:val="24"/>
          <w:szCs w:val="24"/>
        </w:rPr>
        <w:t>c</w:t>
      </w:r>
      <w:r w:rsidR="001752D9">
        <w:rPr>
          <w:sz w:val="24"/>
          <w:szCs w:val="24"/>
        </w:rPr>
        <w:t xml:space="preserve">ancer, </w:t>
      </w:r>
      <w:r w:rsidR="00250BAA">
        <w:rPr>
          <w:sz w:val="24"/>
          <w:szCs w:val="24"/>
        </w:rPr>
        <w:t>c</w:t>
      </w:r>
      <w:r w:rsidR="001752D9">
        <w:rPr>
          <w:sz w:val="24"/>
          <w:szCs w:val="24"/>
        </w:rPr>
        <w:t xml:space="preserve">ardiovascular disease, </w:t>
      </w:r>
      <w:r w:rsidR="008360DE">
        <w:rPr>
          <w:sz w:val="24"/>
          <w:szCs w:val="24"/>
        </w:rPr>
        <w:t xml:space="preserve">and Alzheimer’s, </w:t>
      </w:r>
      <w:r w:rsidR="00D92130">
        <w:rPr>
          <w:sz w:val="24"/>
          <w:szCs w:val="24"/>
        </w:rPr>
        <w:t>the leading causes of death in Massachusetts,</w:t>
      </w:r>
      <w:r w:rsidR="00D92130" w:rsidRPr="003C5D3C">
        <w:rPr>
          <w:sz w:val="24"/>
          <w:szCs w:val="24"/>
        </w:rPr>
        <w:t xml:space="preserve"> </w:t>
      </w:r>
      <w:r w:rsidRPr="003C5D3C">
        <w:rPr>
          <w:sz w:val="24"/>
          <w:szCs w:val="24"/>
        </w:rPr>
        <w:t xml:space="preserve">increase with age, </w:t>
      </w:r>
      <w:r w:rsidR="00FF31D8">
        <w:rPr>
          <w:sz w:val="24"/>
          <w:szCs w:val="24"/>
        </w:rPr>
        <w:t xml:space="preserve">and </w:t>
      </w:r>
      <w:r w:rsidR="001C0A38">
        <w:rPr>
          <w:sz w:val="24"/>
          <w:szCs w:val="24"/>
        </w:rPr>
        <w:t>consequently</w:t>
      </w:r>
      <w:r w:rsidR="00FF31D8">
        <w:rPr>
          <w:sz w:val="24"/>
          <w:szCs w:val="24"/>
        </w:rPr>
        <w:t xml:space="preserve"> </w:t>
      </w:r>
      <w:r w:rsidRPr="003C5D3C">
        <w:rPr>
          <w:sz w:val="24"/>
          <w:szCs w:val="24"/>
        </w:rPr>
        <w:t>demand for the proposed imaging services is likely to increase</w:t>
      </w:r>
      <w:r w:rsidR="00FF31D8">
        <w:rPr>
          <w:sz w:val="24"/>
          <w:szCs w:val="24"/>
        </w:rPr>
        <w:t xml:space="preserve"> with a growing aging population.</w:t>
      </w:r>
      <w:r w:rsidR="00940AB0">
        <w:rPr>
          <w:rStyle w:val="EndnoteReference"/>
          <w:sz w:val="24"/>
          <w:szCs w:val="24"/>
        </w:rPr>
        <w:endnoteReference w:id="4"/>
      </w:r>
      <w:r w:rsidR="00FF31D8">
        <w:rPr>
          <w:sz w:val="24"/>
          <w:szCs w:val="24"/>
        </w:rPr>
        <w:t xml:space="preserve"> </w:t>
      </w:r>
    </w:p>
    <w:p w14:paraId="49E69667" w14:textId="77777777" w:rsidR="003E1CDA" w:rsidRPr="003E1CDA" w:rsidRDefault="003E1CDA" w:rsidP="003E1CDA">
      <w:pPr>
        <w:spacing w:line="240" w:lineRule="auto"/>
        <w:rPr>
          <w:b/>
          <w:bCs/>
          <w:i/>
          <w:iCs/>
          <w:sz w:val="24"/>
          <w:szCs w:val="24"/>
        </w:rPr>
      </w:pPr>
      <w:r w:rsidRPr="003E1CDA">
        <w:rPr>
          <w:b/>
          <w:bCs/>
          <w:i/>
          <w:iCs/>
          <w:sz w:val="24"/>
          <w:szCs w:val="24"/>
        </w:rPr>
        <w:t>Health Equity and Social Determinants of Health (SDOH)</w:t>
      </w:r>
    </w:p>
    <w:p w14:paraId="02CD29B5" w14:textId="1B7E66A5" w:rsidR="008648B4" w:rsidRPr="00F559EB" w:rsidRDefault="008648B4" w:rsidP="00F559EB">
      <w:pPr>
        <w:spacing w:after="0" w:line="240" w:lineRule="auto"/>
        <w:rPr>
          <w:sz w:val="24"/>
          <w:szCs w:val="24"/>
        </w:rPr>
      </w:pPr>
      <w:r w:rsidRPr="00F559EB">
        <w:rPr>
          <w:sz w:val="24"/>
          <w:szCs w:val="24"/>
        </w:rPr>
        <w:t>The Applicant states that to ensure equity to all populations in Heywood Healthcare’s service area, it will not discriminate based on pay</w:t>
      </w:r>
      <w:r w:rsidR="00FA3333">
        <w:rPr>
          <w:sz w:val="24"/>
          <w:szCs w:val="24"/>
        </w:rPr>
        <w:t>e</w:t>
      </w:r>
      <w:r w:rsidRPr="00F559EB">
        <w:rPr>
          <w:sz w:val="24"/>
          <w:szCs w:val="24"/>
        </w:rPr>
        <w:t>r source or ability to pay</w:t>
      </w:r>
      <w:r w:rsidR="00DD59B4">
        <w:rPr>
          <w:sz w:val="24"/>
          <w:szCs w:val="24"/>
        </w:rPr>
        <w:t xml:space="preserve">. Additionally, </w:t>
      </w:r>
      <w:r w:rsidRPr="00F559EB">
        <w:rPr>
          <w:sz w:val="24"/>
          <w:szCs w:val="24"/>
        </w:rPr>
        <w:t>the Proposed Project will promote health equity and ensure equal access to MRI and PET-CT services for all of Heywood Health and the Applicant’s patients through the following ways:</w:t>
      </w:r>
    </w:p>
    <w:p w14:paraId="356C7B64" w14:textId="06853636" w:rsidR="0014785D" w:rsidRPr="00D4696F" w:rsidRDefault="0014785D" w:rsidP="00F559EB">
      <w:pPr>
        <w:pStyle w:val="ListParagraph"/>
        <w:numPr>
          <w:ilvl w:val="0"/>
          <w:numId w:val="19"/>
        </w:numPr>
        <w:spacing w:after="0" w:line="240" w:lineRule="auto"/>
        <w:rPr>
          <w:sz w:val="24"/>
          <w:szCs w:val="24"/>
        </w:rPr>
      </w:pPr>
      <w:r w:rsidRPr="00F559EB">
        <w:rPr>
          <w:b/>
          <w:bCs/>
          <w:sz w:val="24"/>
          <w:szCs w:val="24"/>
        </w:rPr>
        <w:t xml:space="preserve">Language </w:t>
      </w:r>
      <w:r w:rsidR="00AA7C01">
        <w:rPr>
          <w:b/>
          <w:bCs/>
          <w:sz w:val="24"/>
          <w:szCs w:val="24"/>
        </w:rPr>
        <w:t>a</w:t>
      </w:r>
      <w:r w:rsidRPr="00F559EB">
        <w:rPr>
          <w:b/>
          <w:bCs/>
          <w:sz w:val="24"/>
          <w:szCs w:val="24"/>
        </w:rPr>
        <w:t>ccess.</w:t>
      </w:r>
      <w:r w:rsidRPr="00F559EB">
        <w:rPr>
          <w:sz w:val="24"/>
          <w:szCs w:val="24"/>
        </w:rPr>
        <w:t xml:space="preserve"> </w:t>
      </w:r>
      <w:r w:rsidR="008648B4" w:rsidRPr="00F559EB">
        <w:rPr>
          <w:sz w:val="24"/>
          <w:szCs w:val="24"/>
        </w:rPr>
        <w:t xml:space="preserve">The Applicant will provide interpreter services through Heywood Healthcare’s existing interpreter services program. Need for interpreter services is identified prior to the patient’s appointment. In-person interpreter services are provided whenever possible. </w:t>
      </w:r>
      <w:r w:rsidR="0029502B">
        <w:rPr>
          <w:sz w:val="24"/>
          <w:szCs w:val="24"/>
        </w:rPr>
        <w:t>Multiple translation services are offered to address language barriers, including Language Line</w:t>
      </w:r>
      <w:r w:rsidR="005F4A9E">
        <w:rPr>
          <w:sz w:val="24"/>
          <w:szCs w:val="24"/>
        </w:rPr>
        <w:t xml:space="preserve">, which offers phone and video interpretation services from trained professionals </w:t>
      </w:r>
      <w:r w:rsidR="0054392F">
        <w:rPr>
          <w:sz w:val="24"/>
          <w:szCs w:val="24"/>
        </w:rPr>
        <w:t>in more than 240 languages,</w:t>
      </w:r>
      <w:r w:rsidR="0029502B">
        <w:rPr>
          <w:sz w:val="24"/>
          <w:szCs w:val="24"/>
        </w:rPr>
        <w:t xml:space="preserve"> and </w:t>
      </w:r>
      <w:proofErr w:type="spellStart"/>
      <w:r w:rsidR="0029502B">
        <w:rPr>
          <w:sz w:val="24"/>
          <w:szCs w:val="24"/>
        </w:rPr>
        <w:t>InDemand</w:t>
      </w:r>
      <w:proofErr w:type="spellEnd"/>
      <w:r w:rsidR="0029502B">
        <w:rPr>
          <w:sz w:val="24"/>
          <w:szCs w:val="24"/>
        </w:rPr>
        <w:t xml:space="preserve"> interpreting</w:t>
      </w:r>
      <w:r w:rsidR="0054392F">
        <w:rPr>
          <w:sz w:val="24"/>
          <w:szCs w:val="24"/>
        </w:rPr>
        <w:t xml:space="preserve"> which provides medical interpreting solutions (i.e. video interpretations) to </w:t>
      </w:r>
      <w:r w:rsidR="00B1729E">
        <w:rPr>
          <w:sz w:val="24"/>
          <w:szCs w:val="24"/>
        </w:rPr>
        <w:t>facilitate</w:t>
      </w:r>
      <w:r w:rsidR="008C767F">
        <w:rPr>
          <w:sz w:val="24"/>
          <w:szCs w:val="24"/>
        </w:rPr>
        <w:t xml:space="preserve"> access to care for</w:t>
      </w:r>
      <w:r w:rsidR="0054392F">
        <w:rPr>
          <w:sz w:val="24"/>
          <w:szCs w:val="24"/>
        </w:rPr>
        <w:t xml:space="preserve"> limited English proficient, and Deaf and Hard of Hearing patients.</w:t>
      </w:r>
      <w:r w:rsidR="0029502B">
        <w:rPr>
          <w:sz w:val="24"/>
          <w:szCs w:val="24"/>
        </w:rPr>
        <w:t xml:space="preserve"> </w:t>
      </w:r>
      <w:r w:rsidR="008648B4" w:rsidRPr="00F559EB">
        <w:rPr>
          <w:sz w:val="24"/>
          <w:szCs w:val="24"/>
        </w:rPr>
        <w:t xml:space="preserve">On-site interpreters are available Monday through Friday and phone or </w:t>
      </w:r>
      <w:r w:rsidR="00DD59B4">
        <w:rPr>
          <w:sz w:val="24"/>
          <w:szCs w:val="24"/>
        </w:rPr>
        <w:t>video remote interpreting (</w:t>
      </w:r>
      <w:r w:rsidR="008648B4" w:rsidRPr="00F559EB">
        <w:rPr>
          <w:sz w:val="24"/>
          <w:szCs w:val="24"/>
        </w:rPr>
        <w:t>VRI</w:t>
      </w:r>
      <w:r w:rsidR="00DD59B4">
        <w:rPr>
          <w:sz w:val="24"/>
          <w:szCs w:val="24"/>
        </w:rPr>
        <w:t>)</w:t>
      </w:r>
      <w:r w:rsidR="008648B4" w:rsidRPr="00F559EB">
        <w:rPr>
          <w:sz w:val="24"/>
          <w:szCs w:val="24"/>
        </w:rPr>
        <w:t xml:space="preserve"> services are available 24/7 for interpretation needs when </w:t>
      </w:r>
      <w:r w:rsidR="00DD59B4">
        <w:rPr>
          <w:sz w:val="24"/>
          <w:szCs w:val="24"/>
        </w:rPr>
        <w:t xml:space="preserve">an </w:t>
      </w:r>
      <w:r w:rsidR="008648B4" w:rsidRPr="00D4696F">
        <w:rPr>
          <w:sz w:val="24"/>
          <w:szCs w:val="24"/>
        </w:rPr>
        <w:t xml:space="preserve">on-site interpreter is not available. </w:t>
      </w:r>
    </w:p>
    <w:p w14:paraId="1A565A31" w14:textId="49832BE6" w:rsidR="008648B4" w:rsidRPr="00D4696F" w:rsidRDefault="0014785D" w:rsidP="00F559EB">
      <w:pPr>
        <w:pStyle w:val="ListParagraph"/>
        <w:numPr>
          <w:ilvl w:val="0"/>
          <w:numId w:val="19"/>
        </w:numPr>
        <w:spacing w:line="240" w:lineRule="auto"/>
        <w:rPr>
          <w:sz w:val="24"/>
          <w:szCs w:val="24"/>
        </w:rPr>
      </w:pPr>
      <w:r w:rsidRPr="00D4696F">
        <w:rPr>
          <w:b/>
          <w:bCs/>
          <w:sz w:val="24"/>
          <w:szCs w:val="24"/>
        </w:rPr>
        <w:t xml:space="preserve">Cultural competence </w:t>
      </w:r>
      <w:r w:rsidR="00AA7C01">
        <w:rPr>
          <w:b/>
          <w:bCs/>
          <w:sz w:val="24"/>
          <w:szCs w:val="24"/>
        </w:rPr>
        <w:t>t</w:t>
      </w:r>
      <w:r w:rsidRPr="00D4696F">
        <w:rPr>
          <w:b/>
          <w:bCs/>
          <w:sz w:val="24"/>
          <w:szCs w:val="24"/>
        </w:rPr>
        <w:t>raining</w:t>
      </w:r>
      <w:r w:rsidRPr="00D4696F">
        <w:rPr>
          <w:sz w:val="24"/>
          <w:szCs w:val="24"/>
        </w:rPr>
        <w:t xml:space="preserve">. </w:t>
      </w:r>
      <w:r w:rsidR="00A15E4E" w:rsidRPr="00D4696F">
        <w:rPr>
          <w:sz w:val="24"/>
          <w:szCs w:val="24"/>
        </w:rPr>
        <w:t xml:space="preserve">The </w:t>
      </w:r>
      <w:r w:rsidR="008648B4" w:rsidRPr="00D4696F">
        <w:rPr>
          <w:sz w:val="24"/>
          <w:szCs w:val="24"/>
        </w:rPr>
        <w:t>Applicant has developed arrangements to provide ongoing education and training in culturally and linguistically appropriate care for staff</w:t>
      </w:r>
      <w:r w:rsidR="0029502B" w:rsidRPr="00D4696F">
        <w:rPr>
          <w:sz w:val="24"/>
          <w:szCs w:val="24"/>
        </w:rPr>
        <w:t xml:space="preserve"> through a vendor</w:t>
      </w:r>
      <w:r w:rsidR="008648B4" w:rsidRPr="00D4696F">
        <w:rPr>
          <w:sz w:val="24"/>
          <w:szCs w:val="24"/>
        </w:rPr>
        <w:t xml:space="preserve">. </w:t>
      </w:r>
    </w:p>
    <w:p w14:paraId="565311C4" w14:textId="6034BB9A" w:rsidR="006208CB" w:rsidRPr="007C4192" w:rsidRDefault="002C262F" w:rsidP="007C4192">
      <w:pPr>
        <w:pStyle w:val="ListParagraph"/>
        <w:numPr>
          <w:ilvl w:val="0"/>
          <w:numId w:val="19"/>
        </w:numPr>
        <w:spacing w:line="240" w:lineRule="auto"/>
        <w:rPr>
          <w:sz w:val="24"/>
          <w:szCs w:val="24"/>
        </w:rPr>
      </w:pPr>
      <w:r w:rsidRPr="00D4696F">
        <w:rPr>
          <w:b/>
          <w:bCs/>
          <w:sz w:val="24"/>
          <w:szCs w:val="24"/>
        </w:rPr>
        <w:t xml:space="preserve">Social </w:t>
      </w:r>
      <w:r w:rsidR="005A3E90">
        <w:rPr>
          <w:b/>
          <w:bCs/>
          <w:sz w:val="24"/>
          <w:szCs w:val="24"/>
        </w:rPr>
        <w:t>d</w:t>
      </w:r>
      <w:r w:rsidRPr="00D4696F">
        <w:rPr>
          <w:b/>
          <w:bCs/>
          <w:sz w:val="24"/>
          <w:szCs w:val="24"/>
        </w:rPr>
        <w:t xml:space="preserve">eterminants of </w:t>
      </w:r>
      <w:r w:rsidR="005A3E90">
        <w:rPr>
          <w:b/>
          <w:bCs/>
          <w:sz w:val="24"/>
          <w:szCs w:val="24"/>
        </w:rPr>
        <w:t>h</w:t>
      </w:r>
      <w:r w:rsidRPr="00D4696F">
        <w:rPr>
          <w:b/>
          <w:bCs/>
          <w:sz w:val="24"/>
          <w:szCs w:val="24"/>
        </w:rPr>
        <w:t>ealth (</w:t>
      </w:r>
      <w:proofErr w:type="spellStart"/>
      <w:r w:rsidRPr="00D4696F">
        <w:rPr>
          <w:b/>
          <w:bCs/>
          <w:sz w:val="24"/>
          <w:szCs w:val="24"/>
        </w:rPr>
        <w:t>SDoH</w:t>
      </w:r>
      <w:proofErr w:type="spellEnd"/>
      <w:r w:rsidRPr="00D4696F">
        <w:rPr>
          <w:b/>
          <w:bCs/>
          <w:sz w:val="24"/>
          <w:szCs w:val="24"/>
        </w:rPr>
        <w:t xml:space="preserve">). </w:t>
      </w:r>
      <w:r w:rsidRPr="00D4696F">
        <w:rPr>
          <w:sz w:val="24"/>
          <w:szCs w:val="24"/>
        </w:rPr>
        <w:t xml:space="preserve">The Applicant will provide programs to address issues associated with the </w:t>
      </w:r>
      <w:proofErr w:type="spellStart"/>
      <w:r w:rsidRPr="00D4696F">
        <w:rPr>
          <w:sz w:val="24"/>
          <w:szCs w:val="24"/>
        </w:rPr>
        <w:t>SDoH</w:t>
      </w:r>
      <w:proofErr w:type="spellEnd"/>
      <w:r w:rsidR="006035B6" w:rsidRPr="00D4696F">
        <w:rPr>
          <w:sz w:val="24"/>
          <w:szCs w:val="24"/>
        </w:rPr>
        <w:t xml:space="preserve"> and improve care pathways influenced by </w:t>
      </w:r>
      <w:proofErr w:type="spellStart"/>
      <w:r w:rsidR="006035B6" w:rsidRPr="00D4696F">
        <w:rPr>
          <w:sz w:val="24"/>
          <w:szCs w:val="24"/>
        </w:rPr>
        <w:t>SDoH</w:t>
      </w:r>
      <w:proofErr w:type="spellEnd"/>
      <w:r w:rsidRPr="00D4696F">
        <w:rPr>
          <w:sz w:val="24"/>
          <w:szCs w:val="24"/>
        </w:rPr>
        <w:t>, ensure all patients have equal access to care, and ensure linkages to social service organizations when indicated.</w:t>
      </w:r>
      <w:r w:rsidR="00E93D1E" w:rsidRPr="00D4696F">
        <w:rPr>
          <w:sz w:val="24"/>
          <w:szCs w:val="24"/>
        </w:rPr>
        <w:t xml:space="preserve"> The Applicant states that it works to ensure that patients receive timely care and to alleviate any transportation barriers to accessing care. The Applicant works</w:t>
      </w:r>
      <w:r w:rsidR="00B9288A" w:rsidRPr="00D4696F">
        <w:rPr>
          <w:sz w:val="24"/>
          <w:szCs w:val="24"/>
        </w:rPr>
        <w:t xml:space="preserve"> to identify patients experiencing transportation challenges and</w:t>
      </w:r>
      <w:r w:rsidR="00E93D1E" w:rsidRPr="00D4696F">
        <w:rPr>
          <w:sz w:val="24"/>
          <w:szCs w:val="24"/>
        </w:rPr>
        <w:t xml:space="preserve"> has provided transportation vouchers mostly funded through grants, to patients with transportation needs. </w:t>
      </w:r>
    </w:p>
    <w:p w14:paraId="2316B55F" w14:textId="47D1BEB9" w:rsidR="003E1CDA" w:rsidRDefault="003E1CDA">
      <w:pPr>
        <w:rPr>
          <w:b/>
          <w:bCs/>
          <w:i/>
          <w:iCs/>
          <w:sz w:val="24"/>
          <w:szCs w:val="24"/>
        </w:rPr>
      </w:pPr>
      <w:r w:rsidRPr="005D41B7">
        <w:rPr>
          <w:b/>
          <w:bCs/>
          <w:i/>
          <w:iCs/>
          <w:sz w:val="24"/>
          <w:szCs w:val="24"/>
        </w:rPr>
        <w:t>Analysis</w:t>
      </w:r>
    </w:p>
    <w:p w14:paraId="7FF9575A" w14:textId="4BDD69B7" w:rsidR="00FB2600" w:rsidRPr="00405DC3" w:rsidRDefault="00F975AA" w:rsidP="009C6302">
      <w:pPr>
        <w:spacing w:after="0" w:line="240" w:lineRule="auto"/>
        <w:rPr>
          <w:sz w:val="24"/>
          <w:szCs w:val="24"/>
        </w:rPr>
      </w:pPr>
      <w:r w:rsidRPr="00F975AA">
        <w:rPr>
          <w:sz w:val="24"/>
          <w:szCs w:val="24"/>
        </w:rPr>
        <w:lastRenderedPageBreak/>
        <w:t xml:space="preserve">Staff finds that through their planned language access, </w:t>
      </w:r>
      <w:r w:rsidR="009C6302">
        <w:rPr>
          <w:sz w:val="24"/>
          <w:szCs w:val="24"/>
        </w:rPr>
        <w:t xml:space="preserve">cultural competence training, and </w:t>
      </w:r>
      <w:proofErr w:type="spellStart"/>
      <w:r w:rsidR="009C6302">
        <w:rPr>
          <w:sz w:val="24"/>
          <w:szCs w:val="24"/>
        </w:rPr>
        <w:t>SDoH</w:t>
      </w:r>
      <w:proofErr w:type="spellEnd"/>
      <w:r w:rsidR="009C6302">
        <w:rPr>
          <w:sz w:val="24"/>
          <w:szCs w:val="24"/>
        </w:rPr>
        <w:t xml:space="preserve"> screening, </w:t>
      </w:r>
      <w:r w:rsidRPr="00F975AA">
        <w:rPr>
          <w:sz w:val="24"/>
          <w:szCs w:val="24"/>
        </w:rPr>
        <w:t>the Applicant has provided reasonable assurances of improved health equity.</w:t>
      </w:r>
    </w:p>
    <w:p w14:paraId="24F5EAA0" w14:textId="77777777" w:rsidR="001410DD" w:rsidRDefault="001410DD">
      <w:pPr>
        <w:rPr>
          <w:b/>
          <w:bCs/>
          <w:sz w:val="28"/>
          <w:szCs w:val="28"/>
        </w:rPr>
      </w:pPr>
    </w:p>
    <w:p w14:paraId="41ED1AEB" w14:textId="2B061F92" w:rsidR="003E1CDA" w:rsidRPr="00D42D33" w:rsidRDefault="003E1CDA">
      <w:pPr>
        <w:rPr>
          <w:b/>
          <w:bCs/>
          <w:sz w:val="28"/>
          <w:szCs w:val="28"/>
        </w:rPr>
      </w:pPr>
      <w:r w:rsidRPr="003E1CDA">
        <w:rPr>
          <w:b/>
          <w:bCs/>
          <w:sz w:val="28"/>
          <w:szCs w:val="28"/>
        </w:rPr>
        <w:t>Factor 1: c) Efficiency, Continuity of Care, Coordination of Care</w:t>
      </w:r>
    </w:p>
    <w:p w14:paraId="0D237CFD" w14:textId="47399527" w:rsidR="0035170A" w:rsidRDefault="00D42D33" w:rsidP="0035170A">
      <w:pPr>
        <w:spacing w:line="240" w:lineRule="auto"/>
        <w:rPr>
          <w:sz w:val="24"/>
          <w:szCs w:val="24"/>
        </w:rPr>
      </w:pPr>
      <w:r w:rsidRPr="0035170A">
        <w:rPr>
          <w:sz w:val="24"/>
          <w:szCs w:val="24"/>
        </w:rPr>
        <w:t xml:space="preserve">The Applicant asserts that the Proposed Project will support integrated care because patients will be able to receive </w:t>
      </w:r>
      <w:r w:rsidR="00ED73D4" w:rsidRPr="0035170A">
        <w:rPr>
          <w:sz w:val="24"/>
          <w:szCs w:val="24"/>
        </w:rPr>
        <w:t>all</w:t>
      </w:r>
      <w:r w:rsidRPr="0035170A">
        <w:rPr>
          <w:sz w:val="24"/>
          <w:szCs w:val="24"/>
        </w:rPr>
        <w:t xml:space="preserve"> their care within Heywood Healthcare System. </w:t>
      </w:r>
      <w:r w:rsidR="00365A1F" w:rsidRPr="0035170A">
        <w:rPr>
          <w:sz w:val="24"/>
          <w:szCs w:val="24"/>
        </w:rPr>
        <w:t>The</w:t>
      </w:r>
      <w:r w:rsidRPr="0035170A">
        <w:rPr>
          <w:sz w:val="24"/>
          <w:szCs w:val="24"/>
        </w:rPr>
        <w:t xml:space="preserve"> Proposed Project will allow the Applicant to prevent a lapse in access to imaging services once the current agreement with the existing imaging vendor ends. </w:t>
      </w:r>
      <w:r w:rsidR="00365A1F" w:rsidRPr="0035170A">
        <w:rPr>
          <w:sz w:val="24"/>
          <w:szCs w:val="24"/>
        </w:rPr>
        <w:t>A</w:t>
      </w:r>
      <w:r w:rsidRPr="0035170A">
        <w:rPr>
          <w:sz w:val="24"/>
          <w:szCs w:val="24"/>
        </w:rPr>
        <w:t xml:space="preserve"> lapse in access to imaging services could result in patients traveling further distances outside of Heywood Healthcare System to access MR and PET-CT imaging services. </w:t>
      </w:r>
      <w:r w:rsidR="000A5D87" w:rsidRPr="0035170A">
        <w:rPr>
          <w:sz w:val="24"/>
          <w:szCs w:val="24"/>
        </w:rPr>
        <w:t>The</w:t>
      </w:r>
      <w:r w:rsidRPr="0035170A">
        <w:rPr>
          <w:sz w:val="24"/>
          <w:szCs w:val="24"/>
        </w:rPr>
        <w:t xml:space="preserve"> Applicant notes that care fragmentation</w:t>
      </w:r>
      <w:r w:rsidR="00437CE8" w:rsidRPr="0035170A">
        <w:rPr>
          <w:sz w:val="24"/>
          <w:szCs w:val="24"/>
        </w:rPr>
        <w:t xml:space="preserve"> often results when healthcare delivery is spread across </w:t>
      </w:r>
      <w:proofErr w:type="gramStart"/>
      <w:r w:rsidR="00437CE8" w:rsidRPr="0035170A">
        <w:rPr>
          <w:sz w:val="24"/>
          <w:szCs w:val="24"/>
        </w:rPr>
        <w:t>a number of</w:t>
      </w:r>
      <w:proofErr w:type="gramEnd"/>
      <w:r w:rsidR="00437CE8" w:rsidRPr="0035170A">
        <w:rPr>
          <w:sz w:val="24"/>
          <w:szCs w:val="24"/>
        </w:rPr>
        <w:t xml:space="preserve"> separately located and operated </w:t>
      </w:r>
      <w:r w:rsidR="00ED73D4" w:rsidRPr="0035170A">
        <w:rPr>
          <w:sz w:val="24"/>
          <w:szCs w:val="24"/>
        </w:rPr>
        <w:t>providers and</w:t>
      </w:r>
      <w:r w:rsidRPr="0035170A">
        <w:rPr>
          <w:sz w:val="24"/>
          <w:szCs w:val="24"/>
        </w:rPr>
        <w:t xml:space="preserve"> is a source of inefficiency</w:t>
      </w:r>
      <w:r w:rsidR="00A15936" w:rsidRPr="0035170A">
        <w:rPr>
          <w:sz w:val="24"/>
          <w:szCs w:val="24"/>
        </w:rPr>
        <w:t xml:space="preserve"> and ineffectiveness</w:t>
      </w:r>
      <w:r w:rsidRPr="0035170A">
        <w:rPr>
          <w:sz w:val="24"/>
          <w:szCs w:val="24"/>
        </w:rPr>
        <w:t xml:space="preserve"> in healthcare</w:t>
      </w:r>
      <w:r w:rsidR="00437CE8" w:rsidRPr="0035170A">
        <w:rPr>
          <w:sz w:val="24"/>
          <w:szCs w:val="24"/>
        </w:rPr>
        <w:t xml:space="preserve"> and </w:t>
      </w:r>
      <w:r w:rsidR="00777FC4" w:rsidRPr="0035170A">
        <w:rPr>
          <w:sz w:val="24"/>
          <w:szCs w:val="24"/>
        </w:rPr>
        <w:t xml:space="preserve">a source of dissatisfaction for </w:t>
      </w:r>
      <w:r w:rsidRPr="0035170A">
        <w:rPr>
          <w:sz w:val="24"/>
          <w:szCs w:val="24"/>
        </w:rPr>
        <w:t>patients</w:t>
      </w:r>
      <w:r w:rsidR="00437CE8" w:rsidRPr="0035170A">
        <w:rPr>
          <w:sz w:val="24"/>
          <w:szCs w:val="24"/>
        </w:rPr>
        <w:t>.</w:t>
      </w:r>
      <w:r w:rsidR="007D631E" w:rsidRPr="00F559EB">
        <w:rPr>
          <w:rStyle w:val="EndnoteReference"/>
          <w:sz w:val="24"/>
          <w:szCs w:val="24"/>
        </w:rPr>
        <w:endnoteReference w:id="5"/>
      </w:r>
      <w:r w:rsidRPr="0035170A">
        <w:rPr>
          <w:sz w:val="24"/>
          <w:szCs w:val="24"/>
        </w:rPr>
        <w:t xml:space="preserve"> </w:t>
      </w:r>
    </w:p>
    <w:p w14:paraId="41FE56B2" w14:textId="4D6390D4" w:rsidR="0035170A" w:rsidRPr="0035170A" w:rsidRDefault="00BB673F" w:rsidP="0035170A">
      <w:pPr>
        <w:spacing w:line="240" w:lineRule="auto"/>
        <w:rPr>
          <w:sz w:val="24"/>
          <w:szCs w:val="24"/>
        </w:rPr>
      </w:pPr>
      <w:r w:rsidRPr="0035170A">
        <w:rPr>
          <w:sz w:val="24"/>
          <w:szCs w:val="24"/>
        </w:rPr>
        <w:t>Co-located services address fragmented care and improve access</w:t>
      </w:r>
      <w:r w:rsidR="007618A7" w:rsidRPr="0035170A">
        <w:rPr>
          <w:sz w:val="24"/>
          <w:szCs w:val="24"/>
        </w:rPr>
        <w:t xml:space="preserve"> through increasing </w:t>
      </w:r>
      <w:r w:rsidRPr="0035170A">
        <w:rPr>
          <w:sz w:val="24"/>
          <w:szCs w:val="24"/>
        </w:rPr>
        <w:t>collaboration among providers</w:t>
      </w:r>
      <w:r w:rsidR="007618A7" w:rsidRPr="0035170A">
        <w:rPr>
          <w:sz w:val="24"/>
          <w:szCs w:val="24"/>
        </w:rPr>
        <w:t xml:space="preserve"> and </w:t>
      </w:r>
      <w:r w:rsidRPr="0035170A">
        <w:rPr>
          <w:sz w:val="24"/>
          <w:szCs w:val="24"/>
        </w:rPr>
        <w:t>increas</w:t>
      </w:r>
      <w:r w:rsidR="007618A7" w:rsidRPr="0035170A">
        <w:rPr>
          <w:sz w:val="24"/>
          <w:szCs w:val="24"/>
        </w:rPr>
        <w:t>ing</w:t>
      </w:r>
      <w:r w:rsidRPr="0035170A">
        <w:rPr>
          <w:sz w:val="24"/>
          <w:szCs w:val="24"/>
        </w:rPr>
        <w:t xml:space="preserve"> efficienc</w:t>
      </w:r>
      <w:r w:rsidR="007618A7" w:rsidRPr="0035170A">
        <w:rPr>
          <w:sz w:val="24"/>
          <w:szCs w:val="24"/>
        </w:rPr>
        <w:t>ies</w:t>
      </w:r>
      <w:r w:rsidR="00153A6B">
        <w:rPr>
          <w:sz w:val="24"/>
          <w:szCs w:val="24"/>
        </w:rPr>
        <w:t>,</w:t>
      </w:r>
      <w:r w:rsidR="007618A7" w:rsidRPr="0035170A">
        <w:rPr>
          <w:sz w:val="24"/>
          <w:szCs w:val="24"/>
        </w:rPr>
        <w:t xml:space="preserve"> both of which contribute to </w:t>
      </w:r>
      <w:r w:rsidRPr="0035170A">
        <w:rPr>
          <w:sz w:val="24"/>
          <w:szCs w:val="24"/>
        </w:rPr>
        <w:t xml:space="preserve">improved health outcomes. </w:t>
      </w:r>
      <w:r w:rsidR="00490B5C" w:rsidRPr="0035170A">
        <w:rPr>
          <w:sz w:val="24"/>
          <w:szCs w:val="24"/>
        </w:rPr>
        <w:t>The Applicant states that maintaining access to MRI and PET-CT services on the Hospitals’ main campus</w:t>
      </w:r>
      <w:r w:rsidR="00FA3333">
        <w:rPr>
          <w:sz w:val="24"/>
          <w:szCs w:val="24"/>
        </w:rPr>
        <w:t>es</w:t>
      </w:r>
      <w:r w:rsidR="00490B5C" w:rsidRPr="0035170A">
        <w:rPr>
          <w:sz w:val="24"/>
          <w:szCs w:val="24"/>
        </w:rPr>
        <w:t xml:space="preserve"> will allow patients to schedule and attend appointments in a single location on the same day</w:t>
      </w:r>
      <w:r w:rsidR="007618A7" w:rsidRPr="0035170A">
        <w:rPr>
          <w:sz w:val="24"/>
          <w:szCs w:val="24"/>
        </w:rPr>
        <w:t xml:space="preserve">. </w:t>
      </w:r>
    </w:p>
    <w:p w14:paraId="4E9AF5FF" w14:textId="3408E925" w:rsidR="00FA3333" w:rsidRDefault="00680325" w:rsidP="0035170A">
      <w:pPr>
        <w:spacing w:line="240" w:lineRule="auto"/>
        <w:rPr>
          <w:sz w:val="24"/>
          <w:szCs w:val="24"/>
        </w:rPr>
      </w:pPr>
      <w:r w:rsidRPr="00680325">
        <w:rPr>
          <w:sz w:val="24"/>
          <w:szCs w:val="24"/>
        </w:rPr>
        <w:t>Heywood Healthcare will be an owner of the new clinic, allowing imaging to be fully integrated into patients’ medical records</w:t>
      </w:r>
      <w:r w:rsidR="00AB43CF">
        <w:rPr>
          <w:sz w:val="24"/>
          <w:szCs w:val="24"/>
        </w:rPr>
        <w:t xml:space="preserve"> </w:t>
      </w:r>
      <w:r w:rsidR="00AB43CF" w:rsidRPr="00AB43CF">
        <w:rPr>
          <w:sz w:val="24"/>
          <w:szCs w:val="24"/>
        </w:rPr>
        <w:t>and allowing Heywood to have input into the provision of services by the clinic</w:t>
      </w:r>
      <w:r w:rsidR="00AB43CF">
        <w:rPr>
          <w:sz w:val="24"/>
          <w:szCs w:val="24"/>
        </w:rPr>
        <w:t>.</w:t>
      </w:r>
      <w:r w:rsidR="00E72B07">
        <w:rPr>
          <w:sz w:val="24"/>
          <w:szCs w:val="24"/>
        </w:rPr>
        <w:t xml:space="preserve"> Through the current set-up, imaging </w:t>
      </w:r>
      <w:r w:rsidR="00A155B4">
        <w:rPr>
          <w:sz w:val="24"/>
          <w:szCs w:val="24"/>
        </w:rPr>
        <w:t>is</w:t>
      </w:r>
      <w:r w:rsidR="00E72B07">
        <w:rPr>
          <w:sz w:val="24"/>
          <w:szCs w:val="24"/>
        </w:rPr>
        <w:t xml:space="preserve"> obtained by Alliance Imaging MRI</w:t>
      </w:r>
      <w:r w:rsidR="005549A2">
        <w:rPr>
          <w:sz w:val="24"/>
          <w:szCs w:val="24"/>
        </w:rPr>
        <w:t>, and then transferred into Heywood Healthcare’s Picture Archiving and Communication System (PACS) where it can be accessed and interpreted by radiologists.</w:t>
      </w:r>
      <w:r w:rsidR="00E72B07">
        <w:rPr>
          <w:sz w:val="24"/>
          <w:szCs w:val="24"/>
        </w:rPr>
        <w:t xml:space="preserve"> </w:t>
      </w:r>
    </w:p>
    <w:p w14:paraId="74A75D0A" w14:textId="0B07602A" w:rsidR="00FA3333" w:rsidRDefault="00AC07A1" w:rsidP="0035170A">
      <w:pPr>
        <w:spacing w:line="240" w:lineRule="auto"/>
        <w:rPr>
          <w:sz w:val="24"/>
          <w:szCs w:val="24"/>
        </w:rPr>
      </w:pPr>
      <w:r>
        <w:rPr>
          <w:sz w:val="24"/>
          <w:szCs w:val="24"/>
        </w:rPr>
        <w:t>Through the Proposed Project, i</w:t>
      </w:r>
      <w:r w:rsidR="00DC1F86" w:rsidRPr="0035170A">
        <w:rPr>
          <w:sz w:val="24"/>
          <w:szCs w:val="24"/>
        </w:rPr>
        <w:t xml:space="preserve">maging records will become a part of a </w:t>
      </w:r>
      <w:r w:rsidR="00495712" w:rsidRPr="0035170A">
        <w:rPr>
          <w:sz w:val="24"/>
          <w:szCs w:val="24"/>
        </w:rPr>
        <w:t>fully integrated</w:t>
      </w:r>
      <w:r w:rsidR="00DC1F86" w:rsidRPr="0035170A">
        <w:rPr>
          <w:sz w:val="24"/>
          <w:szCs w:val="24"/>
        </w:rPr>
        <w:t xml:space="preserve"> medical record</w:t>
      </w:r>
      <w:r w:rsidR="00DC1F86">
        <w:rPr>
          <w:sz w:val="24"/>
          <w:szCs w:val="24"/>
        </w:rPr>
        <w:t xml:space="preserve"> </w:t>
      </w:r>
      <w:r w:rsidR="00DC1F86" w:rsidRPr="0035170A">
        <w:rPr>
          <w:sz w:val="24"/>
          <w:szCs w:val="24"/>
        </w:rPr>
        <w:t xml:space="preserve">available to patients’ primary care and specialty providers across the Heywood Healthcare </w:t>
      </w:r>
      <w:r w:rsidR="00A155B4" w:rsidRPr="0035170A">
        <w:rPr>
          <w:sz w:val="24"/>
          <w:szCs w:val="24"/>
        </w:rPr>
        <w:t>System and</w:t>
      </w:r>
      <w:r>
        <w:rPr>
          <w:sz w:val="24"/>
          <w:szCs w:val="24"/>
        </w:rPr>
        <w:t xml:space="preserve"> will be integrated into the Shields system. This will, the Applicant asserts, </w:t>
      </w:r>
      <w:r w:rsidR="00DC1F86" w:rsidRPr="0035170A">
        <w:rPr>
          <w:sz w:val="24"/>
          <w:szCs w:val="24"/>
        </w:rPr>
        <w:t>improve care coordination and collaboration among providers, and health outcomes</w:t>
      </w:r>
      <w:r w:rsidR="00680325">
        <w:rPr>
          <w:sz w:val="24"/>
          <w:szCs w:val="24"/>
        </w:rPr>
        <w:t>.</w:t>
      </w:r>
      <w:r w:rsidR="00680325" w:rsidRPr="00680325">
        <w:rPr>
          <w:sz w:val="24"/>
          <w:szCs w:val="24"/>
        </w:rPr>
        <w:t xml:space="preserve"> </w:t>
      </w:r>
      <w:r w:rsidR="000D7FC6">
        <w:rPr>
          <w:sz w:val="24"/>
          <w:szCs w:val="24"/>
        </w:rPr>
        <w:t xml:space="preserve">Additionally, </w:t>
      </w:r>
      <w:r w:rsidR="00E075C7">
        <w:rPr>
          <w:sz w:val="24"/>
          <w:szCs w:val="24"/>
        </w:rPr>
        <w:t>Shields</w:t>
      </w:r>
      <w:r w:rsidR="00FA3333">
        <w:rPr>
          <w:sz w:val="24"/>
          <w:szCs w:val="24"/>
        </w:rPr>
        <w:t>’</w:t>
      </w:r>
      <w:r w:rsidR="00E075C7">
        <w:rPr>
          <w:sz w:val="24"/>
          <w:szCs w:val="24"/>
        </w:rPr>
        <w:t xml:space="preserve"> national</w:t>
      </w:r>
      <w:r w:rsidR="000D7FC6">
        <w:rPr>
          <w:sz w:val="24"/>
          <w:szCs w:val="24"/>
        </w:rPr>
        <w:t xml:space="preserve"> operations </w:t>
      </w:r>
      <w:r w:rsidR="00A155B4">
        <w:rPr>
          <w:sz w:val="24"/>
          <w:szCs w:val="24"/>
        </w:rPr>
        <w:t>will allow</w:t>
      </w:r>
      <w:r w:rsidR="00E075C7">
        <w:rPr>
          <w:sz w:val="24"/>
          <w:szCs w:val="24"/>
        </w:rPr>
        <w:t xml:space="preserve"> the Applicant to obtain patient images captured from a</w:t>
      </w:r>
      <w:r w:rsidR="00FA3333">
        <w:rPr>
          <w:sz w:val="24"/>
          <w:szCs w:val="24"/>
        </w:rPr>
        <w:t>nother</w:t>
      </w:r>
      <w:r w:rsidR="00E075C7">
        <w:rPr>
          <w:sz w:val="24"/>
          <w:szCs w:val="24"/>
        </w:rPr>
        <w:t xml:space="preserve"> provider or specialist more efficiently, with the patient’s approval. </w:t>
      </w:r>
      <w:r w:rsidR="007618A7" w:rsidRPr="0035170A">
        <w:rPr>
          <w:sz w:val="24"/>
          <w:szCs w:val="24"/>
        </w:rPr>
        <w:t xml:space="preserve">The Applicant notes that maintaining local access to these imaging services is particularly beneficial for older and low-income populations as it </w:t>
      </w:r>
      <w:r w:rsidR="00490B5C" w:rsidRPr="0035170A">
        <w:rPr>
          <w:sz w:val="24"/>
          <w:szCs w:val="24"/>
        </w:rPr>
        <w:t xml:space="preserve">will minimize transportation </w:t>
      </w:r>
      <w:r w:rsidR="00FA3333">
        <w:rPr>
          <w:sz w:val="24"/>
          <w:szCs w:val="24"/>
        </w:rPr>
        <w:t xml:space="preserve">challenges, </w:t>
      </w:r>
      <w:r w:rsidR="00490B5C" w:rsidRPr="0035170A">
        <w:rPr>
          <w:sz w:val="24"/>
          <w:szCs w:val="24"/>
        </w:rPr>
        <w:t xml:space="preserve">which can pose a barrier to accessing care. </w:t>
      </w:r>
    </w:p>
    <w:p w14:paraId="69617CF7" w14:textId="7915D354" w:rsidR="00B4411E" w:rsidRPr="0035170A" w:rsidRDefault="00F30AEB" w:rsidP="0035170A">
      <w:pPr>
        <w:spacing w:line="240" w:lineRule="auto"/>
        <w:rPr>
          <w:sz w:val="24"/>
          <w:szCs w:val="24"/>
        </w:rPr>
      </w:pPr>
      <w:r w:rsidRPr="0035170A">
        <w:rPr>
          <w:sz w:val="24"/>
          <w:szCs w:val="24"/>
        </w:rPr>
        <w:t xml:space="preserve">With the </w:t>
      </w:r>
      <w:r w:rsidR="00C64F3D">
        <w:rPr>
          <w:sz w:val="24"/>
          <w:szCs w:val="24"/>
        </w:rPr>
        <w:t xml:space="preserve">replacement of the current vendor’s </w:t>
      </w:r>
      <w:r w:rsidR="00D54E53">
        <w:rPr>
          <w:sz w:val="24"/>
          <w:szCs w:val="24"/>
        </w:rPr>
        <w:t xml:space="preserve">older </w:t>
      </w:r>
      <w:r w:rsidR="00C64F3D">
        <w:rPr>
          <w:sz w:val="24"/>
          <w:szCs w:val="24"/>
        </w:rPr>
        <w:t xml:space="preserve">units with Shields’ </w:t>
      </w:r>
      <w:r w:rsidRPr="0035170A">
        <w:rPr>
          <w:sz w:val="24"/>
          <w:szCs w:val="24"/>
        </w:rPr>
        <w:t>new</w:t>
      </w:r>
      <w:r w:rsidR="006117AA" w:rsidRPr="0035170A">
        <w:rPr>
          <w:sz w:val="24"/>
          <w:szCs w:val="24"/>
        </w:rPr>
        <w:t>er</w:t>
      </w:r>
      <w:r w:rsidRPr="0035170A">
        <w:rPr>
          <w:sz w:val="24"/>
          <w:szCs w:val="24"/>
        </w:rPr>
        <w:t xml:space="preserve"> MRI</w:t>
      </w:r>
      <w:r w:rsidR="006117AA" w:rsidRPr="0035170A">
        <w:rPr>
          <w:sz w:val="24"/>
          <w:szCs w:val="24"/>
        </w:rPr>
        <w:t xml:space="preserve"> technology</w:t>
      </w:r>
      <w:r w:rsidRPr="0035170A">
        <w:rPr>
          <w:sz w:val="24"/>
          <w:szCs w:val="24"/>
        </w:rPr>
        <w:t xml:space="preserve">, Heywood Hospital will </w:t>
      </w:r>
      <w:r w:rsidR="00D54E53">
        <w:rPr>
          <w:sz w:val="24"/>
          <w:szCs w:val="24"/>
        </w:rPr>
        <w:t>offer</w:t>
      </w:r>
      <w:r w:rsidRPr="0035170A">
        <w:rPr>
          <w:sz w:val="24"/>
          <w:szCs w:val="24"/>
        </w:rPr>
        <w:t xml:space="preserve"> </w:t>
      </w:r>
      <w:r w:rsidR="00563B11">
        <w:rPr>
          <w:sz w:val="24"/>
          <w:szCs w:val="24"/>
        </w:rPr>
        <w:t xml:space="preserve">certain advanced MRI and PET-CT </w:t>
      </w:r>
      <w:r w:rsidR="006445E8">
        <w:rPr>
          <w:sz w:val="24"/>
          <w:szCs w:val="24"/>
        </w:rPr>
        <w:t>scans</w:t>
      </w:r>
      <w:r w:rsidR="00E84F3A">
        <w:rPr>
          <w:sz w:val="24"/>
          <w:szCs w:val="24"/>
        </w:rPr>
        <w:t xml:space="preserve"> </w:t>
      </w:r>
      <w:r w:rsidRPr="0035170A">
        <w:rPr>
          <w:sz w:val="24"/>
          <w:szCs w:val="24"/>
        </w:rPr>
        <w:t xml:space="preserve">that </w:t>
      </w:r>
      <w:r w:rsidR="006445E8">
        <w:rPr>
          <w:sz w:val="24"/>
          <w:szCs w:val="24"/>
        </w:rPr>
        <w:t xml:space="preserve">are beneficial to individuals at risk for cancer, and that </w:t>
      </w:r>
      <w:r w:rsidR="00D54E53">
        <w:rPr>
          <w:sz w:val="24"/>
          <w:szCs w:val="24"/>
        </w:rPr>
        <w:t xml:space="preserve">are currently unavailable to its </w:t>
      </w:r>
      <w:r w:rsidRPr="0035170A">
        <w:rPr>
          <w:sz w:val="24"/>
          <w:szCs w:val="24"/>
        </w:rPr>
        <w:t xml:space="preserve">patients </w:t>
      </w:r>
      <w:r w:rsidR="00D54E53">
        <w:rPr>
          <w:sz w:val="24"/>
          <w:szCs w:val="24"/>
        </w:rPr>
        <w:t xml:space="preserve">at either Heywood or Athol Hospitals. The newer units will </w:t>
      </w:r>
      <w:r w:rsidR="006117AA" w:rsidRPr="00357899">
        <w:rPr>
          <w:sz w:val="24"/>
          <w:szCs w:val="24"/>
        </w:rPr>
        <w:t xml:space="preserve">thereby </w:t>
      </w:r>
      <w:r w:rsidR="00C3689E" w:rsidRPr="00357899">
        <w:rPr>
          <w:sz w:val="24"/>
          <w:szCs w:val="24"/>
        </w:rPr>
        <w:t>enhanc</w:t>
      </w:r>
      <w:r w:rsidR="00D54E53">
        <w:rPr>
          <w:sz w:val="24"/>
          <w:szCs w:val="24"/>
        </w:rPr>
        <w:t>e</w:t>
      </w:r>
      <w:r w:rsidR="00C3689E" w:rsidRPr="00357899">
        <w:rPr>
          <w:sz w:val="24"/>
          <w:szCs w:val="24"/>
        </w:rPr>
        <w:t xml:space="preserve"> care coordination and prevent fragmented care. </w:t>
      </w:r>
      <w:r w:rsidR="00495712" w:rsidRPr="00357899">
        <w:rPr>
          <w:sz w:val="24"/>
          <w:szCs w:val="24"/>
        </w:rPr>
        <w:t xml:space="preserve">Shields’ </w:t>
      </w:r>
      <w:r w:rsidR="00705718" w:rsidRPr="00357899">
        <w:rPr>
          <w:sz w:val="24"/>
          <w:szCs w:val="24"/>
        </w:rPr>
        <w:t xml:space="preserve">newer technology </w:t>
      </w:r>
      <w:r w:rsidR="00FA3333">
        <w:rPr>
          <w:sz w:val="24"/>
          <w:szCs w:val="24"/>
        </w:rPr>
        <w:t>is expected to</w:t>
      </w:r>
      <w:r w:rsidR="00FA3333" w:rsidRPr="00357899">
        <w:rPr>
          <w:sz w:val="24"/>
          <w:szCs w:val="24"/>
        </w:rPr>
        <w:t xml:space="preserve"> </w:t>
      </w:r>
      <w:r w:rsidR="00495712" w:rsidRPr="00357899">
        <w:rPr>
          <w:sz w:val="24"/>
          <w:szCs w:val="24"/>
        </w:rPr>
        <w:t xml:space="preserve">yield </w:t>
      </w:r>
      <w:r w:rsidR="00705718" w:rsidRPr="00357899">
        <w:rPr>
          <w:sz w:val="24"/>
          <w:szCs w:val="24"/>
        </w:rPr>
        <w:t>i</w:t>
      </w:r>
      <w:r w:rsidR="00707FEE" w:rsidRPr="00357899">
        <w:rPr>
          <w:sz w:val="24"/>
          <w:szCs w:val="24"/>
        </w:rPr>
        <w:t>mprove</w:t>
      </w:r>
      <w:r w:rsidR="00495712" w:rsidRPr="00357899">
        <w:rPr>
          <w:sz w:val="24"/>
          <w:szCs w:val="24"/>
        </w:rPr>
        <w:t xml:space="preserve">ments in </w:t>
      </w:r>
      <w:r w:rsidR="00707FEE" w:rsidRPr="00357899">
        <w:rPr>
          <w:sz w:val="24"/>
          <w:szCs w:val="24"/>
        </w:rPr>
        <w:t>the quality of imaging,</w:t>
      </w:r>
      <w:r w:rsidR="00197B3E">
        <w:rPr>
          <w:sz w:val="24"/>
          <w:szCs w:val="24"/>
        </w:rPr>
        <w:t xml:space="preserve"> a</w:t>
      </w:r>
      <w:r w:rsidR="00707FEE" w:rsidRPr="00357899">
        <w:rPr>
          <w:sz w:val="24"/>
          <w:szCs w:val="24"/>
        </w:rPr>
        <w:t xml:space="preserve"> </w:t>
      </w:r>
      <w:r w:rsidR="00705718" w:rsidRPr="00357899">
        <w:rPr>
          <w:sz w:val="24"/>
          <w:szCs w:val="24"/>
        </w:rPr>
        <w:t>reduc</w:t>
      </w:r>
      <w:r w:rsidR="00495712" w:rsidRPr="00357899">
        <w:rPr>
          <w:sz w:val="24"/>
          <w:szCs w:val="24"/>
        </w:rPr>
        <w:t xml:space="preserve">tion in </w:t>
      </w:r>
      <w:r w:rsidR="00705718" w:rsidRPr="00357899">
        <w:rPr>
          <w:sz w:val="24"/>
          <w:szCs w:val="24"/>
        </w:rPr>
        <w:t xml:space="preserve">imaging turnaround times to improve </w:t>
      </w:r>
      <w:r w:rsidR="00707FEE" w:rsidRPr="00357899">
        <w:rPr>
          <w:sz w:val="24"/>
          <w:szCs w:val="24"/>
        </w:rPr>
        <w:t>access to imaging</w:t>
      </w:r>
      <w:r w:rsidR="00705718" w:rsidRPr="00357899">
        <w:rPr>
          <w:sz w:val="24"/>
          <w:szCs w:val="24"/>
        </w:rPr>
        <w:t>,</w:t>
      </w:r>
      <w:r w:rsidR="00707FEE" w:rsidRPr="00357899">
        <w:rPr>
          <w:sz w:val="24"/>
          <w:szCs w:val="24"/>
        </w:rPr>
        <w:t xml:space="preserve"> and operational efficiencies. </w:t>
      </w:r>
      <w:r w:rsidR="00B4411E" w:rsidRPr="00357899">
        <w:rPr>
          <w:sz w:val="24"/>
          <w:szCs w:val="24"/>
        </w:rPr>
        <w:t xml:space="preserve">Shields Management will </w:t>
      </w:r>
      <w:r w:rsidR="00DC6012" w:rsidRPr="00357899">
        <w:rPr>
          <w:sz w:val="24"/>
          <w:szCs w:val="24"/>
        </w:rPr>
        <w:t xml:space="preserve">utilize its operational and management </w:t>
      </w:r>
      <w:r w:rsidR="00DC6012" w:rsidRPr="00357899">
        <w:rPr>
          <w:sz w:val="24"/>
          <w:szCs w:val="24"/>
        </w:rPr>
        <w:lastRenderedPageBreak/>
        <w:t>service expertise</w:t>
      </w:r>
      <w:r w:rsidR="00DC6012" w:rsidRPr="0035170A">
        <w:rPr>
          <w:sz w:val="24"/>
          <w:szCs w:val="24"/>
        </w:rPr>
        <w:t xml:space="preserve"> in outpatient services to </w:t>
      </w:r>
      <w:r w:rsidR="00B4411E" w:rsidRPr="0035170A">
        <w:rPr>
          <w:sz w:val="24"/>
          <w:szCs w:val="24"/>
        </w:rPr>
        <w:t xml:space="preserve">maximize operational and scheduling efficiencies to improve patient and referring provider satisfaction. </w:t>
      </w:r>
    </w:p>
    <w:p w14:paraId="677F6D9F" w14:textId="6F29F4C1" w:rsidR="003E1CDA" w:rsidRPr="0076136D" w:rsidRDefault="003E1CDA">
      <w:pPr>
        <w:rPr>
          <w:b/>
          <w:bCs/>
          <w:i/>
          <w:iCs/>
          <w:sz w:val="24"/>
          <w:szCs w:val="24"/>
        </w:rPr>
      </w:pPr>
      <w:r w:rsidRPr="0076136D">
        <w:rPr>
          <w:b/>
          <w:bCs/>
          <w:i/>
          <w:iCs/>
          <w:sz w:val="24"/>
          <w:szCs w:val="24"/>
        </w:rPr>
        <w:t>Analysis</w:t>
      </w:r>
    </w:p>
    <w:p w14:paraId="12315D29" w14:textId="14AE1FC4" w:rsidR="00137187" w:rsidRDefault="00E316F1" w:rsidP="00200E14">
      <w:pPr>
        <w:spacing w:line="240" w:lineRule="auto"/>
        <w:rPr>
          <w:sz w:val="24"/>
          <w:szCs w:val="24"/>
        </w:rPr>
      </w:pPr>
      <w:r w:rsidRPr="00250142">
        <w:rPr>
          <w:sz w:val="24"/>
          <w:szCs w:val="24"/>
        </w:rPr>
        <w:t>Review of the literature points to evidence which suggests access to integrated health information technology systems directly impacts health outcomes through reducing fragmentation and improving coordination among care providers.</w:t>
      </w:r>
      <w:r w:rsidRPr="00220821">
        <w:rPr>
          <w:rStyle w:val="EndnoteReference"/>
          <w:sz w:val="24"/>
          <w:szCs w:val="24"/>
        </w:rPr>
        <w:endnoteReference w:id="6"/>
      </w:r>
      <w:r w:rsidR="00220821" w:rsidRPr="00220821">
        <w:rPr>
          <w:sz w:val="24"/>
          <w:szCs w:val="24"/>
          <w:vertAlign w:val="superscript"/>
        </w:rPr>
        <w:t>,</w:t>
      </w:r>
      <w:r w:rsidR="00750FA4" w:rsidRPr="00220821">
        <w:rPr>
          <w:rStyle w:val="EndnoteReference"/>
          <w:sz w:val="24"/>
          <w:szCs w:val="24"/>
        </w:rPr>
        <w:endnoteReference w:id="7"/>
      </w:r>
      <w:r w:rsidRPr="00250142">
        <w:rPr>
          <w:sz w:val="24"/>
          <w:szCs w:val="24"/>
        </w:rPr>
        <w:t xml:space="preserve"> Similarly other studies show that integrated health information technology systems directly affect health outcomes, as access to a single, integrated health record, can reduce errors, improve patient safety, and support better patient outcomes.</w:t>
      </w:r>
      <w:r w:rsidRPr="00250142">
        <w:rPr>
          <w:rStyle w:val="EndnoteReference"/>
          <w:sz w:val="24"/>
          <w:szCs w:val="24"/>
        </w:rPr>
        <w:endnoteReference w:id="8"/>
      </w:r>
      <w:r>
        <w:rPr>
          <w:sz w:val="24"/>
          <w:szCs w:val="24"/>
        </w:rPr>
        <w:t xml:space="preserve"> </w:t>
      </w:r>
    </w:p>
    <w:p w14:paraId="008FBDC3" w14:textId="77777777" w:rsidR="00A155B4" w:rsidRPr="00250142" w:rsidRDefault="00A155B4" w:rsidP="00200E14">
      <w:pPr>
        <w:spacing w:line="240" w:lineRule="auto"/>
        <w:rPr>
          <w:sz w:val="24"/>
          <w:szCs w:val="24"/>
        </w:rPr>
      </w:pPr>
    </w:p>
    <w:p w14:paraId="5401ABD5" w14:textId="360E5543" w:rsidR="003E1CDA" w:rsidRPr="003E1CDA" w:rsidRDefault="003E1CDA" w:rsidP="003E1CDA">
      <w:pPr>
        <w:spacing w:after="0" w:line="240" w:lineRule="auto"/>
        <w:rPr>
          <w:b/>
          <w:bCs/>
          <w:sz w:val="28"/>
          <w:szCs w:val="28"/>
        </w:rPr>
      </w:pPr>
      <w:r w:rsidRPr="003E1CDA">
        <w:rPr>
          <w:b/>
          <w:bCs/>
          <w:sz w:val="28"/>
          <w:szCs w:val="28"/>
        </w:rPr>
        <w:t xml:space="preserve">Factor 1: d) Consultation </w:t>
      </w:r>
    </w:p>
    <w:p w14:paraId="5F29F91F" w14:textId="77777777" w:rsidR="003E1CDA" w:rsidRPr="003E1CDA" w:rsidRDefault="003E1CDA" w:rsidP="003E1CDA">
      <w:pPr>
        <w:spacing w:after="0" w:line="240" w:lineRule="auto"/>
        <w:rPr>
          <w:sz w:val="24"/>
          <w:szCs w:val="24"/>
        </w:rPr>
      </w:pPr>
      <w:r w:rsidRPr="003E1CDA">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684705EE" w14:textId="77777777" w:rsidR="003E1CDA" w:rsidRPr="003E1CDA" w:rsidRDefault="003E1CDA" w:rsidP="003E1CDA"/>
    <w:p w14:paraId="38445CEF" w14:textId="7DC765E7" w:rsidR="003E1CDA" w:rsidRPr="003E1CDA" w:rsidRDefault="003E1CDA" w:rsidP="003E1CDA">
      <w:pPr>
        <w:spacing w:after="0" w:line="240" w:lineRule="auto"/>
      </w:pPr>
      <w:r w:rsidRPr="003E1CDA">
        <w:rPr>
          <w:b/>
          <w:bCs/>
          <w:sz w:val="28"/>
          <w:szCs w:val="28"/>
        </w:rPr>
        <w:t xml:space="preserve">Factor 1: e) Evidence of Sound Community Engagement through the Patient Panel </w:t>
      </w:r>
    </w:p>
    <w:p w14:paraId="31AE182A" w14:textId="77777777" w:rsidR="003E1CDA" w:rsidRPr="003E1CDA" w:rsidRDefault="003E1CDA" w:rsidP="003E1CDA">
      <w:pPr>
        <w:spacing w:after="0" w:line="240" w:lineRule="auto"/>
        <w:rPr>
          <w:sz w:val="24"/>
          <w:szCs w:val="24"/>
        </w:rPr>
      </w:pPr>
      <w:r w:rsidRPr="003E1CDA">
        <w:rPr>
          <w:sz w:val="24"/>
          <w:szCs w:val="24"/>
        </w:rPr>
        <w:t>The Department’s Guideline</w:t>
      </w:r>
      <w:r w:rsidRPr="003E1CDA">
        <w:rPr>
          <w:sz w:val="24"/>
          <w:szCs w:val="24"/>
          <w:vertAlign w:val="superscript"/>
        </w:rPr>
        <w:footnoteReference w:id="21"/>
      </w:r>
      <w:r w:rsidRPr="003E1CDA">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3E1CDA">
        <w:rPr>
          <w:sz w:val="24"/>
          <w:szCs w:val="24"/>
          <w:vertAlign w:val="superscript"/>
        </w:rPr>
        <w:footnoteReference w:id="22"/>
      </w:r>
    </w:p>
    <w:p w14:paraId="10D852A6" w14:textId="77777777" w:rsidR="002C3BAF" w:rsidRDefault="002C3BAF" w:rsidP="00A21A6C"/>
    <w:p w14:paraId="3696202A" w14:textId="3D982536" w:rsidR="003E1CDA" w:rsidRDefault="003E1CDA" w:rsidP="00A21A6C">
      <w:pPr>
        <w:rPr>
          <w:sz w:val="24"/>
          <w:szCs w:val="24"/>
        </w:rPr>
      </w:pPr>
      <w:r w:rsidRPr="003E1CDA">
        <w:rPr>
          <w:sz w:val="24"/>
          <w:szCs w:val="24"/>
        </w:rPr>
        <w:t>To ensure sound community engagement throughout the development of the Proposed Project, the Applicant took the following actions:</w:t>
      </w:r>
    </w:p>
    <w:p w14:paraId="696A9D8F" w14:textId="530BCD39" w:rsidR="004B4BAE" w:rsidRPr="00805068" w:rsidRDefault="008F6795" w:rsidP="00805068">
      <w:pPr>
        <w:spacing w:line="240" w:lineRule="auto"/>
        <w:rPr>
          <w:b/>
          <w:bCs/>
          <w:sz w:val="24"/>
          <w:szCs w:val="24"/>
        </w:rPr>
      </w:pPr>
      <w:r w:rsidRPr="00805068">
        <w:rPr>
          <w:b/>
          <w:bCs/>
          <w:sz w:val="24"/>
          <w:szCs w:val="24"/>
        </w:rPr>
        <w:t xml:space="preserve">Presentation to Heywood Healthcare’s Patient and Family Advisory Council (PFAC) </w:t>
      </w:r>
      <w:r w:rsidR="00BE3D09" w:rsidRPr="00805068">
        <w:rPr>
          <w:b/>
          <w:bCs/>
          <w:sz w:val="24"/>
          <w:szCs w:val="24"/>
        </w:rPr>
        <w:t xml:space="preserve">and Multicultural Group </w:t>
      </w:r>
      <w:r w:rsidRPr="00805068">
        <w:rPr>
          <w:b/>
          <w:bCs/>
          <w:sz w:val="24"/>
          <w:szCs w:val="24"/>
        </w:rPr>
        <w:t>on March 30, 2021.</w:t>
      </w:r>
      <w:r w:rsidR="0042725F">
        <w:rPr>
          <w:rStyle w:val="FootnoteReference"/>
          <w:b/>
          <w:bCs/>
          <w:sz w:val="24"/>
          <w:szCs w:val="24"/>
        </w:rPr>
        <w:footnoteReference w:id="23"/>
      </w:r>
      <w:r w:rsidRPr="00805068">
        <w:rPr>
          <w:b/>
          <w:bCs/>
          <w:sz w:val="24"/>
          <w:szCs w:val="24"/>
        </w:rPr>
        <w:t xml:space="preserve"> </w:t>
      </w:r>
      <w:r w:rsidR="007752AC" w:rsidRPr="00805068">
        <w:rPr>
          <w:sz w:val="24"/>
          <w:szCs w:val="24"/>
        </w:rPr>
        <w:t xml:space="preserve">The Applicant states that the PFAC was engaged because it is an important forum for creating partnerships among patients, family, and staff. </w:t>
      </w:r>
      <w:r w:rsidR="00E67279" w:rsidRPr="00805068">
        <w:rPr>
          <w:sz w:val="24"/>
          <w:szCs w:val="24"/>
        </w:rPr>
        <w:t xml:space="preserve">Heywood PFAC membership consists of 14 members, 12 family/community and two Heywood employees. Athol PFAC membership includes 12 members, nine family/community and three Athol employees. </w:t>
      </w:r>
      <w:r w:rsidR="00884D33" w:rsidRPr="00805068">
        <w:rPr>
          <w:sz w:val="24"/>
          <w:szCs w:val="24"/>
        </w:rPr>
        <w:t xml:space="preserve">The combined PFAC is representative of the demographic of the Patient Panel based on gender (men and women), age (40-79), employment status (some retired), race/ethnicity (Caucasian, Black, Hispanic/Latino and several identifying as </w:t>
      </w:r>
      <w:r w:rsidR="00884D33" w:rsidRPr="000B5D27">
        <w:rPr>
          <w:sz w:val="24"/>
          <w:szCs w:val="24"/>
        </w:rPr>
        <w:t xml:space="preserve">biracial and </w:t>
      </w:r>
      <w:r w:rsidR="00C464EA">
        <w:rPr>
          <w:sz w:val="24"/>
          <w:szCs w:val="24"/>
        </w:rPr>
        <w:t>multi</w:t>
      </w:r>
      <w:r w:rsidR="00884D33" w:rsidRPr="000B5D27">
        <w:rPr>
          <w:sz w:val="24"/>
          <w:szCs w:val="24"/>
        </w:rPr>
        <w:t>ethnic),</w:t>
      </w:r>
      <w:r w:rsidR="00884D33" w:rsidRPr="00805068">
        <w:rPr>
          <w:sz w:val="24"/>
          <w:szCs w:val="24"/>
        </w:rPr>
        <w:t xml:space="preserve"> language (Spanish and Swahili speakers)</w:t>
      </w:r>
      <w:r w:rsidR="002D6E33" w:rsidRPr="00805068">
        <w:rPr>
          <w:sz w:val="24"/>
          <w:szCs w:val="24"/>
        </w:rPr>
        <w:t>, and geography (representation from almost all towns in Heywood Healthcare’s service area).</w:t>
      </w:r>
      <w:r w:rsidR="006C0DE7" w:rsidRPr="00805068">
        <w:rPr>
          <w:sz w:val="24"/>
          <w:szCs w:val="24"/>
        </w:rPr>
        <w:t xml:space="preserve"> A total of 41 members representing many different organization</w:t>
      </w:r>
      <w:r w:rsidR="007852A9">
        <w:rPr>
          <w:sz w:val="24"/>
          <w:szCs w:val="24"/>
        </w:rPr>
        <w:t>s</w:t>
      </w:r>
      <w:r w:rsidR="006C0DE7" w:rsidRPr="00805068">
        <w:rPr>
          <w:sz w:val="24"/>
          <w:szCs w:val="24"/>
        </w:rPr>
        <w:t xml:space="preserve"> (i.e. Gardner Area Interagency Team (GAIT), Community Health </w:t>
      </w:r>
      <w:r w:rsidR="006C0DE7" w:rsidRPr="00805068">
        <w:rPr>
          <w:sz w:val="24"/>
          <w:szCs w:val="24"/>
        </w:rPr>
        <w:lastRenderedPageBreak/>
        <w:t xml:space="preserve">Centers, Leominster Haitian American Community Center, and the North Central Mass Minority Coalition), are invited to Multicultural Group meetings, which is now called Diversity, Equity, and Inclusion. </w:t>
      </w:r>
    </w:p>
    <w:p w14:paraId="50D7145A" w14:textId="50A8EED7" w:rsidR="008F6795" w:rsidRPr="006C3591" w:rsidRDefault="007752AC" w:rsidP="006C3591">
      <w:pPr>
        <w:spacing w:line="240" w:lineRule="auto"/>
        <w:rPr>
          <w:b/>
          <w:bCs/>
          <w:sz w:val="24"/>
          <w:szCs w:val="24"/>
        </w:rPr>
      </w:pPr>
      <w:r w:rsidRPr="006C3591">
        <w:rPr>
          <w:sz w:val="24"/>
          <w:szCs w:val="24"/>
        </w:rPr>
        <w:t xml:space="preserve">Seven people </w:t>
      </w:r>
      <w:r w:rsidR="00ED73D4" w:rsidRPr="006C3591">
        <w:rPr>
          <w:sz w:val="24"/>
          <w:szCs w:val="24"/>
        </w:rPr>
        <w:t>attended</w:t>
      </w:r>
      <w:r w:rsidR="004B4BAE" w:rsidRPr="006C3591">
        <w:rPr>
          <w:sz w:val="24"/>
          <w:szCs w:val="24"/>
        </w:rPr>
        <w:t xml:space="preserve"> the </w:t>
      </w:r>
      <w:r w:rsidR="00805068">
        <w:rPr>
          <w:sz w:val="24"/>
          <w:szCs w:val="24"/>
        </w:rPr>
        <w:t>March 30</w:t>
      </w:r>
      <w:r w:rsidR="00805068" w:rsidRPr="00805068">
        <w:rPr>
          <w:sz w:val="24"/>
          <w:szCs w:val="24"/>
          <w:vertAlign w:val="superscript"/>
        </w:rPr>
        <w:t>th</w:t>
      </w:r>
      <w:r w:rsidR="00805068">
        <w:rPr>
          <w:sz w:val="24"/>
          <w:szCs w:val="24"/>
        </w:rPr>
        <w:t xml:space="preserve"> </w:t>
      </w:r>
      <w:r w:rsidR="004B4BAE" w:rsidRPr="006C3591">
        <w:rPr>
          <w:sz w:val="24"/>
          <w:szCs w:val="24"/>
        </w:rPr>
        <w:t>meeting</w:t>
      </w:r>
      <w:r w:rsidR="00C464EA">
        <w:rPr>
          <w:sz w:val="24"/>
          <w:szCs w:val="24"/>
        </w:rPr>
        <w:t xml:space="preserve"> including</w:t>
      </w:r>
      <w:r w:rsidRPr="006C3591">
        <w:rPr>
          <w:sz w:val="24"/>
          <w:szCs w:val="24"/>
        </w:rPr>
        <w:t xml:space="preserve"> four Heywood Healthcare staff members and three community PFAC members. The Applicant sought input from the PFAC on existing MRI service and age of equipment</w:t>
      </w:r>
      <w:r w:rsidR="00C464EA">
        <w:rPr>
          <w:sz w:val="24"/>
          <w:szCs w:val="24"/>
        </w:rPr>
        <w:t>,</w:t>
      </w:r>
      <w:r w:rsidRPr="006C3591">
        <w:rPr>
          <w:sz w:val="24"/>
          <w:szCs w:val="24"/>
        </w:rPr>
        <w:t xml:space="preserve"> impending expiration of existing PET-CT and MRI vendor arrangement</w:t>
      </w:r>
      <w:r w:rsidR="00C464EA">
        <w:rPr>
          <w:sz w:val="24"/>
          <w:szCs w:val="24"/>
        </w:rPr>
        <w:t>,</w:t>
      </w:r>
      <w:r w:rsidRPr="006C3591">
        <w:rPr>
          <w:sz w:val="24"/>
          <w:szCs w:val="24"/>
        </w:rPr>
        <w:t xml:space="preserve"> and impact of service adjustment on the patient population. The discussion of the Proposed Project included imaging modality upgrades; improved access to PET-CT and MR imaging services and operational efficiencies resulting from the Proposed Project. The Applicant notes the feedback received during the presentation was overwhelmingly positive.</w:t>
      </w:r>
    </w:p>
    <w:p w14:paraId="351C8F1D" w14:textId="77777777" w:rsidR="003E1CDA" w:rsidRPr="003E1CDA" w:rsidRDefault="003E1CDA" w:rsidP="003E1CDA">
      <w:pPr>
        <w:spacing w:after="0" w:line="240" w:lineRule="auto"/>
        <w:rPr>
          <w:b/>
          <w:bCs/>
          <w:i/>
          <w:iCs/>
          <w:sz w:val="24"/>
          <w:szCs w:val="24"/>
        </w:rPr>
      </w:pPr>
      <w:r w:rsidRPr="003E1CDA">
        <w:rPr>
          <w:b/>
          <w:bCs/>
          <w:i/>
          <w:iCs/>
          <w:sz w:val="24"/>
          <w:szCs w:val="24"/>
        </w:rPr>
        <w:t xml:space="preserve">Analysis </w:t>
      </w:r>
    </w:p>
    <w:p w14:paraId="23AB0DC6" w14:textId="77777777" w:rsidR="003E1CDA" w:rsidRPr="003E1CDA" w:rsidRDefault="003E1CDA" w:rsidP="003E1CDA">
      <w:pPr>
        <w:spacing w:after="0" w:line="240" w:lineRule="auto"/>
        <w:rPr>
          <w:sz w:val="24"/>
          <w:szCs w:val="24"/>
        </w:rPr>
      </w:pPr>
      <w:r w:rsidRPr="003E1CDA">
        <w:rPr>
          <w:sz w:val="24"/>
          <w:szCs w:val="24"/>
        </w:rPr>
        <w:t>Staff finds that the Applicant met the minimum required community engagement standard of Consult in the planning phase of the Proposed Project.</w:t>
      </w:r>
    </w:p>
    <w:p w14:paraId="4F343094" w14:textId="20388F49" w:rsidR="003E1CDA" w:rsidRDefault="003E1CDA"/>
    <w:p w14:paraId="2E0D1A03" w14:textId="77777777" w:rsidR="003E1CDA" w:rsidRPr="003E1CDA" w:rsidRDefault="003E1CDA" w:rsidP="003E1CDA">
      <w:pPr>
        <w:rPr>
          <w:b/>
          <w:bCs/>
          <w:sz w:val="28"/>
          <w:szCs w:val="28"/>
        </w:rPr>
      </w:pPr>
      <w:r w:rsidRPr="003E1CDA">
        <w:rPr>
          <w:b/>
          <w:bCs/>
          <w:sz w:val="28"/>
          <w:szCs w:val="28"/>
        </w:rPr>
        <w:t xml:space="preserve">Factor 1: f) Competition </w:t>
      </w:r>
      <w:proofErr w:type="gramStart"/>
      <w:r w:rsidRPr="003E1CDA">
        <w:rPr>
          <w:b/>
          <w:bCs/>
          <w:sz w:val="28"/>
          <w:szCs w:val="28"/>
        </w:rPr>
        <w:t>On</w:t>
      </w:r>
      <w:proofErr w:type="gramEnd"/>
      <w:r w:rsidRPr="003E1CDA">
        <w:rPr>
          <w:b/>
          <w:bCs/>
          <w:sz w:val="28"/>
          <w:szCs w:val="28"/>
        </w:rPr>
        <w:t xml:space="preserve"> Price, Total Medical Expenses (TME), Costs And Other Measures Of Health Care Spending</w:t>
      </w:r>
    </w:p>
    <w:p w14:paraId="324A2AC7" w14:textId="0B76B062" w:rsidR="00655AC6" w:rsidRPr="00B269B1" w:rsidRDefault="00655AC6" w:rsidP="00B269B1">
      <w:pPr>
        <w:spacing w:after="0" w:line="240" w:lineRule="auto"/>
        <w:rPr>
          <w:sz w:val="24"/>
          <w:szCs w:val="24"/>
        </w:rPr>
      </w:pPr>
      <w:r w:rsidRPr="00B269B1">
        <w:rPr>
          <w:sz w:val="24"/>
          <w:szCs w:val="24"/>
        </w:rPr>
        <w:t xml:space="preserve">The Applicant asserts that the Proposed Project will not have an adverse effect on competition in the Massachusetts healthcare market based on price, TME, provider costs, or other recognized measures of healthcare spending </w:t>
      </w:r>
      <w:r w:rsidR="00805068">
        <w:rPr>
          <w:sz w:val="24"/>
          <w:szCs w:val="24"/>
        </w:rPr>
        <w:t>based on the following:</w:t>
      </w:r>
    </w:p>
    <w:p w14:paraId="014BCA58" w14:textId="3939DECF" w:rsidR="00655AC6" w:rsidRPr="00B269B1" w:rsidRDefault="00655AC6" w:rsidP="00B269B1">
      <w:pPr>
        <w:pStyle w:val="ListParagraph"/>
        <w:numPr>
          <w:ilvl w:val="0"/>
          <w:numId w:val="13"/>
        </w:numPr>
        <w:spacing w:after="0" w:line="240" w:lineRule="auto"/>
        <w:rPr>
          <w:sz w:val="24"/>
          <w:szCs w:val="24"/>
        </w:rPr>
      </w:pPr>
      <w:r w:rsidRPr="00B269B1">
        <w:rPr>
          <w:sz w:val="24"/>
          <w:szCs w:val="24"/>
        </w:rPr>
        <w:t>Shields</w:t>
      </w:r>
      <w:r w:rsidR="00805068">
        <w:rPr>
          <w:sz w:val="24"/>
          <w:szCs w:val="24"/>
        </w:rPr>
        <w:t>’</w:t>
      </w:r>
      <w:r w:rsidRPr="00B269B1">
        <w:rPr>
          <w:sz w:val="24"/>
          <w:szCs w:val="24"/>
        </w:rPr>
        <w:t xml:space="preserve"> operating model allows for improved scheduling, workflow, technology, and customer service, which the Applicant asserts will have a positive impact on the cost to provide care</w:t>
      </w:r>
      <w:r w:rsidR="00805068">
        <w:rPr>
          <w:sz w:val="24"/>
          <w:szCs w:val="24"/>
        </w:rPr>
        <w:t>.</w:t>
      </w:r>
    </w:p>
    <w:p w14:paraId="757DC849" w14:textId="3E35B936" w:rsidR="00655AC6" w:rsidRPr="00B269B1" w:rsidRDefault="00655AC6" w:rsidP="00B269B1">
      <w:pPr>
        <w:pStyle w:val="ListParagraph"/>
        <w:numPr>
          <w:ilvl w:val="0"/>
          <w:numId w:val="13"/>
        </w:numPr>
        <w:spacing w:line="240" w:lineRule="auto"/>
        <w:rPr>
          <w:sz w:val="24"/>
          <w:szCs w:val="24"/>
        </w:rPr>
      </w:pPr>
      <w:r w:rsidRPr="00B269B1">
        <w:rPr>
          <w:sz w:val="24"/>
          <w:szCs w:val="24"/>
        </w:rPr>
        <w:t xml:space="preserve">The clinic will operate as an independent </w:t>
      </w:r>
      <w:r w:rsidR="001C6CAB" w:rsidRPr="00B269B1">
        <w:rPr>
          <w:sz w:val="24"/>
          <w:szCs w:val="24"/>
        </w:rPr>
        <w:t xml:space="preserve">diagnostic </w:t>
      </w:r>
      <w:r w:rsidRPr="00B269B1">
        <w:rPr>
          <w:sz w:val="24"/>
          <w:szCs w:val="24"/>
        </w:rPr>
        <w:t>testing facility (IDTF) which is reimbursed at lower rates than hospital-based</w:t>
      </w:r>
      <w:r w:rsidR="00805068">
        <w:rPr>
          <w:sz w:val="24"/>
          <w:szCs w:val="24"/>
        </w:rPr>
        <w:t xml:space="preserve"> imaging</w:t>
      </w:r>
      <w:r w:rsidRPr="00B269B1">
        <w:rPr>
          <w:sz w:val="24"/>
          <w:szCs w:val="24"/>
        </w:rPr>
        <w:t>.</w:t>
      </w:r>
      <w:r w:rsidR="001C6CAB" w:rsidRPr="00B269B1">
        <w:rPr>
          <w:rStyle w:val="FootnoteReference"/>
          <w:sz w:val="24"/>
          <w:szCs w:val="24"/>
        </w:rPr>
        <w:footnoteReference w:id="24"/>
      </w:r>
      <w:r w:rsidRPr="00B269B1">
        <w:rPr>
          <w:sz w:val="24"/>
          <w:szCs w:val="24"/>
        </w:rPr>
        <w:t xml:space="preserve"> </w:t>
      </w:r>
    </w:p>
    <w:p w14:paraId="62D19DA9" w14:textId="707F1ED1" w:rsidR="0061656A" w:rsidRPr="00B269B1" w:rsidRDefault="00805068" w:rsidP="00B269B1">
      <w:pPr>
        <w:pStyle w:val="ListParagraph"/>
        <w:numPr>
          <w:ilvl w:val="0"/>
          <w:numId w:val="13"/>
        </w:numPr>
        <w:spacing w:line="240" w:lineRule="auto"/>
        <w:rPr>
          <w:sz w:val="24"/>
          <w:szCs w:val="24"/>
        </w:rPr>
      </w:pPr>
      <w:r>
        <w:rPr>
          <w:sz w:val="24"/>
          <w:szCs w:val="24"/>
        </w:rPr>
        <w:t>The Proposed Project will a</w:t>
      </w:r>
      <w:r w:rsidR="0061656A" w:rsidRPr="00B269B1">
        <w:rPr>
          <w:sz w:val="24"/>
          <w:szCs w:val="24"/>
        </w:rPr>
        <w:t>llow the Applicant to provide PET-CT services without a significant capital expenditure</w:t>
      </w:r>
      <w:r w:rsidR="00A271D9">
        <w:rPr>
          <w:sz w:val="24"/>
          <w:szCs w:val="24"/>
        </w:rPr>
        <w:t>.</w:t>
      </w:r>
      <w:r w:rsidR="0061656A" w:rsidRPr="00B269B1">
        <w:rPr>
          <w:sz w:val="24"/>
          <w:szCs w:val="24"/>
        </w:rPr>
        <w:t xml:space="preserve"> </w:t>
      </w:r>
    </w:p>
    <w:p w14:paraId="5D8DF4D5" w14:textId="4B8CF940" w:rsidR="00707B6B" w:rsidRDefault="00A271D9" w:rsidP="00707B6B">
      <w:pPr>
        <w:spacing w:line="240" w:lineRule="auto"/>
        <w:rPr>
          <w:sz w:val="24"/>
          <w:szCs w:val="24"/>
        </w:rPr>
      </w:pPr>
      <w:r>
        <w:rPr>
          <w:sz w:val="24"/>
          <w:szCs w:val="24"/>
        </w:rPr>
        <w:t>Of note, o</w:t>
      </w:r>
      <w:r w:rsidR="00707B6B" w:rsidRPr="00707B6B">
        <w:rPr>
          <w:sz w:val="24"/>
          <w:szCs w:val="24"/>
        </w:rPr>
        <w:t xml:space="preserve">veruse of imaging may translate into lower quality care </w:t>
      </w:r>
      <w:proofErr w:type="gramStart"/>
      <w:r w:rsidR="00707B6B" w:rsidRPr="00707B6B">
        <w:rPr>
          <w:sz w:val="24"/>
          <w:szCs w:val="24"/>
        </w:rPr>
        <w:t>as a result of</w:t>
      </w:r>
      <w:proofErr w:type="gramEnd"/>
      <w:r w:rsidR="00707B6B" w:rsidRPr="00707B6B">
        <w:rPr>
          <w:sz w:val="24"/>
          <w:szCs w:val="24"/>
        </w:rPr>
        <w:t xml:space="preserve"> worry, and unnecessary healthcare interventions including follow-up tests, treatments, visits, hospitalizations</w:t>
      </w:r>
      <w:r w:rsidR="00707B6B">
        <w:rPr>
          <w:sz w:val="24"/>
          <w:szCs w:val="24"/>
        </w:rPr>
        <w:t>, and increase</w:t>
      </w:r>
      <w:r w:rsidR="00F4442A">
        <w:rPr>
          <w:sz w:val="24"/>
          <w:szCs w:val="24"/>
        </w:rPr>
        <w:t>d</w:t>
      </w:r>
      <w:r w:rsidR="00707B6B">
        <w:rPr>
          <w:sz w:val="24"/>
          <w:szCs w:val="24"/>
        </w:rPr>
        <w:t xml:space="preserve"> healthcare spending.</w:t>
      </w:r>
      <w:r w:rsidR="009337F3">
        <w:rPr>
          <w:rStyle w:val="EndnoteReference"/>
          <w:sz w:val="24"/>
          <w:szCs w:val="24"/>
        </w:rPr>
        <w:endnoteReference w:id="9"/>
      </w:r>
      <w:r w:rsidR="00805068">
        <w:rPr>
          <w:sz w:val="24"/>
          <w:szCs w:val="24"/>
        </w:rPr>
        <w:t xml:space="preserve"> The Applicant states that i</w:t>
      </w:r>
      <w:r w:rsidR="00805068" w:rsidRPr="00805068">
        <w:rPr>
          <w:sz w:val="24"/>
          <w:szCs w:val="24"/>
        </w:rPr>
        <w:t>n order to ensure that the appropriate imaging exam is being performed</w:t>
      </w:r>
      <w:r w:rsidR="000E7E02">
        <w:rPr>
          <w:sz w:val="24"/>
          <w:szCs w:val="24"/>
        </w:rPr>
        <w:t xml:space="preserve"> in the correct modality and whether to do it with contra</w:t>
      </w:r>
      <w:r w:rsidR="00B371E0">
        <w:rPr>
          <w:sz w:val="24"/>
          <w:szCs w:val="24"/>
        </w:rPr>
        <w:t>s</w:t>
      </w:r>
      <w:r w:rsidR="000E7E02">
        <w:rPr>
          <w:sz w:val="24"/>
          <w:szCs w:val="24"/>
        </w:rPr>
        <w:t>t</w:t>
      </w:r>
      <w:r w:rsidR="00805068" w:rsidRPr="00805068">
        <w:rPr>
          <w:sz w:val="24"/>
          <w:szCs w:val="24"/>
        </w:rPr>
        <w:t>, radiologists protocol all orders prior to moving forward with the MRI.</w:t>
      </w:r>
    </w:p>
    <w:p w14:paraId="7A42DBAC" w14:textId="77777777" w:rsidR="000B0D1A" w:rsidRPr="00707B6B" w:rsidRDefault="000B0D1A" w:rsidP="00707B6B">
      <w:pPr>
        <w:spacing w:line="240" w:lineRule="auto"/>
        <w:rPr>
          <w:sz w:val="24"/>
          <w:szCs w:val="24"/>
        </w:rPr>
      </w:pPr>
    </w:p>
    <w:p w14:paraId="59650E2A" w14:textId="31E72D3F" w:rsidR="003E1CDA" w:rsidRPr="004E656E" w:rsidRDefault="003E1CDA">
      <w:pPr>
        <w:rPr>
          <w:b/>
          <w:bCs/>
          <w:i/>
          <w:iCs/>
          <w:sz w:val="24"/>
          <w:szCs w:val="24"/>
        </w:rPr>
      </w:pPr>
      <w:r w:rsidRPr="004E656E">
        <w:rPr>
          <w:b/>
          <w:bCs/>
          <w:i/>
          <w:iCs/>
          <w:sz w:val="24"/>
          <w:szCs w:val="24"/>
        </w:rPr>
        <w:t xml:space="preserve">Analysis </w:t>
      </w:r>
    </w:p>
    <w:p w14:paraId="6038AC66" w14:textId="77777777" w:rsidR="0039177C" w:rsidRDefault="00B27A18" w:rsidP="006A2549">
      <w:pPr>
        <w:spacing w:line="240" w:lineRule="auto"/>
        <w:rPr>
          <w:sz w:val="24"/>
          <w:szCs w:val="24"/>
        </w:rPr>
      </w:pPr>
      <w:r w:rsidRPr="006A2549">
        <w:rPr>
          <w:sz w:val="24"/>
          <w:szCs w:val="24"/>
        </w:rPr>
        <w:lastRenderedPageBreak/>
        <w:t xml:space="preserve">Staff notes that </w:t>
      </w:r>
      <w:r w:rsidR="006A2549" w:rsidRPr="006A2549">
        <w:rPr>
          <w:sz w:val="24"/>
          <w:szCs w:val="24"/>
        </w:rPr>
        <w:t>the Applicant seeks to replace an existing service that is currently provided through a different imaging vendor</w:t>
      </w:r>
      <w:r w:rsidR="001002AD">
        <w:rPr>
          <w:sz w:val="24"/>
          <w:szCs w:val="24"/>
        </w:rPr>
        <w:t xml:space="preserve"> </w:t>
      </w:r>
      <w:r w:rsidR="00ED73D4">
        <w:rPr>
          <w:sz w:val="24"/>
          <w:szCs w:val="24"/>
        </w:rPr>
        <w:t>to</w:t>
      </w:r>
      <w:r w:rsidR="001002AD">
        <w:rPr>
          <w:sz w:val="24"/>
          <w:szCs w:val="24"/>
        </w:rPr>
        <w:t xml:space="preserve"> </w:t>
      </w:r>
      <w:r w:rsidR="006A2549" w:rsidRPr="006A2549">
        <w:rPr>
          <w:sz w:val="24"/>
          <w:szCs w:val="24"/>
        </w:rPr>
        <w:t xml:space="preserve">provide access to </w:t>
      </w:r>
      <w:r w:rsidR="00805068">
        <w:rPr>
          <w:sz w:val="24"/>
          <w:szCs w:val="24"/>
        </w:rPr>
        <w:t xml:space="preserve">imaging </w:t>
      </w:r>
      <w:r w:rsidR="006A2549" w:rsidRPr="006A2549">
        <w:rPr>
          <w:sz w:val="24"/>
          <w:szCs w:val="24"/>
        </w:rPr>
        <w:t>service</w:t>
      </w:r>
      <w:r w:rsidR="00805068">
        <w:rPr>
          <w:sz w:val="24"/>
          <w:szCs w:val="24"/>
        </w:rPr>
        <w:t>s</w:t>
      </w:r>
      <w:r w:rsidR="006A2549" w:rsidRPr="006A2549">
        <w:rPr>
          <w:sz w:val="24"/>
          <w:szCs w:val="24"/>
        </w:rPr>
        <w:t xml:space="preserve"> that corresponds to historical utilization. </w:t>
      </w:r>
      <w:r w:rsidR="004C288C">
        <w:rPr>
          <w:sz w:val="24"/>
          <w:szCs w:val="24"/>
        </w:rPr>
        <w:t xml:space="preserve">While advanced imaging improves clinical </w:t>
      </w:r>
      <w:r w:rsidR="00687E6C">
        <w:rPr>
          <w:sz w:val="24"/>
          <w:szCs w:val="24"/>
        </w:rPr>
        <w:t>care</w:t>
      </w:r>
      <w:r w:rsidR="004C288C">
        <w:rPr>
          <w:sz w:val="24"/>
          <w:szCs w:val="24"/>
        </w:rPr>
        <w:t>,</w:t>
      </w:r>
      <w:r w:rsidR="00805068">
        <w:rPr>
          <w:sz w:val="24"/>
          <w:szCs w:val="24"/>
        </w:rPr>
        <w:t xml:space="preserve"> it</w:t>
      </w:r>
      <w:r w:rsidR="004C288C">
        <w:rPr>
          <w:sz w:val="24"/>
          <w:szCs w:val="24"/>
        </w:rPr>
        <w:t xml:space="preserve"> </w:t>
      </w:r>
      <w:r w:rsidR="00A271D9">
        <w:rPr>
          <w:sz w:val="24"/>
          <w:szCs w:val="24"/>
        </w:rPr>
        <w:t xml:space="preserve">is </w:t>
      </w:r>
      <w:r w:rsidR="004C288C">
        <w:rPr>
          <w:sz w:val="24"/>
          <w:szCs w:val="24"/>
        </w:rPr>
        <w:t>also the source of overuse and added healthcare costs.</w:t>
      </w:r>
      <w:r w:rsidR="004C288C">
        <w:rPr>
          <w:rStyle w:val="EndnoteReference"/>
          <w:sz w:val="24"/>
          <w:szCs w:val="24"/>
        </w:rPr>
        <w:endnoteReference w:id="10"/>
      </w:r>
      <w:r w:rsidR="004C288C">
        <w:rPr>
          <w:sz w:val="24"/>
          <w:szCs w:val="24"/>
        </w:rPr>
        <w:t xml:space="preserve"> </w:t>
      </w:r>
      <w:r w:rsidR="00805068">
        <w:rPr>
          <w:sz w:val="24"/>
          <w:szCs w:val="24"/>
        </w:rPr>
        <w:t>S</w:t>
      </w:r>
      <w:r w:rsidRPr="006A2549">
        <w:rPr>
          <w:sz w:val="24"/>
          <w:szCs w:val="24"/>
        </w:rPr>
        <w:t>taff notes that excessive imaging remains a concern in the Commonwealth</w:t>
      </w:r>
      <w:r w:rsidR="00805068">
        <w:rPr>
          <w:sz w:val="24"/>
          <w:szCs w:val="24"/>
        </w:rPr>
        <w:t xml:space="preserve"> with </w:t>
      </w:r>
      <w:r w:rsidRPr="006A2549">
        <w:rPr>
          <w:sz w:val="24"/>
          <w:szCs w:val="24"/>
        </w:rPr>
        <w:t>Massachusetts rank</w:t>
      </w:r>
      <w:r w:rsidR="00805068">
        <w:rPr>
          <w:sz w:val="24"/>
          <w:szCs w:val="24"/>
        </w:rPr>
        <w:t>ing</w:t>
      </w:r>
      <w:r w:rsidRPr="006A2549">
        <w:rPr>
          <w:sz w:val="24"/>
          <w:szCs w:val="24"/>
        </w:rPr>
        <w:t xml:space="preserve"> </w:t>
      </w:r>
      <w:r w:rsidR="00D01CE1">
        <w:rPr>
          <w:sz w:val="24"/>
          <w:szCs w:val="24"/>
        </w:rPr>
        <w:t xml:space="preserve">fourth </w:t>
      </w:r>
      <w:r w:rsidRPr="006A2549">
        <w:rPr>
          <w:sz w:val="24"/>
          <w:szCs w:val="24"/>
        </w:rPr>
        <w:t>in the nation in Medicare spending for imaging.</w:t>
      </w:r>
      <w:r w:rsidRPr="006A2549">
        <w:rPr>
          <w:rStyle w:val="EndnoteReference"/>
          <w:sz w:val="24"/>
          <w:szCs w:val="24"/>
        </w:rPr>
        <w:endnoteReference w:id="11"/>
      </w:r>
      <w:r w:rsidR="006A2549" w:rsidRPr="006A2549">
        <w:rPr>
          <w:sz w:val="24"/>
          <w:szCs w:val="24"/>
        </w:rPr>
        <w:t xml:space="preserve"> </w:t>
      </w:r>
    </w:p>
    <w:p w14:paraId="7FC611BE" w14:textId="361BB698" w:rsidR="006A2549" w:rsidRPr="006A2549" w:rsidRDefault="00F61B75" w:rsidP="006A2549">
      <w:pPr>
        <w:spacing w:line="240" w:lineRule="auto"/>
        <w:rPr>
          <w:sz w:val="24"/>
          <w:szCs w:val="24"/>
        </w:rPr>
      </w:pPr>
      <w:r>
        <w:rPr>
          <w:bCs/>
          <w:sz w:val="24"/>
          <w:szCs w:val="24"/>
        </w:rPr>
        <w:t>The</w:t>
      </w:r>
      <w:r w:rsidRPr="00F61B75">
        <w:rPr>
          <w:bCs/>
          <w:sz w:val="24"/>
          <w:szCs w:val="24"/>
        </w:rPr>
        <w:t xml:space="preserve"> Applicant has </w:t>
      </w:r>
      <w:r w:rsidR="00805068">
        <w:rPr>
          <w:bCs/>
          <w:sz w:val="24"/>
          <w:szCs w:val="24"/>
        </w:rPr>
        <w:t xml:space="preserve">protocols </w:t>
      </w:r>
      <w:r w:rsidRPr="00F61B75">
        <w:rPr>
          <w:bCs/>
          <w:sz w:val="24"/>
          <w:szCs w:val="24"/>
        </w:rPr>
        <w:t>in place to support appropriate use of imaging and minimize overuse.</w:t>
      </w:r>
      <w:r>
        <w:rPr>
          <w:bCs/>
          <w:sz w:val="24"/>
          <w:szCs w:val="24"/>
        </w:rPr>
        <w:t xml:space="preserve"> </w:t>
      </w:r>
      <w:r w:rsidR="000B5D27">
        <w:rPr>
          <w:bCs/>
          <w:sz w:val="24"/>
          <w:szCs w:val="24"/>
        </w:rPr>
        <w:t xml:space="preserve">Staff </w:t>
      </w:r>
      <w:r w:rsidR="00A271D9">
        <w:rPr>
          <w:bCs/>
          <w:sz w:val="24"/>
          <w:szCs w:val="24"/>
        </w:rPr>
        <w:t xml:space="preserve">also </w:t>
      </w:r>
      <w:r w:rsidR="000B5D27">
        <w:rPr>
          <w:bCs/>
          <w:sz w:val="24"/>
          <w:szCs w:val="24"/>
        </w:rPr>
        <w:t xml:space="preserve">note that </w:t>
      </w:r>
      <w:r w:rsidRPr="00F61B75">
        <w:rPr>
          <w:bCs/>
          <w:sz w:val="24"/>
          <w:szCs w:val="24"/>
        </w:rPr>
        <w:t xml:space="preserve">CMS Clinical Decision Support Mechanism (CDSM) mandate will require new compliance measures when healthcare professionals order outpatient advanced imaging. </w:t>
      </w:r>
      <w:r w:rsidR="000B5D27" w:rsidRPr="000B5D27">
        <w:rPr>
          <w:bCs/>
          <w:sz w:val="24"/>
          <w:szCs w:val="24"/>
        </w:rPr>
        <w:t>Currently, the penalty phase is set to begin Jan. 1, 2022</w:t>
      </w:r>
      <w:r w:rsidR="000B5D27">
        <w:rPr>
          <w:bCs/>
          <w:sz w:val="24"/>
          <w:szCs w:val="24"/>
        </w:rPr>
        <w:t xml:space="preserve">, but </w:t>
      </w:r>
      <w:r w:rsidR="005A4450" w:rsidRPr="005A4450">
        <w:rPr>
          <w:bCs/>
          <w:sz w:val="24"/>
          <w:szCs w:val="24"/>
        </w:rPr>
        <w:t xml:space="preserve">CMS </w:t>
      </w:r>
      <w:r w:rsidR="000B5D27">
        <w:rPr>
          <w:bCs/>
          <w:sz w:val="24"/>
          <w:szCs w:val="24"/>
        </w:rPr>
        <w:t xml:space="preserve">has </w:t>
      </w:r>
      <w:r w:rsidR="005A4450" w:rsidRPr="005A4450">
        <w:rPr>
          <w:bCs/>
          <w:sz w:val="24"/>
          <w:szCs w:val="24"/>
        </w:rPr>
        <w:t>propos</w:t>
      </w:r>
      <w:r w:rsidR="000B5D27">
        <w:rPr>
          <w:bCs/>
          <w:sz w:val="24"/>
          <w:szCs w:val="24"/>
        </w:rPr>
        <w:t xml:space="preserve">ed </w:t>
      </w:r>
      <w:r w:rsidR="005A4450" w:rsidRPr="005A4450">
        <w:rPr>
          <w:bCs/>
          <w:sz w:val="24"/>
          <w:szCs w:val="24"/>
        </w:rPr>
        <w:t>delay</w:t>
      </w:r>
      <w:r w:rsidR="000B5D27">
        <w:rPr>
          <w:bCs/>
          <w:sz w:val="24"/>
          <w:szCs w:val="24"/>
        </w:rPr>
        <w:t>ing</w:t>
      </w:r>
      <w:r w:rsidR="005A4450" w:rsidRPr="005A4450">
        <w:rPr>
          <w:bCs/>
          <w:sz w:val="24"/>
          <w:szCs w:val="24"/>
        </w:rPr>
        <w:t xml:space="preserve"> implementation of the payment penalty phase of the Appropriate Use Criteria program to the later of Jan. 1, 2023, or the Jan. 1 </w:t>
      </w:r>
      <w:r w:rsidR="000B5D27">
        <w:rPr>
          <w:bCs/>
          <w:sz w:val="24"/>
          <w:szCs w:val="24"/>
        </w:rPr>
        <w:t>to follow</w:t>
      </w:r>
      <w:r w:rsidR="005A4450" w:rsidRPr="005A4450">
        <w:rPr>
          <w:bCs/>
          <w:sz w:val="24"/>
          <w:szCs w:val="24"/>
        </w:rPr>
        <w:t xml:space="preserve"> the end of the</w:t>
      </w:r>
      <w:r w:rsidR="00A271D9">
        <w:rPr>
          <w:bCs/>
          <w:sz w:val="24"/>
          <w:szCs w:val="24"/>
        </w:rPr>
        <w:t xml:space="preserve"> COVID-19</w:t>
      </w:r>
      <w:r w:rsidR="005A4450" w:rsidRPr="005A4450">
        <w:rPr>
          <w:bCs/>
          <w:sz w:val="24"/>
          <w:szCs w:val="24"/>
        </w:rPr>
        <w:t xml:space="preserve"> public health emergency. </w:t>
      </w:r>
      <w:r w:rsidR="009673E9" w:rsidRPr="009673E9">
        <w:rPr>
          <w:bCs/>
          <w:sz w:val="24"/>
          <w:szCs w:val="24"/>
        </w:rPr>
        <w:t xml:space="preserve">Staff finds that, on balance, the requirement that the Proposed Project will likely compete </w:t>
      </w:r>
      <w:proofErr w:type="gramStart"/>
      <w:r w:rsidR="009673E9" w:rsidRPr="009673E9">
        <w:rPr>
          <w:bCs/>
          <w:sz w:val="24"/>
          <w:szCs w:val="24"/>
        </w:rPr>
        <w:t>on the basis of</w:t>
      </w:r>
      <w:proofErr w:type="gramEnd"/>
      <w:r w:rsidR="009673E9" w:rsidRPr="009673E9">
        <w:rPr>
          <w:bCs/>
          <w:sz w:val="24"/>
          <w:szCs w:val="24"/>
        </w:rPr>
        <w:t xml:space="preserve"> price, TME provider costs, and other measures of health care spending have been met.</w:t>
      </w:r>
    </w:p>
    <w:p w14:paraId="2F2E3743" w14:textId="77777777" w:rsidR="000E7E02" w:rsidRDefault="000E7E02" w:rsidP="003E1CDA">
      <w:pPr>
        <w:spacing w:after="0"/>
        <w:rPr>
          <w:b/>
          <w:bCs/>
          <w:sz w:val="28"/>
          <w:szCs w:val="28"/>
        </w:rPr>
      </w:pPr>
    </w:p>
    <w:p w14:paraId="0C648C9E" w14:textId="157B1DAD" w:rsidR="003E1CDA" w:rsidRPr="003E1CDA" w:rsidRDefault="003E1CDA" w:rsidP="003E1CDA">
      <w:pPr>
        <w:spacing w:after="0"/>
      </w:pPr>
      <w:r w:rsidRPr="003E1CDA">
        <w:rPr>
          <w:b/>
          <w:bCs/>
          <w:sz w:val="28"/>
          <w:szCs w:val="28"/>
        </w:rPr>
        <w:t xml:space="preserve">Proposed </w:t>
      </w:r>
      <w:r w:rsidR="00BA4907">
        <w:rPr>
          <w:b/>
          <w:bCs/>
          <w:sz w:val="28"/>
          <w:szCs w:val="28"/>
        </w:rPr>
        <w:t xml:space="preserve">Reporting </w:t>
      </w:r>
      <w:r w:rsidRPr="003E1CDA">
        <w:rPr>
          <w:b/>
          <w:bCs/>
          <w:sz w:val="28"/>
          <w:szCs w:val="28"/>
        </w:rPr>
        <w:t>Measures for FACTOR 1</w:t>
      </w:r>
      <w:r w:rsidRPr="003E1CDA">
        <w:t xml:space="preserve"> </w:t>
      </w:r>
    </w:p>
    <w:p w14:paraId="08733828" w14:textId="2AF11958" w:rsidR="003E1CDA" w:rsidRPr="003E1CDA" w:rsidRDefault="003E1CDA" w:rsidP="00942C25">
      <w:pPr>
        <w:spacing w:after="0" w:line="240" w:lineRule="auto"/>
        <w:rPr>
          <w:sz w:val="24"/>
          <w:szCs w:val="24"/>
        </w:rPr>
      </w:pPr>
      <w:proofErr w:type="gramStart"/>
      <w:r w:rsidRPr="003E1CDA">
        <w:rPr>
          <w:sz w:val="24"/>
          <w:szCs w:val="24"/>
        </w:rPr>
        <w:t>As a result of</w:t>
      </w:r>
      <w:proofErr w:type="gramEnd"/>
      <w:r w:rsidRPr="003E1CDA">
        <w:rPr>
          <w:sz w:val="24"/>
          <w:szCs w:val="24"/>
        </w:rPr>
        <w:t xml:space="preserve"> information provided by the Applicant and additional analysis, staff finds that the Applicant has demonstrated that the Proposed Project has met Factor 1(a-f). The Applicant proposed specific outcome, and process measures to track the impact of the Proposed Project which staff has reviewed, and which will become a part of the reporting requirements. </w:t>
      </w:r>
      <w:r w:rsidR="008454E1">
        <w:rPr>
          <w:sz w:val="24"/>
          <w:szCs w:val="24"/>
        </w:rPr>
        <w:t xml:space="preserve">The measures are listed below in Appendix 1. </w:t>
      </w:r>
    </w:p>
    <w:p w14:paraId="4BFE1494" w14:textId="64D4AF33" w:rsidR="003E1CDA" w:rsidRDefault="003E1CDA"/>
    <w:p w14:paraId="0ADE0888" w14:textId="7B347D92" w:rsidR="003E1CDA" w:rsidRPr="003E1CDA" w:rsidRDefault="003E1CDA" w:rsidP="003E1CDA">
      <w:pPr>
        <w:rPr>
          <w:b/>
          <w:bCs/>
          <w:sz w:val="28"/>
          <w:szCs w:val="28"/>
        </w:rPr>
      </w:pPr>
      <w:r w:rsidRPr="003E1CDA">
        <w:rPr>
          <w:b/>
          <w:bCs/>
          <w:sz w:val="28"/>
          <w:szCs w:val="28"/>
        </w:rPr>
        <w:t xml:space="preserve">Factor 2: Cost </w:t>
      </w:r>
      <w:r w:rsidR="00B675A1">
        <w:rPr>
          <w:b/>
          <w:bCs/>
          <w:sz w:val="28"/>
          <w:szCs w:val="28"/>
        </w:rPr>
        <w:t>C</w:t>
      </w:r>
      <w:r w:rsidRPr="003E1CDA">
        <w:rPr>
          <w:b/>
          <w:bCs/>
          <w:sz w:val="28"/>
          <w:szCs w:val="28"/>
        </w:rPr>
        <w:t xml:space="preserve">ontainment, Improved Public Health Outcomes and Delivery System Transformation </w:t>
      </w:r>
    </w:p>
    <w:p w14:paraId="02F9F013" w14:textId="77777777" w:rsidR="003E1CDA" w:rsidRPr="003E1CDA" w:rsidRDefault="003E1CDA" w:rsidP="003E1CDA">
      <w:pPr>
        <w:spacing w:line="240" w:lineRule="auto"/>
        <w:rPr>
          <w:b/>
          <w:bCs/>
          <w:sz w:val="24"/>
          <w:szCs w:val="24"/>
        </w:rPr>
      </w:pPr>
      <w:r w:rsidRPr="003E1CDA">
        <w:rPr>
          <w:b/>
          <w:bCs/>
          <w:sz w:val="24"/>
          <w:szCs w:val="24"/>
        </w:rPr>
        <w:t>Cost Containment</w:t>
      </w:r>
    </w:p>
    <w:p w14:paraId="24441DDD" w14:textId="1EC4CB7D" w:rsidR="00656A79" w:rsidRDefault="00656A79" w:rsidP="00062574">
      <w:pPr>
        <w:spacing w:line="240" w:lineRule="auto"/>
        <w:rPr>
          <w:sz w:val="24"/>
          <w:szCs w:val="24"/>
        </w:rPr>
      </w:pPr>
      <w:r w:rsidRPr="00062574">
        <w:rPr>
          <w:sz w:val="24"/>
          <w:szCs w:val="24"/>
        </w:rPr>
        <w:t xml:space="preserve">The Applicant states that the Proposed Project seeks to align with the Commonwealth’s goals for cost containment which include the provision of low-cost, high-quality care, through supporting continued access to high-quality MRI and PET-CT services in a cost-effective setting for the Patient Panel. The Applicant notes that the clinic will provide MRI and PET-CT imaging </w:t>
      </w:r>
      <w:r w:rsidR="009464F3" w:rsidRPr="00062574">
        <w:rPr>
          <w:sz w:val="24"/>
          <w:szCs w:val="24"/>
        </w:rPr>
        <w:t>locally and</w:t>
      </w:r>
      <w:r w:rsidRPr="00062574">
        <w:rPr>
          <w:sz w:val="24"/>
          <w:szCs w:val="24"/>
        </w:rPr>
        <w:t xml:space="preserve"> will operate a</w:t>
      </w:r>
      <w:r w:rsidR="00A56F71">
        <w:rPr>
          <w:sz w:val="24"/>
          <w:szCs w:val="24"/>
        </w:rPr>
        <w:t>s</w:t>
      </w:r>
      <w:r w:rsidRPr="00062574">
        <w:rPr>
          <w:sz w:val="24"/>
          <w:szCs w:val="24"/>
        </w:rPr>
        <w:t xml:space="preserve"> an IDTF, </w:t>
      </w:r>
      <w:r w:rsidR="0039705E">
        <w:rPr>
          <w:sz w:val="24"/>
          <w:szCs w:val="24"/>
        </w:rPr>
        <w:t xml:space="preserve">where </w:t>
      </w:r>
      <w:r w:rsidRPr="00062574">
        <w:rPr>
          <w:sz w:val="24"/>
          <w:szCs w:val="24"/>
        </w:rPr>
        <w:t xml:space="preserve">reimbursement rates are lower than those of a hospital. Further, the Proposed Project will facilitate access to integrated health care services and timely access to care to promote lower healthcare costs. </w:t>
      </w:r>
    </w:p>
    <w:p w14:paraId="6C550F2F" w14:textId="74892300" w:rsidR="003E1CDA" w:rsidRPr="00062574" w:rsidRDefault="003E1CDA" w:rsidP="003E1CDA">
      <w:pPr>
        <w:spacing w:line="240" w:lineRule="auto"/>
        <w:rPr>
          <w:b/>
          <w:bCs/>
          <w:i/>
          <w:iCs/>
          <w:sz w:val="24"/>
          <w:szCs w:val="24"/>
        </w:rPr>
      </w:pPr>
      <w:r w:rsidRPr="00062574">
        <w:rPr>
          <w:b/>
          <w:bCs/>
          <w:i/>
          <w:iCs/>
          <w:sz w:val="24"/>
          <w:szCs w:val="24"/>
        </w:rPr>
        <w:t>Analysis: Cost Containment</w:t>
      </w:r>
    </w:p>
    <w:p w14:paraId="60986E5C" w14:textId="54637056" w:rsidR="003E1CDA" w:rsidRPr="00062574" w:rsidRDefault="00E21B16" w:rsidP="00062574">
      <w:pPr>
        <w:spacing w:line="240" w:lineRule="auto"/>
        <w:rPr>
          <w:sz w:val="24"/>
          <w:szCs w:val="24"/>
        </w:rPr>
      </w:pPr>
      <w:r>
        <w:rPr>
          <w:sz w:val="24"/>
          <w:szCs w:val="24"/>
        </w:rPr>
        <w:t>As described above, t</w:t>
      </w:r>
      <w:r w:rsidR="000B5D27">
        <w:rPr>
          <w:sz w:val="24"/>
          <w:szCs w:val="24"/>
        </w:rPr>
        <w:t xml:space="preserve">he Proposed Project seeks </w:t>
      </w:r>
      <w:r w:rsidR="00304DFB">
        <w:rPr>
          <w:sz w:val="24"/>
          <w:szCs w:val="24"/>
        </w:rPr>
        <w:t>to provide continued access to</w:t>
      </w:r>
      <w:r w:rsidR="000B5D27">
        <w:rPr>
          <w:sz w:val="24"/>
          <w:szCs w:val="24"/>
        </w:rPr>
        <w:t xml:space="preserve"> imaging services</w:t>
      </w:r>
      <w:r w:rsidR="00304DFB" w:rsidRPr="00304DFB">
        <w:rPr>
          <w:sz w:val="24"/>
          <w:szCs w:val="24"/>
        </w:rPr>
        <w:t xml:space="preserve"> within a lower-cost reimbursement </w:t>
      </w:r>
      <w:r w:rsidR="009464F3" w:rsidRPr="00304DFB">
        <w:rPr>
          <w:sz w:val="24"/>
          <w:szCs w:val="24"/>
        </w:rPr>
        <w:t>setting</w:t>
      </w:r>
      <w:r w:rsidR="009464F3">
        <w:rPr>
          <w:sz w:val="24"/>
          <w:szCs w:val="24"/>
        </w:rPr>
        <w:t xml:space="preserve"> and</w:t>
      </w:r>
      <w:r w:rsidR="00304DFB">
        <w:rPr>
          <w:sz w:val="24"/>
          <w:szCs w:val="24"/>
        </w:rPr>
        <w:t xml:space="preserve"> improve the quality of such services. </w:t>
      </w:r>
      <w:r w:rsidR="009464F3">
        <w:rPr>
          <w:sz w:val="24"/>
          <w:szCs w:val="24"/>
        </w:rPr>
        <w:t>Therefore,</w:t>
      </w:r>
      <w:r w:rsidR="00304DFB">
        <w:rPr>
          <w:sz w:val="24"/>
          <w:szCs w:val="24"/>
        </w:rPr>
        <w:t xml:space="preserve"> </w:t>
      </w:r>
      <w:proofErr w:type="spellStart"/>
      <w:r w:rsidR="00304DFB">
        <w:rPr>
          <w:sz w:val="24"/>
          <w:szCs w:val="24"/>
        </w:rPr>
        <w:t>DoN</w:t>
      </w:r>
      <w:proofErr w:type="spellEnd"/>
      <w:r w:rsidR="00304DFB">
        <w:rPr>
          <w:sz w:val="24"/>
          <w:szCs w:val="24"/>
        </w:rPr>
        <w:t xml:space="preserve"> Staff </w:t>
      </w:r>
      <w:r w:rsidR="000B5D27">
        <w:rPr>
          <w:sz w:val="24"/>
          <w:szCs w:val="24"/>
        </w:rPr>
        <w:t xml:space="preserve">can </w:t>
      </w:r>
      <w:r w:rsidR="00C12878" w:rsidRPr="00062574">
        <w:rPr>
          <w:sz w:val="24"/>
          <w:szCs w:val="24"/>
        </w:rPr>
        <w:t xml:space="preserve">conclude that </w:t>
      </w:r>
      <w:r w:rsidR="000B5D27">
        <w:rPr>
          <w:sz w:val="24"/>
          <w:szCs w:val="24"/>
        </w:rPr>
        <w:t xml:space="preserve">the </w:t>
      </w:r>
      <w:r w:rsidR="00C12878" w:rsidRPr="00062574">
        <w:rPr>
          <w:sz w:val="24"/>
          <w:szCs w:val="24"/>
        </w:rPr>
        <w:t>Proposed Project will likely meet the cost containment factor.</w:t>
      </w:r>
    </w:p>
    <w:p w14:paraId="60B81E73" w14:textId="76630D58" w:rsidR="003E1CDA" w:rsidRPr="00062574" w:rsidRDefault="003E1CDA" w:rsidP="003E1CDA">
      <w:pPr>
        <w:spacing w:line="240" w:lineRule="auto"/>
        <w:rPr>
          <w:b/>
          <w:bCs/>
          <w:sz w:val="24"/>
          <w:szCs w:val="24"/>
        </w:rPr>
      </w:pPr>
      <w:r w:rsidRPr="00062574">
        <w:rPr>
          <w:b/>
          <w:bCs/>
          <w:sz w:val="24"/>
          <w:szCs w:val="24"/>
        </w:rPr>
        <w:t>Improved Public Health Outcomes</w:t>
      </w:r>
    </w:p>
    <w:p w14:paraId="7968E303" w14:textId="6FC8C8C5" w:rsidR="003E1CDA" w:rsidRPr="00062574" w:rsidRDefault="00656A79" w:rsidP="00062574">
      <w:pPr>
        <w:spacing w:line="240" w:lineRule="auto"/>
        <w:rPr>
          <w:sz w:val="24"/>
          <w:szCs w:val="24"/>
        </w:rPr>
      </w:pPr>
      <w:r w:rsidRPr="00062574">
        <w:rPr>
          <w:sz w:val="24"/>
          <w:szCs w:val="24"/>
        </w:rPr>
        <w:lastRenderedPageBreak/>
        <w:t>The Applicant states that ensuring continued access to MRI and PET-CT services, and the benefits they provide for detecting, managing, and treating a variety of conditions, will improve public health outcomes and patient experience. The Applicant notes that the risk of certain conditions increases with age and the need for such imaging services will increase with a growing ag</w:t>
      </w:r>
      <w:r w:rsidR="0039705E">
        <w:rPr>
          <w:sz w:val="24"/>
          <w:szCs w:val="24"/>
        </w:rPr>
        <w:t>ing</w:t>
      </w:r>
      <w:r w:rsidRPr="00062574">
        <w:rPr>
          <w:sz w:val="24"/>
          <w:szCs w:val="24"/>
        </w:rPr>
        <w:t xml:space="preserve"> population </w:t>
      </w:r>
      <w:r w:rsidR="0039705E">
        <w:rPr>
          <w:sz w:val="24"/>
          <w:szCs w:val="24"/>
        </w:rPr>
        <w:t xml:space="preserve">in Massachusetts and </w:t>
      </w:r>
      <w:r w:rsidRPr="00062574">
        <w:rPr>
          <w:sz w:val="24"/>
          <w:szCs w:val="24"/>
        </w:rPr>
        <w:t xml:space="preserve">among the Applicant’s Patient Panel. </w:t>
      </w:r>
    </w:p>
    <w:p w14:paraId="1E443B61" w14:textId="04CB108D" w:rsidR="003E1CDA" w:rsidRPr="003E1CDA" w:rsidRDefault="003E1CDA" w:rsidP="003E1CDA">
      <w:pPr>
        <w:spacing w:line="240" w:lineRule="auto"/>
        <w:rPr>
          <w:b/>
          <w:bCs/>
          <w:sz w:val="24"/>
          <w:szCs w:val="24"/>
        </w:rPr>
      </w:pPr>
      <w:r w:rsidRPr="003E1CDA">
        <w:rPr>
          <w:b/>
          <w:bCs/>
          <w:sz w:val="24"/>
          <w:szCs w:val="24"/>
        </w:rPr>
        <w:t>Analysis: Public Health Outcomes</w:t>
      </w:r>
    </w:p>
    <w:p w14:paraId="7C125F18" w14:textId="6A502C14" w:rsidR="005C7EE8" w:rsidRDefault="008A67F6" w:rsidP="008A67F6">
      <w:pPr>
        <w:spacing w:line="240" w:lineRule="auto"/>
        <w:rPr>
          <w:sz w:val="24"/>
          <w:szCs w:val="24"/>
        </w:rPr>
      </w:pPr>
      <w:r w:rsidRPr="008A67F6">
        <w:rPr>
          <w:sz w:val="24"/>
          <w:szCs w:val="24"/>
        </w:rPr>
        <w:t xml:space="preserve">As mentioned above, ensuring timely access to coordinated imaging services </w:t>
      </w:r>
      <w:r w:rsidR="009464F3">
        <w:rPr>
          <w:sz w:val="24"/>
          <w:szCs w:val="24"/>
        </w:rPr>
        <w:t xml:space="preserve">can </w:t>
      </w:r>
      <w:r w:rsidR="009464F3" w:rsidRPr="008A67F6">
        <w:rPr>
          <w:sz w:val="24"/>
          <w:szCs w:val="24"/>
        </w:rPr>
        <w:t>reduce delays in diagnosis and treatment</w:t>
      </w:r>
      <w:r w:rsidR="009464F3">
        <w:rPr>
          <w:sz w:val="24"/>
          <w:szCs w:val="24"/>
        </w:rPr>
        <w:t xml:space="preserve"> </w:t>
      </w:r>
      <w:r w:rsidR="00DB58E9">
        <w:rPr>
          <w:sz w:val="24"/>
          <w:szCs w:val="24"/>
        </w:rPr>
        <w:t>(</w:t>
      </w:r>
      <w:r w:rsidR="009464F3">
        <w:rPr>
          <w:sz w:val="24"/>
          <w:szCs w:val="24"/>
        </w:rPr>
        <w:t>which can adversely impact health outcomes</w:t>
      </w:r>
      <w:r w:rsidR="00DB58E9">
        <w:rPr>
          <w:sz w:val="24"/>
          <w:szCs w:val="24"/>
        </w:rPr>
        <w:t>)</w:t>
      </w:r>
      <w:r w:rsidR="009464F3">
        <w:rPr>
          <w:sz w:val="24"/>
          <w:szCs w:val="24"/>
        </w:rPr>
        <w:t xml:space="preserve">, </w:t>
      </w:r>
      <w:r w:rsidR="00DB58E9">
        <w:rPr>
          <w:sz w:val="24"/>
          <w:szCs w:val="24"/>
        </w:rPr>
        <w:t xml:space="preserve">and thus </w:t>
      </w:r>
      <w:r w:rsidRPr="008A67F6">
        <w:rPr>
          <w:sz w:val="24"/>
          <w:szCs w:val="24"/>
        </w:rPr>
        <w:t xml:space="preserve">contribute to improved health outcomes and patient satisfaction. </w:t>
      </w:r>
    </w:p>
    <w:p w14:paraId="7B8D248F" w14:textId="77777777" w:rsidR="007A5E9D" w:rsidRDefault="007A5E9D" w:rsidP="003E1CDA">
      <w:pPr>
        <w:spacing w:line="240" w:lineRule="auto"/>
        <w:rPr>
          <w:b/>
          <w:bCs/>
          <w:sz w:val="24"/>
          <w:szCs w:val="24"/>
        </w:rPr>
      </w:pPr>
    </w:p>
    <w:p w14:paraId="3BE0B81E" w14:textId="1E45EC76" w:rsidR="003E1CDA" w:rsidRPr="003E1CDA" w:rsidRDefault="00B134DF" w:rsidP="003E1CDA">
      <w:pPr>
        <w:spacing w:line="240" w:lineRule="auto"/>
        <w:rPr>
          <w:b/>
          <w:bCs/>
          <w:sz w:val="24"/>
          <w:szCs w:val="24"/>
        </w:rPr>
      </w:pPr>
      <w:r>
        <w:rPr>
          <w:b/>
          <w:bCs/>
          <w:sz w:val="24"/>
          <w:szCs w:val="24"/>
        </w:rPr>
        <w:t>D</w:t>
      </w:r>
      <w:r w:rsidR="003E1CDA" w:rsidRPr="003E1CDA">
        <w:rPr>
          <w:b/>
          <w:bCs/>
          <w:sz w:val="24"/>
          <w:szCs w:val="24"/>
        </w:rPr>
        <w:t>elivery System Transformation</w:t>
      </w:r>
    </w:p>
    <w:p w14:paraId="40D7212D" w14:textId="3B639DE4" w:rsidR="001529E2" w:rsidRDefault="005A0DB5" w:rsidP="00062574">
      <w:pPr>
        <w:spacing w:line="240" w:lineRule="auto"/>
        <w:rPr>
          <w:sz w:val="24"/>
          <w:szCs w:val="24"/>
        </w:rPr>
      </w:pPr>
      <w:r>
        <w:rPr>
          <w:sz w:val="24"/>
          <w:szCs w:val="24"/>
        </w:rPr>
        <w:t>The</w:t>
      </w:r>
      <w:r w:rsidR="00656A79" w:rsidRPr="00062574">
        <w:rPr>
          <w:sz w:val="24"/>
          <w:szCs w:val="24"/>
        </w:rPr>
        <w:t xml:space="preserve"> Applicant has processes in place to screen for the </w:t>
      </w:r>
      <w:proofErr w:type="spellStart"/>
      <w:r w:rsidR="00A75258" w:rsidRPr="00062574">
        <w:rPr>
          <w:sz w:val="24"/>
          <w:szCs w:val="24"/>
        </w:rPr>
        <w:t>SDoH</w:t>
      </w:r>
      <w:proofErr w:type="spellEnd"/>
      <w:r w:rsidR="00656A79" w:rsidRPr="00062574">
        <w:rPr>
          <w:sz w:val="24"/>
          <w:szCs w:val="24"/>
        </w:rPr>
        <w:t xml:space="preserve"> and referral process to community-based organizations (CBOs) to address positive </w:t>
      </w:r>
      <w:proofErr w:type="spellStart"/>
      <w:r w:rsidR="00656A79" w:rsidRPr="00062574">
        <w:rPr>
          <w:sz w:val="24"/>
          <w:szCs w:val="24"/>
        </w:rPr>
        <w:t>SDoH</w:t>
      </w:r>
      <w:proofErr w:type="spellEnd"/>
      <w:r w:rsidR="00656A79" w:rsidRPr="00062574">
        <w:rPr>
          <w:sz w:val="24"/>
          <w:szCs w:val="24"/>
        </w:rPr>
        <w:t xml:space="preserve"> screens. The Applicant notes that </w:t>
      </w:r>
      <w:proofErr w:type="spellStart"/>
      <w:r w:rsidR="00656A79" w:rsidRPr="00062574">
        <w:rPr>
          <w:sz w:val="24"/>
          <w:szCs w:val="24"/>
        </w:rPr>
        <w:t>SDoH</w:t>
      </w:r>
      <w:proofErr w:type="spellEnd"/>
      <w:r w:rsidR="00656A79" w:rsidRPr="00062574">
        <w:rPr>
          <w:sz w:val="24"/>
          <w:szCs w:val="24"/>
        </w:rPr>
        <w:t xml:space="preserve"> impact the physical and mental well-being of the population and impact a range of health risks and outcomes.</w:t>
      </w:r>
      <w:r w:rsidR="00656A79" w:rsidRPr="00062574">
        <w:rPr>
          <w:rStyle w:val="EndnoteReference"/>
          <w:sz w:val="24"/>
          <w:szCs w:val="24"/>
        </w:rPr>
        <w:endnoteReference w:id="12"/>
      </w:r>
      <w:r w:rsidR="00656A79" w:rsidRPr="00062574">
        <w:rPr>
          <w:sz w:val="24"/>
          <w:szCs w:val="24"/>
        </w:rPr>
        <w:t xml:space="preserve"> </w:t>
      </w:r>
      <w:r w:rsidR="002355BC" w:rsidRPr="00062574">
        <w:rPr>
          <w:sz w:val="24"/>
          <w:szCs w:val="24"/>
        </w:rPr>
        <w:t>The Applicant plan</w:t>
      </w:r>
      <w:r w:rsidR="00DB58E9">
        <w:rPr>
          <w:sz w:val="24"/>
          <w:szCs w:val="24"/>
        </w:rPr>
        <w:t>s</w:t>
      </w:r>
      <w:r w:rsidR="002355BC" w:rsidRPr="00062574">
        <w:rPr>
          <w:sz w:val="24"/>
          <w:szCs w:val="24"/>
        </w:rPr>
        <w:t xml:space="preserve"> to implement specific patient access tools to facilitate easier access to care </w:t>
      </w:r>
      <w:r w:rsidR="002355BC" w:rsidRPr="0039705E">
        <w:rPr>
          <w:sz w:val="24"/>
          <w:szCs w:val="24"/>
        </w:rPr>
        <w:t>for vulnerable and at-risk populations.</w:t>
      </w:r>
      <w:r w:rsidR="002355BC" w:rsidRPr="00062574">
        <w:rPr>
          <w:sz w:val="24"/>
          <w:szCs w:val="24"/>
        </w:rPr>
        <w:t xml:space="preserve"> These include preregistration functionality, a cost transparency application, linkages to financial counsels, culturally competent staff, and a robust translation services program. </w:t>
      </w:r>
      <w:r w:rsidR="001529E2">
        <w:rPr>
          <w:sz w:val="24"/>
          <w:szCs w:val="24"/>
        </w:rPr>
        <w:t xml:space="preserve">The Applicant </w:t>
      </w:r>
      <w:r w:rsidR="00710454">
        <w:rPr>
          <w:sz w:val="24"/>
          <w:szCs w:val="24"/>
        </w:rPr>
        <w:t xml:space="preserve">also </w:t>
      </w:r>
      <w:r w:rsidR="001529E2">
        <w:rPr>
          <w:sz w:val="24"/>
          <w:szCs w:val="24"/>
        </w:rPr>
        <w:t xml:space="preserve">provided the number of Heywood and Athol patients participating in ACO contracts, which is shown in Table </w:t>
      </w:r>
      <w:r w:rsidR="00930EC1">
        <w:rPr>
          <w:sz w:val="24"/>
          <w:szCs w:val="24"/>
        </w:rPr>
        <w:t>9</w:t>
      </w:r>
      <w:r w:rsidR="001529E2">
        <w:rPr>
          <w:sz w:val="24"/>
          <w:szCs w:val="24"/>
        </w:rPr>
        <w:t xml:space="preserve"> below.</w:t>
      </w:r>
      <w:r w:rsidR="00C41559">
        <w:rPr>
          <w:rStyle w:val="FootnoteReference"/>
          <w:sz w:val="24"/>
          <w:szCs w:val="24"/>
        </w:rPr>
        <w:footnoteReference w:id="25"/>
      </w:r>
      <w:r w:rsidR="001529E2">
        <w:rPr>
          <w:sz w:val="24"/>
          <w:szCs w:val="24"/>
        </w:rPr>
        <w:t xml:space="preserve"> </w:t>
      </w:r>
    </w:p>
    <w:p w14:paraId="653E0948" w14:textId="46B8565C" w:rsidR="001529E2" w:rsidRPr="00495712" w:rsidRDefault="001529E2" w:rsidP="00495712">
      <w:pPr>
        <w:spacing w:line="240" w:lineRule="auto"/>
        <w:jc w:val="center"/>
        <w:rPr>
          <w:b/>
          <w:bCs/>
          <w:sz w:val="24"/>
          <w:szCs w:val="24"/>
        </w:rPr>
      </w:pPr>
      <w:r w:rsidRPr="00495712">
        <w:rPr>
          <w:b/>
          <w:bCs/>
          <w:sz w:val="24"/>
          <w:szCs w:val="24"/>
        </w:rPr>
        <w:t xml:space="preserve">Table </w:t>
      </w:r>
      <w:r w:rsidR="00930EC1">
        <w:rPr>
          <w:b/>
          <w:bCs/>
          <w:sz w:val="24"/>
          <w:szCs w:val="24"/>
        </w:rPr>
        <w:t>9</w:t>
      </w:r>
      <w:r w:rsidRPr="00495712">
        <w:rPr>
          <w:b/>
          <w:bCs/>
          <w:sz w:val="24"/>
          <w:szCs w:val="24"/>
        </w:rPr>
        <w:t>: ACO Participation</w:t>
      </w:r>
    </w:p>
    <w:tbl>
      <w:tblPr>
        <w:tblStyle w:val="TableGrid"/>
        <w:tblW w:w="0" w:type="auto"/>
        <w:jc w:val="center"/>
        <w:tblLook w:val="04A0" w:firstRow="1" w:lastRow="0" w:firstColumn="1" w:lastColumn="0" w:noHBand="0" w:noVBand="1"/>
        <w:tblCaption w:val="Table 9: ACO Participation"/>
        <w:tblDescription w:val=" Heywood Athol&#10;Total Patient Population 26,481 6,900&#10;ACO Patients  1,101 &#10;(4% total Heywood population) 2,268 &#10;(32% of total Athol population)&#10;"/>
      </w:tblPr>
      <w:tblGrid>
        <w:gridCol w:w="2580"/>
        <w:gridCol w:w="3267"/>
        <w:gridCol w:w="3241"/>
      </w:tblGrid>
      <w:tr w:rsidR="001529E2" w14:paraId="1E0621D3" w14:textId="77777777" w:rsidTr="00B52786">
        <w:trPr>
          <w:tblHeader/>
          <w:jc w:val="center"/>
        </w:trPr>
        <w:tc>
          <w:tcPr>
            <w:tcW w:w="0" w:type="auto"/>
          </w:tcPr>
          <w:p w14:paraId="5F8E8DDA" w14:textId="77777777" w:rsidR="001529E2" w:rsidRDefault="001529E2" w:rsidP="00062574">
            <w:pPr>
              <w:rPr>
                <w:sz w:val="24"/>
                <w:szCs w:val="24"/>
              </w:rPr>
            </w:pPr>
          </w:p>
        </w:tc>
        <w:tc>
          <w:tcPr>
            <w:tcW w:w="0" w:type="auto"/>
            <w:shd w:val="clear" w:color="auto" w:fill="F2F2F2" w:themeFill="background1" w:themeFillShade="F2"/>
          </w:tcPr>
          <w:p w14:paraId="3697CECF" w14:textId="30487B45" w:rsidR="001529E2" w:rsidRPr="00495712" w:rsidRDefault="001529E2" w:rsidP="00062574">
            <w:pPr>
              <w:rPr>
                <w:b/>
                <w:bCs/>
                <w:sz w:val="24"/>
                <w:szCs w:val="24"/>
              </w:rPr>
            </w:pPr>
            <w:r w:rsidRPr="00495712">
              <w:rPr>
                <w:b/>
                <w:bCs/>
                <w:sz w:val="24"/>
                <w:szCs w:val="24"/>
              </w:rPr>
              <w:t>Heywood</w:t>
            </w:r>
          </w:p>
        </w:tc>
        <w:tc>
          <w:tcPr>
            <w:tcW w:w="0" w:type="auto"/>
            <w:shd w:val="clear" w:color="auto" w:fill="F2F2F2" w:themeFill="background1" w:themeFillShade="F2"/>
          </w:tcPr>
          <w:p w14:paraId="78E5AC0B" w14:textId="615B358A" w:rsidR="001529E2" w:rsidRPr="00495712" w:rsidRDefault="001529E2" w:rsidP="00062574">
            <w:pPr>
              <w:rPr>
                <w:b/>
                <w:bCs/>
                <w:sz w:val="24"/>
                <w:szCs w:val="24"/>
              </w:rPr>
            </w:pPr>
            <w:r w:rsidRPr="00495712">
              <w:rPr>
                <w:b/>
                <w:bCs/>
                <w:sz w:val="24"/>
                <w:szCs w:val="24"/>
              </w:rPr>
              <w:t>Athol</w:t>
            </w:r>
          </w:p>
        </w:tc>
      </w:tr>
      <w:tr w:rsidR="001529E2" w14:paraId="050B0694" w14:textId="77777777" w:rsidTr="00495712">
        <w:trPr>
          <w:jc w:val="center"/>
        </w:trPr>
        <w:tc>
          <w:tcPr>
            <w:tcW w:w="0" w:type="auto"/>
          </w:tcPr>
          <w:p w14:paraId="355545B1" w14:textId="43180C6F" w:rsidR="001529E2" w:rsidRDefault="001529E2" w:rsidP="00062574">
            <w:pPr>
              <w:rPr>
                <w:sz w:val="24"/>
                <w:szCs w:val="24"/>
              </w:rPr>
            </w:pPr>
            <w:r>
              <w:rPr>
                <w:sz w:val="24"/>
                <w:szCs w:val="24"/>
              </w:rPr>
              <w:t>Total Patient Population</w:t>
            </w:r>
          </w:p>
        </w:tc>
        <w:tc>
          <w:tcPr>
            <w:tcW w:w="0" w:type="auto"/>
          </w:tcPr>
          <w:p w14:paraId="0AFF3C53" w14:textId="49581EA4" w:rsidR="001529E2" w:rsidRDefault="001529E2">
            <w:pPr>
              <w:rPr>
                <w:sz w:val="24"/>
                <w:szCs w:val="24"/>
              </w:rPr>
            </w:pPr>
            <w:r w:rsidRPr="001529E2">
              <w:rPr>
                <w:sz w:val="24"/>
                <w:szCs w:val="24"/>
              </w:rPr>
              <w:t>26,481</w:t>
            </w:r>
          </w:p>
        </w:tc>
        <w:tc>
          <w:tcPr>
            <w:tcW w:w="0" w:type="auto"/>
          </w:tcPr>
          <w:p w14:paraId="7CB9F578" w14:textId="493A7388" w:rsidR="001529E2" w:rsidRDefault="001529E2">
            <w:pPr>
              <w:rPr>
                <w:sz w:val="24"/>
                <w:szCs w:val="24"/>
              </w:rPr>
            </w:pPr>
            <w:r w:rsidRPr="001529E2">
              <w:rPr>
                <w:sz w:val="24"/>
                <w:szCs w:val="24"/>
              </w:rPr>
              <w:t>6,900</w:t>
            </w:r>
          </w:p>
        </w:tc>
      </w:tr>
      <w:tr w:rsidR="001529E2" w14:paraId="171C0184" w14:textId="77777777" w:rsidTr="00495712">
        <w:trPr>
          <w:jc w:val="center"/>
        </w:trPr>
        <w:tc>
          <w:tcPr>
            <w:tcW w:w="0" w:type="auto"/>
          </w:tcPr>
          <w:p w14:paraId="1D791B4A" w14:textId="7D6D3C6B" w:rsidR="001529E2" w:rsidRDefault="001529E2" w:rsidP="00062574">
            <w:pPr>
              <w:rPr>
                <w:sz w:val="24"/>
                <w:szCs w:val="24"/>
              </w:rPr>
            </w:pPr>
            <w:r>
              <w:rPr>
                <w:sz w:val="24"/>
                <w:szCs w:val="24"/>
              </w:rPr>
              <w:t xml:space="preserve">ACO Patients </w:t>
            </w:r>
          </w:p>
        </w:tc>
        <w:tc>
          <w:tcPr>
            <w:tcW w:w="0" w:type="auto"/>
          </w:tcPr>
          <w:p w14:paraId="360596A4" w14:textId="77777777" w:rsidR="001529E2" w:rsidRDefault="001529E2" w:rsidP="00062574">
            <w:pPr>
              <w:rPr>
                <w:sz w:val="24"/>
                <w:szCs w:val="24"/>
              </w:rPr>
            </w:pPr>
            <w:r w:rsidRPr="001529E2">
              <w:rPr>
                <w:sz w:val="24"/>
                <w:szCs w:val="24"/>
              </w:rPr>
              <w:t>1,101</w:t>
            </w:r>
            <w:r>
              <w:rPr>
                <w:sz w:val="24"/>
                <w:szCs w:val="24"/>
              </w:rPr>
              <w:t xml:space="preserve"> </w:t>
            </w:r>
          </w:p>
          <w:p w14:paraId="6C4C70FE" w14:textId="6B123EF1" w:rsidR="001529E2" w:rsidRDefault="001529E2" w:rsidP="00062574">
            <w:pPr>
              <w:rPr>
                <w:sz w:val="24"/>
                <w:szCs w:val="24"/>
              </w:rPr>
            </w:pPr>
            <w:r>
              <w:rPr>
                <w:sz w:val="24"/>
                <w:szCs w:val="24"/>
              </w:rPr>
              <w:t xml:space="preserve">(4% </w:t>
            </w:r>
            <w:r w:rsidRPr="001529E2">
              <w:rPr>
                <w:sz w:val="24"/>
                <w:szCs w:val="24"/>
              </w:rPr>
              <w:t>total Heywood population</w:t>
            </w:r>
            <w:r>
              <w:rPr>
                <w:sz w:val="24"/>
                <w:szCs w:val="24"/>
              </w:rPr>
              <w:t>)</w:t>
            </w:r>
          </w:p>
        </w:tc>
        <w:tc>
          <w:tcPr>
            <w:tcW w:w="0" w:type="auto"/>
          </w:tcPr>
          <w:p w14:paraId="7A04398A" w14:textId="77777777" w:rsidR="001529E2" w:rsidRDefault="001529E2" w:rsidP="00062574">
            <w:pPr>
              <w:rPr>
                <w:sz w:val="24"/>
                <w:szCs w:val="24"/>
              </w:rPr>
            </w:pPr>
            <w:r w:rsidRPr="001529E2">
              <w:rPr>
                <w:sz w:val="24"/>
                <w:szCs w:val="24"/>
              </w:rPr>
              <w:t>2,268</w:t>
            </w:r>
            <w:r>
              <w:rPr>
                <w:sz w:val="24"/>
                <w:szCs w:val="24"/>
              </w:rPr>
              <w:t xml:space="preserve"> </w:t>
            </w:r>
          </w:p>
          <w:p w14:paraId="4B97BC34" w14:textId="0F70EB6C" w:rsidR="001529E2" w:rsidRDefault="001529E2" w:rsidP="00062574">
            <w:pPr>
              <w:rPr>
                <w:sz w:val="24"/>
                <w:szCs w:val="24"/>
              </w:rPr>
            </w:pPr>
            <w:r>
              <w:rPr>
                <w:sz w:val="24"/>
                <w:szCs w:val="24"/>
              </w:rPr>
              <w:t>(</w:t>
            </w:r>
            <w:r w:rsidRPr="001529E2">
              <w:rPr>
                <w:sz w:val="24"/>
                <w:szCs w:val="24"/>
              </w:rPr>
              <w:t>32% of total Athol population)</w:t>
            </w:r>
          </w:p>
        </w:tc>
      </w:tr>
    </w:tbl>
    <w:p w14:paraId="76E07B25" w14:textId="77777777" w:rsidR="001529E2" w:rsidRDefault="001529E2" w:rsidP="00062574">
      <w:pPr>
        <w:spacing w:line="240" w:lineRule="auto"/>
        <w:rPr>
          <w:sz w:val="24"/>
          <w:szCs w:val="24"/>
        </w:rPr>
      </w:pPr>
    </w:p>
    <w:p w14:paraId="5B8F822F" w14:textId="0083977D" w:rsidR="003E1CDA" w:rsidRPr="003E1CDA" w:rsidRDefault="003E1CDA" w:rsidP="003E1CDA">
      <w:pPr>
        <w:spacing w:line="240" w:lineRule="auto"/>
        <w:rPr>
          <w:b/>
          <w:bCs/>
          <w:sz w:val="24"/>
          <w:szCs w:val="24"/>
        </w:rPr>
      </w:pPr>
      <w:r w:rsidRPr="003E1CDA">
        <w:rPr>
          <w:b/>
          <w:bCs/>
          <w:sz w:val="24"/>
          <w:szCs w:val="24"/>
        </w:rPr>
        <w:t>Analysis: Delivery System Transformation</w:t>
      </w:r>
    </w:p>
    <w:p w14:paraId="449A046C" w14:textId="2949918F" w:rsidR="00F56096" w:rsidRPr="00C12878" w:rsidRDefault="00C12878" w:rsidP="00062574">
      <w:pPr>
        <w:spacing w:after="0" w:line="240" w:lineRule="auto"/>
        <w:rPr>
          <w:sz w:val="24"/>
          <w:szCs w:val="24"/>
        </w:rPr>
      </w:pPr>
      <w:r w:rsidRPr="00C12878">
        <w:rPr>
          <w:sz w:val="24"/>
          <w:szCs w:val="24"/>
        </w:rPr>
        <w:t>Central to the goal of Delivery System Transformation is the integration of social services and community</w:t>
      </w:r>
      <w:r>
        <w:rPr>
          <w:sz w:val="24"/>
          <w:szCs w:val="24"/>
        </w:rPr>
        <w:t>-</w:t>
      </w:r>
      <w:r w:rsidRPr="00C12878">
        <w:rPr>
          <w:sz w:val="24"/>
          <w:szCs w:val="24"/>
        </w:rPr>
        <w:t xml:space="preserve">based expertise. </w:t>
      </w:r>
      <w:proofErr w:type="spellStart"/>
      <w:r w:rsidR="0039705E">
        <w:rPr>
          <w:sz w:val="24"/>
          <w:szCs w:val="24"/>
        </w:rPr>
        <w:t>SDoH</w:t>
      </w:r>
      <w:proofErr w:type="spellEnd"/>
      <w:r w:rsidR="0039705E">
        <w:rPr>
          <w:sz w:val="24"/>
          <w:szCs w:val="24"/>
        </w:rPr>
        <w:t xml:space="preserve"> screening </w:t>
      </w:r>
      <w:r w:rsidR="00CC46A2">
        <w:rPr>
          <w:sz w:val="24"/>
          <w:szCs w:val="24"/>
        </w:rPr>
        <w:t>is integrated in</w:t>
      </w:r>
      <w:r w:rsidR="001002AD">
        <w:rPr>
          <w:sz w:val="24"/>
          <w:szCs w:val="24"/>
        </w:rPr>
        <w:t xml:space="preserve">to </w:t>
      </w:r>
      <w:r w:rsidR="00D63342">
        <w:rPr>
          <w:sz w:val="24"/>
          <w:szCs w:val="24"/>
        </w:rPr>
        <w:t xml:space="preserve">the Applicant’s </w:t>
      </w:r>
      <w:r w:rsidR="0039705E">
        <w:rPr>
          <w:sz w:val="24"/>
          <w:szCs w:val="24"/>
        </w:rPr>
        <w:t xml:space="preserve">care processes, </w:t>
      </w:r>
      <w:r w:rsidR="00ED73D4">
        <w:rPr>
          <w:sz w:val="24"/>
          <w:szCs w:val="24"/>
        </w:rPr>
        <w:t>to</w:t>
      </w:r>
      <w:r w:rsidR="0039705E">
        <w:rPr>
          <w:sz w:val="24"/>
          <w:szCs w:val="24"/>
        </w:rPr>
        <w:t xml:space="preserve"> address health risks and improve health outcomes</w:t>
      </w:r>
      <w:r w:rsidRPr="00C12878">
        <w:rPr>
          <w:sz w:val="24"/>
          <w:szCs w:val="24"/>
        </w:rPr>
        <w:t>.</w:t>
      </w:r>
      <w:r w:rsidR="00CC46A2">
        <w:rPr>
          <w:sz w:val="24"/>
          <w:szCs w:val="24"/>
        </w:rPr>
        <w:t xml:space="preserve"> </w:t>
      </w:r>
      <w:r w:rsidR="00D63342">
        <w:rPr>
          <w:sz w:val="24"/>
          <w:szCs w:val="24"/>
        </w:rPr>
        <w:t xml:space="preserve">Persistent disparities in </w:t>
      </w:r>
      <w:proofErr w:type="gramStart"/>
      <w:r w:rsidR="00D63342">
        <w:rPr>
          <w:sz w:val="24"/>
          <w:szCs w:val="24"/>
        </w:rPr>
        <w:t>a number of</w:t>
      </w:r>
      <w:proofErr w:type="gramEnd"/>
      <w:r w:rsidR="00D63342">
        <w:rPr>
          <w:sz w:val="24"/>
          <w:szCs w:val="24"/>
        </w:rPr>
        <w:t xml:space="preserve"> health outcomes</w:t>
      </w:r>
      <w:r w:rsidR="00DB58E9">
        <w:rPr>
          <w:sz w:val="24"/>
          <w:szCs w:val="24"/>
        </w:rPr>
        <w:t>,</w:t>
      </w:r>
      <w:r w:rsidR="00C3771F">
        <w:rPr>
          <w:sz w:val="24"/>
          <w:szCs w:val="24"/>
        </w:rPr>
        <w:t xml:space="preserve"> including the </w:t>
      </w:r>
      <w:r w:rsidR="00C3771F" w:rsidRPr="00C3771F">
        <w:rPr>
          <w:sz w:val="24"/>
          <w:szCs w:val="24"/>
        </w:rPr>
        <w:t>leading causes of death</w:t>
      </w:r>
      <w:r w:rsidR="00DB58E9">
        <w:rPr>
          <w:sz w:val="24"/>
          <w:szCs w:val="24"/>
        </w:rPr>
        <w:t>,</w:t>
      </w:r>
      <w:r w:rsidR="00D63342">
        <w:rPr>
          <w:sz w:val="24"/>
          <w:szCs w:val="24"/>
        </w:rPr>
        <w:t xml:space="preserve"> </w:t>
      </w:r>
      <w:r w:rsidR="00E52613">
        <w:rPr>
          <w:sz w:val="24"/>
          <w:szCs w:val="24"/>
        </w:rPr>
        <w:t>indicate</w:t>
      </w:r>
      <w:r w:rsidR="00D63342">
        <w:rPr>
          <w:sz w:val="24"/>
          <w:szCs w:val="24"/>
        </w:rPr>
        <w:t xml:space="preserve"> the important </w:t>
      </w:r>
      <w:r w:rsidR="00744C7C">
        <w:rPr>
          <w:sz w:val="24"/>
          <w:szCs w:val="24"/>
        </w:rPr>
        <w:t>influence</w:t>
      </w:r>
      <w:r w:rsidR="00D63342">
        <w:rPr>
          <w:sz w:val="24"/>
          <w:szCs w:val="24"/>
        </w:rPr>
        <w:t xml:space="preserve"> of the social determinants </w:t>
      </w:r>
      <w:r w:rsidR="002F2DF7">
        <w:rPr>
          <w:sz w:val="24"/>
          <w:szCs w:val="24"/>
        </w:rPr>
        <w:t>in health prevention and disease promotion</w:t>
      </w:r>
      <w:r w:rsidR="007A1378">
        <w:rPr>
          <w:sz w:val="24"/>
          <w:szCs w:val="24"/>
        </w:rPr>
        <w:t>.</w:t>
      </w:r>
      <w:r w:rsidR="007A1378">
        <w:rPr>
          <w:rStyle w:val="EndnoteReference"/>
          <w:sz w:val="24"/>
          <w:szCs w:val="24"/>
        </w:rPr>
        <w:endnoteReference w:id="13"/>
      </w:r>
      <w:r w:rsidR="007A1378">
        <w:rPr>
          <w:sz w:val="24"/>
          <w:szCs w:val="24"/>
        </w:rPr>
        <w:t xml:space="preserve"> </w:t>
      </w:r>
    </w:p>
    <w:p w14:paraId="0B5DA248" w14:textId="7BDC8FE1" w:rsidR="00F962C6" w:rsidRDefault="00F962C6" w:rsidP="003E1CDA">
      <w:pPr>
        <w:spacing w:after="0"/>
        <w:rPr>
          <w:b/>
          <w:bCs/>
          <w:sz w:val="28"/>
          <w:szCs w:val="28"/>
        </w:rPr>
      </w:pPr>
    </w:p>
    <w:p w14:paraId="575242B3" w14:textId="1B61A0AC" w:rsidR="003E1CDA" w:rsidRPr="003E1CDA" w:rsidRDefault="00BA4907" w:rsidP="003E1CDA">
      <w:pPr>
        <w:spacing w:after="0"/>
      </w:pPr>
      <w:r>
        <w:rPr>
          <w:b/>
          <w:bCs/>
          <w:sz w:val="28"/>
          <w:szCs w:val="28"/>
        </w:rPr>
        <w:t>SUMMARY</w:t>
      </w:r>
      <w:r w:rsidR="00FC575D">
        <w:rPr>
          <w:b/>
          <w:bCs/>
          <w:sz w:val="28"/>
          <w:szCs w:val="28"/>
        </w:rPr>
        <w:t xml:space="preserve"> for</w:t>
      </w:r>
      <w:r w:rsidR="003E1CDA" w:rsidRPr="003E1CDA">
        <w:rPr>
          <w:b/>
          <w:bCs/>
          <w:sz w:val="28"/>
          <w:szCs w:val="28"/>
        </w:rPr>
        <w:t xml:space="preserve"> FACTOR 2</w:t>
      </w:r>
      <w:r w:rsidR="003E1CDA" w:rsidRPr="003E1CDA">
        <w:t xml:space="preserve"> </w:t>
      </w:r>
    </w:p>
    <w:p w14:paraId="09D5AF0A" w14:textId="5D4A6098" w:rsidR="003E1CDA" w:rsidRPr="003E1CDA" w:rsidRDefault="003E1CDA" w:rsidP="003E1CDA">
      <w:pPr>
        <w:spacing w:after="0" w:line="240" w:lineRule="auto"/>
        <w:rPr>
          <w:b/>
          <w:bCs/>
          <w:sz w:val="24"/>
          <w:szCs w:val="24"/>
        </w:rPr>
      </w:pPr>
      <w:proofErr w:type="gramStart"/>
      <w:r w:rsidRPr="003E1CDA">
        <w:rPr>
          <w:sz w:val="24"/>
          <w:szCs w:val="24"/>
        </w:rPr>
        <w:t>As a result of</w:t>
      </w:r>
      <w:proofErr w:type="gramEnd"/>
      <w:r w:rsidRPr="003E1CDA">
        <w:rPr>
          <w:sz w:val="24"/>
          <w:szCs w:val="24"/>
        </w:rPr>
        <w:t xml:space="preserve"> information provided by the Applicant and additional analysis, staff finds that the Applicant has demonstrated that the Proposed Project has met Factor 2.</w:t>
      </w:r>
    </w:p>
    <w:p w14:paraId="26B2F9AE" w14:textId="4A2F140A" w:rsidR="003E1CDA" w:rsidRDefault="003E1CDA"/>
    <w:p w14:paraId="37B182AD" w14:textId="77777777" w:rsidR="003E1CDA" w:rsidRPr="003E1CDA" w:rsidRDefault="003E1CDA" w:rsidP="003E1CDA">
      <w:pPr>
        <w:spacing w:after="0"/>
        <w:rPr>
          <w:b/>
          <w:bCs/>
          <w:sz w:val="28"/>
          <w:szCs w:val="28"/>
        </w:rPr>
      </w:pPr>
      <w:r w:rsidRPr="003E1CDA">
        <w:rPr>
          <w:b/>
          <w:bCs/>
          <w:sz w:val="28"/>
          <w:szCs w:val="28"/>
        </w:rPr>
        <w:t xml:space="preserve">Factor 3: Relevant Licensure/Oversight Compliance </w:t>
      </w:r>
    </w:p>
    <w:p w14:paraId="2FEEFBF8" w14:textId="77777777" w:rsidR="003E1CDA" w:rsidRPr="003E1CDA" w:rsidRDefault="003E1CDA" w:rsidP="003E1CDA">
      <w:pPr>
        <w:spacing w:after="0" w:line="240" w:lineRule="auto"/>
        <w:rPr>
          <w:b/>
          <w:bCs/>
          <w:sz w:val="24"/>
          <w:szCs w:val="24"/>
        </w:rPr>
      </w:pPr>
      <w:r w:rsidRPr="003E1CDA">
        <w:rPr>
          <w:sz w:val="24"/>
          <w:szCs w:val="24"/>
        </w:rPr>
        <w:t>The Applicant has provided evidence of compliance and good standing with federal, state, and local laws and regulations and will not be addressed further in this report.</w:t>
      </w:r>
    </w:p>
    <w:p w14:paraId="4B26B337" w14:textId="77777777" w:rsidR="00D84FE4" w:rsidRDefault="00D84FE4" w:rsidP="003E1CDA">
      <w:pPr>
        <w:rPr>
          <w:b/>
          <w:bCs/>
          <w:sz w:val="28"/>
          <w:szCs w:val="28"/>
        </w:rPr>
      </w:pPr>
    </w:p>
    <w:p w14:paraId="23B352B5" w14:textId="1D0104ED" w:rsidR="003E1CDA" w:rsidRDefault="003E1CDA" w:rsidP="003E1CDA">
      <w:pPr>
        <w:rPr>
          <w:b/>
          <w:bCs/>
          <w:sz w:val="28"/>
          <w:szCs w:val="28"/>
        </w:rPr>
      </w:pPr>
      <w:r w:rsidRPr="003E1CDA">
        <w:rPr>
          <w:b/>
          <w:bCs/>
          <w:sz w:val="28"/>
          <w:szCs w:val="28"/>
        </w:rPr>
        <w:t xml:space="preserve">Factor 4: Demonstration of Sufficient Funds as Supported by an Independent CPA Analysis </w:t>
      </w:r>
    </w:p>
    <w:p w14:paraId="130A4F9B" w14:textId="1F41309B" w:rsidR="00600AA5" w:rsidRDefault="00600AA5" w:rsidP="00600AA5">
      <w:pPr>
        <w:spacing w:line="240" w:lineRule="auto"/>
        <w:rPr>
          <w:sz w:val="24"/>
          <w:szCs w:val="24"/>
        </w:rPr>
      </w:pPr>
      <w:r w:rsidRPr="005F07C5">
        <w:rPr>
          <w:sz w:val="24"/>
          <w:szCs w:val="24"/>
        </w:rPr>
        <w:t xml:space="preserve">Under Factor 4, the Applicant must demonstrate that it has sufficient funds available for capital and operating costs necessary to support the Proposed Project without negative effects or consequences to the existing </w:t>
      </w:r>
      <w:r>
        <w:rPr>
          <w:sz w:val="24"/>
          <w:szCs w:val="24"/>
        </w:rPr>
        <w:t>P</w:t>
      </w:r>
      <w:r w:rsidRPr="005F07C5">
        <w:rPr>
          <w:sz w:val="24"/>
          <w:szCs w:val="24"/>
        </w:rPr>
        <w:t xml:space="preserve">atient </w:t>
      </w:r>
      <w:r>
        <w:rPr>
          <w:sz w:val="24"/>
          <w:szCs w:val="24"/>
        </w:rPr>
        <w:t>P</w:t>
      </w:r>
      <w:r w:rsidRPr="005F07C5">
        <w:rPr>
          <w:sz w:val="24"/>
          <w:szCs w:val="24"/>
        </w:rPr>
        <w:t xml:space="preserve">anel. Documentation sufficient to make such finding must be supported by an analysis by an independent CPA. </w:t>
      </w:r>
      <w:r>
        <w:rPr>
          <w:sz w:val="24"/>
          <w:szCs w:val="24"/>
        </w:rPr>
        <w:t xml:space="preserve">The CPA report notes that </w:t>
      </w:r>
      <w:r w:rsidR="00DB58E9">
        <w:rPr>
          <w:sz w:val="24"/>
          <w:szCs w:val="24"/>
        </w:rPr>
        <w:t xml:space="preserve">while </w:t>
      </w:r>
      <w:r>
        <w:rPr>
          <w:sz w:val="24"/>
          <w:szCs w:val="24"/>
        </w:rPr>
        <w:t xml:space="preserve">Shields Heywood will be a single legal entity, two separate sets of six-year consolidated prospective financial schedules (one set for Shields MRI, and one set for Shields </w:t>
      </w:r>
      <w:r w:rsidR="00CE30E4">
        <w:rPr>
          <w:sz w:val="24"/>
          <w:szCs w:val="24"/>
        </w:rPr>
        <w:t>PET-CT</w:t>
      </w:r>
      <w:r>
        <w:rPr>
          <w:sz w:val="24"/>
          <w:szCs w:val="24"/>
        </w:rPr>
        <w:t>) were prepared to reflect Management’s view that Shields Heywood will be a single legal entity</w:t>
      </w:r>
      <w:r w:rsidR="001A6FED">
        <w:rPr>
          <w:sz w:val="24"/>
          <w:szCs w:val="24"/>
        </w:rPr>
        <w:t>:</w:t>
      </w:r>
      <w:r>
        <w:rPr>
          <w:sz w:val="24"/>
          <w:szCs w:val="24"/>
        </w:rPr>
        <w:t xml:space="preserve"> Shields MRI and Shields </w:t>
      </w:r>
      <w:r w:rsidR="00CE30E4">
        <w:rPr>
          <w:sz w:val="24"/>
          <w:szCs w:val="24"/>
        </w:rPr>
        <w:t>PET-CT</w:t>
      </w:r>
      <w:r>
        <w:rPr>
          <w:sz w:val="24"/>
          <w:szCs w:val="24"/>
        </w:rPr>
        <w:t xml:space="preserve"> will operate as two separate lines of business. </w:t>
      </w:r>
      <w:r w:rsidR="000D48AA">
        <w:rPr>
          <w:sz w:val="24"/>
          <w:szCs w:val="24"/>
        </w:rPr>
        <w:t xml:space="preserve">The financials that were prepared by Management include separate prospective statements of profit and loss, balance sheets, and statements of cash flow for Shields MRI and Shields </w:t>
      </w:r>
      <w:r w:rsidR="00CE30E4">
        <w:rPr>
          <w:sz w:val="24"/>
          <w:szCs w:val="24"/>
        </w:rPr>
        <w:t>PET-CT</w:t>
      </w:r>
      <w:r w:rsidR="000D48AA">
        <w:rPr>
          <w:sz w:val="24"/>
          <w:szCs w:val="24"/>
        </w:rPr>
        <w:t xml:space="preserve">. </w:t>
      </w:r>
      <w:r w:rsidRPr="005F07C5">
        <w:rPr>
          <w:sz w:val="24"/>
          <w:szCs w:val="24"/>
        </w:rPr>
        <w:t xml:space="preserve">The CPA examined a range of documents and information in developing its report including </w:t>
      </w:r>
      <w:r w:rsidR="000D48AA">
        <w:rPr>
          <w:sz w:val="24"/>
          <w:szCs w:val="24"/>
        </w:rPr>
        <w:t>an analysis of separate sets of six-year consolidated prospective financial schedules for Shields MRI and PET-CT, volume assumptions, payer mix and per-case reimbursement assumptions, and relevant websites</w:t>
      </w:r>
      <w:r w:rsidRPr="005F07C5">
        <w:rPr>
          <w:sz w:val="24"/>
          <w:szCs w:val="24"/>
        </w:rPr>
        <w:t xml:space="preserve">. Additionally, it calculated key liquidity and operating metrics to assist in determining reasonableness of the Applicant’s assumptions and feasibility of the Projections. </w:t>
      </w:r>
    </w:p>
    <w:p w14:paraId="3B2C6147" w14:textId="77777777" w:rsidR="00813CE3" w:rsidRDefault="00813CE3" w:rsidP="00600AA5">
      <w:pPr>
        <w:spacing w:line="240" w:lineRule="auto"/>
        <w:rPr>
          <w:b/>
          <w:bCs/>
          <w:sz w:val="24"/>
          <w:szCs w:val="24"/>
        </w:rPr>
      </w:pPr>
    </w:p>
    <w:p w14:paraId="42948F52" w14:textId="3BA4C528" w:rsidR="00CE3415" w:rsidRDefault="00473189" w:rsidP="00600AA5">
      <w:pPr>
        <w:spacing w:line="240" w:lineRule="auto"/>
        <w:rPr>
          <w:sz w:val="24"/>
          <w:szCs w:val="24"/>
        </w:rPr>
      </w:pPr>
      <w:r w:rsidRPr="00473189">
        <w:rPr>
          <w:b/>
          <w:bCs/>
          <w:sz w:val="24"/>
          <w:szCs w:val="24"/>
        </w:rPr>
        <w:t>Revenues</w:t>
      </w:r>
    </w:p>
    <w:p w14:paraId="63422505" w14:textId="4B2D829E" w:rsidR="00CE3415" w:rsidRPr="003457FF" w:rsidRDefault="00EB4FCF" w:rsidP="003457FF">
      <w:pPr>
        <w:spacing w:line="240" w:lineRule="auto"/>
        <w:rPr>
          <w:sz w:val="24"/>
          <w:szCs w:val="24"/>
        </w:rPr>
      </w:pPr>
      <w:r w:rsidRPr="00926274">
        <w:rPr>
          <w:sz w:val="24"/>
          <w:szCs w:val="24"/>
        </w:rPr>
        <w:t>Prospective volume</w:t>
      </w:r>
      <w:r w:rsidRPr="003457FF">
        <w:rPr>
          <w:sz w:val="24"/>
          <w:szCs w:val="24"/>
        </w:rPr>
        <w:t xml:space="preserve"> for Shields MRI and Shield PET-CT was based on Heywood Healthcare’s historical imaging volume</w:t>
      </w:r>
      <w:r w:rsidR="00ED522E" w:rsidRPr="003457FF">
        <w:rPr>
          <w:sz w:val="24"/>
          <w:szCs w:val="24"/>
        </w:rPr>
        <w:t>: MRI volume included Heywood 2019 historical inpatient and Athol Hospital outpatient imaging volume, and PET-CT volume at Athol Hospital was estimated to be the same as Heywood’s 2019 PET-CT volume.</w:t>
      </w:r>
      <w:r w:rsidRPr="003457FF">
        <w:rPr>
          <w:sz w:val="24"/>
          <w:szCs w:val="24"/>
        </w:rPr>
        <w:t xml:space="preserve"> The impact of COVID-19 was considered in the development of the prospective</w:t>
      </w:r>
      <w:r w:rsidR="008A7D55" w:rsidRPr="003457FF">
        <w:rPr>
          <w:sz w:val="24"/>
          <w:szCs w:val="24"/>
        </w:rPr>
        <w:t xml:space="preserve"> </w:t>
      </w:r>
      <w:r w:rsidR="00EB00C5" w:rsidRPr="003457FF">
        <w:rPr>
          <w:sz w:val="24"/>
          <w:szCs w:val="24"/>
        </w:rPr>
        <w:t>financials</w:t>
      </w:r>
      <w:r w:rsidR="00CE3415" w:rsidRPr="003457FF">
        <w:rPr>
          <w:sz w:val="24"/>
          <w:szCs w:val="24"/>
        </w:rPr>
        <w:t>.</w:t>
      </w:r>
    </w:p>
    <w:p w14:paraId="179AB4B2" w14:textId="77777777" w:rsidR="00CE3415" w:rsidRPr="003457FF" w:rsidRDefault="00ED522E" w:rsidP="003457FF">
      <w:pPr>
        <w:spacing w:line="240" w:lineRule="auto"/>
        <w:rPr>
          <w:sz w:val="24"/>
          <w:szCs w:val="24"/>
        </w:rPr>
      </w:pPr>
      <w:r w:rsidRPr="00926274">
        <w:rPr>
          <w:sz w:val="24"/>
          <w:szCs w:val="24"/>
        </w:rPr>
        <w:t xml:space="preserve">Prospective revenue per scan </w:t>
      </w:r>
      <w:r w:rsidRPr="003457FF">
        <w:rPr>
          <w:sz w:val="24"/>
          <w:szCs w:val="24"/>
        </w:rPr>
        <w:t xml:space="preserve">was determined based on Heywood’s 2019 payer mix and Shield’s historical reimbursement rates. CPA report determined that the prospective Shields MRI and Shields PET-CT volumes provided by Management were reasonable. </w:t>
      </w:r>
      <w:r w:rsidR="008E4CF7" w:rsidRPr="003457FF">
        <w:rPr>
          <w:sz w:val="24"/>
          <w:szCs w:val="24"/>
        </w:rPr>
        <w:t>The review of payer mix included a summary of Heywood’s payer mix and Shields historical reimbursement rates for MRI and PET-CT.</w:t>
      </w:r>
      <w:r w:rsidR="008E4CF7">
        <w:rPr>
          <w:rStyle w:val="FootnoteReference"/>
          <w:sz w:val="24"/>
          <w:szCs w:val="24"/>
        </w:rPr>
        <w:footnoteReference w:id="26"/>
      </w:r>
      <w:r w:rsidR="00DA78DB" w:rsidRPr="003457FF">
        <w:rPr>
          <w:sz w:val="24"/>
          <w:szCs w:val="24"/>
        </w:rPr>
        <w:t xml:space="preserve"> The CPA determined the reimbursement rates provided by Management were reasonable for both Shields MRI and Shields PET-CT.</w:t>
      </w:r>
    </w:p>
    <w:p w14:paraId="1A7660A1" w14:textId="547C010E" w:rsidR="008E4CF7" w:rsidRPr="00CE3415" w:rsidRDefault="003457FF" w:rsidP="00CE3415">
      <w:pPr>
        <w:spacing w:line="240" w:lineRule="auto"/>
        <w:rPr>
          <w:sz w:val="24"/>
          <w:szCs w:val="24"/>
        </w:rPr>
      </w:pPr>
      <w:r>
        <w:rPr>
          <w:sz w:val="24"/>
          <w:szCs w:val="24"/>
        </w:rPr>
        <w:lastRenderedPageBreak/>
        <w:t>The CPA found that the</w:t>
      </w:r>
      <w:r w:rsidR="00DA78DB" w:rsidRPr="00CE3415">
        <w:rPr>
          <w:sz w:val="24"/>
          <w:szCs w:val="24"/>
        </w:rPr>
        <w:t xml:space="preserve"> revenue growth estimated by Management reflects a reasonable estimation of future revenue of Shields Heywood based on estimated volumes and reimbursements. </w:t>
      </w:r>
    </w:p>
    <w:p w14:paraId="46F68DC9" w14:textId="5CAC407E" w:rsidR="00DA78DB" w:rsidRPr="00AB1624" w:rsidRDefault="00DA78DB" w:rsidP="00600AA5">
      <w:pPr>
        <w:spacing w:line="240" w:lineRule="auto"/>
        <w:rPr>
          <w:b/>
          <w:bCs/>
          <w:sz w:val="24"/>
          <w:szCs w:val="24"/>
        </w:rPr>
      </w:pPr>
      <w:r w:rsidRPr="00AB1624">
        <w:rPr>
          <w:b/>
          <w:bCs/>
          <w:sz w:val="24"/>
          <w:szCs w:val="24"/>
        </w:rPr>
        <w:t>Expenses</w:t>
      </w:r>
    </w:p>
    <w:p w14:paraId="5A612F27" w14:textId="060CADBF" w:rsidR="00AB1624" w:rsidRPr="003457FF" w:rsidRDefault="00DA78DB" w:rsidP="003457FF">
      <w:pPr>
        <w:spacing w:line="240" w:lineRule="auto"/>
        <w:rPr>
          <w:sz w:val="24"/>
          <w:szCs w:val="24"/>
        </w:rPr>
      </w:pPr>
      <w:r w:rsidRPr="003457FF">
        <w:rPr>
          <w:sz w:val="24"/>
          <w:szCs w:val="24"/>
        </w:rPr>
        <w:t xml:space="preserve">Operating expenses include support services, billing, and bad debt expense for both Shields MRI and Shields PET-CT. The CPA report notes that the </w:t>
      </w:r>
      <w:r w:rsidR="00FA2B34">
        <w:rPr>
          <w:sz w:val="24"/>
          <w:szCs w:val="24"/>
        </w:rPr>
        <w:t>f</w:t>
      </w:r>
      <w:r w:rsidRPr="003457FF">
        <w:rPr>
          <w:sz w:val="24"/>
          <w:szCs w:val="24"/>
        </w:rPr>
        <w:t xml:space="preserve">inancials included bad debt expenses due to </w:t>
      </w:r>
      <w:r w:rsidR="001A6FED">
        <w:rPr>
          <w:sz w:val="24"/>
          <w:szCs w:val="24"/>
        </w:rPr>
        <w:t xml:space="preserve">the </w:t>
      </w:r>
      <w:r w:rsidRPr="003457FF">
        <w:rPr>
          <w:sz w:val="24"/>
          <w:szCs w:val="24"/>
        </w:rPr>
        <w:t>period needed to obtain accreditation to be reimbursable for the operations of Shields MRI and Shields PET-CT. The CPA calculated a</w:t>
      </w:r>
      <w:r w:rsidR="00187D11" w:rsidRPr="003457FF">
        <w:rPr>
          <w:sz w:val="24"/>
          <w:szCs w:val="24"/>
        </w:rPr>
        <w:t xml:space="preserve">n operating expense </w:t>
      </w:r>
      <w:r w:rsidR="00BA5910">
        <w:rPr>
          <w:sz w:val="24"/>
          <w:szCs w:val="24"/>
        </w:rPr>
        <w:t>c</w:t>
      </w:r>
      <w:r w:rsidR="00112412">
        <w:rPr>
          <w:sz w:val="24"/>
          <w:szCs w:val="24"/>
        </w:rPr>
        <w:t xml:space="preserve">ompound </w:t>
      </w:r>
      <w:r w:rsidR="00BA5910">
        <w:rPr>
          <w:sz w:val="24"/>
          <w:szCs w:val="24"/>
        </w:rPr>
        <w:t>a</w:t>
      </w:r>
      <w:r w:rsidR="00112412">
        <w:rPr>
          <w:sz w:val="24"/>
          <w:szCs w:val="24"/>
        </w:rPr>
        <w:t xml:space="preserve">nnual </w:t>
      </w:r>
      <w:r w:rsidR="00BA5910">
        <w:rPr>
          <w:sz w:val="24"/>
          <w:szCs w:val="24"/>
        </w:rPr>
        <w:t>g</w:t>
      </w:r>
      <w:r w:rsidR="00112412">
        <w:rPr>
          <w:sz w:val="24"/>
          <w:szCs w:val="24"/>
        </w:rPr>
        <w:t xml:space="preserve">rowth </w:t>
      </w:r>
      <w:r w:rsidR="00BA5910">
        <w:rPr>
          <w:sz w:val="24"/>
          <w:szCs w:val="24"/>
        </w:rPr>
        <w:t>r</w:t>
      </w:r>
      <w:r w:rsidR="00112412">
        <w:rPr>
          <w:sz w:val="24"/>
          <w:szCs w:val="24"/>
        </w:rPr>
        <w:t>ate (</w:t>
      </w:r>
      <w:r w:rsidR="00187D11" w:rsidRPr="003457FF">
        <w:rPr>
          <w:sz w:val="24"/>
          <w:szCs w:val="24"/>
        </w:rPr>
        <w:t>CAGR</w:t>
      </w:r>
      <w:r w:rsidR="00112412">
        <w:rPr>
          <w:sz w:val="24"/>
          <w:szCs w:val="24"/>
        </w:rPr>
        <w:t>)</w:t>
      </w:r>
      <w:r w:rsidR="00187D11" w:rsidRPr="003457FF">
        <w:rPr>
          <w:sz w:val="24"/>
          <w:szCs w:val="24"/>
        </w:rPr>
        <w:t xml:space="preserve"> of 2% for Shields M</w:t>
      </w:r>
      <w:r w:rsidR="00677745">
        <w:rPr>
          <w:sz w:val="24"/>
          <w:szCs w:val="24"/>
        </w:rPr>
        <w:t>R</w:t>
      </w:r>
      <w:r w:rsidR="00187D11" w:rsidRPr="003457FF">
        <w:rPr>
          <w:sz w:val="24"/>
          <w:szCs w:val="24"/>
        </w:rPr>
        <w:t>I and 10% for Shields PET-CT</w:t>
      </w:r>
      <w:r w:rsidR="00187D11" w:rsidRPr="00926274">
        <w:rPr>
          <w:sz w:val="24"/>
          <w:szCs w:val="24"/>
        </w:rPr>
        <w:t>. Facilities and equipment relate</w:t>
      </w:r>
      <w:r w:rsidR="00DE0AF1">
        <w:rPr>
          <w:sz w:val="24"/>
          <w:szCs w:val="24"/>
        </w:rPr>
        <w:t xml:space="preserve">d </w:t>
      </w:r>
      <w:r w:rsidR="00187D11" w:rsidRPr="00926274">
        <w:rPr>
          <w:sz w:val="24"/>
          <w:szCs w:val="24"/>
        </w:rPr>
        <w:t xml:space="preserve">expenses </w:t>
      </w:r>
      <w:r w:rsidR="00EB00C5" w:rsidRPr="00926274">
        <w:rPr>
          <w:sz w:val="24"/>
          <w:szCs w:val="24"/>
        </w:rPr>
        <w:t>incl</w:t>
      </w:r>
      <w:r w:rsidR="00EB00C5" w:rsidRPr="003457FF">
        <w:rPr>
          <w:sz w:val="24"/>
          <w:szCs w:val="24"/>
        </w:rPr>
        <w:t>ude</w:t>
      </w:r>
      <w:r w:rsidR="00187D11" w:rsidRPr="003457FF">
        <w:rPr>
          <w:sz w:val="24"/>
          <w:szCs w:val="24"/>
        </w:rPr>
        <w:t xml:space="preserve"> depreciation, and </w:t>
      </w:r>
      <w:r w:rsidR="003457FF">
        <w:rPr>
          <w:sz w:val="24"/>
          <w:szCs w:val="24"/>
        </w:rPr>
        <w:t>other</w:t>
      </w:r>
      <w:r w:rsidR="00187D11" w:rsidRPr="003457FF">
        <w:rPr>
          <w:sz w:val="24"/>
          <w:szCs w:val="24"/>
        </w:rPr>
        <w:t xml:space="preserve"> expenses for Shields MRI and Shields PET-CT, which the CPA determined to be reasonable. </w:t>
      </w:r>
      <w:r w:rsidR="00187D11" w:rsidRPr="00926274">
        <w:rPr>
          <w:sz w:val="24"/>
          <w:szCs w:val="24"/>
        </w:rPr>
        <w:t>Service-related expenses for Shields</w:t>
      </w:r>
      <w:r w:rsidR="00187D11" w:rsidRPr="003457FF">
        <w:rPr>
          <w:sz w:val="24"/>
          <w:szCs w:val="24"/>
        </w:rPr>
        <w:t xml:space="preserve"> MRI include contrast/film expense, equipment maintenance, and other expenses. The CPA calculated a CAGR of 1% from year 2 through year 6.</w:t>
      </w:r>
    </w:p>
    <w:p w14:paraId="5AF41E0F" w14:textId="77777777" w:rsidR="00AB1624" w:rsidRPr="003457FF" w:rsidRDefault="00187D11" w:rsidP="003457FF">
      <w:pPr>
        <w:spacing w:line="240" w:lineRule="auto"/>
        <w:rPr>
          <w:sz w:val="24"/>
          <w:szCs w:val="24"/>
        </w:rPr>
      </w:pPr>
      <w:r w:rsidRPr="00926274">
        <w:rPr>
          <w:sz w:val="24"/>
          <w:szCs w:val="24"/>
        </w:rPr>
        <w:t>Salaries and Benefi</w:t>
      </w:r>
      <w:r w:rsidR="005A4234" w:rsidRPr="00926274">
        <w:rPr>
          <w:sz w:val="24"/>
          <w:szCs w:val="24"/>
        </w:rPr>
        <w:t>t</w:t>
      </w:r>
      <w:r w:rsidRPr="00926274">
        <w:rPr>
          <w:sz w:val="24"/>
          <w:szCs w:val="24"/>
        </w:rPr>
        <w:t>s</w:t>
      </w:r>
      <w:r w:rsidRPr="003457FF">
        <w:rPr>
          <w:sz w:val="24"/>
          <w:szCs w:val="24"/>
        </w:rPr>
        <w:t xml:space="preserve"> include radiology, te</w:t>
      </w:r>
      <w:r w:rsidR="005A4234" w:rsidRPr="003457FF">
        <w:rPr>
          <w:sz w:val="24"/>
          <w:szCs w:val="24"/>
        </w:rPr>
        <w:t>ch</w:t>
      </w:r>
      <w:r w:rsidRPr="003457FF">
        <w:rPr>
          <w:sz w:val="24"/>
          <w:szCs w:val="24"/>
        </w:rPr>
        <w:t>nologists, and operations expenses for both Shields MRI and Shields PET-CT. The CPA calculated a CAGR of 2% for Shields MRI and 4% for Shields PET-CT from year 1 through year 6, which the CPA determined to be reasonable.</w:t>
      </w:r>
    </w:p>
    <w:p w14:paraId="4BED9D99" w14:textId="7C3AA210" w:rsidR="00AB1624" w:rsidRPr="003457FF" w:rsidRDefault="00187D11" w:rsidP="003457FF">
      <w:pPr>
        <w:spacing w:line="240" w:lineRule="auto"/>
        <w:rPr>
          <w:sz w:val="24"/>
          <w:szCs w:val="24"/>
        </w:rPr>
      </w:pPr>
      <w:r w:rsidRPr="00926274">
        <w:rPr>
          <w:sz w:val="24"/>
          <w:szCs w:val="24"/>
        </w:rPr>
        <w:t xml:space="preserve">Selling, General, and Administrative (SG&amp;A) </w:t>
      </w:r>
      <w:r w:rsidRPr="003457FF">
        <w:rPr>
          <w:sz w:val="24"/>
          <w:szCs w:val="24"/>
        </w:rPr>
        <w:t xml:space="preserve">expenses include support services, management, and other SG&amp;A expenses for Shields MRI and support services, marketing, </w:t>
      </w:r>
      <w:r w:rsidR="00AE56F1" w:rsidRPr="003457FF">
        <w:rPr>
          <w:sz w:val="24"/>
          <w:szCs w:val="24"/>
        </w:rPr>
        <w:t>management,</w:t>
      </w:r>
      <w:r w:rsidRPr="003457FF">
        <w:rPr>
          <w:sz w:val="24"/>
          <w:szCs w:val="24"/>
        </w:rPr>
        <w:t xml:space="preserve"> and other SG&amp;A expenses for Shields </w:t>
      </w:r>
      <w:r w:rsidR="005A4234" w:rsidRPr="003457FF">
        <w:rPr>
          <w:sz w:val="24"/>
          <w:szCs w:val="24"/>
        </w:rPr>
        <w:t>P</w:t>
      </w:r>
      <w:r w:rsidRPr="003457FF">
        <w:rPr>
          <w:sz w:val="24"/>
          <w:szCs w:val="24"/>
        </w:rPr>
        <w:t xml:space="preserve">ET-CT. The CPA calculated a CAGR of 6% for Shields MRI and 7% for Shields PET-CT from year 2 through year 6. </w:t>
      </w:r>
    </w:p>
    <w:p w14:paraId="2AAC4CB4" w14:textId="5B1B0C2A" w:rsidR="00187D11" w:rsidRPr="003457FF" w:rsidRDefault="00187D11" w:rsidP="003457FF">
      <w:pPr>
        <w:spacing w:line="240" w:lineRule="auto"/>
        <w:rPr>
          <w:sz w:val="24"/>
          <w:szCs w:val="24"/>
        </w:rPr>
      </w:pPr>
      <w:r w:rsidRPr="003457FF">
        <w:rPr>
          <w:sz w:val="24"/>
          <w:szCs w:val="24"/>
        </w:rPr>
        <w:t xml:space="preserve">Interest expense for Shields MRI ranges from $72K in year 1 to $8K in year 6. There was </w:t>
      </w:r>
      <w:r w:rsidR="00972D91" w:rsidRPr="003457FF">
        <w:rPr>
          <w:sz w:val="24"/>
          <w:szCs w:val="24"/>
        </w:rPr>
        <w:t>no</w:t>
      </w:r>
      <w:r w:rsidRPr="003457FF">
        <w:rPr>
          <w:sz w:val="24"/>
          <w:szCs w:val="24"/>
        </w:rPr>
        <w:t xml:space="preserve"> interest expense for Shields PET-CT. </w:t>
      </w:r>
    </w:p>
    <w:p w14:paraId="601B5658" w14:textId="2DB5E444" w:rsidR="00187D11" w:rsidRDefault="00187D11" w:rsidP="00600AA5">
      <w:pPr>
        <w:spacing w:line="240" w:lineRule="auto"/>
        <w:rPr>
          <w:sz w:val="24"/>
          <w:szCs w:val="24"/>
        </w:rPr>
      </w:pPr>
      <w:r>
        <w:rPr>
          <w:sz w:val="24"/>
          <w:szCs w:val="24"/>
        </w:rPr>
        <w:t xml:space="preserve">The CPA found that the prospective expenses didn’t warrant any additional adjustment and are reasonable. </w:t>
      </w:r>
    </w:p>
    <w:p w14:paraId="43EB43CF" w14:textId="75C3C69A" w:rsidR="00187D11" w:rsidRPr="00AB1624" w:rsidRDefault="00187D11" w:rsidP="00600AA5">
      <w:pPr>
        <w:spacing w:line="240" w:lineRule="auto"/>
        <w:rPr>
          <w:b/>
          <w:bCs/>
          <w:sz w:val="24"/>
          <w:szCs w:val="24"/>
        </w:rPr>
      </w:pPr>
      <w:r w:rsidRPr="00AB1624">
        <w:rPr>
          <w:b/>
          <w:bCs/>
          <w:sz w:val="24"/>
          <w:szCs w:val="24"/>
        </w:rPr>
        <w:t>Capital Expense and Cash Flows</w:t>
      </w:r>
    </w:p>
    <w:p w14:paraId="00EBE6CC" w14:textId="5E4C7133" w:rsidR="00187D11" w:rsidRDefault="00187D11" w:rsidP="00600AA5">
      <w:pPr>
        <w:spacing w:line="240" w:lineRule="auto"/>
        <w:rPr>
          <w:sz w:val="24"/>
          <w:szCs w:val="24"/>
        </w:rPr>
      </w:pPr>
      <w:r>
        <w:rPr>
          <w:sz w:val="24"/>
          <w:szCs w:val="24"/>
        </w:rPr>
        <w:t>The CPA reviewed the capital expenditure and cash flows for Shield MRI which w</w:t>
      </w:r>
      <w:r w:rsidR="00DC01DB">
        <w:rPr>
          <w:sz w:val="24"/>
          <w:szCs w:val="24"/>
        </w:rPr>
        <w:t>as</w:t>
      </w:r>
      <w:r>
        <w:rPr>
          <w:sz w:val="24"/>
          <w:szCs w:val="24"/>
        </w:rPr>
        <w:t xml:space="preserve"> $2,</w:t>
      </w:r>
      <w:r w:rsidR="00112412">
        <w:rPr>
          <w:sz w:val="24"/>
          <w:szCs w:val="24"/>
        </w:rPr>
        <w:t>0</w:t>
      </w:r>
      <w:r>
        <w:rPr>
          <w:sz w:val="24"/>
          <w:szCs w:val="24"/>
        </w:rPr>
        <w:t xml:space="preserve">00,511 in capital acquisitions in year 1 and </w:t>
      </w:r>
      <w:r w:rsidR="006137AB">
        <w:rPr>
          <w:sz w:val="24"/>
          <w:szCs w:val="24"/>
        </w:rPr>
        <w:t xml:space="preserve">for </w:t>
      </w:r>
      <w:r>
        <w:rPr>
          <w:sz w:val="24"/>
          <w:szCs w:val="24"/>
        </w:rPr>
        <w:t>Shields PET-CT which was $75K in capital acquisitions in year 1, to determine if sufficient funds would be available to sustain the operations of Shields Heywood. There were no capital expen</w:t>
      </w:r>
      <w:r w:rsidR="00E61D4B">
        <w:rPr>
          <w:sz w:val="24"/>
          <w:szCs w:val="24"/>
        </w:rPr>
        <w:t>di</w:t>
      </w:r>
      <w:r>
        <w:rPr>
          <w:sz w:val="24"/>
          <w:szCs w:val="24"/>
        </w:rPr>
        <w:t>tures expected from year 2 through year 6 for S</w:t>
      </w:r>
      <w:r w:rsidR="00E61D4B">
        <w:rPr>
          <w:sz w:val="24"/>
          <w:szCs w:val="24"/>
        </w:rPr>
        <w:t>h</w:t>
      </w:r>
      <w:r>
        <w:rPr>
          <w:sz w:val="24"/>
          <w:szCs w:val="24"/>
        </w:rPr>
        <w:t>ie</w:t>
      </w:r>
      <w:r w:rsidR="00E61D4B">
        <w:rPr>
          <w:sz w:val="24"/>
          <w:szCs w:val="24"/>
        </w:rPr>
        <w:t>l</w:t>
      </w:r>
      <w:r>
        <w:rPr>
          <w:sz w:val="24"/>
          <w:szCs w:val="24"/>
        </w:rPr>
        <w:t xml:space="preserve">ds MRI or Shields PET-CT. The CPA determined the prospective capital requirements and resulting impact on cash flows of Shields Heywood are reasonable. </w:t>
      </w:r>
    </w:p>
    <w:p w14:paraId="5FE864D1" w14:textId="4E68AB86" w:rsidR="00ED522E" w:rsidRDefault="00187D11" w:rsidP="00600AA5">
      <w:pPr>
        <w:spacing w:line="240" w:lineRule="auto"/>
        <w:rPr>
          <w:sz w:val="24"/>
          <w:szCs w:val="24"/>
        </w:rPr>
      </w:pPr>
      <w:r>
        <w:rPr>
          <w:sz w:val="24"/>
          <w:szCs w:val="24"/>
        </w:rPr>
        <w:t xml:space="preserve">The CPA report states that Shields MRI exhibits a cumulative cash surplus </w:t>
      </w:r>
      <w:r w:rsidR="00E61D4B">
        <w:rPr>
          <w:sz w:val="24"/>
          <w:szCs w:val="24"/>
        </w:rPr>
        <w:t xml:space="preserve">in the </w:t>
      </w:r>
      <w:r w:rsidR="00FA2B34">
        <w:rPr>
          <w:sz w:val="24"/>
          <w:szCs w:val="24"/>
        </w:rPr>
        <w:t>f</w:t>
      </w:r>
      <w:r w:rsidR="00E61D4B">
        <w:rPr>
          <w:sz w:val="24"/>
          <w:szCs w:val="24"/>
        </w:rPr>
        <w:t xml:space="preserve">inancials, after any scheduled distributions, of ~20% and Shields PET-CT of 29% of cumulative projected revenue for the project for six years. The CPA determined that the </w:t>
      </w:r>
      <w:r w:rsidR="00FA2B34">
        <w:rPr>
          <w:sz w:val="24"/>
          <w:szCs w:val="24"/>
        </w:rPr>
        <w:t>f</w:t>
      </w:r>
      <w:r w:rsidR="00E61D4B">
        <w:rPr>
          <w:sz w:val="24"/>
          <w:szCs w:val="24"/>
        </w:rPr>
        <w:t xml:space="preserve">inancials are based on feasible </w:t>
      </w:r>
      <w:r w:rsidR="00112412">
        <w:rPr>
          <w:sz w:val="24"/>
          <w:szCs w:val="24"/>
        </w:rPr>
        <w:t>assumptions and</w:t>
      </w:r>
      <w:r w:rsidR="00E61D4B">
        <w:rPr>
          <w:sz w:val="24"/>
          <w:szCs w:val="24"/>
        </w:rPr>
        <w:t xml:space="preserve"> are feasible and sustainable for Shields MRI and Shields PET-CT and not likely to have a negative impact on the Patient Panel or result in a liquidation of assets of Shields Heywood. </w:t>
      </w:r>
    </w:p>
    <w:p w14:paraId="1308DF54" w14:textId="77777777" w:rsidR="00600AA5" w:rsidRDefault="00600AA5" w:rsidP="003E1CDA">
      <w:pPr>
        <w:spacing w:after="0" w:line="240" w:lineRule="auto"/>
        <w:rPr>
          <w:b/>
          <w:bCs/>
          <w:i/>
          <w:iCs/>
          <w:sz w:val="24"/>
          <w:szCs w:val="24"/>
        </w:rPr>
      </w:pPr>
    </w:p>
    <w:p w14:paraId="11B4E354" w14:textId="4BD05991" w:rsidR="003E1CDA" w:rsidRPr="003E1CDA" w:rsidRDefault="003E1CDA" w:rsidP="003E1CDA">
      <w:pPr>
        <w:spacing w:after="0" w:line="240" w:lineRule="auto"/>
        <w:rPr>
          <w:b/>
          <w:bCs/>
          <w:i/>
          <w:iCs/>
          <w:sz w:val="24"/>
          <w:szCs w:val="24"/>
        </w:rPr>
      </w:pPr>
      <w:r w:rsidRPr="003E1CDA">
        <w:rPr>
          <w:b/>
          <w:bCs/>
          <w:i/>
          <w:iCs/>
          <w:sz w:val="24"/>
          <w:szCs w:val="24"/>
        </w:rPr>
        <w:lastRenderedPageBreak/>
        <w:t xml:space="preserve">Analysis </w:t>
      </w:r>
    </w:p>
    <w:p w14:paraId="6381C6AF" w14:textId="7513E76A" w:rsidR="003E1CDA" w:rsidRPr="003E1CDA" w:rsidRDefault="003E1CDA" w:rsidP="003E1CDA">
      <w:pPr>
        <w:spacing w:after="0" w:line="240" w:lineRule="auto"/>
        <w:rPr>
          <w:sz w:val="24"/>
          <w:szCs w:val="24"/>
        </w:rPr>
      </w:pPr>
      <w:r w:rsidRPr="003E1CDA">
        <w:rPr>
          <w:sz w:val="24"/>
          <w:szCs w:val="24"/>
        </w:rPr>
        <w:t>Staff is satisfied with the CPA’s analysis of Applicant</w:t>
      </w:r>
      <w:r w:rsidR="008D7589">
        <w:rPr>
          <w:sz w:val="24"/>
          <w:szCs w:val="24"/>
        </w:rPr>
        <w:t>’</w:t>
      </w:r>
      <w:r w:rsidRPr="003E1CDA">
        <w:rPr>
          <w:sz w:val="24"/>
          <w:szCs w:val="24"/>
        </w:rPr>
        <w:t xml:space="preserve">s decision to proceed with the Proposed Project. </w:t>
      </w:r>
      <w:proofErr w:type="gramStart"/>
      <w:r w:rsidRPr="003E1CDA">
        <w:rPr>
          <w:sz w:val="24"/>
          <w:szCs w:val="24"/>
        </w:rPr>
        <w:t>As a result</w:t>
      </w:r>
      <w:proofErr w:type="gramEnd"/>
      <w:r w:rsidRPr="003E1CDA">
        <w:rPr>
          <w:sz w:val="24"/>
          <w:szCs w:val="24"/>
        </w:rPr>
        <w:t>, Staff finds the CPA analysis to be acceptable and that the Applicant has met the requirements of Factor 4.</w:t>
      </w:r>
    </w:p>
    <w:p w14:paraId="752334C4" w14:textId="62AC2FD9" w:rsidR="003E1CDA" w:rsidRDefault="003E1CDA"/>
    <w:p w14:paraId="5ED2CFD6" w14:textId="3C5CDD53" w:rsidR="003E1CDA" w:rsidRPr="003E1CDA" w:rsidRDefault="003E1CDA" w:rsidP="003E1CDA">
      <w:pPr>
        <w:rPr>
          <w:b/>
          <w:bCs/>
          <w:sz w:val="28"/>
          <w:szCs w:val="28"/>
        </w:rPr>
      </w:pPr>
      <w:r w:rsidRPr="003E1CDA">
        <w:rPr>
          <w:b/>
          <w:bCs/>
          <w:sz w:val="28"/>
          <w:szCs w:val="28"/>
        </w:rPr>
        <w:t xml:space="preserve">Factor 5: Assessment of the Proposed Project’s Relative Merit </w:t>
      </w:r>
    </w:p>
    <w:p w14:paraId="587C331C" w14:textId="77777777" w:rsidR="003E1CDA" w:rsidRPr="003E1CDA" w:rsidRDefault="003E1CDA" w:rsidP="003457FF">
      <w:pPr>
        <w:spacing w:line="240" w:lineRule="auto"/>
        <w:rPr>
          <w:sz w:val="24"/>
          <w:szCs w:val="24"/>
        </w:rPr>
      </w:pPr>
      <w:r w:rsidRPr="003E1CDA">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3E1CDA">
        <w:rPr>
          <w:sz w:val="24"/>
          <w:szCs w:val="24"/>
        </w:rPr>
        <w:t>take into account</w:t>
      </w:r>
      <w:proofErr w:type="gramEnd"/>
      <w:r w:rsidRPr="003E1CDA">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2FC1A85E" w14:textId="1DEF5068" w:rsidR="003E1CDA" w:rsidRDefault="003E1CDA" w:rsidP="003E1CDA">
      <w:pPr>
        <w:spacing w:line="240" w:lineRule="auto"/>
        <w:rPr>
          <w:sz w:val="24"/>
          <w:szCs w:val="24"/>
        </w:rPr>
      </w:pPr>
      <w:r w:rsidRPr="003E1CDA">
        <w:rPr>
          <w:sz w:val="24"/>
          <w:szCs w:val="24"/>
        </w:rPr>
        <w:t>The Applicant considered and rejected two alternatives to the Proposed Project.</w:t>
      </w:r>
    </w:p>
    <w:p w14:paraId="00EC5AD6" w14:textId="2C7FE25A" w:rsidR="00B224D3" w:rsidRDefault="00B224D3" w:rsidP="00B224D3">
      <w:pPr>
        <w:pStyle w:val="ListParagraph"/>
        <w:numPr>
          <w:ilvl w:val="0"/>
          <w:numId w:val="14"/>
        </w:numPr>
        <w:spacing w:line="240" w:lineRule="auto"/>
        <w:rPr>
          <w:sz w:val="24"/>
          <w:szCs w:val="24"/>
        </w:rPr>
      </w:pPr>
      <w:r w:rsidRPr="00C9583A">
        <w:rPr>
          <w:b/>
          <w:bCs/>
          <w:sz w:val="24"/>
          <w:szCs w:val="24"/>
        </w:rPr>
        <w:t>Maintain the current arrangement with the outside vendor</w:t>
      </w:r>
      <w:r>
        <w:rPr>
          <w:sz w:val="24"/>
          <w:szCs w:val="24"/>
        </w:rPr>
        <w:t xml:space="preserve">. </w:t>
      </w:r>
      <w:r w:rsidR="00C849E6">
        <w:rPr>
          <w:sz w:val="24"/>
          <w:szCs w:val="24"/>
        </w:rPr>
        <w:t xml:space="preserve">The Applicant dismissed this alternative because it would not allow for a fully integrated medical record which would result </w:t>
      </w:r>
      <w:r w:rsidR="00536EB4">
        <w:rPr>
          <w:sz w:val="24"/>
          <w:szCs w:val="24"/>
        </w:rPr>
        <w:t>in</w:t>
      </w:r>
      <w:r w:rsidR="00C849E6">
        <w:rPr>
          <w:sz w:val="24"/>
          <w:szCs w:val="24"/>
        </w:rPr>
        <w:t xml:space="preserve"> improved care coordination and efficiency, and because it would not provide the benefits associated with a</w:t>
      </w:r>
      <w:r w:rsidR="00112412">
        <w:rPr>
          <w:sz w:val="24"/>
          <w:szCs w:val="24"/>
        </w:rPr>
        <w:t xml:space="preserve"> more technologically advanced </w:t>
      </w:r>
      <w:r w:rsidR="00C849E6">
        <w:rPr>
          <w:sz w:val="24"/>
          <w:szCs w:val="24"/>
        </w:rPr>
        <w:t xml:space="preserve">MRI unit as well as PET-CT, which includes the ability to perform advanced scans not currently available. </w:t>
      </w:r>
    </w:p>
    <w:p w14:paraId="54B1479D" w14:textId="6D76E447" w:rsidR="00C849E6" w:rsidRPr="00B224D3" w:rsidRDefault="00C849E6" w:rsidP="00B224D3">
      <w:pPr>
        <w:pStyle w:val="ListParagraph"/>
        <w:numPr>
          <w:ilvl w:val="0"/>
          <w:numId w:val="14"/>
        </w:numPr>
        <w:spacing w:line="240" w:lineRule="auto"/>
        <w:rPr>
          <w:sz w:val="24"/>
          <w:szCs w:val="24"/>
        </w:rPr>
      </w:pPr>
      <w:r w:rsidRPr="00C9583A">
        <w:rPr>
          <w:b/>
          <w:bCs/>
          <w:sz w:val="24"/>
          <w:szCs w:val="24"/>
        </w:rPr>
        <w:t>Provide MRI and PET-CT services directly through hospital-based departments</w:t>
      </w:r>
      <w:r>
        <w:rPr>
          <w:sz w:val="24"/>
          <w:szCs w:val="24"/>
        </w:rPr>
        <w:t>. The Applicant explored the option to provide MRI services at Heywood Hospital and PET-CT services a</w:t>
      </w:r>
      <w:r w:rsidR="00172591">
        <w:rPr>
          <w:sz w:val="24"/>
          <w:szCs w:val="24"/>
        </w:rPr>
        <w:t xml:space="preserve">t </w:t>
      </w:r>
      <w:r>
        <w:rPr>
          <w:sz w:val="24"/>
          <w:szCs w:val="24"/>
        </w:rPr>
        <w:t>Athol Hospital through hospital-based departments. The Applicant dismissed this alternative because establishing a hospital-owned MRI unit at Heywood Hospital and a PET-CT at Athol Hospital would require a significant capital expense</w:t>
      </w:r>
      <w:r w:rsidR="00D16AD8">
        <w:rPr>
          <w:sz w:val="24"/>
          <w:szCs w:val="24"/>
        </w:rPr>
        <w:t>.</w:t>
      </w:r>
      <w:r w:rsidR="00815AD2">
        <w:rPr>
          <w:sz w:val="24"/>
          <w:szCs w:val="24"/>
        </w:rPr>
        <w:t xml:space="preserve"> </w:t>
      </w:r>
      <w:r w:rsidR="00D16AD8">
        <w:rPr>
          <w:sz w:val="24"/>
          <w:szCs w:val="24"/>
        </w:rPr>
        <w:t>T</w:t>
      </w:r>
      <w:r>
        <w:rPr>
          <w:sz w:val="24"/>
          <w:szCs w:val="24"/>
        </w:rPr>
        <w:t xml:space="preserve">he Applicant states the current MRI unit is at the end of its useful life and </w:t>
      </w:r>
      <w:r w:rsidR="004C2EF5">
        <w:rPr>
          <w:sz w:val="24"/>
          <w:szCs w:val="24"/>
        </w:rPr>
        <w:t xml:space="preserve">with the relationship with the previous vendor ending, </w:t>
      </w:r>
      <w:r w:rsidR="005269BB">
        <w:rPr>
          <w:sz w:val="24"/>
          <w:szCs w:val="24"/>
        </w:rPr>
        <w:t xml:space="preserve">Heywood Healthcare would need to acquire a new MRI unit. </w:t>
      </w:r>
      <w:r w:rsidR="001703BC">
        <w:rPr>
          <w:sz w:val="24"/>
          <w:szCs w:val="24"/>
        </w:rPr>
        <w:t xml:space="preserve">In addition, </w:t>
      </w:r>
      <w:r w:rsidR="007767DD">
        <w:rPr>
          <w:sz w:val="24"/>
          <w:szCs w:val="24"/>
        </w:rPr>
        <w:t xml:space="preserve">it would be inefficient to purchase a new PET-CT unit because </w:t>
      </w:r>
      <w:r w:rsidR="005269BB">
        <w:rPr>
          <w:sz w:val="24"/>
          <w:szCs w:val="24"/>
        </w:rPr>
        <w:t>PET-CT services are only needed one day a week</w:t>
      </w:r>
      <w:r w:rsidR="00193EB0">
        <w:rPr>
          <w:sz w:val="24"/>
          <w:szCs w:val="24"/>
        </w:rPr>
        <w:t>.</w:t>
      </w:r>
      <w:r>
        <w:rPr>
          <w:sz w:val="24"/>
          <w:szCs w:val="24"/>
        </w:rPr>
        <w:t xml:space="preserve"> </w:t>
      </w:r>
      <w:r w:rsidR="005269BB">
        <w:rPr>
          <w:sz w:val="24"/>
          <w:szCs w:val="24"/>
        </w:rPr>
        <w:t>This alternative</w:t>
      </w:r>
      <w:r w:rsidR="00815AD2" w:rsidRPr="00815AD2">
        <w:rPr>
          <w:sz w:val="24"/>
          <w:szCs w:val="24"/>
        </w:rPr>
        <w:t xml:space="preserve"> would result in higher operating costs for both hospitals due to the need to hire additional employees to staff the imaging units and provide administrative and support </w:t>
      </w:r>
      <w:r w:rsidR="00193EB0" w:rsidRPr="00815AD2">
        <w:rPr>
          <w:sz w:val="24"/>
          <w:szCs w:val="24"/>
        </w:rPr>
        <w:t>functions,</w:t>
      </w:r>
      <w:r w:rsidR="00815AD2" w:rsidRPr="00815AD2">
        <w:rPr>
          <w:sz w:val="24"/>
          <w:szCs w:val="24"/>
        </w:rPr>
        <w:t xml:space="preserve"> and additional maintenance costs. </w:t>
      </w:r>
      <w:r w:rsidR="00BA5AD6">
        <w:rPr>
          <w:sz w:val="24"/>
          <w:szCs w:val="24"/>
        </w:rPr>
        <w:t>Th</w:t>
      </w:r>
      <w:r w:rsidR="000831D8">
        <w:rPr>
          <w:sz w:val="24"/>
          <w:szCs w:val="24"/>
        </w:rPr>
        <w:t xml:space="preserve">e Applicant determined that this second alternative </w:t>
      </w:r>
      <w:r w:rsidR="00BA5AD6">
        <w:rPr>
          <w:sz w:val="24"/>
          <w:szCs w:val="24"/>
        </w:rPr>
        <w:t>was not financially viable</w:t>
      </w:r>
      <w:r>
        <w:rPr>
          <w:sz w:val="24"/>
          <w:szCs w:val="24"/>
        </w:rPr>
        <w:t xml:space="preserve"> for </w:t>
      </w:r>
      <w:r w:rsidR="00876003">
        <w:rPr>
          <w:sz w:val="24"/>
          <w:szCs w:val="24"/>
        </w:rPr>
        <w:t>two</w:t>
      </w:r>
      <w:r>
        <w:rPr>
          <w:sz w:val="24"/>
          <w:szCs w:val="24"/>
        </w:rPr>
        <w:t xml:space="preserve"> community hospitals with limited resources.  </w:t>
      </w:r>
    </w:p>
    <w:p w14:paraId="0E22ACBD" w14:textId="77777777" w:rsidR="003E1CDA" w:rsidRPr="003E1CDA" w:rsidRDefault="003E1CDA" w:rsidP="003E1CDA">
      <w:pPr>
        <w:spacing w:after="0" w:line="240" w:lineRule="auto"/>
        <w:rPr>
          <w:b/>
          <w:bCs/>
          <w:i/>
          <w:iCs/>
          <w:sz w:val="24"/>
          <w:szCs w:val="24"/>
        </w:rPr>
      </w:pPr>
      <w:r w:rsidRPr="003E1CDA">
        <w:rPr>
          <w:b/>
          <w:bCs/>
          <w:i/>
          <w:iCs/>
          <w:sz w:val="24"/>
          <w:szCs w:val="24"/>
        </w:rPr>
        <w:t>Analysis</w:t>
      </w:r>
    </w:p>
    <w:p w14:paraId="634995B1" w14:textId="77777777" w:rsidR="003E1CDA" w:rsidRPr="003E1CDA" w:rsidRDefault="003E1CDA" w:rsidP="003E1CDA">
      <w:pPr>
        <w:spacing w:after="0" w:line="240" w:lineRule="auto"/>
        <w:rPr>
          <w:sz w:val="24"/>
          <w:szCs w:val="24"/>
        </w:rPr>
      </w:pPr>
      <w:r w:rsidRPr="003E1CDA">
        <w:rPr>
          <w:sz w:val="24"/>
          <w:szCs w:val="24"/>
        </w:rPr>
        <w:t xml:space="preserve">Staff finds that the Applicant has appropriately considered the quality, efficiency, and capital and operating costs of the Proposed Project relative to potential alternatives. </w:t>
      </w:r>
      <w:proofErr w:type="gramStart"/>
      <w:r w:rsidRPr="003E1CDA">
        <w:rPr>
          <w:sz w:val="24"/>
          <w:szCs w:val="24"/>
        </w:rPr>
        <w:t>As a result of</w:t>
      </w:r>
      <w:proofErr w:type="gramEnd"/>
      <w:r w:rsidRPr="003E1CDA">
        <w:rPr>
          <w:sz w:val="24"/>
          <w:szCs w:val="24"/>
        </w:rPr>
        <w:t xml:space="preserve"> information provided by the Applicant and additional analysis, staff finds the Applicant has reasonably met the standards of Factor 5.</w:t>
      </w:r>
    </w:p>
    <w:p w14:paraId="190088A3" w14:textId="77777777" w:rsidR="003E1CDA" w:rsidRPr="003E1CDA" w:rsidRDefault="003E1CDA" w:rsidP="003E1CDA">
      <w:pPr>
        <w:spacing w:after="0"/>
      </w:pPr>
    </w:p>
    <w:p w14:paraId="05DAF78E" w14:textId="36B02A67" w:rsidR="00FA6CD1" w:rsidRPr="00FA6CD1" w:rsidRDefault="00FA6CD1" w:rsidP="00FA6CD1">
      <w:pPr>
        <w:rPr>
          <w:b/>
          <w:bCs/>
          <w:sz w:val="28"/>
          <w:szCs w:val="28"/>
        </w:rPr>
      </w:pPr>
      <w:r w:rsidRPr="00FA6CD1">
        <w:rPr>
          <w:b/>
          <w:bCs/>
          <w:sz w:val="28"/>
          <w:szCs w:val="28"/>
        </w:rPr>
        <w:t>Factor 6: Fulfillment of DPH Community-based Health Initiatives Guideline: Overall Application</w:t>
      </w:r>
    </w:p>
    <w:p w14:paraId="3C57B7B6" w14:textId="3FE91E45" w:rsidR="00FA6CD1" w:rsidRPr="00FA6CD1" w:rsidRDefault="00FA6CD1" w:rsidP="00FA6CD1">
      <w:pPr>
        <w:spacing w:after="0" w:line="240" w:lineRule="auto"/>
        <w:ind w:right="540"/>
        <w:contextualSpacing/>
        <w:rPr>
          <w:rFonts w:eastAsia="Calibri" w:cstheme="minorHAnsi"/>
          <w:sz w:val="24"/>
          <w:szCs w:val="24"/>
        </w:rPr>
      </w:pPr>
      <w:r w:rsidRPr="00FA6CD1">
        <w:rPr>
          <w:rFonts w:eastAsia="Calibri" w:cstheme="minorHAnsi"/>
          <w:i/>
          <w:sz w:val="24"/>
          <w:szCs w:val="24"/>
        </w:rPr>
        <w:lastRenderedPageBreak/>
        <w:t>Summary and relevant background and context for this application:</w:t>
      </w:r>
      <w:r w:rsidRPr="00FA6CD1">
        <w:rPr>
          <w:rFonts w:eastAsia="Calibri" w:cstheme="minorHAnsi"/>
          <w:sz w:val="24"/>
          <w:szCs w:val="24"/>
        </w:rPr>
        <w:t xml:space="preserve"> This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 is one of two current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applications under </w:t>
      </w:r>
      <w:r w:rsidR="00112412" w:rsidRPr="00FA6CD1">
        <w:rPr>
          <w:rFonts w:eastAsia="Calibri" w:cstheme="minorHAnsi"/>
          <w:sz w:val="24"/>
          <w:szCs w:val="24"/>
        </w:rPr>
        <w:t>consideration and</w:t>
      </w:r>
      <w:r w:rsidRPr="00FA6CD1">
        <w:rPr>
          <w:rFonts w:eastAsia="Calibri" w:cstheme="minorHAnsi"/>
          <w:sz w:val="24"/>
          <w:szCs w:val="24"/>
        </w:rPr>
        <w:t xml:space="preserve"> given that (subject to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 approval) CHI related activities would be implemented concurrently, the Applicant and DPH have agreed to one Factor 6 analysis for both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Combined across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the CHI requirement is a Tier 2 CHI project. This analysis will appear in the staff report for both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with the corresponding respective CHI contribution amount. The Applicant’s proposed project is the first CHI that will be implemented under the CHI Guidelines approved in 2017. </w:t>
      </w:r>
    </w:p>
    <w:p w14:paraId="0C2F92A5" w14:textId="77777777" w:rsidR="00FA6CD1" w:rsidRPr="00FA6CD1" w:rsidRDefault="00FA6CD1" w:rsidP="00FA6CD1">
      <w:pPr>
        <w:spacing w:after="0" w:line="240" w:lineRule="auto"/>
        <w:ind w:right="540"/>
        <w:contextualSpacing/>
        <w:rPr>
          <w:rFonts w:eastAsia="Calibri" w:cstheme="minorHAnsi"/>
          <w:sz w:val="24"/>
          <w:szCs w:val="24"/>
        </w:rPr>
      </w:pPr>
    </w:p>
    <w:p w14:paraId="18196909" w14:textId="77777777" w:rsidR="00FA6CD1" w:rsidRPr="00FA6CD1" w:rsidRDefault="00FA6CD1" w:rsidP="00FA6CD1">
      <w:pPr>
        <w:spacing w:after="0" w:line="240" w:lineRule="auto"/>
        <w:ind w:right="540"/>
        <w:contextualSpacing/>
        <w:rPr>
          <w:rFonts w:eastAsia="Calibri" w:cstheme="minorHAnsi"/>
          <w:sz w:val="24"/>
          <w:szCs w:val="24"/>
        </w:rPr>
      </w:pPr>
      <w:r w:rsidRPr="00FA6CD1">
        <w:rPr>
          <w:rFonts w:eastAsia="Calibri" w:cstheme="minorHAnsi"/>
          <w:sz w:val="24"/>
          <w:szCs w:val="24"/>
        </w:rPr>
        <w:t xml:space="preserve">To fulfill Factor 6 for both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projects, the Applicant submitted its existing Community Health Needs Assessment (CHNA) for Heywood Healthcare, its current Community Health Improvement Plan (CHIP), a single Self-Assessment for streamlining purposes, Stakeholder Assessments, and a CHI Narrative.</w:t>
      </w:r>
    </w:p>
    <w:p w14:paraId="21DF2E60" w14:textId="77777777" w:rsidR="00FA6CD1" w:rsidRPr="00FA6CD1" w:rsidRDefault="00FA6CD1" w:rsidP="00FA6CD1">
      <w:pPr>
        <w:spacing w:after="0" w:line="240" w:lineRule="auto"/>
        <w:ind w:right="540"/>
        <w:contextualSpacing/>
        <w:rPr>
          <w:rFonts w:eastAsia="Calibri" w:cstheme="minorHAnsi"/>
          <w:sz w:val="24"/>
          <w:szCs w:val="24"/>
        </w:rPr>
      </w:pPr>
    </w:p>
    <w:p w14:paraId="0A02E3E2"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sz w:val="24"/>
          <w:szCs w:val="24"/>
        </w:rPr>
        <w:t>The Community Health Needs Assessment</w:t>
      </w:r>
      <w:r w:rsidRPr="00FA6CD1">
        <w:rPr>
          <w:rFonts w:eastAsia="Calibri" w:cstheme="minorHAnsi"/>
          <w:sz w:val="24"/>
          <w:szCs w:val="24"/>
        </w:rPr>
        <w:t xml:space="preserve"> was conducted in 2018 by Heywood Healthcare, and Heywood Hospital will implement CHI activities.  The final Community Health Assessment utilized secondary data sources and primary data gathered from focus groups, a community survey, and qualitative interviews with key healthcare professional informants.  The CHNA describes quantitative and qualitative data collection methods and outlines demographic characteristics of the participating communities as well as key findings in community health areas.  These findings and areas include social and economic factors, injures and violence, maternal and infant health, among others.  The CHNA also informs the health system’s Community Health Improvement Plan in four Priority Areas: Social Determinants, Interpersonal Violence and Injuries, Mental Health and Substance Use, and Wellness and Chronic Disease.</w:t>
      </w:r>
    </w:p>
    <w:p w14:paraId="2BED01C3" w14:textId="77777777" w:rsidR="00FA6CD1" w:rsidRPr="00FA6CD1" w:rsidRDefault="00FA6CD1" w:rsidP="00FA6CD1">
      <w:pPr>
        <w:spacing w:after="0" w:line="240" w:lineRule="auto"/>
        <w:contextualSpacing/>
        <w:rPr>
          <w:rFonts w:eastAsia="Calibri" w:cstheme="minorHAnsi"/>
          <w:sz w:val="24"/>
          <w:szCs w:val="24"/>
        </w:rPr>
      </w:pPr>
    </w:p>
    <w:p w14:paraId="3E695335"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bCs/>
          <w:sz w:val="24"/>
          <w:szCs w:val="24"/>
        </w:rPr>
        <w:t xml:space="preserve">The Self-Assessment </w:t>
      </w:r>
      <w:r w:rsidRPr="00FA6CD1">
        <w:rPr>
          <w:rFonts w:eastAsia="Calibri" w:cstheme="minorHAnsi"/>
          <w:sz w:val="24"/>
          <w:szCs w:val="24"/>
        </w:rPr>
        <w:t xml:space="preserve">provided a summary of community engagement processes and socio-demographic information, data and highlights related to topics and themes of community needs. Through data analysis, community surveying, focus groups, and key informant interviews, the participating community groups and residents identified the key concerns outlined in the 2018 CHNA. </w:t>
      </w:r>
    </w:p>
    <w:p w14:paraId="34D1F417" w14:textId="77777777" w:rsidR="00D16AD8" w:rsidRDefault="00D16AD8" w:rsidP="00FA6CD1">
      <w:pPr>
        <w:spacing w:after="0" w:line="240" w:lineRule="auto"/>
        <w:contextualSpacing/>
        <w:rPr>
          <w:rFonts w:eastAsia="Calibri" w:cstheme="minorHAnsi"/>
          <w:b/>
          <w:bCs/>
          <w:sz w:val="24"/>
          <w:szCs w:val="24"/>
        </w:rPr>
      </w:pPr>
    </w:p>
    <w:p w14:paraId="365D840A" w14:textId="6B3A40B9"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bCs/>
          <w:sz w:val="24"/>
          <w:szCs w:val="24"/>
        </w:rPr>
        <w:t>Stakeholder Assessments</w:t>
      </w:r>
      <w:r w:rsidRPr="00FA6CD1">
        <w:rPr>
          <w:rFonts w:eastAsia="Calibri" w:cstheme="minorHAnsi"/>
          <w:sz w:val="24"/>
          <w:szCs w:val="24"/>
        </w:rPr>
        <w:t xml:space="preserve"> </w:t>
      </w:r>
      <w:r w:rsidRPr="00FA6CD1">
        <w:rPr>
          <w:rFonts w:cstheme="minorHAnsi"/>
          <w:sz w:val="24"/>
          <w:szCs w:val="24"/>
        </w:rPr>
        <w:t>submitted provided information on the individuals’ engagement levels including their level of participation and role, and their analysis of how the Applicant engaged the community in community health improvement planning processes. The information provided in these forms were largely consistent with the self-assessment conducted by the Applicant.</w:t>
      </w:r>
    </w:p>
    <w:p w14:paraId="3C9F4CF3" w14:textId="77777777" w:rsidR="00FA6CD1" w:rsidRPr="00FA6CD1" w:rsidRDefault="00FA6CD1" w:rsidP="00FA6CD1">
      <w:pPr>
        <w:spacing w:after="0" w:line="240" w:lineRule="auto"/>
        <w:contextualSpacing/>
        <w:rPr>
          <w:rFonts w:eastAsia="Calibri" w:cstheme="minorHAnsi"/>
          <w:sz w:val="24"/>
          <w:szCs w:val="24"/>
        </w:rPr>
      </w:pPr>
    </w:p>
    <w:p w14:paraId="4657CD89"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b/>
          <w:bCs/>
          <w:sz w:val="24"/>
          <w:szCs w:val="24"/>
        </w:rPr>
        <w:t>The CHI Narrative</w:t>
      </w:r>
      <w:r w:rsidRPr="00FA6CD1">
        <w:rPr>
          <w:rFonts w:eastAsia="Calibri" w:cstheme="minorHAnsi"/>
          <w:sz w:val="24"/>
          <w:szCs w:val="24"/>
        </w:rPr>
        <w:t xml:space="preserve"> provided background and overview information for the CHI processes.  The narrative also outlines duties for the community benefit advisory committee (CBAC) and planned structure for seeking feedback and further engagement. </w:t>
      </w:r>
    </w:p>
    <w:p w14:paraId="3174D0A5" w14:textId="77777777" w:rsidR="00FA6CD1" w:rsidRPr="00FA6CD1" w:rsidRDefault="00FA6CD1" w:rsidP="00FA6CD1">
      <w:pPr>
        <w:spacing w:after="0" w:line="240" w:lineRule="auto"/>
        <w:contextualSpacing/>
        <w:rPr>
          <w:rFonts w:eastAsia="Calibri" w:cstheme="minorHAnsi"/>
          <w:sz w:val="24"/>
          <w:szCs w:val="24"/>
        </w:rPr>
      </w:pPr>
    </w:p>
    <w:p w14:paraId="4BC859E6" w14:textId="77777777" w:rsidR="00FA6CD1" w:rsidRPr="00FA6CD1" w:rsidRDefault="00FA6CD1" w:rsidP="00FA6CD1">
      <w:pPr>
        <w:spacing w:after="0" w:line="240" w:lineRule="auto"/>
        <w:contextualSpacing/>
        <w:rPr>
          <w:rFonts w:eastAsia="Calibri" w:cstheme="minorHAnsi"/>
          <w:sz w:val="24"/>
          <w:szCs w:val="24"/>
        </w:rPr>
      </w:pPr>
      <w:r w:rsidRPr="00FA6CD1">
        <w:rPr>
          <w:rFonts w:eastAsia="Calibri" w:cstheme="minorHAnsi"/>
          <w:sz w:val="24"/>
          <w:szCs w:val="24"/>
        </w:rPr>
        <w:t xml:space="preserve">There are differences in approach and alignment between the Applicant’s existing Community Health Implementation Plan and Assessment and CHI framework.  If used as a guide for choosing CHI strategies, the activities outlined in the Implementation Plan will need to focus in </w:t>
      </w:r>
      <w:r w:rsidRPr="00FA6CD1">
        <w:rPr>
          <w:rFonts w:eastAsia="Calibri" w:cstheme="minorHAnsi"/>
          <w:sz w:val="24"/>
          <w:szCs w:val="24"/>
        </w:rPr>
        <w:lastRenderedPageBreak/>
        <w:t xml:space="preserve">the areas best aligned with the CHI framework to sufficiently meet Health Priority guideline approaches. The CHIP priority areas likely to support identifying needs and implementing activities at the root </w:t>
      </w:r>
      <w:proofErr w:type="gramStart"/>
      <w:r w:rsidRPr="00FA6CD1">
        <w:rPr>
          <w:rFonts w:eastAsia="Calibri" w:cstheme="minorHAnsi"/>
          <w:sz w:val="24"/>
          <w:szCs w:val="24"/>
        </w:rPr>
        <w:t>cause</w:t>
      </w:r>
      <w:proofErr w:type="gramEnd"/>
      <w:r w:rsidRPr="00FA6CD1">
        <w:rPr>
          <w:rFonts w:eastAsia="Calibri" w:cstheme="minorHAnsi"/>
          <w:sz w:val="24"/>
          <w:szCs w:val="24"/>
        </w:rPr>
        <w:t xml:space="preserve"> level include the Social Determinants of Health and elements of other areas including food insecurity and violence.  Through ongoing communication with DPH staff, the Applicant has agreed to continue to work closely with its Advisory Committee to ensure processes and selected strategies will align with the Health Priorities Guideline. The Applicant will be recruiting for missing constituencies on the existing CBAC, and DPH will work with them to ensure the group’s make up is sufficient to help them make decisions in line with the Health Priority framework.  Specifically, DPH will work with the Applicant to ensure resident voice is engaged in decision making through the Advisory Committee.  DPH staff will support the Applicant as necessary in outlining future Advisory Committee meetings and reviewing community engagement and RFP processes. The Applicant will also connect with DPH staff to establish processes for planning and implementation work moving forward.  Regarding the implementation of specific CHI strategies, DPH will work with the Applicant in moving upstream, and identifying needs at the root cause to support sustainable systems level solutions. </w:t>
      </w:r>
    </w:p>
    <w:p w14:paraId="602DB5AD" w14:textId="77777777" w:rsidR="00FA6CD1" w:rsidRPr="00FA6CD1" w:rsidRDefault="00FA6CD1" w:rsidP="00FA6CD1">
      <w:pPr>
        <w:spacing w:after="0" w:line="240" w:lineRule="auto"/>
        <w:contextualSpacing/>
        <w:rPr>
          <w:rFonts w:eastAsia="Calibri" w:cstheme="minorHAnsi"/>
          <w:sz w:val="24"/>
          <w:szCs w:val="24"/>
        </w:rPr>
      </w:pPr>
    </w:p>
    <w:p w14:paraId="0BFC24E0" w14:textId="0A87D0B8" w:rsidR="00FA6CD1" w:rsidRPr="00FA6CD1" w:rsidRDefault="00FA6CD1" w:rsidP="007C4192">
      <w:pPr>
        <w:spacing w:after="0" w:line="240" w:lineRule="auto"/>
        <w:contextualSpacing/>
        <w:rPr>
          <w:rFonts w:eastAsia="Calibri" w:cstheme="minorHAnsi"/>
          <w:sz w:val="24"/>
          <w:szCs w:val="24"/>
        </w:rPr>
      </w:pPr>
      <w:r w:rsidRPr="00FA6CD1">
        <w:rPr>
          <w:rFonts w:eastAsia="Calibri" w:cstheme="minorHAnsi"/>
          <w:sz w:val="24"/>
          <w:szCs w:val="24"/>
        </w:rPr>
        <w:t xml:space="preserve">The timeline, RFP processes, and use of administrative funds are all appropriate and in line with CHI planning guidelines.  </w:t>
      </w:r>
    </w:p>
    <w:p w14:paraId="631F4CEF" w14:textId="77777777" w:rsidR="00FA6CD1" w:rsidRPr="00FA6CD1" w:rsidRDefault="00FA6CD1" w:rsidP="00FA6CD1">
      <w:pPr>
        <w:pStyle w:val="PlainText"/>
        <w:rPr>
          <w:rFonts w:asciiTheme="minorHAnsi" w:eastAsia="Calibri" w:hAnsiTheme="minorHAnsi" w:cstheme="minorHAnsi"/>
          <w:sz w:val="24"/>
          <w:szCs w:val="24"/>
        </w:rPr>
      </w:pPr>
      <w:r w:rsidRPr="00FA6CD1">
        <w:rPr>
          <w:rFonts w:asciiTheme="minorHAnsi" w:eastAsia="Calibri" w:hAnsiTheme="minorHAnsi" w:cstheme="minorHAnsi"/>
          <w:sz w:val="24"/>
          <w:szCs w:val="24"/>
        </w:rPr>
        <w:t xml:space="preserve">The anticipated timeline for CHI activities includes continued meeting of the Advisory Committee, identifying the Health Priorities Strategies within 3 </w:t>
      </w:r>
      <w:proofErr w:type="gramStart"/>
      <w:r w:rsidRPr="00FA6CD1">
        <w:rPr>
          <w:rFonts w:asciiTheme="minorHAnsi" w:eastAsia="Calibri" w:hAnsiTheme="minorHAnsi" w:cstheme="minorHAnsi"/>
          <w:sz w:val="24"/>
          <w:szCs w:val="24"/>
        </w:rPr>
        <w:t>months</w:t>
      </w:r>
      <w:proofErr w:type="gramEnd"/>
      <w:r w:rsidRPr="00FA6CD1">
        <w:rPr>
          <w:rFonts w:asciiTheme="minorHAnsi" w:eastAsia="Calibri" w:hAnsiTheme="minorHAnsi" w:cstheme="minorHAnsi"/>
          <w:sz w:val="24"/>
          <w:szCs w:val="24"/>
        </w:rPr>
        <w:t xml:space="preserve"> post approval, and releasing an RFP within six months post approval, with funding awarded to successful RFP applicants 3-4 months thereafter.</w:t>
      </w:r>
    </w:p>
    <w:p w14:paraId="42D7696E" w14:textId="77777777" w:rsidR="00FA6CD1" w:rsidRPr="00FA6CD1" w:rsidRDefault="00FA6CD1" w:rsidP="00FA6CD1">
      <w:pPr>
        <w:pStyle w:val="PlainText"/>
        <w:rPr>
          <w:rFonts w:asciiTheme="minorHAnsi" w:hAnsiTheme="minorHAnsi" w:cstheme="minorHAnsi"/>
          <w:sz w:val="24"/>
          <w:szCs w:val="24"/>
        </w:rPr>
      </w:pPr>
      <w:r w:rsidRPr="00FA6CD1">
        <w:rPr>
          <w:rFonts w:asciiTheme="minorHAnsi" w:eastAsia="Calibri" w:hAnsiTheme="minorHAnsi" w:cstheme="minorHAnsi"/>
          <w:sz w:val="24"/>
          <w:szCs w:val="24"/>
          <w:highlight w:val="yellow"/>
        </w:rPr>
        <w:t xml:space="preserve"> </w:t>
      </w:r>
    </w:p>
    <w:p w14:paraId="5CF47D6C" w14:textId="77777777" w:rsidR="00FA6CD1" w:rsidRPr="00FA6CD1" w:rsidRDefault="00FA6CD1" w:rsidP="00FA6CD1">
      <w:pPr>
        <w:pStyle w:val="PlainText"/>
        <w:rPr>
          <w:rFonts w:asciiTheme="minorHAnsi" w:hAnsiTheme="minorHAnsi" w:cstheme="minorHAnsi"/>
          <w:sz w:val="24"/>
          <w:szCs w:val="24"/>
        </w:rPr>
      </w:pPr>
      <w:r w:rsidRPr="00FA6CD1">
        <w:rPr>
          <w:rFonts w:asciiTheme="minorHAnsi" w:hAnsiTheme="minorHAnsi" w:cstheme="minorHAnsi"/>
          <w:sz w:val="24"/>
          <w:szCs w:val="24"/>
        </w:rPr>
        <w:t>With the administrative funds, the applicant’s early plans are to support consultant time for CBAC coordination, communication, and the facilitation of grantmaking.</w:t>
      </w:r>
    </w:p>
    <w:p w14:paraId="76FD9B1F" w14:textId="774C6C78" w:rsidR="003E1CDA" w:rsidRDefault="00FA6CD1" w:rsidP="003E1CDA">
      <w:pPr>
        <w:spacing w:after="0" w:line="240" w:lineRule="auto"/>
        <w:rPr>
          <w:b/>
          <w:bCs/>
          <w:sz w:val="28"/>
          <w:szCs w:val="28"/>
        </w:rPr>
      </w:pPr>
      <w:r w:rsidRPr="00FA6CD1">
        <w:rPr>
          <w:rFonts w:cstheme="minorHAnsi"/>
          <w:i/>
          <w:sz w:val="24"/>
          <w:szCs w:val="24"/>
        </w:rPr>
        <w:t>Summary Analysis</w:t>
      </w:r>
      <w:r w:rsidRPr="00FA6CD1">
        <w:rPr>
          <w:rFonts w:cstheme="minorHAnsi"/>
          <w:sz w:val="24"/>
          <w:szCs w:val="24"/>
        </w:rPr>
        <w:t xml:space="preserve">: </w:t>
      </w:r>
      <w:proofErr w:type="gramStart"/>
      <w:r w:rsidRPr="00FA6CD1">
        <w:rPr>
          <w:rFonts w:cstheme="minorHAnsi"/>
          <w:sz w:val="24"/>
          <w:szCs w:val="24"/>
        </w:rPr>
        <w:t>As a result of</w:t>
      </w:r>
      <w:proofErr w:type="gramEnd"/>
      <w:r w:rsidRPr="00FA6CD1">
        <w:rPr>
          <w:rFonts w:cstheme="minorHAnsi"/>
          <w:sz w:val="24"/>
          <w:szCs w:val="24"/>
        </w:rPr>
        <w:t xml:space="preserve"> information provided by the Applicant and additional analysis, staff find that with the conditions outlined below, and the ongoing communication on items for improvement outlined above, the Applicant will have demonstrated that the Proposed Project has met Factor 6.</w:t>
      </w:r>
      <w:r w:rsidR="007C4192">
        <w:rPr>
          <w:b/>
          <w:bCs/>
          <w:sz w:val="28"/>
          <w:szCs w:val="28"/>
        </w:rPr>
        <w:t xml:space="preserve"> </w:t>
      </w:r>
    </w:p>
    <w:p w14:paraId="36ACF3A1" w14:textId="7A34FCED" w:rsidR="003E1CDA" w:rsidRPr="003E1CDA" w:rsidRDefault="003E1CDA" w:rsidP="003E1CDA">
      <w:pPr>
        <w:spacing w:after="0" w:line="240" w:lineRule="auto"/>
        <w:rPr>
          <w:b/>
          <w:bCs/>
          <w:sz w:val="28"/>
          <w:szCs w:val="28"/>
        </w:rPr>
      </w:pPr>
      <w:r w:rsidRPr="003E1CDA">
        <w:rPr>
          <w:b/>
          <w:bCs/>
          <w:sz w:val="28"/>
          <w:szCs w:val="28"/>
        </w:rPr>
        <w:t xml:space="preserve">Findings and Recommendations </w:t>
      </w:r>
    </w:p>
    <w:p w14:paraId="240B4334" w14:textId="311AB4C6" w:rsidR="003E1CDA" w:rsidRPr="003E1CDA" w:rsidRDefault="003E1CDA" w:rsidP="003E1CDA">
      <w:pPr>
        <w:spacing w:after="0" w:line="240" w:lineRule="auto"/>
        <w:rPr>
          <w:sz w:val="24"/>
          <w:szCs w:val="24"/>
        </w:rPr>
      </w:pPr>
      <w:r w:rsidRPr="003E1CDA">
        <w:rPr>
          <w:sz w:val="24"/>
          <w:szCs w:val="24"/>
        </w:rPr>
        <w:t xml:space="preserve">Based upon a review of the materials submitted, Staff finds that, with the addition of the recommended conditions detailed below, the Applicant has met each </w:t>
      </w:r>
      <w:proofErr w:type="spellStart"/>
      <w:r w:rsidRPr="003E1CDA">
        <w:rPr>
          <w:sz w:val="24"/>
          <w:szCs w:val="24"/>
        </w:rPr>
        <w:t>DoN</w:t>
      </w:r>
      <w:proofErr w:type="spellEnd"/>
      <w:r w:rsidRPr="003E1CDA">
        <w:rPr>
          <w:sz w:val="24"/>
          <w:szCs w:val="24"/>
        </w:rPr>
        <w:t xml:space="preserve"> Factor for the Proposed Project, and recommends that the Department approve this Determination of Need, subject to all applicable standard and Other Conditions. </w:t>
      </w:r>
    </w:p>
    <w:p w14:paraId="6809D2AC" w14:textId="56FBA335" w:rsidR="005F2DE7" w:rsidRDefault="005F2DE7" w:rsidP="003E1CDA">
      <w:pPr>
        <w:spacing w:line="240" w:lineRule="auto"/>
        <w:rPr>
          <w:b/>
          <w:bCs/>
          <w:sz w:val="24"/>
          <w:szCs w:val="24"/>
        </w:rPr>
      </w:pPr>
    </w:p>
    <w:p w14:paraId="1EFA40B6" w14:textId="2FAF02C3" w:rsidR="003E1CDA" w:rsidRDefault="00FA6CD1" w:rsidP="003E1CDA">
      <w:pPr>
        <w:spacing w:line="240" w:lineRule="auto"/>
        <w:rPr>
          <w:b/>
          <w:bCs/>
          <w:sz w:val="24"/>
          <w:szCs w:val="24"/>
        </w:rPr>
      </w:pPr>
      <w:r>
        <w:rPr>
          <w:b/>
          <w:bCs/>
          <w:sz w:val="24"/>
          <w:szCs w:val="24"/>
        </w:rPr>
        <w:t xml:space="preserve">Conditions to the </w:t>
      </w:r>
      <w:proofErr w:type="spellStart"/>
      <w:r>
        <w:rPr>
          <w:b/>
          <w:bCs/>
          <w:sz w:val="24"/>
          <w:szCs w:val="24"/>
        </w:rPr>
        <w:t>DoN</w:t>
      </w:r>
      <w:proofErr w:type="spellEnd"/>
    </w:p>
    <w:p w14:paraId="1E578D59" w14:textId="77777777" w:rsidR="00FA6CD1" w:rsidRPr="00FA6CD1" w:rsidRDefault="00FA6CD1" w:rsidP="00FA6CD1">
      <w:pPr>
        <w:pStyle w:val="ListParagraph"/>
        <w:numPr>
          <w:ilvl w:val="0"/>
          <w:numId w:val="30"/>
        </w:numPr>
        <w:spacing w:after="0" w:line="240" w:lineRule="auto"/>
        <w:ind w:right="540"/>
        <w:rPr>
          <w:rFonts w:eastAsia="Calibri" w:cstheme="minorHAnsi"/>
          <w:sz w:val="24"/>
          <w:szCs w:val="24"/>
        </w:rPr>
      </w:pPr>
      <w:r w:rsidRPr="00FA6CD1">
        <w:rPr>
          <w:rFonts w:eastAsia="Calibri" w:cstheme="minorHAnsi"/>
          <w:sz w:val="24"/>
          <w:szCs w:val="24"/>
        </w:rPr>
        <w:t>Of the total required CHI contribution of $128,528.00</w:t>
      </w:r>
    </w:p>
    <w:p w14:paraId="1FD6474E" w14:textId="77777777" w:rsidR="00FA6CD1" w:rsidRPr="00FA6CD1" w:rsidRDefault="00FA6CD1" w:rsidP="00FA6CD1">
      <w:pPr>
        <w:numPr>
          <w:ilvl w:val="1"/>
          <w:numId w:val="30"/>
        </w:numPr>
        <w:spacing w:after="0" w:line="240" w:lineRule="auto"/>
        <w:ind w:left="1440" w:right="540"/>
        <w:contextualSpacing/>
        <w:rPr>
          <w:rFonts w:eastAsia="Calibri" w:cstheme="minorHAnsi"/>
          <w:sz w:val="24"/>
          <w:szCs w:val="24"/>
        </w:rPr>
      </w:pPr>
      <w:r w:rsidRPr="00FA6CD1">
        <w:rPr>
          <w:rFonts w:eastAsia="Calibri" w:cstheme="minorHAnsi"/>
          <w:sz w:val="24"/>
          <w:szCs w:val="24"/>
        </w:rPr>
        <w:t xml:space="preserve">$12,338.69 will be directed to the CHI Statewide Initiative </w:t>
      </w:r>
    </w:p>
    <w:p w14:paraId="7A7A491C" w14:textId="77777777" w:rsidR="00FA6CD1" w:rsidRPr="00FA6CD1" w:rsidRDefault="00FA6CD1" w:rsidP="00FA6CD1">
      <w:pPr>
        <w:numPr>
          <w:ilvl w:val="1"/>
          <w:numId w:val="30"/>
        </w:numPr>
        <w:spacing w:after="0" w:line="240" w:lineRule="auto"/>
        <w:ind w:left="1440" w:right="540"/>
        <w:contextualSpacing/>
        <w:rPr>
          <w:rFonts w:eastAsia="Calibri" w:cstheme="minorHAnsi"/>
          <w:sz w:val="24"/>
          <w:szCs w:val="24"/>
        </w:rPr>
      </w:pPr>
      <w:r w:rsidRPr="00FA6CD1">
        <w:rPr>
          <w:rFonts w:eastAsia="Calibri" w:cstheme="minorHAnsi"/>
          <w:sz w:val="24"/>
          <w:szCs w:val="24"/>
        </w:rPr>
        <w:t xml:space="preserve">$111,048.19 will be dedicated to local approaches to the </w:t>
      </w:r>
      <w:proofErr w:type="spellStart"/>
      <w:r w:rsidRPr="00FA6CD1">
        <w:rPr>
          <w:rFonts w:eastAsia="Calibri" w:cstheme="minorHAnsi"/>
          <w:sz w:val="24"/>
          <w:szCs w:val="24"/>
        </w:rPr>
        <w:t>DoN</w:t>
      </w:r>
      <w:proofErr w:type="spellEnd"/>
      <w:r w:rsidRPr="00FA6CD1">
        <w:rPr>
          <w:rFonts w:eastAsia="Calibri" w:cstheme="minorHAnsi"/>
          <w:sz w:val="24"/>
          <w:szCs w:val="24"/>
        </w:rPr>
        <w:t xml:space="preserve"> Health Priorities </w:t>
      </w:r>
    </w:p>
    <w:p w14:paraId="4053A5D7" w14:textId="77777777" w:rsidR="00FA6CD1" w:rsidRPr="00FA6CD1" w:rsidRDefault="00FA6CD1" w:rsidP="00FA6CD1">
      <w:pPr>
        <w:numPr>
          <w:ilvl w:val="1"/>
          <w:numId w:val="30"/>
        </w:numPr>
        <w:spacing w:after="0" w:line="240" w:lineRule="auto"/>
        <w:ind w:left="1440" w:right="540"/>
        <w:contextualSpacing/>
        <w:rPr>
          <w:rFonts w:eastAsia="Calibri" w:cstheme="minorHAnsi"/>
          <w:sz w:val="24"/>
          <w:szCs w:val="24"/>
        </w:rPr>
      </w:pPr>
      <w:r w:rsidRPr="00FA6CD1">
        <w:rPr>
          <w:rFonts w:eastAsia="Calibri" w:cstheme="minorHAnsi"/>
          <w:sz w:val="24"/>
          <w:szCs w:val="24"/>
        </w:rPr>
        <w:t>$5,141.12 will be designated as the administrative fee.</w:t>
      </w:r>
    </w:p>
    <w:p w14:paraId="640E0DE2" w14:textId="77777777" w:rsidR="00FA6CD1" w:rsidRPr="00FA6CD1" w:rsidRDefault="00FA6CD1" w:rsidP="00FA6CD1">
      <w:pPr>
        <w:pStyle w:val="ListParagraph"/>
        <w:numPr>
          <w:ilvl w:val="0"/>
          <w:numId w:val="30"/>
        </w:numPr>
        <w:spacing w:after="0" w:line="240" w:lineRule="auto"/>
        <w:ind w:right="540"/>
        <w:rPr>
          <w:rFonts w:eastAsia="Calibri" w:cstheme="minorHAnsi"/>
          <w:sz w:val="24"/>
          <w:szCs w:val="24"/>
        </w:rPr>
      </w:pPr>
      <w:r w:rsidRPr="00FA6CD1">
        <w:rPr>
          <w:rFonts w:eastAsia="Calibri" w:cstheme="minorHAnsi"/>
          <w:sz w:val="24"/>
          <w:szCs w:val="24"/>
        </w:rPr>
        <w:lastRenderedPageBreak/>
        <w:t xml:space="preserve">To comply with the Holder’s obligation to contribute to the Statewide CHI Initiative, the Holder must submit a check for $12,338.69 to Health Resources in Action (the fiscal agent for the CHI Statewide Initiative). </w:t>
      </w:r>
    </w:p>
    <w:p w14:paraId="0A377CB5" w14:textId="77777777" w:rsidR="00FA6CD1" w:rsidRPr="00FA6CD1" w:rsidRDefault="00FA6CD1" w:rsidP="00FA6CD1">
      <w:pPr>
        <w:numPr>
          <w:ilvl w:val="2"/>
          <w:numId w:val="30"/>
        </w:numPr>
        <w:spacing w:after="0" w:line="240" w:lineRule="auto"/>
        <w:ind w:right="540"/>
        <w:contextualSpacing/>
        <w:rPr>
          <w:rFonts w:eastAsia="Calibri" w:cstheme="minorHAnsi"/>
          <w:sz w:val="24"/>
          <w:szCs w:val="24"/>
        </w:rPr>
      </w:pPr>
      <w:r w:rsidRPr="00FA6CD1">
        <w:rPr>
          <w:rFonts w:eastAsia="Calibri" w:cstheme="minorHAnsi"/>
          <w:sz w:val="24"/>
          <w:szCs w:val="24"/>
        </w:rPr>
        <w:t xml:space="preserve">The Holder must submit the funds to </w:t>
      </w:r>
      <w:proofErr w:type="spellStart"/>
      <w:r w:rsidRPr="00FA6CD1">
        <w:rPr>
          <w:rFonts w:eastAsia="Calibri" w:cstheme="minorHAnsi"/>
          <w:sz w:val="24"/>
          <w:szCs w:val="24"/>
        </w:rPr>
        <w:t>HRiA</w:t>
      </w:r>
      <w:proofErr w:type="spellEnd"/>
      <w:r w:rsidRPr="00FA6CD1">
        <w:rPr>
          <w:rFonts w:eastAsia="Calibri" w:cstheme="minorHAnsi"/>
          <w:sz w:val="24"/>
          <w:szCs w:val="24"/>
        </w:rPr>
        <w:t xml:space="preserve"> within 30 days from the date of the Notice of Approval. </w:t>
      </w:r>
    </w:p>
    <w:p w14:paraId="3FB00594" w14:textId="4C29D8DC" w:rsidR="003E1CDA" w:rsidRPr="00FA6CD1" w:rsidRDefault="00FA6CD1" w:rsidP="00FA6CD1">
      <w:pPr>
        <w:numPr>
          <w:ilvl w:val="2"/>
          <w:numId w:val="30"/>
        </w:numPr>
        <w:ind w:right="540"/>
        <w:contextualSpacing/>
        <w:rPr>
          <w:rFonts w:eastAsia="Calibri" w:cstheme="minorHAnsi"/>
          <w:sz w:val="24"/>
          <w:szCs w:val="24"/>
        </w:rPr>
      </w:pPr>
      <w:r w:rsidRPr="00FA6CD1">
        <w:rPr>
          <w:rFonts w:eastAsia="Calibri" w:cstheme="minorHAnsi"/>
          <w:sz w:val="24"/>
          <w:szCs w:val="24"/>
        </w:rPr>
        <w:t>The Holder must promptly notify DPH (CHI contact staff) when the payment has been made.</w:t>
      </w:r>
    </w:p>
    <w:p w14:paraId="4BD8D329" w14:textId="45DAE959" w:rsidR="00D12013" w:rsidRDefault="00D12013"/>
    <w:p w14:paraId="7A36D8C4" w14:textId="177797ED" w:rsidR="00B46C3E" w:rsidRDefault="00B46C3E"/>
    <w:p w14:paraId="64D309D2" w14:textId="64402605" w:rsidR="00940201" w:rsidRPr="00BF2530" w:rsidRDefault="00940201" w:rsidP="007C4192">
      <w:pPr>
        <w:rPr>
          <w:b/>
          <w:bCs/>
          <w:sz w:val="24"/>
          <w:szCs w:val="24"/>
        </w:rPr>
      </w:pPr>
      <w:r w:rsidRPr="00BF2530">
        <w:rPr>
          <w:b/>
          <w:bCs/>
          <w:sz w:val="24"/>
          <w:szCs w:val="24"/>
        </w:rPr>
        <w:t>Appendix I</w:t>
      </w:r>
    </w:p>
    <w:p w14:paraId="6E0DBD24" w14:textId="77777777" w:rsidR="0060761E" w:rsidRPr="00BF2530" w:rsidRDefault="0060761E" w:rsidP="0060761E">
      <w:pPr>
        <w:rPr>
          <w:i/>
          <w:iCs/>
          <w:sz w:val="24"/>
          <w:szCs w:val="24"/>
        </w:rPr>
      </w:pPr>
      <w:r w:rsidRPr="00BF2530">
        <w:rPr>
          <w:i/>
          <w:iCs/>
          <w:sz w:val="24"/>
          <w:szCs w:val="24"/>
        </w:rPr>
        <w:t>MRI Measures</w:t>
      </w:r>
    </w:p>
    <w:p w14:paraId="3C6FD95C" w14:textId="69173DCE" w:rsidR="0060761E" w:rsidRPr="00BF2530" w:rsidRDefault="0060761E" w:rsidP="0060761E">
      <w:pPr>
        <w:pStyle w:val="ListParagraph"/>
        <w:numPr>
          <w:ilvl w:val="0"/>
          <w:numId w:val="24"/>
        </w:numPr>
        <w:spacing w:after="0" w:line="240" w:lineRule="auto"/>
        <w:rPr>
          <w:sz w:val="24"/>
          <w:szCs w:val="24"/>
        </w:rPr>
      </w:pPr>
      <w:r w:rsidRPr="00BF2530">
        <w:rPr>
          <w:b/>
          <w:bCs/>
          <w:sz w:val="24"/>
          <w:szCs w:val="24"/>
        </w:rPr>
        <w:t>Patient Experience/Satisfaction</w:t>
      </w:r>
      <w:r w:rsidRPr="00BF2530">
        <w:rPr>
          <w:sz w:val="24"/>
          <w:szCs w:val="24"/>
        </w:rPr>
        <w:t>: Patients that are satisfied with care are more likely to seek additional treatment when necessary. The Applicant will review patient satisfaction levels with the MRI service.</w:t>
      </w:r>
    </w:p>
    <w:p w14:paraId="3BAAF17C" w14:textId="77777777" w:rsidR="0060761E" w:rsidRPr="00BF2530" w:rsidRDefault="0060761E" w:rsidP="0060761E">
      <w:pPr>
        <w:pStyle w:val="ListParagraph"/>
        <w:spacing w:after="0" w:line="240" w:lineRule="auto"/>
        <w:rPr>
          <w:sz w:val="24"/>
          <w:szCs w:val="24"/>
        </w:rPr>
      </w:pPr>
    </w:p>
    <w:p w14:paraId="53DD2C74" w14:textId="27FF003C" w:rsidR="0060761E" w:rsidRPr="00BF2530" w:rsidRDefault="0060761E" w:rsidP="0060761E">
      <w:pPr>
        <w:spacing w:after="0" w:line="240" w:lineRule="auto"/>
        <w:ind w:left="720"/>
        <w:rPr>
          <w:sz w:val="24"/>
          <w:szCs w:val="24"/>
        </w:rPr>
      </w:pPr>
      <w:r w:rsidRPr="00BF2530">
        <w:rPr>
          <w:b/>
          <w:bCs/>
          <w:sz w:val="24"/>
          <w:szCs w:val="24"/>
        </w:rPr>
        <w:t>Measure:</w:t>
      </w:r>
      <w:r w:rsidRPr="00BF2530">
        <w:rPr>
          <w:sz w:val="24"/>
          <w:szCs w:val="24"/>
        </w:rPr>
        <w:t xml:space="preserve"> To ensure a service-excellence approach, patient satisfaction surveys will be distributed to all patients receiving MRI services with specific questions around a) satisfaction with pre-appointment communication; and b) satisfaction with the wait time for services.</w:t>
      </w:r>
    </w:p>
    <w:p w14:paraId="69BFB695" w14:textId="564FE6C3" w:rsidR="0060761E" w:rsidRPr="00BF2530" w:rsidRDefault="0060761E" w:rsidP="0060761E">
      <w:pPr>
        <w:spacing w:after="0" w:line="240" w:lineRule="auto"/>
        <w:ind w:left="720"/>
        <w:rPr>
          <w:sz w:val="24"/>
          <w:szCs w:val="24"/>
        </w:rPr>
      </w:pPr>
      <w:r w:rsidRPr="00BF2530">
        <w:rPr>
          <w:b/>
          <w:bCs/>
          <w:sz w:val="24"/>
          <w:szCs w:val="24"/>
        </w:rPr>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103119B8" w14:textId="77777777" w:rsidR="0060761E" w:rsidRPr="00BF2530" w:rsidRDefault="0060761E" w:rsidP="0060761E">
      <w:pPr>
        <w:spacing w:after="0" w:line="240" w:lineRule="auto"/>
        <w:ind w:left="720"/>
        <w:rPr>
          <w:sz w:val="24"/>
          <w:szCs w:val="24"/>
        </w:rPr>
      </w:pPr>
      <w:r w:rsidRPr="00BF2530">
        <w:rPr>
          <w:b/>
          <w:bCs/>
          <w:sz w:val="24"/>
          <w:szCs w:val="24"/>
        </w:rPr>
        <w:t>Monitoring:</w:t>
      </w:r>
      <w:r w:rsidRPr="00BF2530">
        <w:rPr>
          <w:sz w:val="24"/>
          <w:szCs w:val="24"/>
        </w:rPr>
        <w:t xml:space="preserve"> Any category receiving a less than exceptional rating (satisfactory level) on an annual basis will be evaluated and policy changes instituted if needed.</w:t>
      </w:r>
    </w:p>
    <w:p w14:paraId="46B459AC" w14:textId="77777777" w:rsidR="0060761E" w:rsidRPr="00BF2530" w:rsidRDefault="0060761E" w:rsidP="0060761E">
      <w:pPr>
        <w:spacing w:line="240" w:lineRule="auto"/>
        <w:rPr>
          <w:sz w:val="24"/>
          <w:szCs w:val="24"/>
        </w:rPr>
      </w:pPr>
    </w:p>
    <w:p w14:paraId="0FE0ED4F" w14:textId="5C4BDF33" w:rsidR="0060761E" w:rsidRPr="00BF2530" w:rsidRDefault="0060761E" w:rsidP="0060761E">
      <w:pPr>
        <w:pStyle w:val="ListParagraph"/>
        <w:numPr>
          <w:ilvl w:val="0"/>
          <w:numId w:val="24"/>
        </w:numPr>
        <w:spacing w:line="240" w:lineRule="auto"/>
        <w:rPr>
          <w:sz w:val="24"/>
          <w:szCs w:val="24"/>
        </w:rPr>
      </w:pPr>
      <w:r w:rsidRPr="00BF2530">
        <w:rPr>
          <w:b/>
          <w:bCs/>
          <w:sz w:val="24"/>
          <w:szCs w:val="24"/>
        </w:rPr>
        <w:t>Wait Times:</w:t>
      </w:r>
      <w:r w:rsidRPr="00BF2530">
        <w:rPr>
          <w:sz w:val="24"/>
          <w:szCs w:val="24"/>
        </w:rPr>
        <w:t xml:space="preserve"> The timeliness of MRI scans is important for appropriate diagnosis and treatment, contributes to patient satisfaction, and can be used to measure patient access. The Applicant will monitor wait times for the MRI service.</w:t>
      </w:r>
    </w:p>
    <w:p w14:paraId="73122FBD" w14:textId="77777777" w:rsidR="0060761E" w:rsidRPr="00BF2530" w:rsidRDefault="0060761E" w:rsidP="00BC6BC7">
      <w:pPr>
        <w:spacing w:after="0" w:line="240" w:lineRule="auto"/>
        <w:ind w:left="720"/>
        <w:rPr>
          <w:sz w:val="24"/>
          <w:szCs w:val="24"/>
        </w:rPr>
      </w:pPr>
      <w:r w:rsidRPr="00BF2530">
        <w:rPr>
          <w:b/>
          <w:bCs/>
          <w:sz w:val="24"/>
          <w:szCs w:val="24"/>
        </w:rPr>
        <w:t xml:space="preserve">Measure: </w:t>
      </w:r>
      <w:r w:rsidRPr="00BF2530">
        <w:rPr>
          <w:sz w:val="24"/>
          <w:szCs w:val="24"/>
        </w:rPr>
        <w:t>Time interval from when the case was initiated for scheduling to the next available appointment.</w:t>
      </w:r>
    </w:p>
    <w:p w14:paraId="7056F80D" w14:textId="77777777" w:rsidR="0060761E" w:rsidRPr="00BF2530" w:rsidRDefault="0060761E" w:rsidP="00BC6BC7">
      <w:pPr>
        <w:spacing w:after="0" w:line="240" w:lineRule="auto"/>
        <w:ind w:left="720"/>
        <w:rPr>
          <w:sz w:val="24"/>
          <w:szCs w:val="24"/>
        </w:rPr>
      </w:pPr>
      <w:r w:rsidRPr="00BF2530">
        <w:rPr>
          <w:b/>
          <w:bCs/>
          <w:sz w:val="24"/>
          <w:szCs w:val="24"/>
        </w:rPr>
        <w:t xml:space="preserve">Projections: </w:t>
      </w:r>
      <w:r w:rsidRPr="00BF2530">
        <w:rPr>
          <w:sz w:val="24"/>
          <w:szCs w:val="24"/>
        </w:rPr>
        <w:t xml:space="preserve">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14D786B8" w14:textId="7E79D615" w:rsidR="0060761E" w:rsidRPr="00BF2530" w:rsidRDefault="0060761E" w:rsidP="00BC6BC7">
      <w:pPr>
        <w:spacing w:after="0" w:line="240" w:lineRule="auto"/>
        <w:ind w:left="720"/>
        <w:rPr>
          <w:sz w:val="24"/>
          <w:szCs w:val="24"/>
        </w:rPr>
      </w:pPr>
      <w:r w:rsidRPr="00BF2530">
        <w:rPr>
          <w:b/>
          <w:bCs/>
          <w:sz w:val="24"/>
          <w:szCs w:val="24"/>
        </w:rPr>
        <w:t>Monitoring:</w:t>
      </w:r>
      <w:r w:rsidRPr="00BF2530">
        <w:rPr>
          <w:sz w:val="24"/>
          <w:szCs w:val="24"/>
        </w:rPr>
        <w:t xml:space="preserve"> The Applicant will assess average wait times and implement service adjustments if necessary.</w:t>
      </w:r>
    </w:p>
    <w:p w14:paraId="2316D6F2" w14:textId="77777777" w:rsidR="00BC6BC7" w:rsidRPr="00BF2530" w:rsidRDefault="00BC6BC7" w:rsidP="00BC6BC7">
      <w:pPr>
        <w:spacing w:after="0" w:line="240" w:lineRule="auto"/>
        <w:ind w:left="720"/>
        <w:rPr>
          <w:sz w:val="24"/>
          <w:szCs w:val="24"/>
        </w:rPr>
      </w:pPr>
    </w:p>
    <w:p w14:paraId="682AE09F" w14:textId="4DCAEB39" w:rsidR="0060761E" w:rsidRPr="00BF2530" w:rsidRDefault="0060761E" w:rsidP="0060761E">
      <w:pPr>
        <w:pStyle w:val="ListParagraph"/>
        <w:numPr>
          <w:ilvl w:val="0"/>
          <w:numId w:val="24"/>
        </w:numPr>
        <w:spacing w:after="0" w:line="240" w:lineRule="auto"/>
        <w:rPr>
          <w:sz w:val="24"/>
          <w:szCs w:val="24"/>
        </w:rPr>
      </w:pPr>
      <w:r w:rsidRPr="00BF2530">
        <w:rPr>
          <w:b/>
          <w:bCs/>
          <w:sz w:val="24"/>
          <w:szCs w:val="24"/>
        </w:rPr>
        <w:t>Important Finding Alert (“IFA”):</w:t>
      </w:r>
      <w:r w:rsidRPr="00BF2530">
        <w:rPr>
          <w:sz w:val="24"/>
          <w:szCs w:val="24"/>
        </w:rPr>
        <w:t xml:space="preserve"> The Applicant will review the percentage of MRI scans that triggered an IFA for which the radiologist conducted a critical value report.</w:t>
      </w:r>
    </w:p>
    <w:p w14:paraId="4FF8323D" w14:textId="77777777" w:rsidR="0060761E" w:rsidRPr="00BF2530" w:rsidRDefault="0060761E" w:rsidP="0060761E">
      <w:pPr>
        <w:spacing w:after="0" w:line="240" w:lineRule="auto"/>
        <w:rPr>
          <w:sz w:val="24"/>
          <w:szCs w:val="24"/>
        </w:rPr>
      </w:pPr>
    </w:p>
    <w:p w14:paraId="7FAC3F60" w14:textId="77777777" w:rsidR="0060761E" w:rsidRPr="00BF2530" w:rsidRDefault="0060761E" w:rsidP="00BC6BC7">
      <w:pPr>
        <w:spacing w:after="0" w:line="240" w:lineRule="auto"/>
        <w:ind w:left="720"/>
        <w:rPr>
          <w:sz w:val="24"/>
          <w:szCs w:val="24"/>
        </w:rPr>
      </w:pPr>
      <w:r w:rsidRPr="00BF2530">
        <w:rPr>
          <w:b/>
          <w:bCs/>
          <w:sz w:val="24"/>
          <w:szCs w:val="24"/>
        </w:rPr>
        <w:t>Measure:</w:t>
      </w:r>
      <w:r w:rsidRPr="00BF2530">
        <w:rPr>
          <w:sz w:val="24"/>
          <w:szCs w:val="24"/>
        </w:rPr>
        <w:t xml:space="preserve"> The Applicant will provide the following data: a) % of IFAs where critical value report indicated; and b) % of critical value reports radiologists performed over the total number of IFAs.</w:t>
      </w:r>
    </w:p>
    <w:p w14:paraId="6B5902E9" w14:textId="77777777" w:rsidR="0060761E" w:rsidRPr="00BF2530" w:rsidRDefault="0060761E" w:rsidP="00BC6BC7">
      <w:pPr>
        <w:spacing w:after="0" w:line="240" w:lineRule="auto"/>
        <w:ind w:left="720"/>
        <w:rPr>
          <w:sz w:val="24"/>
          <w:szCs w:val="24"/>
        </w:rPr>
      </w:pPr>
      <w:r w:rsidRPr="00BF2530">
        <w:rPr>
          <w:b/>
          <w:bCs/>
          <w:sz w:val="24"/>
          <w:szCs w:val="24"/>
        </w:rPr>
        <w:lastRenderedPageBreak/>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108C45C2" w14:textId="77777777" w:rsidR="0060761E" w:rsidRPr="00BF2530" w:rsidRDefault="0060761E" w:rsidP="00BC6BC7">
      <w:pPr>
        <w:spacing w:after="0" w:line="240" w:lineRule="auto"/>
        <w:ind w:left="720"/>
        <w:rPr>
          <w:sz w:val="24"/>
          <w:szCs w:val="24"/>
        </w:rPr>
      </w:pPr>
      <w:r w:rsidRPr="00BF2530">
        <w:rPr>
          <w:b/>
          <w:bCs/>
          <w:sz w:val="24"/>
          <w:szCs w:val="24"/>
        </w:rPr>
        <w:t>Monitoring:</w:t>
      </w:r>
      <w:r w:rsidRPr="00BF2530">
        <w:rPr>
          <w:sz w:val="24"/>
          <w:szCs w:val="24"/>
        </w:rPr>
        <w:t xml:space="preserve"> IFAs will be monitored and follow up will be conducted with the referring physician. The radiologist will be made available to answer any questions.</w:t>
      </w:r>
    </w:p>
    <w:p w14:paraId="705CE7F5" w14:textId="77777777" w:rsidR="0060761E" w:rsidRPr="00BF2530" w:rsidRDefault="0060761E" w:rsidP="0060761E">
      <w:pPr>
        <w:rPr>
          <w:sz w:val="24"/>
          <w:szCs w:val="24"/>
        </w:rPr>
      </w:pPr>
    </w:p>
    <w:p w14:paraId="373BA2F5" w14:textId="7A8F30A7" w:rsidR="0060761E" w:rsidRPr="00BF2530" w:rsidRDefault="0060761E" w:rsidP="0060761E">
      <w:pPr>
        <w:pStyle w:val="ListParagraph"/>
        <w:numPr>
          <w:ilvl w:val="0"/>
          <w:numId w:val="24"/>
        </w:numPr>
        <w:spacing w:after="0" w:line="240" w:lineRule="auto"/>
        <w:rPr>
          <w:sz w:val="24"/>
          <w:szCs w:val="24"/>
        </w:rPr>
      </w:pPr>
      <w:r w:rsidRPr="00BF2530">
        <w:rPr>
          <w:b/>
          <w:bCs/>
          <w:sz w:val="24"/>
          <w:szCs w:val="24"/>
        </w:rPr>
        <w:t>Quality of Care - Quality of MRI Scan:</w:t>
      </w:r>
      <w:r w:rsidRPr="00BF2530">
        <w:rPr>
          <w:sz w:val="24"/>
          <w:szCs w:val="24"/>
        </w:rPr>
        <w:t xml:space="preserve"> The quality of an MRI scan is imperative to its interpretation. Accordingly, the Applicant will evaluate the number of scans that need to be repeated within a 48-hour period from the date of the original scan to ensure radiology technicians are performing appropriate scans.</w:t>
      </w:r>
    </w:p>
    <w:p w14:paraId="624A8062" w14:textId="77777777" w:rsidR="00BC6BC7" w:rsidRPr="00BF2530" w:rsidRDefault="00BC6BC7" w:rsidP="00BC6BC7">
      <w:pPr>
        <w:pStyle w:val="ListParagraph"/>
        <w:spacing w:after="0" w:line="240" w:lineRule="auto"/>
        <w:rPr>
          <w:sz w:val="24"/>
          <w:szCs w:val="24"/>
        </w:rPr>
      </w:pPr>
    </w:p>
    <w:p w14:paraId="1D2FB3E0" w14:textId="1930ACA6" w:rsidR="0060761E" w:rsidRPr="00BF2530" w:rsidRDefault="0060761E" w:rsidP="005C2EAF">
      <w:pPr>
        <w:spacing w:after="0" w:line="240" w:lineRule="auto"/>
        <w:ind w:left="720"/>
        <w:rPr>
          <w:sz w:val="24"/>
          <w:szCs w:val="24"/>
        </w:rPr>
      </w:pPr>
      <w:r w:rsidRPr="00BF2530">
        <w:rPr>
          <w:b/>
          <w:bCs/>
          <w:sz w:val="24"/>
          <w:szCs w:val="24"/>
        </w:rPr>
        <w:t>Measure:</w:t>
      </w:r>
      <w:r w:rsidRPr="00BF2530">
        <w:rPr>
          <w:sz w:val="24"/>
          <w:szCs w:val="24"/>
        </w:rPr>
        <w:t xml:space="preserve"> The number of repeat MRI scans performed on patients within a 48-hour period from the date of the original scan.</w:t>
      </w:r>
    </w:p>
    <w:p w14:paraId="4A145824" w14:textId="77777777" w:rsidR="0060761E" w:rsidRPr="00BF2530" w:rsidRDefault="0060761E" w:rsidP="0060761E">
      <w:pPr>
        <w:spacing w:after="0" w:line="240" w:lineRule="auto"/>
        <w:ind w:left="720"/>
        <w:rPr>
          <w:sz w:val="24"/>
          <w:szCs w:val="24"/>
        </w:rPr>
      </w:pPr>
      <w:r w:rsidRPr="00BF2530">
        <w:rPr>
          <w:b/>
          <w:bCs/>
          <w:sz w:val="24"/>
          <w:szCs w:val="24"/>
        </w:rPr>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7A85E31A" w14:textId="77777777" w:rsidR="0060761E" w:rsidRPr="00BF2530" w:rsidRDefault="0060761E" w:rsidP="0060761E">
      <w:pPr>
        <w:spacing w:after="0" w:line="240" w:lineRule="auto"/>
        <w:ind w:left="720"/>
        <w:rPr>
          <w:sz w:val="24"/>
          <w:szCs w:val="24"/>
        </w:rPr>
      </w:pPr>
      <w:r w:rsidRPr="00BF2530">
        <w:rPr>
          <w:b/>
          <w:bCs/>
          <w:sz w:val="24"/>
          <w:szCs w:val="24"/>
        </w:rPr>
        <w:t>Monitoring:</w:t>
      </w:r>
      <w:r w:rsidRPr="00BF2530">
        <w:rPr>
          <w:sz w:val="24"/>
          <w:szCs w:val="24"/>
        </w:rPr>
        <w:t xml:space="preserve"> MRI technologists will track the number of scans that are repeated and scheduled for the next scan day. Technologists will document each case and conduct a monthly comparison to total volume that meets or exceeds the metric.</w:t>
      </w:r>
    </w:p>
    <w:p w14:paraId="7D66681C" w14:textId="77777777" w:rsidR="0060761E" w:rsidRPr="00BF2530" w:rsidRDefault="0060761E" w:rsidP="0060761E">
      <w:pPr>
        <w:rPr>
          <w:sz w:val="24"/>
          <w:szCs w:val="24"/>
        </w:rPr>
      </w:pPr>
    </w:p>
    <w:p w14:paraId="2389228F" w14:textId="4F3D7406" w:rsidR="0060761E" w:rsidRPr="00BF2530" w:rsidRDefault="0060761E" w:rsidP="0060761E">
      <w:pPr>
        <w:rPr>
          <w:i/>
          <w:iCs/>
          <w:sz w:val="24"/>
          <w:szCs w:val="24"/>
        </w:rPr>
      </w:pPr>
      <w:r w:rsidRPr="00BF2530">
        <w:rPr>
          <w:i/>
          <w:iCs/>
          <w:sz w:val="24"/>
          <w:szCs w:val="24"/>
        </w:rPr>
        <w:t>PET-CT Measures</w:t>
      </w:r>
    </w:p>
    <w:p w14:paraId="5EFF89BC" w14:textId="251AF8F9"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Patient Satisfaction:</w:t>
      </w:r>
      <w:r w:rsidRPr="00BF2530">
        <w:rPr>
          <w:sz w:val="24"/>
          <w:szCs w:val="24"/>
        </w:rPr>
        <w:t xml:space="preserve"> Patients that are satisfied with care are more likely to seek additional treatment when necessary. The Applicant will review patient satisfaction levels with the PET- CT imaging service.</w:t>
      </w:r>
    </w:p>
    <w:p w14:paraId="16CE2D18" w14:textId="77777777" w:rsidR="00BC6E27" w:rsidRPr="00BF2530" w:rsidRDefault="00BC6E27" w:rsidP="00BC6E27">
      <w:pPr>
        <w:pStyle w:val="ListParagraph"/>
        <w:spacing w:after="0" w:line="240" w:lineRule="auto"/>
        <w:rPr>
          <w:sz w:val="24"/>
          <w:szCs w:val="24"/>
        </w:rPr>
      </w:pPr>
    </w:p>
    <w:p w14:paraId="0867EF94" w14:textId="7EA4B3E0"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To ensure a service-excellence approach, patient satisfaction surveys will be distributed to all patients receiving imaging services with specific questions around a) satisfaction levels with pre-appointment communication; and b) satisfaction with the wait time for services.</w:t>
      </w:r>
    </w:p>
    <w:p w14:paraId="47B19D2A" w14:textId="77777777" w:rsidR="0060761E" w:rsidRPr="00BF2530" w:rsidRDefault="0060761E" w:rsidP="00BC6E27">
      <w:pPr>
        <w:spacing w:after="0" w:line="240" w:lineRule="auto"/>
        <w:ind w:left="720"/>
        <w:rPr>
          <w:sz w:val="24"/>
          <w:szCs w:val="24"/>
        </w:rPr>
      </w:pPr>
      <w:r w:rsidRPr="00BF2530">
        <w:rPr>
          <w:b/>
          <w:bCs/>
          <w:sz w:val="24"/>
          <w:szCs w:val="24"/>
        </w:rPr>
        <w:t xml:space="preserve">Projections: </w:t>
      </w:r>
      <w:r w:rsidRPr="00BF2530">
        <w:rPr>
          <w:sz w:val="24"/>
          <w:szCs w:val="24"/>
        </w:rPr>
        <w:t xml:space="preserve">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572B0364"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Any category receiving a less than exceptional rating (satisfactory level) on an annual basis will be evaluated and policy changes instituted.</w:t>
      </w:r>
    </w:p>
    <w:p w14:paraId="282DF4A9" w14:textId="77777777" w:rsidR="0060761E" w:rsidRPr="00BF2530" w:rsidRDefault="0060761E" w:rsidP="0060761E">
      <w:pPr>
        <w:rPr>
          <w:sz w:val="24"/>
          <w:szCs w:val="24"/>
        </w:rPr>
      </w:pPr>
    </w:p>
    <w:p w14:paraId="060FCF5D" w14:textId="3A888340"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Quality of Care – Critical Value Reporting:</w:t>
      </w:r>
      <w:r w:rsidRPr="00BF2530">
        <w:rPr>
          <w:sz w:val="24"/>
          <w:szCs w:val="24"/>
        </w:rPr>
        <w:t xml:space="preserve"> When critical values or abnormal test results are registered within an electronic medical record for a patient, the referring physician is notified via electronic communication. A benefit of having an integrated electronic medical record and PACS system is the ability to send these messages to a referring physician, so that clinical decisions may be expedited.</w:t>
      </w:r>
    </w:p>
    <w:p w14:paraId="221FEFF7" w14:textId="77777777" w:rsidR="00BC6E27" w:rsidRPr="00BF2530" w:rsidRDefault="00BC6E27" w:rsidP="00BC6E27">
      <w:pPr>
        <w:pStyle w:val="ListParagraph"/>
        <w:spacing w:after="0" w:line="240" w:lineRule="auto"/>
        <w:rPr>
          <w:sz w:val="24"/>
          <w:szCs w:val="24"/>
        </w:rPr>
      </w:pPr>
    </w:p>
    <w:p w14:paraId="489CC9B7" w14:textId="3E4595AC"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Number of contracted radiologists conducting critical value reporting on cases being interpreted.</w:t>
      </w:r>
    </w:p>
    <w:p w14:paraId="30383C75" w14:textId="20177AC3" w:rsidR="0060761E" w:rsidRPr="00BF2530" w:rsidRDefault="0060761E" w:rsidP="00BC6E27">
      <w:pPr>
        <w:spacing w:after="0" w:line="240" w:lineRule="auto"/>
        <w:ind w:left="720"/>
        <w:rPr>
          <w:sz w:val="24"/>
          <w:szCs w:val="24"/>
        </w:rPr>
      </w:pPr>
      <w:r w:rsidRPr="00BF2530">
        <w:rPr>
          <w:b/>
          <w:bCs/>
          <w:sz w:val="24"/>
          <w:szCs w:val="24"/>
        </w:rPr>
        <w:lastRenderedPageBreak/>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1C84733F" w14:textId="40F62E6D"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PET-CT scans will be monitored and follow up will be conducted with the referring physician. The radiologist will be made available to answer any questions.</w:t>
      </w:r>
    </w:p>
    <w:p w14:paraId="3F5FD0C2" w14:textId="77777777" w:rsidR="00BC6E27" w:rsidRPr="00BF2530" w:rsidRDefault="00BC6E27" w:rsidP="00BC6E27">
      <w:pPr>
        <w:spacing w:after="0" w:line="240" w:lineRule="auto"/>
        <w:ind w:left="720"/>
        <w:rPr>
          <w:sz w:val="24"/>
          <w:szCs w:val="24"/>
        </w:rPr>
      </w:pPr>
    </w:p>
    <w:p w14:paraId="37518A37" w14:textId="5F2C2A68"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Quality of Care – Quality of PET-CT Scan:</w:t>
      </w:r>
      <w:r w:rsidRPr="00BF2530">
        <w:rPr>
          <w:sz w:val="24"/>
          <w:szCs w:val="24"/>
        </w:rPr>
        <w:t xml:space="preserve"> The quality of a PET-CT scan is imperative to its interpretation. Accordingly, the Applicant will evaluate the number of scans that need to be repeated over the course of a week to ensure radiology technicians are performing appropriate scans. Given that the PET-CT equipment will only be available one day per week, the next opportunity for a scan would be seven days later.</w:t>
      </w:r>
    </w:p>
    <w:p w14:paraId="3C63CCD2" w14:textId="77777777" w:rsidR="00BC6BC7" w:rsidRPr="00BF2530" w:rsidRDefault="00BC6BC7" w:rsidP="00BC6BC7">
      <w:pPr>
        <w:pStyle w:val="ListParagraph"/>
        <w:spacing w:after="0" w:line="240" w:lineRule="auto"/>
        <w:rPr>
          <w:sz w:val="24"/>
          <w:szCs w:val="24"/>
        </w:rPr>
      </w:pPr>
    </w:p>
    <w:p w14:paraId="28585F4B" w14:textId="5FB520D1"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The number of repeat PET-CT scans performed on patients within a seven-day period (day of scan to next day of scan).</w:t>
      </w:r>
    </w:p>
    <w:p w14:paraId="2D59A724" w14:textId="47036926" w:rsidR="0060761E" w:rsidRPr="00BF2530" w:rsidRDefault="0060761E" w:rsidP="00BC6E27">
      <w:pPr>
        <w:spacing w:after="0" w:line="240" w:lineRule="auto"/>
        <w:ind w:left="720"/>
        <w:rPr>
          <w:sz w:val="24"/>
          <w:szCs w:val="24"/>
        </w:rPr>
      </w:pPr>
      <w:r w:rsidRPr="00BF2530">
        <w:rPr>
          <w:b/>
          <w:bCs/>
          <w:sz w:val="24"/>
          <w:szCs w:val="24"/>
        </w:rPr>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68E5C014" w14:textId="77777777" w:rsidR="00BC6E27" w:rsidRPr="00BF2530" w:rsidRDefault="00BC6E27" w:rsidP="00BC6E27">
      <w:pPr>
        <w:spacing w:after="0" w:line="240" w:lineRule="auto"/>
        <w:ind w:left="720"/>
        <w:rPr>
          <w:sz w:val="24"/>
          <w:szCs w:val="24"/>
        </w:rPr>
      </w:pPr>
    </w:p>
    <w:p w14:paraId="0871E80B"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PET-CT technologists will track the number of scans that are repeated and scheduled for the next scan day. Technologists will document each case and conduct a monthly comparison to total volume to meet or exceed the metric.</w:t>
      </w:r>
    </w:p>
    <w:p w14:paraId="14DF915D" w14:textId="77777777" w:rsidR="0060761E" w:rsidRPr="00BF2530" w:rsidRDefault="0060761E" w:rsidP="0060761E">
      <w:pPr>
        <w:rPr>
          <w:sz w:val="24"/>
          <w:szCs w:val="24"/>
        </w:rPr>
      </w:pPr>
    </w:p>
    <w:p w14:paraId="5FD86C6F" w14:textId="71DD1740"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Quality of Care</w:t>
      </w:r>
      <w:r w:rsidRPr="00BF2530">
        <w:rPr>
          <w:sz w:val="24"/>
          <w:szCs w:val="24"/>
        </w:rPr>
        <w:t xml:space="preserve"> – Peer Review Over Read Correlation: To evaluate the accuracy of scan interpretations, the Applicant will conduct peer review readings to ensure quality outcomes for patients.</w:t>
      </w:r>
    </w:p>
    <w:p w14:paraId="49D1DCA6" w14:textId="77777777" w:rsidR="00BC6E27" w:rsidRPr="00BF2530" w:rsidRDefault="00BC6E27" w:rsidP="00BC6E27">
      <w:pPr>
        <w:pStyle w:val="ListParagraph"/>
        <w:spacing w:after="0" w:line="240" w:lineRule="auto"/>
        <w:rPr>
          <w:sz w:val="24"/>
          <w:szCs w:val="24"/>
        </w:rPr>
      </w:pPr>
    </w:p>
    <w:p w14:paraId="72558F5E" w14:textId="130AA373"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16551D24" w14:textId="528E6CDC" w:rsidR="0060761E" w:rsidRPr="00BF2530" w:rsidRDefault="0060761E" w:rsidP="00BC6E27">
      <w:pPr>
        <w:spacing w:after="0" w:line="240" w:lineRule="auto"/>
        <w:ind w:left="720"/>
        <w:rPr>
          <w:sz w:val="24"/>
          <w:szCs w:val="24"/>
        </w:rPr>
      </w:pPr>
      <w:r w:rsidRPr="00BF2530">
        <w:rPr>
          <w:b/>
          <w:bCs/>
          <w:sz w:val="24"/>
          <w:szCs w:val="24"/>
        </w:rPr>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267288DE"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A random selection of cases based on ACR Peer to Peer criteria will be reviewed. Radiologists will evaluate scans documenting any inconsistencies and discuss outstanding issues with the original reading radiologist.</w:t>
      </w:r>
    </w:p>
    <w:p w14:paraId="12F96AFE" w14:textId="77777777" w:rsidR="0060761E" w:rsidRPr="00BF2530" w:rsidRDefault="0060761E" w:rsidP="0060761E">
      <w:pPr>
        <w:rPr>
          <w:sz w:val="24"/>
          <w:szCs w:val="24"/>
        </w:rPr>
      </w:pPr>
    </w:p>
    <w:p w14:paraId="058A4A8C" w14:textId="34BC08D8"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Access</w:t>
      </w:r>
      <w:r w:rsidRPr="00BF2530">
        <w:rPr>
          <w:sz w:val="24"/>
          <w:szCs w:val="24"/>
        </w:rPr>
        <w:t xml:space="preserve"> – Backlog Reporting: The Proposed Project seeks to ensure access to PET-CT imaging services. Accordingly, the Applicant will track any backlogs associated with the service.</w:t>
      </w:r>
    </w:p>
    <w:p w14:paraId="2CAC1585" w14:textId="77777777" w:rsidR="00BC6E27" w:rsidRPr="00BF2530" w:rsidRDefault="00BC6E27" w:rsidP="00BC6E27">
      <w:pPr>
        <w:pStyle w:val="ListParagraph"/>
        <w:spacing w:after="0" w:line="240" w:lineRule="auto"/>
        <w:rPr>
          <w:sz w:val="24"/>
          <w:szCs w:val="24"/>
        </w:rPr>
      </w:pPr>
    </w:p>
    <w:p w14:paraId="20BE89A1" w14:textId="60C25AFE" w:rsidR="0060761E" w:rsidRPr="00BF2530" w:rsidRDefault="0060761E" w:rsidP="00BC6E27">
      <w:pPr>
        <w:spacing w:after="0" w:line="240" w:lineRule="auto"/>
        <w:ind w:left="720"/>
        <w:rPr>
          <w:sz w:val="24"/>
          <w:szCs w:val="24"/>
        </w:rPr>
      </w:pPr>
      <w:r w:rsidRPr="00BF2530">
        <w:rPr>
          <w:b/>
          <w:bCs/>
          <w:sz w:val="24"/>
          <w:szCs w:val="24"/>
        </w:rPr>
        <w:t>Measure:</w:t>
      </w:r>
      <w:r w:rsidRPr="00BF2530">
        <w:rPr>
          <w:sz w:val="24"/>
          <w:szCs w:val="24"/>
        </w:rPr>
        <w:t xml:space="preserve"> The number of times scanning day utilization is greater than 90% and adjustments need to be made to the schedule.</w:t>
      </w:r>
    </w:p>
    <w:p w14:paraId="087D5811" w14:textId="28F777F2" w:rsidR="0060761E" w:rsidRPr="00BF2530" w:rsidRDefault="0060761E" w:rsidP="00BC6E27">
      <w:pPr>
        <w:spacing w:after="0" w:line="240" w:lineRule="auto"/>
        <w:ind w:left="720"/>
        <w:rPr>
          <w:sz w:val="24"/>
          <w:szCs w:val="24"/>
        </w:rPr>
      </w:pPr>
      <w:r w:rsidRPr="00BF2530">
        <w:rPr>
          <w:b/>
          <w:bCs/>
          <w:sz w:val="24"/>
          <w:szCs w:val="24"/>
        </w:rPr>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10EFE1E2" w14:textId="77777777" w:rsidR="0060761E" w:rsidRPr="00BF2530" w:rsidRDefault="0060761E" w:rsidP="00BC6E27">
      <w:pPr>
        <w:spacing w:after="0" w:line="240" w:lineRule="auto"/>
        <w:ind w:left="720"/>
        <w:rPr>
          <w:sz w:val="24"/>
          <w:szCs w:val="24"/>
        </w:rPr>
      </w:pPr>
      <w:r w:rsidRPr="00BF2530">
        <w:rPr>
          <w:b/>
          <w:bCs/>
          <w:sz w:val="24"/>
          <w:szCs w:val="24"/>
        </w:rPr>
        <w:lastRenderedPageBreak/>
        <w:t>Monitoring:</w:t>
      </w:r>
      <w:r w:rsidRPr="00BF2530">
        <w:rPr>
          <w:sz w:val="24"/>
          <w:szCs w:val="24"/>
        </w:rPr>
        <w:t xml:space="preserve"> Applicant’s staff will assess daily hours of service and implement adjustments if necessary.</w:t>
      </w:r>
    </w:p>
    <w:p w14:paraId="5DB9613C" w14:textId="77777777" w:rsidR="0060761E" w:rsidRPr="00BF2530" w:rsidRDefault="0060761E" w:rsidP="0060761E">
      <w:pPr>
        <w:rPr>
          <w:sz w:val="24"/>
          <w:szCs w:val="24"/>
        </w:rPr>
      </w:pPr>
    </w:p>
    <w:p w14:paraId="2BD4153D" w14:textId="5BB5637D" w:rsidR="0060761E" w:rsidRPr="00BF2530" w:rsidRDefault="0060761E" w:rsidP="00BC6E27">
      <w:pPr>
        <w:pStyle w:val="ListParagraph"/>
        <w:numPr>
          <w:ilvl w:val="0"/>
          <w:numId w:val="25"/>
        </w:numPr>
        <w:spacing w:after="0" w:line="240" w:lineRule="auto"/>
        <w:rPr>
          <w:sz w:val="24"/>
          <w:szCs w:val="24"/>
        </w:rPr>
      </w:pPr>
      <w:r w:rsidRPr="00BF2530">
        <w:rPr>
          <w:b/>
          <w:bCs/>
          <w:sz w:val="24"/>
          <w:szCs w:val="24"/>
        </w:rPr>
        <w:t>Provider Satisfaction</w:t>
      </w:r>
      <w:r w:rsidRPr="00BF2530">
        <w:rPr>
          <w:sz w:val="24"/>
          <w:szCs w:val="24"/>
        </w:rPr>
        <w:t xml:space="preserve"> – Value Assessment: Ensuring provider satisfaction with PET-CT scans and their overall value when treating patients is necessary to assess the impact on patient care. The Applicant will survey referring physicians to validate scan utility.</w:t>
      </w:r>
    </w:p>
    <w:p w14:paraId="58B68C06" w14:textId="77777777" w:rsidR="00BC6BC7" w:rsidRPr="00BF2530" w:rsidRDefault="00BC6BC7" w:rsidP="00BC6BC7">
      <w:pPr>
        <w:pStyle w:val="ListParagraph"/>
        <w:spacing w:after="0" w:line="240" w:lineRule="auto"/>
        <w:rPr>
          <w:sz w:val="24"/>
          <w:szCs w:val="24"/>
        </w:rPr>
      </w:pPr>
    </w:p>
    <w:p w14:paraId="222C7C69" w14:textId="5BA0AD73" w:rsidR="0060761E" w:rsidRPr="00BF2530" w:rsidRDefault="0060761E" w:rsidP="00BC6BC7">
      <w:pPr>
        <w:spacing w:after="0" w:line="240" w:lineRule="auto"/>
        <w:ind w:firstLine="720"/>
        <w:rPr>
          <w:sz w:val="24"/>
          <w:szCs w:val="24"/>
        </w:rPr>
      </w:pPr>
      <w:r w:rsidRPr="00BF2530">
        <w:rPr>
          <w:b/>
          <w:bCs/>
          <w:sz w:val="24"/>
          <w:szCs w:val="24"/>
        </w:rPr>
        <w:t>Measure:</w:t>
      </w:r>
      <w:r w:rsidRPr="00BF2530">
        <w:rPr>
          <w:sz w:val="24"/>
          <w:szCs w:val="24"/>
        </w:rPr>
        <w:t xml:space="preserve"> Confirmation with the referring physician about the utility of PET-CT Scans.</w:t>
      </w:r>
    </w:p>
    <w:p w14:paraId="60495374" w14:textId="6E26A54F" w:rsidR="0060761E" w:rsidRPr="00BF2530" w:rsidRDefault="0060761E" w:rsidP="00BC6BC7">
      <w:pPr>
        <w:spacing w:after="0" w:line="240" w:lineRule="auto"/>
        <w:ind w:left="720"/>
        <w:rPr>
          <w:sz w:val="24"/>
          <w:szCs w:val="24"/>
        </w:rPr>
      </w:pPr>
      <w:r w:rsidRPr="00BF2530">
        <w:rPr>
          <w:b/>
          <w:bCs/>
          <w:sz w:val="24"/>
          <w:szCs w:val="24"/>
        </w:rPr>
        <w:t>Projections:</w:t>
      </w:r>
      <w:r w:rsidRPr="00BF2530">
        <w:rPr>
          <w:sz w:val="24"/>
          <w:szCs w:val="24"/>
        </w:rPr>
        <w:t xml:space="preserve"> As the </w:t>
      </w:r>
      <w:proofErr w:type="gramStart"/>
      <w:r w:rsidRPr="00BF2530">
        <w:rPr>
          <w:sz w:val="24"/>
          <w:szCs w:val="24"/>
        </w:rPr>
        <w:t>Applicant</w:t>
      </w:r>
      <w:proofErr w:type="gramEnd"/>
      <w:r w:rsidRPr="00BF2530">
        <w:rPr>
          <w:sz w:val="24"/>
          <w:szCs w:val="24"/>
        </w:rPr>
        <w:t xml:space="preserve"> will be a new clinic and does not have a baseline, the Applicant will provide baseline numbers and projections in its first annual report.</w:t>
      </w:r>
    </w:p>
    <w:p w14:paraId="781379D4" w14:textId="77777777" w:rsidR="0060761E" w:rsidRPr="00BF2530" w:rsidRDefault="0060761E" w:rsidP="00BC6E27">
      <w:pPr>
        <w:spacing w:after="0" w:line="240" w:lineRule="auto"/>
        <w:ind w:left="720"/>
        <w:rPr>
          <w:sz w:val="24"/>
          <w:szCs w:val="24"/>
        </w:rPr>
      </w:pPr>
      <w:r w:rsidRPr="00BF2530">
        <w:rPr>
          <w:b/>
          <w:bCs/>
          <w:sz w:val="24"/>
          <w:szCs w:val="24"/>
        </w:rPr>
        <w:t>Monitoring:</w:t>
      </w:r>
      <w:r w:rsidRPr="00BF2530">
        <w:rPr>
          <w:sz w:val="24"/>
          <w:szCs w:val="24"/>
        </w:rPr>
        <w:t xml:space="preserve"> The Applicant will query the PET-CT referral physician population to validate scan utility via surveys.</w:t>
      </w:r>
    </w:p>
    <w:p w14:paraId="06413834" w14:textId="0F15E5A8" w:rsidR="00940201" w:rsidRPr="00BF2530" w:rsidRDefault="00940201">
      <w:pPr>
        <w:rPr>
          <w:sz w:val="24"/>
          <w:szCs w:val="24"/>
        </w:rPr>
      </w:pPr>
    </w:p>
    <w:p w14:paraId="56180B70" w14:textId="70ADE329" w:rsidR="00940201" w:rsidRPr="00BF2530" w:rsidRDefault="00BC3503">
      <w:pPr>
        <w:rPr>
          <w:sz w:val="24"/>
          <w:szCs w:val="24"/>
        </w:rPr>
      </w:pPr>
      <w:r w:rsidRPr="00BF2530">
        <w:rPr>
          <w:b/>
          <w:bCs/>
          <w:sz w:val="24"/>
          <w:szCs w:val="24"/>
        </w:rPr>
        <w:t>Description of numerators and denominators where applicable</w:t>
      </w:r>
    </w:p>
    <w:p w14:paraId="08C104B5" w14:textId="77777777" w:rsidR="00BC3503" w:rsidRPr="00BF2530" w:rsidRDefault="00BC3503" w:rsidP="00BC3503">
      <w:pPr>
        <w:numPr>
          <w:ilvl w:val="0"/>
          <w:numId w:val="26"/>
        </w:numPr>
        <w:spacing w:after="0" w:line="240" w:lineRule="auto"/>
        <w:ind w:left="360"/>
        <w:rPr>
          <w:sz w:val="24"/>
          <w:szCs w:val="24"/>
        </w:rPr>
      </w:pPr>
      <w:r w:rsidRPr="00BF2530">
        <w:rPr>
          <w:b/>
          <w:bCs/>
          <w:sz w:val="24"/>
          <w:szCs w:val="24"/>
        </w:rPr>
        <w:t>Patient Satisfaction Measures:</w:t>
      </w:r>
      <w:r w:rsidRPr="00BF2530">
        <w:rPr>
          <w:sz w:val="24"/>
          <w:szCs w:val="24"/>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6FDE4162" w14:textId="77777777" w:rsidR="00BC3503" w:rsidRPr="00BF2530" w:rsidRDefault="00BC3503" w:rsidP="00BC3503">
      <w:pPr>
        <w:numPr>
          <w:ilvl w:val="1"/>
          <w:numId w:val="26"/>
        </w:numPr>
        <w:spacing w:after="0" w:line="240" w:lineRule="auto"/>
        <w:ind w:left="1080"/>
        <w:rPr>
          <w:sz w:val="24"/>
          <w:szCs w:val="24"/>
        </w:rPr>
      </w:pPr>
      <w:r w:rsidRPr="00BF2530">
        <w:rPr>
          <w:b/>
          <w:bCs/>
          <w:sz w:val="24"/>
          <w:szCs w:val="24"/>
        </w:rPr>
        <w:t>MRI:</w:t>
      </w:r>
      <w:r w:rsidRPr="00BF2530">
        <w:rPr>
          <w:sz w:val="24"/>
          <w:szCs w:val="24"/>
        </w:rPr>
        <w:t xml:space="preserve"> The minimum monthly patient participation is expected to be 40% response rate. This translates into on average 166 responses per month in year 1. (5,000 year 1 annual MRI scans divided by 12 </w:t>
      </w:r>
      <w:proofErr w:type="gramStart"/>
      <w:r w:rsidRPr="00BF2530">
        <w:rPr>
          <w:sz w:val="24"/>
          <w:szCs w:val="24"/>
        </w:rPr>
        <w:t>months</w:t>
      </w:r>
      <w:proofErr w:type="gramEnd"/>
      <w:r w:rsidRPr="00BF2530">
        <w:rPr>
          <w:sz w:val="24"/>
          <w:szCs w:val="24"/>
        </w:rPr>
        <w:t xml:space="preserve"> times 0.4). The overall satisfaction minimum per month is 90% satisfaction rating.</w:t>
      </w:r>
    </w:p>
    <w:p w14:paraId="3C7F3E32" w14:textId="464C7E32" w:rsidR="00BC3503" w:rsidRPr="00BF2530" w:rsidRDefault="00CE30E4" w:rsidP="00BC3503">
      <w:pPr>
        <w:numPr>
          <w:ilvl w:val="1"/>
          <w:numId w:val="26"/>
        </w:numPr>
        <w:spacing w:after="0" w:line="240" w:lineRule="auto"/>
        <w:ind w:left="1080"/>
        <w:rPr>
          <w:sz w:val="24"/>
          <w:szCs w:val="24"/>
        </w:rPr>
      </w:pPr>
      <w:r>
        <w:rPr>
          <w:b/>
          <w:sz w:val="24"/>
          <w:szCs w:val="24"/>
        </w:rPr>
        <w:t>PET-CT</w:t>
      </w:r>
      <w:r w:rsidR="00BC3503" w:rsidRPr="00BF2530">
        <w:rPr>
          <w:b/>
          <w:sz w:val="24"/>
          <w:szCs w:val="24"/>
        </w:rPr>
        <w:t>:</w:t>
      </w:r>
      <w:r w:rsidR="00BC3503" w:rsidRPr="00BF2530">
        <w:rPr>
          <w:sz w:val="24"/>
          <w:szCs w:val="24"/>
        </w:rPr>
        <w:t xml:space="preserve"> The minimum monthly patient participation is expected to be 40% response rate. This translates into on average 7.4 responses per month in year 1. (222 year 1 annual PET scans divided by 12 </w:t>
      </w:r>
      <w:proofErr w:type="gramStart"/>
      <w:r w:rsidR="00BC3503" w:rsidRPr="00BF2530">
        <w:rPr>
          <w:sz w:val="24"/>
          <w:szCs w:val="24"/>
        </w:rPr>
        <w:t>months</w:t>
      </w:r>
      <w:proofErr w:type="gramEnd"/>
      <w:r w:rsidR="00BC3503" w:rsidRPr="00BF2530">
        <w:rPr>
          <w:sz w:val="24"/>
          <w:szCs w:val="24"/>
        </w:rPr>
        <w:t xml:space="preserve"> times 0.4). The overall satisfaction minimum per month is 90% satisfaction rating. Any critical responses will be acted upon within 30 days.</w:t>
      </w:r>
    </w:p>
    <w:p w14:paraId="2AAEE9A8" w14:textId="77777777" w:rsidR="00BC3503" w:rsidRPr="00BF2530" w:rsidRDefault="00BC3503" w:rsidP="00BC3503">
      <w:pPr>
        <w:spacing w:after="0" w:line="240" w:lineRule="auto"/>
        <w:ind w:left="1080"/>
        <w:rPr>
          <w:sz w:val="24"/>
          <w:szCs w:val="24"/>
        </w:rPr>
      </w:pPr>
    </w:p>
    <w:p w14:paraId="7881C5B9" w14:textId="513FA0B3" w:rsidR="00BC3503" w:rsidRPr="00BF2530" w:rsidRDefault="00BC3503" w:rsidP="00BC3503">
      <w:pPr>
        <w:numPr>
          <w:ilvl w:val="0"/>
          <w:numId w:val="26"/>
        </w:numPr>
        <w:spacing w:after="0" w:line="240" w:lineRule="auto"/>
        <w:ind w:left="360"/>
        <w:rPr>
          <w:sz w:val="24"/>
          <w:szCs w:val="24"/>
        </w:rPr>
      </w:pPr>
      <w:r w:rsidRPr="00BF2530">
        <w:rPr>
          <w:b/>
          <w:bCs/>
          <w:sz w:val="24"/>
          <w:szCs w:val="24"/>
        </w:rPr>
        <w:t xml:space="preserve">Wait Time Measure: </w:t>
      </w:r>
      <w:r w:rsidRPr="00BF2530">
        <w:rPr>
          <w:sz w:val="24"/>
          <w:szCs w:val="24"/>
        </w:rPr>
        <w:t>Time interval from when the case was initiated for scheduling to the next available appointment.</w:t>
      </w:r>
    </w:p>
    <w:p w14:paraId="258B47F0" w14:textId="77777777" w:rsidR="00BC3503" w:rsidRPr="00BF2530" w:rsidRDefault="00BC3503" w:rsidP="00BC3503">
      <w:pPr>
        <w:numPr>
          <w:ilvl w:val="1"/>
          <w:numId w:val="26"/>
        </w:numPr>
        <w:spacing w:after="0" w:line="240" w:lineRule="auto"/>
        <w:ind w:left="1080"/>
        <w:rPr>
          <w:sz w:val="24"/>
          <w:szCs w:val="24"/>
        </w:rPr>
      </w:pPr>
      <w:r w:rsidRPr="00BF2530">
        <w:rPr>
          <w:b/>
          <w:sz w:val="24"/>
          <w:szCs w:val="24"/>
        </w:rPr>
        <w:t>MRI:</w:t>
      </w:r>
      <w:r w:rsidRPr="00BF2530">
        <w:rPr>
          <w:sz w:val="24"/>
          <w:szCs w:val="24"/>
        </w:rPr>
        <w:t xml:space="preserve"> Applicant will measure from the date and time order received to the date and time exam scheduled </w:t>
      </w:r>
    </w:p>
    <w:p w14:paraId="6B53943B" w14:textId="060289D9" w:rsidR="00BC3503" w:rsidRPr="00BF2530" w:rsidRDefault="00CE30E4" w:rsidP="00BC3503">
      <w:pPr>
        <w:numPr>
          <w:ilvl w:val="1"/>
          <w:numId w:val="26"/>
        </w:numPr>
        <w:spacing w:after="0" w:line="240" w:lineRule="auto"/>
        <w:ind w:left="1080"/>
        <w:rPr>
          <w:sz w:val="24"/>
          <w:szCs w:val="24"/>
        </w:rPr>
      </w:pPr>
      <w:r>
        <w:rPr>
          <w:b/>
          <w:sz w:val="24"/>
          <w:szCs w:val="24"/>
        </w:rPr>
        <w:t>PET-CT</w:t>
      </w:r>
      <w:r w:rsidR="00BC3503" w:rsidRPr="00BF2530">
        <w:rPr>
          <w:sz w:val="24"/>
          <w:szCs w:val="24"/>
        </w:rPr>
        <w:t xml:space="preserve">: Projections: </w:t>
      </w:r>
      <w:r>
        <w:rPr>
          <w:sz w:val="24"/>
          <w:szCs w:val="24"/>
        </w:rPr>
        <w:t>PET-CT</w:t>
      </w:r>
      <w:r w:rsidR="00BC3503" w:rsidRPr="00BF2530">
        <w:rPr>
          <w:sz w:val="24"/>
          <w:szCs w:val="24"/>
        </w:rPr>
        <w:t xml:space="preserve"> values timeliness to treatment in correlation with the referring and treating community. The proposed project will maintain a traditional </w:t>
      </w:r>
      <w:r w:rsidR="00BB3474" w:rsidRPr="00BF2530">
        <w:rPr>
          <w:sz w:val="24"/>
          <w:szCs w:val="24"/>
        </w:rPr>
        <w:t>7-10-day</w:t>
      </w:r>
      <w:r w:rsidR="00BC3503" w:rsidRPr="00BF2530">
        <w:rPr>
          <w:sz w:val="24"/>
          <w:szCs w:val="24"/>
        </w:rPr>
        <w:t xml:space="preserve"> appointment time and will measure wait times for new referrals monthly for deviation. Many returning patients are booked for future appointments at time of first </w:t>
      </w:r>
      <w:r>
        <w:rPr>
          <w:sz w:val="24"/>
          <w:szCs w:val="24"/>
        </w:rPr>
        <w:t>PET-CT</w:t>
      </w:r>
      <w:r w:rsidR="00BC3503" w:rsidRPr="00BF2530">
        <w:rPr>
          <w:sz w:val="24"/>
          <w:szCs w:val="24"/>
        </w:rPr>
        <w:t xml:space="preserve"> appointment. These cases will be taken into consideration when measuring true wait time from referral to appointment.</w:t>
      </w:r>
    </w:p>
    <w:p w14:paraId="7CAE913D" w14:textId="77777777" w:rsidR="00BC3503" w:rsidRPr="00BF2530" w:rsidRDefault="00BC3503" w:rsidP="00BC3503">
      <w:pPr>
        <w:spacing w:after="0" w:line="240" w:lineRule="auto"/>
        <w:ind w:left="1080"/>
        <w:rPr>
          <w:sz w:val="24"/>
          <w:szCs w:val="24"/>
        </w:rPr>
      </w:pPr>
    </w:p>
    <w:p w14:paraId="006A97AB" w14:textId="77777777" w:rsidR="00BC3503" w:rsidRPr="00BF2530" w:rsidRDefault="00BC3503" w:rsidP="00BC3503">
      <w:pPr>
        <w:numPr>
          <w:ilvl w:val="0"/>
          <w:numId w:val="26"/>
        </w:numPr>
        <w:spacing w:after="0" w:line="240" w:lineRule="auto"/>
        <w:ind w:left="360"/>
        <w:rPr>
          <w:sz w:val="24"/>
          <w:szCs w:val="24"/>
        </w:rPr>
      </w:pPr>
      <w:r w:rsidRPr="00BF2530">
        <w:rPr>
          <w:b/>
          <w:bCs/>
          <w:sz w:val="24"/>
          <w:szCs w:val="24"/>
        </w:rPr>
        <w:t xml:space="preserve">Quality of Care - Important Finding Alert (IFA) &amp; Critical Findings Measure: </w:t>
      </w:r>
    </w:p>
    <w:p w14:paraId="144934E5" w14:textId="77777777" w:rsidR="00BC3503" w:rsidRPr="00BF2530" w:rsidRDefault="00BC3503" w:rsidP="00BC3503">
      <w:pPr>
        <w:numPr>
          <w:ilvl w:val="1"/>
          <w:numId w:val="26"/>
        </w:numPr>
        <w:spacing w:after="0" w:line="240" w:lineRule="auto"/>
        <w:ind w:left="1080"/>
        <w:rPr>
          <w:sz w:val="24"/>
          <w:szCs w:val="24"/>
        </w:rPr>
      </w:pPr>
      <w:r w:rsidRPr="00BF2530">
        <w:rPr>
          <w:b/>
          <w:sz w:val="24"/>
          <w:szCs w:val="24"/>
        </w:rPr>
        <w:t>MRI:</w:t>
      </w:r>
      <w:r w:rsidRPr="00BF2530">
        <w:rPr>
          <w:sz w:val="24"/>
          <w:szCs w:val="24"/>
        </w:rPr>
        <w:t xml:space="preserve"> When important findings or abnormal test results are registered within an electronic medical record for a patient, the referring physician is notified via </w:t>
      </w:r>
      <w:r w:rsidRPr="00BF2530">
        <w:rPr>
          <w:sz w:val="24"/>
          <w:szCs w:val="24"/>
        </w:rPr>
        <w:lastRenderedPageBreak/>
        <w:t>electronic communication. A benefit of having an integrated electronic medical record and PACS system is the ability to send these messages to a referring physician, so that clinical decisions may be expedited.</w:t>
      </w:r>
    </w:p>
    <w:p w14:paraId="577EEA64" w14:textId="6A0A94B7" w:rsidR="00BC3503" w:rsidRPr="00BF2530" w:rsidRDefault="00CE30E4" w:rsidP="00BC3503">
      <w:pPr>
        <w:numPr>
          <w:ilvl w:val="1"/>
          <w:numId w:val="26"/>
        </w:numPr>
        <w:spacing w:after="0" w:line="240" w:lineRule="auto"/>
        <w:ind w:left="1080"/>
        <w:rPr>
          <w:sz w:val="24"/>
          <w:szCs w:val="24"/>
        </w:rPr>
      </w:pPr>
      <w:r>
        <w:rPr>
          <w:b/>
          <w:sz w:val="24"/>
          <w:szCs w:val="24"/>
        </w:rPr>
        <w:t>PET-CT</w:t>
      </w:r>
      <w:r w:rsidR="00BC3503" w:rsidRPr="00BF2530">
        <w:rPr>
          <w:b/>
          <w:sz w:val="24"/>
          <w:szCs w:val="24"/>
        </w:rPr>
        <w:t>:</w:t>
      </w:r>
      <w:r w:rsidR="00BC3503" w:rsidRPr="00BF2530">
        <w:rPr>
          <w:b/>
          <w:bCs/>
          <w:sz w:val="24"/>
          <w:szCs w:val="24"/>
        </w:rPr>
        <w:t xml:space="preserve"> Projections:</w:t>
      </w:r>
      <w:r w:rsidR="00BC3503" w:rsidRPr="00BF2530">
        <w:rPr>
          <w:sz w:val="24"/>
          <w:szCs w:val="24"/>
        </w:rPr>
        <w:t xml:space="preserve"> Baseline: 100% Year 1: 100% Year 2: 100% Year 3: 100%</w:t>
      </w:r>
    </w:p>
    <w:p w14:paraId="3AF2E252" w14:textId="77777777" w:rsidR="00BC3503" w:rsidRPr="00BF2530" w:rsidRDefault="00BC3503" w:rsidP="00BC3503">
      <w:pPr>
        <w:rPr>
          <w:sz w:val="24"/>
          <w:szCs w:val="24"/>
        </w:rPr>
      </w:pPr>
    </w:p>
    <w:p w14:paraId="12E139CF" w14:textId="4468F0CA" w:rsidR="00BC3503" w:rsidRPr="00BF2530" w:rsidRDefault="00BC3503" w:rsidP="00BC3503">
      <w:pPr>
        <w:numPr>
          <w:ilvl w:val="0"/>
          <w:numId w:val="26"/>
        </w:numPr>
        <w:spacing w:after="0" w:line="240" w:lineRule="auto"/>
        <w:ind w:left="360"/>
        <w:rPr>
          <w:sz w:val="24"/>
          <w:szCs w:val="24"/>
        </w:rPr>
      </w:pPr>
      <w:r w:rsidRPr="00BF2530">
        <w:rPr>
          <w:b/>
          <w:bCs/>
          <w:sz w:val="24"/>
          <w:szCs w:val="24"/>
        </w:rPr>
        <w:t>Quality of Care Measure – Repeat Scans</w:t>
      </w:r>
      <w:r w:rsidRPr="00BF2530">
        <w:rPr>
          <w:sz w:val="24"/>
          <w:szCs w:val="24"/>
        </w:rPr>
        <w:t xml:space="preserve">: </w:t>
      </w:r>
      <w:r w:rsidRPr="00BF2530">
        <w:rPr>
          <w:b/>
          <w:bCs/>
          <w:sz w:val="24"/>
          <w:szCs w:val="24"/>
        </w:rPr>
        <w:t xml:space="preserve"> </w:t>
      </w:r>
      <w:r w:rsidRPr="00BF2530">
        <w:rPr>
          <w:sz w:val="24"/>
          <w:szCs w:val="24"/>
        </w:rPr>
        <w:t xml:space="preserve">The number of repeat MRI scans performed on patients within a 48-hour period from the date of the original scan. </w:t>
      </w:r>
    </w:p>
    <w:p w14:paraId="657381C1" w14:textId="77777777" w:rsidR="00BC3503" w:rsidRPr="00BF2530" w:rsidRDefault="00BC3503" w:rsidP="00BC3503">
      <w:pPr>
        <w:numPr>
          <w:ilvl w:val="1"/>
          <w:numId w:val="26"/>
        </w:numPr>
        <w:spacing w:after="0" w:line="240" w:lineRule="auto"/>
        <w:ind w:left="1080"/>
        <w:rPr>
          <w:sz w:val="24"/>
          <w:szCs w:val="24"/>
        </w:rPr>
      </w:pPr>
      <w:r w:rsidRPr="00BF2530">
        <w:rPr>
          <w:b/>
          <w:sz w:val="24"/>
          <w:szCs w:val="24"/>
        </w:rPr>
        <w:t>MRI:</w:t>
      </w:r>
      <w:r w:rsidRPr="00BF2530">
        <w:rPr>
          <w:sz w:val="24"/>
          <w:szCs w:val="24"/>
        </w:rPr>
        <w:t xml:space="preserve"> Applicant flags the return visits by additional </w:t>
      </w:r>
      <w:proofErr w:type="gramStart"/>
      <w:r w:rsidRPr="00BF2530">
        <w:rPr>
          <w:sz w:val="24"/>
          <w:szCs w:val="24"/>
        </w:rPr>
        <w:t>value</w:t>
      </w:r>
      <w:proofErr w:type="gramEnd"/>
      <w:r w:rsidRPr="00BF2530">
        <w:rPr>
          <w:sz w:val="24"/>
          <w:szCs w:val="24"/>
        </w:rPr>
        <w:t>-Applicant is able to monitor the number of additional values by the flag in electronic room</w:t>
      </w:r>
    </w:p>
    <w:p w14:paraId="1B45B4DD" w14:textId="32F8175C" w:rsidR="00BC3503" w:rsidRPr="00BF2530" w:rsidRDefault="00CE30E4" w:rsidP="00BC3503">
      <w:pPr>
        <w:numPr>
          <w:ilvl w:val="1"/>
          <w:numId w:val="26"/>
        </w:numPr>
        <w:spacing w:after="0" w:line="240" w:lineRule="auto"/>
        <w:ind w:left="1080"/>
        <w:rPr>
          <w:sz w:val="24"/>
          <w:szCs w:val="24"/>
        </w:rPr>
      </w:pPr>
      <w:r>
        <w:rPr>
          <w:b/>
          <w:bCs/>
          <w:sz w:val="24"/>
          <w:szCs w:val="24"/>
        </w:rPr>
        <w:t>PET-CT</w:t>
      </w:r>
      <w:r w:rsidR="00BC3503" w:rsidRPr="00BF2530">
        <w:rPr>
          <w:b/>
          <w:bCs/>
          <w:sz w:val="24"/>
          <w:szCs w:val="24"/>
        </w:rPr>
        <w:t xml:space="preserve"> Projections:</w:t>
      </w:r>
      <w:r w:rsidR="00BC3503" w:rsidRPr="00BF2530">
        <w:rPr>
          <w:sz w:val="24"/>
          <w:szCs w:val="24"/>
        </w:rPr>
        <w:t xml:space="preserve"> Baseline: 0.3% Year 1: 0.3% Year 2: 0.3% Year 3: 0.3%</w:t>
      </w:r>
    </w:p>
    <w:p w14:paraId="6DB2AE16" w14:textId="4AC2AE65" w:rsidR="00D12013" w:rsidRPr="00D12013" w:rsidRDefault="00CE30E4" w:rsidP="007C4192">
      <w:pPr>
        <w:numPr>
          <w:ilvl w:val="1"/>
          <w:numId w:val="26"/>
        </w:numPr>
        <w:spacing w:after="0" w:line="240" w:lineRule="auto"/>
        <w:ind w:left="1080"/>
        <w:rPr>
          <w:b/>
          <w:bCs/>
          <w:sz w:val="24"/>
          <w:szCs w:val="24"/>
        </w:rPr>
      </w:pPr>
      <w:r>
        <w:rPr>
          <w:b/>
          <w:bCs/>
          <w:sz w:val="24"/>
          <w:szCs w:val="24"/>
        </w:rPr>
        <w:t>PET-CT</w:t>
      </w:r>
      <w:r w:rsidR="00BC3503" w:rsidRPr="00BF2530">
        <w:rPr>
          <w:b/>
          <w:bCs/>
          <w:sz w:val="24"/>
          <w:szCs w:val="24"/>
        </w:rPr>
        <w:t xml:space="preserve"> Provider Satisfaction</w:t>
      </w:r>
      <w:r w:rsidR="00BC3503" w:rsidRPr="00BF2530">
        <w:rPr>
          <w:sz w:val="24"/>
          <w:szCs w:val="24"/>
        </w:rPr>
        <w:t>:</w:t>
      </w:r>
      <w:r w:rsidR="00BC3503" w:rsidRPr="00BF2530">
        <w:rPr>
          <w:b/>
          <w:bCs/>
          <w:sz w:val="24"/>
          <w:szCs w:val="24"/>
        </w:rPr>
        <w:t xml:space="preserve"> Projections:</w:t>
      </w:r>
      <w:r w:rsidR="00BC3503" w:rsidRPr="00BF2530">
        <w:rPr>
          <w:sz w:val="24"/>
          <w:szCs w:val="24"/>
        </w:rPr>
        <w:t xml:space="preserve"> Baseline: 95% Year 1: 96% Year 2: 97% Year 3: 100%</w:t>
      </w:r>
      <w:r w:rsidR="00D12013" w:rsidRPr="00D12013">
        <w:rPr>
          <w:b/>
          <w:bCs/>
          <w:sz w:val="24"/>
          <w:szCs w:val="24"/>
        </w:rPr>
        <w:t>REFERENCES</w:t>
      </w:r>
    </w:p>
    <w:sectPr w:rsidR="00D12013" w:rsidRPr="00D12013"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56056" w14:textId="77777777" w:rsidR="004C6B15" w:rsidRDefault="004C6B15" w:rsidP="0017637D">
      <w:pPr>
        <w:spacing w:after="0" w:line="240" w:lineRule="auto"/>
      </w:pPr>
      <w:r>
        <w:separator/>
      </w:r>
    </w:p>
  </w:endnote>
  <w:endnote w:type="continuationSeparator" w:id="0">
    <w:p w14:paraId="1816C51B" w14:textId="77777777" w:rsidR="004C6B15" w:rsidRDefault="004C6B15" w:rsidP="0017637D">
      <w:pPr>
        <w:spacing w:after="0" w:line="240" w:lineRule="auto"/>
      </w:pPr>
      <w:r>
        <w:continuationSeparator/>
      </w:r>
    </w:p>
  </w:endnote>
  <w:endnote w:id="1">
    <w:p w14:paraId="73D4A438" w14:textId="35B69076" w:rsidR="00E72B07" w:rsidRDefault="00E72B07" w:rsidP="00842A2F">
      <w:pPr>
        <w:pStyle w:val="EndnoteText"/>
      </w:pPr>
      <w:r>
        <w:rPr>
          <w:rStyle w:val="EndnoteReference"/>
        </w:rPr>
        <w:endnoteRef/>
      </w:r>
      <w:r>
        <w:t xml:space="preserve"> Long-term Population Projections for Massachusetts Regions and Municipalities. March 2015. </w:t>
      </w:r>
      <w:hyperlink r:id="rId1" w:history="1">
        <w:r w:rsidR="00F90401">
          <w:rPr>
            <w:rStyle w:val="Hyperlink"/>
          </w:rPr>
          <w:t>Available at http://pep.donahue-institute.org/downloads/2015/new/UMDI_LongTermPopulationProjectionsReport_2015%2004%20_29.pdf</w:t>
        </w:r>
      </w:hyperlink>
      <w:r>
        <w:t xml:space="preserve"> </w:t>
      </w:r>
    </w:p>
  </w:endnote>
  <w:endnote w:id="2">
    <w:p w14:paraId="732F5046" w14:textId="68861933" w:rsidR="00E72B07" w:rsidRDefault="00E72B07">
      <w:pPr>
        <w:pStyle w:val="EndnoteText"/>
      </w:pPr>
      <w:r>
        <w:rPr>
          <w:rStyle w:val="EndnoteReference"/>
        </w:rPr>
        <w:endnoteRef/>
      </w:r>
      <w:r>
        <w:t xml:space="preserve"> </w:t>
      </w:r>
      <w:r w:rsidRPr="0059690C">
        <w:t xml:space="preserve">Prakash B. Patient satisfaction. J </w:t>
      </w:r>
      <w:proofErr w:type="spellStart"/>
      <w:r w:rsidRPr="0059690C">
        <w:t>Cutan</w:t>
      </w:r>
      <w:proofErr w:type="spellEnd"/>
      <w:r w:rsidRPr="0059690C">
        <w:t xml:space="preserve"> </w:t>
      </w:r>
      <w:proofErr w:type="spellStart"/>
      <w:r w:rsidRPr="0059690C">
        <w:t>Aesthet</w:t>
      </w:r>
      <w:proofErr w:type="spellEnd"/>
      <w:r w:rsidRPr="0059690C">
        <w:t xml:space="preserve"> Surg. 2010;3(3):151-155. doi:10.4103/0974-2077.74491</w:t>
      </w:r>
      <w:r w:rsidR="00BB5A32">
        <w:t>.</w:t>
      </w:r>
      <w:r>
        <w:t xml:space="preserve"> </w:t>
      </w:r>
      <w:hyperlink r:id="rId2" w:history="1">
        <w:r w:rsidR="00BB5A32">
          <w:rPr>
            <w:rStyle w:val="Hyperlink"/>
          </w:rPr>
          <w:t>Available at https://www.ncbi.nlm.nih.gov/pmc/articles/PMC3047732/</w:t>
        </w:r>
      </w:hyperlink>
      <w:r>
        <w:t xml:space="preserve"> </w:t>
      </w:r>
    </w:p>
  </w:endnote>
  <w:endnote w:id="3">
    <w:p w14:paraId="5E6EF8DD" w14:textId="77777777" w:rsidR="00E72B07" w:rsidRDefault="00E72B07" w:rsidP="00FF31D8">
      <w:pPr>
        <w:pStyle w:val="EndnoteText"/>
      </w:pPr>
      <w:r>
        <w:rPr>
          <w:rStyle w:val="EndnoteReference"/>
        </w:rPr>
        <w:endnoteRef/>
      </w:r>
      <w:r>
        <w:t xml:space="preserve"> </w:t>
      </w:r>
      <w:proofErr w:type="spellStart"/>
      <w:r w:rsidRPr="00CB0ABC">
        <w:t>Hendee</w:t>
      </w:r>
      <w:proofErr w:type="spellEnd"/>
      <w:r w:rsidRPr="00CB0ABC">
        <w:t xml:space="preserve"> WR, Becker GJ, </w:t>
      </w:r>
      <w:proofErr w:type="spellStart"/>
      <w:r w:rsidRPr="00CB0ABC">
        <w:t>Borgstede</w:t>
      </w:r>
      <w:proofErr w:type="spellEnd"/>
      <w:r w:rsidRPr="00CB0ABC">
        <w:t xml:space="preserve"> JP, </w:t>
      </w:r>
      <w:proofErr w:type="spellStart"/>
      <w:r w:rsidRPr="00CB0ABC">
        <w:t>Bosma</w:t>
      </w:r>
      <w:proofErr w:type="spellEnd"/>
      <w:r w:rsidRPr="00CB0ABC">
        <w:t xml:space="preserve"> J, </w:t>
      </w:r>
      <w:proofErr w:type="spellStart"/>
      <w:r w:rsidRPr="00CB0ABC">
        <w:t>Casarella</w:t>
      </w:r>
      <w:proofErr w:type="spellEnd"/>
      <w:r w:rsidRPr="00CB0ABC">
        <w:t xml:space="preserve"> WJ, Erickson BA, Maynard CD, Thrall JH, </w:t>
      </w:r>
      <w:proofErr w:type="spellStart"/>
      <w:r w:rsidRPr="00CB0ABC">
        <w:t>Wallner</w:t>
      </w:r>
      <w:proofErr w:type="spellEnd"/>
      <w:r w:rsidRPr="00CB0ABC">
        <w:t xml:space="preserve"> PE. Addressing overutilization in medical imaging. Radiology. 2010 Oct;257(1):240-5. </w:t>
      </w:r>
      <w:proofErr w:type="spellStart"/>
      <w:r w:rsidRPr="00CB0ABC">
        <w:t>doi</w:t>
      </w:r>
      <w:proofErr w:type="spellEnd"/>
      <w:r w:rsidRPr="00CB0ABC">
        <w:t xml:space="preserve">: 10.1148/radiol.10100063. </w:t>
      </w:r>
      <w:proofErr w:type="spellStart"/>
      <w:r w:rsidRPr="00CB0ABC">
        <w:t>Epub</w:t>
      </w:r>
      <w:proofErr w:type="spellEnd"/>
      <w:r w:rsidRPr="00CB0ABC">
        <w:t xml:space="preserve"> 2010 Aug 24. PMID: 20736333.</w:t>
      </w:r>
    </w:p>
  </w:endnote>
  <w:endnote w:id="4">
    <w:p w14:paraId="26568DEF" w14:textId="7D812274" w:rsidR="00E72B07" w:rsidRDefault="00E72B07">
      <w:pPr>
        <w:pStyle w:val="EndnoteText"/>
      </w:pPr>
      <w:r>
        <w:rPr>
          <w:rStyle w:val="EndnoteReference"/>
        </w:rPr>
        <w:endnoteRef/>
      </w:r>
      <w:r>
        <w:t xml:space="preserve"> </w:t>
      </w:r>
      <w:r w:rsidR="00F93F39">
        <w:t xml:space="preserve">CDC. </w:t>
      </w:r>
      <w:r w:rsidRPr="00940AB0">
        <w:t>Stats of the State of Massachusetts</w:t>
      </w:r>
      <w:r>
        <w:t xml:space="preserve">. </w:t>
      </w:r>
      <w:hyperlink r:id="rId3" w:history="1">
        <w:r w:rsidR="002A09FF">
          <w:rPr>
            <w:rStyle w:val="Hyperlink"/>
          </w:rPr>
          <w:t>Available at https://www.cdc.gov/nchs/pressroom/states/massachusetts/massachusetts.htm</w:t>
        </w:r>
      </w:hyperlink>
      <w:r>
        <w:t xml:space="preserve"> </w:t>
      </w:r>
    </w:p>
  </w:endnote>
  <w:endnote w:id="5">
    <w:p w14:paraId="1EE8A439" w14:textId="22CDCB5E" w:rsidR="00E72B07" w:rsidRDefault="00E72B07" w:rsidP="007D631E">
      <w:pPr>
        <w:pStyle w:val="EndnoteText"/>
      </w:pPr>
      <w:r>
        <w:rPr>
          <w:rStyle w:val="EndnoteReference"/>
        </w:rPr>
        <w:endnoteRef/>
      </w:r>
      <w:r>
        <w:t xml:space="preserve"> The Problem of Fragmentation and the Need for Integrative Solutions. Kurt C. </w:t>
      </w:r>
      <w:proofErr w:type="spellStart"/>
      <w:r>
        <w:t>Stange</w:t>
      </w:r>
      <w:proofErr w:type="spellEnd"/>
    </w:p>
    <w:p w14:paraId="2097301E" w14:textId="28F28BE2" w:rsidR="00E72B07" w:rsidRDefault="00E72B07" w:rsidP="007D631E">
      <w:pPr>
        <w:pStyle w:val="EndnoteText"/>
      </w:pPr>
      <w:r>
        <w:t>The Annals of Family Medicine Mar 2009, 7 (2) 100-103; D</w:t>
      </w:r>
      <w:r w:rsidR="00C1026B">
        <w:t xml:space="preserve">OI: 10.1370/afm.971. </w:t>
      </w:r>
      <w:hyperlink r:id="rId4" w:history="1">
        <w:r w:rsidR="00C1026B">
          <w:rPr>
            <w:rStyle w:val="Hyperlink"/>
          </w:rPr>
          <w:t>Available at https://www.annfammed.org/content/7/2/100</w:t>
        </w:r>
      </w:hyperlink>
      <w:r>
        <w:t xml:space="preserve"> </w:t>
      </w:r>
    </w:p>
  </w:endnote>
  <w:endnote w:id="6">
    <w:p w14:paraId="0598DA56" w14:textId="3361F5AF" w:rsidR="00E72B07" w:rsidRDefault="00E72B07" w:rsidP="00E316F1">
      <w:pPr>
        <w:pStyle w:val="EndnoteText"/>
      </w:pPr>
      <w:r>
        <w:rPr>
          <w:rStyle w:val="EndnoteReference"/>
        </w:rPr>
        <w:endnoteRef/>
      </w:r>
      <w:r>
        <w:t xml:space="preserve"> </w:t>
      </w:r>
      <w:r w:rsidRPr="002C5E1E">
        <w:t xml:space="preserve">HealthIT.gov. Improve Care Coordination. </w:t>
      </w:r>
      <w:hyperlink r:id="rId5" w:history="1">
        <w:r w:rsidR="007F6042">
          <w:rPr>
            <w:rStyle w:val="Hyperlink"/>
          </w:rPr>
          <w:t>Available at https://www.healthit.gov/topic/health-it-basics/improve-care-coordination</w:t>
        </w:r>
      </w:hyperlink>
      <w:r w:rsidR="00BD53F4">
        <w:t xml:space="preserve"> </w:t>
      </w:r>
      <w:r w:rsidRPr="002C5E1E">
        <w:t xml:space="preserve"> </w:t>
      </w:r>
    </w:p>
  </w:endnote>
  <w:endnote w:id="7">
    <w:p w14:paraId="249D8B01" w14:textId="57B0FEEB" w:rsidR="00750FA4" w:rsidRDefault="00750FA4">
      <w:pPr>
        <w:pStyle w:val="EndnoteText"/>
      </w:pPr>
      <w:r>
        <w:rPr>
          <w:rStyle w:val="EndnoteReference"/>
        </w:rPr>
        <w:endnoteRef/>
      </w:r>
      <w:r>
        <w:t xml:space="preserve"> </w:t>
      </w:r>
      <w:r w:rsidRPr="00750FA4">
        <w:t xml:space="preserve">Alain </w:t>
      </w:r>
      <w:proofErr w:type="spellStart"/>
      <w:r w:rsidRPr="00750FA4">
        <w:t>Pinsonneault</w:t>
      </w:r>
      <w:proofErr w:type="spellEnd"/>
      <w:r w:rsidRPr="00750FA4">
        <w:t xml:space="preserve">, Shamel </w:t>
      </w:r>
      <w:proofErr w:type="spellStart"/>
      <w:r w:rsidRPr="00750FA4">
        <w:t>Addas</w:t>
      </w:r>
      <w:proofErr w:type="spellEnd"/>
      <w:r w:rsidRPr="00750FA4">
        <w:t xml:space="preserve">, Christina Qian, Vijay </w:t>
      </w:r>
      <w:proofErr w:type="spellStart"/>
      <w:r w:rsidRPr="00750FA4">
        <w:t>Dakshinamoorthy</w:t>
      </w:r>
      <w:proofErr w:type="spellEnd"/>
      <w:r w:rsidRPr="00750FA4">
        <w:t xml:space="preserve"> &amp; Robyn Tamblyn (2017) Integrated Health Information Technology and the Quality of Patient Care: A Natural Experiment, Journal of Management Information Systems, 34:2, 457-486, DOI: 10.1080/07421222.2017.1334477.</w:t>
      </w:r>
    </w:p>
  </w:endnote>
  <w:endnote w:id="8">
    <w:p w14:paraId="53FCC485" w14:textId="77777777" w:rsidR="00E72B07" w:rsidRDefault="00E72B07" w:rsidP="00E316F1">
      <w:pPr>
        <w:pStyle w:val="EndnoteText"/>
      </w:pPr>
      <w:r>
        <w:rPr>
          <w:rStyle w:val="EndnoteReference"/>
        </w:rPr>
        <w:endnoteRef/>
      </w:r>
      <w:r>
        <w:t xml:space="preserve"> </w:t>
      </w:r>
      <w:r w:rsidRPr="002C5E1E">
        <w:t>HealthIT.gov, https://www.healthit.gov/topic/health-it-and-health-information-exchange-basics/improved-diagnostics-patientoutcomes</w:t>
      </w:r>
    </w:p>
  </w:endnote>
  <w:endnote w:id="9">
    <w:p w14:paraId="33C92DCB" w14:textId="0FCC3317" w:rsidR="00E72B07" w:rsidRDefault="00E72B07">
      <w:pPr>
        <w:pStyle w:val="EndnoteText"/>
      </w:pPr>
      <w:r>
        <w:rPr>
          <w:rStyle w:val="EndnoteReference"/>
        </w:rPr>
        <w:endnoteRef/>
      </w:r>
      <w:r>
        <w:t xml:space="preserve"> </w:t>
      </w:r>
      <w:proofErr w:type="spellStart"/>
      <w:r w:rsidRPr="009337F3">
        <w:t>Litkowski</w:t>
      </w:r>
      <w:proofErr w:type="spellEnd"/>
      <w:r w:rsidRPr="009337F3">
        <w:t xml:space="preserve"> PE, Smetana GW, </w:t>
      </w:r>
      <w:proofErr w:type="spellStart"/>
      <w:r w:rsidRPr="009337F3">
        <w:t>Zeidel</w:t>
      </w:r>
      <w:proofErr w:type="spellEnd"/>
      <w:r w:rsidRPr="009337F3">
        <w:t xml:space="preserve"> ML, Blanchard MS. Curbing the Urge to Image. Am J Med. 2016 Oct;129(10):1131-5. </w:t>
      </w:r>
      <w:proofErr w:type="spellStart"/>
      <w:r w:rsidRPr="009337F3">
        <w:t>doi</w:t>
      </w:r>
      <w:proofErr w:type="spellEnd"/>
      <w:r w:rsidRPr="009337F3">
        <w:t xml:space="preserve">: 10.1016/j.amjmed.2016.06.020. </w:t>
      </w:r>
      <w:proofErr w:type="spellStart"/>
      <w:r w:rsidRPr="009337F3">
        <w:t>Epub</w:t>
      </w:r>
      <w:proofErr w:type="spellEnd"/>
      <w:r w:rsidRPr="009337F3">
        <w:t xml:space="preserve"> 2016 Jul 13. PMID: 27421918.</w:t>
      </w:r>
    </w:p>
  </w:endnote>
  <w:endnote w:id="10">
    <w:p w14:paraId="502126BE" w14:textId="6A99D3D0" w:rsidR="00E72B07" w:rsidRDefault="00E72B07">
      <w:pPr>
        <w:pStyle w:val="EndnoteText"/>
      </w:pPr>
      <w:r>
        <w:rPr>
          <w:rStyle w:val="EndnoteReference"/>
        </w:rPr>
        <w:endnoteRef/>
      </w:r>
      <w:r>
        <w:t xml:space="preserve"> </w:t>
      </w:r>
      <w:proofErr w:type="spellStart"/>
      <w:r w:rsidRPr="004C288C">
        <w:t>Hendee</w:t>
      </w:r>
      <w:proofErr w:type="spellEnd"/>
      <w:r w:rsidRPr="004C288C">
        <w:t xml:space="preserve"> WR, Becker GJ, </w:t>
      </w:r>
      <w:proofErr w:type="spellStart"/>
      <w:r w:rsidRPr="004C288C">
        <w:t>Borgstede</w:t>
      </w:r>
      <w:proofErr w:type="spellEnd"/>
      <w:r w:rsidRPr="004C288C">
        <w:t xml:space="preserve"> JP, </w:t>
      </w:r>
      <w:proofErr w:type="spellStart"/>
      <w:r w:rsidRPr="004C288C">
        <w:t>Bosma</w:t>
      </w:r>
      <w:proofErr w:type="spellEnd"/>
      <w:r w:rsidRPr="004C288C">
        <w:t xml:space="preserve"> J, </w:t>
      </w:r>
      <w:proofErr w:type="spellStart"/>
      <w:r w:rsidRPr="004C288C">
        <w:t>Casarella</w:t>
      </w:r>
      <w:proofErr w:type="spellEnd"/>
      <w:r w:rsidRPr="004C288C">
        <w:t xml:space="preserve"> WJ, Erickson BA, Maynard CD, Thrall JH, </w:t>
      </w:r>
      <w:proofErr w:type="spellStart"/>
      <w:r w:rsidRPr="004C288C">
        <w:t>Wallner</w:t>
      </w:r>
      <w:proofErr w:type="spellEnd"/>
      <w:r w:rsidRPr="004C288C">
        <w:t xml:space="preserve"> PE. Addressing overutilization in medical imaging. Radiology. 2010 Oct;257(1):240-5. </w:t>
      </w:r>
      <w:proofErr w:type="spellStart"/>
      <w:r w:rsidRPr="004C288C">
        <w:t>doi</w:t>
      </w:r>
      <w:proofErr w:type="spellEnd"/>
      <w:r w:rsidRPr="004C288C">
        <w:t xml:space="preserve">: 10.1148/radiol.10100063. </w:t>
      </w:r>
      <w:proofErr w:type="spellStart"/>
      <w:r w:rsidRPr="004C288C">
        <w:t>Epub</w:t>
      </w:r>
      <w:proofErr w:type="spellEnd"/>
      <w:r w:rsidRPr="004C288C">
        <w:t xml:space="preserve"> 2010 Aug 24. PMID: 20736333.</w:t>
      </w:r>
    </w:p>
  </w:endnote>
  <w:endnote w:id="11">
    <w:p w14:paraId="65DD4743" w14:textId="6377E167" w:rsidR="00E72B07" w:rsidRDefault="00E72B07" w:rsidP="00B27A18">
      <w:pPr>
        <w:pStyle w:val="EndnoteText"/>
      </w:pPr>
      <w:r>
        <w:rPr>
          <w:rStyle w:val="EndnoteReference"/>
        </w:rPr>
        <w:endnoteRef/>
      </w:r>
      <w:r>
        <w:t xml:space="preserve"> Massachusetts Health Policy Commission. 2018 Annual Health Car</w:t>
      </w:r>
      <w:r w:rsidR="000E495C">
        <w:t>e Cost Trends Report.</w:t>
      </w:r>
    </w:p>
    <w:p w14:paraId="645F078C" w14:textId="5E29EA24" w:rsidR="00E72B07" w:rsidRDefault="00EF30F8" w:rsidP="00B27A18">
      <w:pPr>
        <w:pStyle w:val="EndnoteText"/>
      </w:pPr>
      <w:hyperlink r:id="rId6" w:history="1">
        <w:r w:rsidR="000E495C">
          <w:rPr>
            <w:rStyle w:val="Hyperlink"/>
          </w:rPr>
          <w:t>Available at https://www.mass.gov/files/documents/2019/02/20/2018%20Cost%20Trends%20Report.pdf</w:t>
        </w:r>
      </w:hyperlink>
      <w:r w:rsidR="00E72B07">
        <w:t xml:space="preserve"> </w:t>
      </w:r>
    </w:p>
  </w:endnote>
  <w:endnote w:id="12">
    <w:p w14:paraId="0DC890DA" w14:textId="05A6C2F2" w:rsidR="00E72B07" w:rsidRDefault="00E72B07">
      <w:pPr>
        <w:pStyle w:val="EndnoteText"/>
      </w:pPr>
      <w:r>
        <w:rPr>
          <w:rStyle w:val="EndnoteReference"/>
        </w:rPr>
        <w:endnoteRef/>
      </w:r>
      <w:r>
        <w:t xml:space="preserve"> Centers for Disease Control and Prevention (CDC). </w:t>
      </w:r>
      <w:r w:rsidRPr="00656A79">
        <w:t>Social Determinants of Health: Know What Affects Health</w:t>
      </w:r>
      <w:r w:rsidR="00DA20DF">
        <w:t xml:space="preserve">. </w:t>
      </w:r>
      <w:hyperlink r:id="rId7" w:history="1">
        <w:r w:rsidR="00DA20DF">
          <w:rPr>
            <w:rStyle w:val="Hyperlink"/>
          </w:rPr>
          <w:t>Available at https://www.cdc.gov/socialdeterminants/about.html</w:t>
        </w:r>
      </w:hyperlink>
      <w:r>
        <w:t xml:space="preserve"> </w:t>
      </w:r>
    </w:p>
  </w:endnote>
  <w:endnote w:id="13">
    <w:p w14:paraId="2A974E0D" w14:textId="1A632A40" w:rsidR="00E72B07" w:rsidRDefault="00E72B07">
      <w:pPr>
        <w:pStyle w:val="EndnoteText"/>
      </w:pPr>
      <w:r>
        <w:rPr>
          <w:rStyle w:val="EndnoteReference"/>
        </w:rPr>
        <w:endnoteRef/>
      </w:r>
      <w:r>
        <w:t xml:space="preserve"> </w:t>
      </w:r>
      <w:r w:rsidRPr="007A1378">
        <w:t xml:space="preserve">Singh GK, </w:t>
      </w:r>
      <w:proofErr w:type="spellStart"/>
      <w:r w:rsidRPr="007A1378">
        <w:t>Daus</w:t>
      </w:r>
      <w:proofErr w:type="spellEnd"/>
      <w:r w:rsidRPr="007A1378">
        <w:t xml:space="preserve"> GP, </w:t>
      </w:r>
      <w:proofErr w:type="spellStart"/>
      <w:r w:rsidRPr="007A1378">
        <w:t>Allender</w:t>
      </w:r>
      <w:proofErr w:type="spellEnd"/>
      <w:r w:rsidRPr="007A1378">
        <w:t xml:space="preserve"> M, et al. Social Determinants of Health in the United States: Addressing Major Health Inequality Trends for the Nation, 1935-2016. </w:t>
      </w:r>
      <w:proofErr w:type="spellStart"/>
      <w:r w:rsidRPr="007A1378">
        <w:rPr>
          <w:i/>
          <w:iCs/>
        </w:rPr>
        <w:t>Int</w:t>
      </w:r>
      <w:proofErr w:type="spellEnd"/>
      <w:r w:rsidRPr="007A1378">
        <w:rPr>
          <w:i/>
          <w:iCs/>
        </w:rPr>
        <w:t xml:space="preserve"> J MCH AIDS</w:t>
      </w:r>
      <w:r w:rsidRPr="007A1378">
        <w:t>. 2017;6(2):139-164. doi:10.21106/ijma.236</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454527"/>
      <w:docPartObj>
        <w:docPartGallery w:val="Page Numbers (Bottom of Page)"/>
        <w:docPartUnique/>
      </w:docPartObj>
    </w:sdtPr>
    <w:sdtEndPr>
      <w:rPr>
        <w:noProof/>
      </w:rPr>
    </w:sdtEndPr>
    <w:sdtContent>
      <w:p w14:paraId="3D4B8190" w14:textId="6A8E5365" w:rsidR="00E72B07" w:rsidRDefault="00E72B07">
        <w:pPr>
          <w:pStyle w:val="Footer"/>
          <w:jc w:val="center"/>
        </w:pPr>
        <w:r>
          <w:fldChar w:fldCharType="begin"/>
        </w:r>
        <w:r>
          <w:instrText xml:space="preserve"> PAGE   \* MERGEFORMAT </w:instrText>
        </w:r>
        <w:r>
          <w:fldChar w:fldCharType="separate"/>
        </w:r>
        <w:r w:rsidR="00EF30F8">
          <w:rPr>
            <w:noProof/>
          </w:rPr>
          <w:t>20</w:t>
        </w:r>
        <w:r>
          <w:rPr>
            <w:noProof/>
          </w:rPr>
          <w:fldChar w:fldCharType="end"/>
        </w:r>
      </w:p>
    </w:sdtContent>
  </w:sdt>
  <w:p w14:paraId="5D700CC9" w14:textId="77777777" w:rsidR="00E72B07" w:rsidRDefault="00E7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33AC" w14:textId="77777777" w:rsidR="004C6B15" w:rsidRDefault="004C6B15" w:rsidP="0017637D">
      <w:pPr>
        <w:spacing w:after="0" w:line="240" w:lineRule="auto"/>
      </w:pPr>
      <w:r>
        <w:separator/>
      </w:r>
    </w:p>
  </w:footnote>
  <w:footnote w:type="continuationSeparator" w:id="0">
    <w:p w14:paraId="51E567A6" w14:textId="77777777" w:rsidR="004C6B15" w:rsidRDefault="004C6B15" w:rsidP="0017637D">
      <w:pPr>
        <w:spacing w:after="0" w:line="240" w:lineRule="auto"/>
      </w:pPr>
      <w:r>
        <w:continuationSeparator/>
      </w:r>
    </w:p>
  </w:footnote>
  <w:footnote w:id="1">
    <w:p w14:paraId="31E440E4" w14:textId="77777777" w:rsidR="00E72B07" w:rsidRPr="0010344C" w:rsidRDefault="00E72B07" w:rsidP="005749AC">
      <w:pPr>
        <w:pStyle w:val="FootnoteText"/>
        <w:rPr>
          <w:sz w:val="18"/>
          <w:szCs w:val="18"/>
        </w:rPr>
      </w:pPr>
      <w:r w:rsidRPr="0010344C">
        <w:rPr>
          <w:rStyle w:val="FootnoteReference"/>
          <w:sz w:val="18"/>
          <w:szCs w:val="18"/>
        </w:rPr>
        <w:footnoteRef/>
      </w:r>
      <w:r w:rsidRPr="0010344C">
        <w:rPr>
          <w:sz w:val="18"/>
          <w:szCs w:val="18"/>
        </w:rPr>
        <w:t xml:space="preserve"> High Public Payer Hospitals (HPP) receive a minimum of 63% of gross patient service revenue from public payers.</w:t>
      </w:r>
    </w:p>
  </w:footnote>
  <w:footnote w:id="2">
    <w:p w14:paraId="7B6E3DF1" w14:textId="420A5879" w:rsidR="00E72B07" w:rsidRPr="00FE362C" w:rsidRDefault="00E72B07" w:rsidP="009F3914">
      <w:pPr>
        <w:pStyle w:val="FootnoteText"/>
        <w:rPr>
          <w:sz w:val="18"/>
          <w:szCs w:val="18"/>
        </w:rPr>
      </w:pPr>
      <w:r w:rsidRPr="0010344C">
        <w:rPr>
          <w:rStyle w:val="FootnoteReference"/>
          <w:sz w:val="18"/>
          <w:szCs w:val="18"/>
        </w:rPr>
        <w:footnoteRef/>
      </w:r>
      <w:r w:rsidRPr="0010344C">
        <w:rPr>
          <w:sz w:val="18"/>
          <w:szCs w:val="18"/>
        </w:rPr>
        <w:t xml:space="preserve"> Critical Access Hospital is a designation given to eligible rural hospitals by the Centers for Medicare and Medicaid Services (CMS). The CAH designation is designed to reduce the financial vulnerability of rural hospitals and improve access to healthcare by keeping essential services in rural communities. To accomplish this goal, CAHs receive certain benefits, such as cost-based reimbursement for Medicare services. </w:t>
      </w:r>
      <w:hyperlink r:id="rId1" w:history="1">
        <w:r w:rsidR="00F90401">
          <w:rPr>
            <w:rStyle w:val="Hyperlink"/>
            <w:sz w:val="18"/>
            <w:szCs w:val="18"/>
          </w:rPr>
          <w:t>at https://www.ruralhealthinfo.org/topics/critical-access-hospitals</w:t>
        </w:r>
      </w:hyperlink>
      <w:r w:rsidRPr="0010344C">
        <w:rPr>
          <w:sz w:val="18"/>
          <w:szCs w:val="18"/>
        </w:rPr>
        <w:t xml:space="preserve"> </w:t>
      </w:r>
    </w:p>
  </w:footnote>
  <w:footnote w:id="3">
    <w:p w14:paraId="6E28C415" w14:textId="5A294A02" w:rsidR="00E72B07" w:rsidRDefault="00E72B07">
      <w:pPr>
        <w:pStyle w:val="FootnoteText"/>
      </w:pPr>
      <w:r w:rsidRPr="00FE362C">
        <w:rPr>
          <w:rStyle w:val="FootnoteReference"/>
          <w:sz w:val="18"/>
          <w:szCs w:val="18"/>
        </w:rPr>
        <w:footnoteRef/>
      </w:r>
      <w:r w:rsidRPr="00FE362C">
        <w:rPr>
          <w:sz w:val="18"/>
          <w:szCs w:val="18"/>
        </w:rPr>
        <w:t xml:space="preserve"> </w:t>
      </w:r>
      <w:r w:rsidRPr="00DA40E9">
        <w:rPr>
          <w:sz w:val="18"/>
          <w:szCs w:val="18"/>
        </w:rPr>
        <w:t>MRI is a non-invasive medical imaging procedure that uses strong magnetic fields and radio waves to produce detailed images of internal bodily structures.</w:t>
      </w:r>
      <w:r w:rsidRPr="00FE362C">
        <w:rPr>
          <w:sz w:val="18"/>
          <w:szCs w:val="18"/>
        </w:rPr>
        <w:t xml:space="preserve"> MRI machines used for diagnosis and treatment commonly have a magnetic field strength of 1.5T or 3T and the stronger magnet improves image quality allowing for visualization of anatomical features in greater detail. Higher field strength also requires less scanning time to produce high quality images.</w:t>
      </w:r>
    </w:p>
  </w:footnote>
  <w:footnote w:id="4">
    <w:p w14:paraId="1BDBE6EF" w14:textId="0985FC52" w:rsidR="00FB7558" w:rsidRPr="00FE362C" w:rsidRDefault="00FB7558" w:rsidP="00FB7558">
      <w:pPr>
        <w:pStyle w:val="FootnoteText"/>
        <w:rPr>
          <w:sz w:val="18"/>
          <w:szCs w:val="18"/>
        </w:rPr>
      </w:pPr>
      <w:r w:rsidRPr="00FE362C">
        <w:rPr>
          <w:rStyle w:val="FootnoteReference"/>
          <w:sz w:val="18"/>
          <w:szCs w:val="18"/>
        </w:rPr>
        <w:footnoteRef/>
      </w:r>
      <w:r w:rsidRPr="00FE362C">
        <w:rPr>
          <w:sz w:val="18"/>
          <w:szCs w:val="18"/>
        </w:rPr>
        <w:t xml:space="preserve"> PET provides images of bio-chemical metabolic activity in the body without the anatomical structural information that CT captures. CT provides 3D images with anatomic specificity of bones and tissues within the body. When overlaid, CT images aid in defining the precise location of any metabolic abnormality identified with PET. Both modalities have been in use for several decades. Performed simultaneously, the images provide </w:t>
      </w:r>
      <w:r w:rsidR="0056598A">
        <w:rPr>
          <w:sz w:val="18"/>
          <w:szCs w:val="18"/>
        </w:rPr>
        <w:t xml:space="preserve">a </w:t>
      </w:r>
      <w:r w:rsidRPr="00FE362C">
        <w:rPr>
          <w:sz w:val="18"/>
          <w:szCs w:val="18"/>
        </w:rPr>
        <w:t>more accurate picture since there are no changes in patient positioning that would occur if the patient had to undergo each type of scan separately at different times on different units.</w:t>
      </w:r>
    </w:p>
  </w:footnote>
  <w:footnote w:id="5">
    <w:p w14:paraId="6BA2C2CA" w14:textId="77777777" w:rsidR="00E72B07" w:rsidRPr="00744093" w:rsidRDefault="00E72B07" w:rsidP="00897353">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5E17A1E9" w14:textId="77777777" w:rsidR="00E72B07" w:rsidRPr="00CF2B67" w:rsidRDefault="00E72B07" w:rsidP="00897353">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6">
    <w:p w14:paraId="2CB0FDE1" w14:textId="4D15D06B"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roofErr w:type="gramStart"/>
      <w:r w:rsidRPr="00FF373C">
        <w:rPr>
          <w:sz w:val="18"/>
          <w:szCs w:val="18"/>
        </w:rPr>
        <w:t>…(</w:t>
      </w:r>
      <w:proofErr w:type="gramEnd"/>
      <w:r w:rsidRPr="00FF373C">
        <w:rPr>
          <w:sz w:val="18"/>
          <w:szCs w:val="18"/>
        </w:rPr>
        <w:t>2) If the Proposed Project is for a new facility and there is no existing patient panel, Patient Panel means the anticipated patients.</w:t>
      </w:r>
    </w:p>
  </w:footnote>
  <w:footnote w:id="7">
    <w:p w14:paraId="78ED2D8B" w14:textId="791A3AE3" w:rsidR="00E72B07" w:rsidRDefault="00E72B07">
      <w:pPr>
        <w:pStyle w:val="FootnoteText"/>
      </w:pPr>
      <w:r w:rsidRPr="00FF373C">
        <w:rPr>
          <w:rStyle w:val="FootnoteReference"/>
          <w:sz w:val="18"/>
          <w:szCs w:val="18"/>
        </w:rPr>
        <w:footnoteRef/>
      </w:r>
      <w:r w:rsidRPr="00FF373C">
        <w:rPr>
          <w:sz w:val="18"/>
          <w:szCs w:val="18"/>
        </w:rPr>
        <w:t xml:space="preserve"> The Applicant notes that combining Patient Panel data for Heywood Hospital and Athol Hospital would result in some patients being counted more than once.</w:t>
      </w:r>
      <w:r>
        <w:t xml:space="preserve"> </w:t>
      </w:r>
    </w:p>
  </w:footnote>
  <w:footnote w:id="8">
    <w:p w14:paraId="69A13E40" w14:textId="70BDC70F" w:rsidR="00EF2458" w:rsidRPr="00EF2458" w:rsidRDefault="00EF2458">
      <w:pPr>
        <w:pStyle w:val="FootnoteText"/>
        <w:rPr>
          <w:sz w:val="18"/>
          <w:szCs w:val="18"/>
        </w:rPr>
      </w:pPr>
      <w:r w:rsidRPr="00EF2458">
        <w:rPr>
          <w:rStyle w:val="FootnoteReference"/>
          <w:sz w:val="18"/>
          <w:szCs w:val="18"/>
        </w:rPr>
        <w:footnoteRef/>
      </w:r>
      <w:r w:rsidRPr="00EF2458">
        <w:rPr>
          <w:sz w:val="18"/>
          <w:szCs w:val="18"/>
        </w:rPr>
        <w:t xml:space="preserve"> Self-reported.</w:t>
      </w:r>
    </w:p>
  </w:footnote>
  <w:footnote w:id="9">
    <w:p w14:paraId="6E5DF7B4" w14:textId="77777777" w:rsidR="00E23B5C" w:rsidRPr="00744B8D" w:rsidRDefault="00E23B5C" w:rsidP="00E23B5C">
      <w:pPr>
        <w:pStyle w:val="FootnoteText"/>
        <w:rPr>
          <w:sz w:val="18"/>
          <w:szCs w:val="18"/>
        </w:rPr>
      </w:pPr>
      <w:r w:rsidRPr="00744B8D">
        <w:rPr>
          <w:rStyle w:val="FootnoteReference"/>
          <w:sz w:val="18"/>
          <w:szCs w:val="18"/>
        </w:rPr>
        <w:footnoteRef/>
      </w:r>
      <w:r w:rsidRPr="00744B8D">
        <w:rPr>
          <w:sz w:val="18"/>
          <w:szCs w:val="18"/>
        </w:rPr>
        <w:t xml:space="preserve"> Race/ethnicity categories for Athol Hospital include the following: Asian, Black, Caucasian, and All Other.</w:t>
      </w:r>
    </w:p>
  </w:footnote>
  <w:footnote w:id="10">
    <w:p w14:paraId="21EA2058" w14:textId="33626B79" w:rsidR="002B56B7" w:rsidRPr="002B56B7" w:rsidRDefault="002B56B7">
      <w:pPr>
        <w:pStyle w:val="FootnoteText"/>
        <w:rPr>
          <w:sz w:val="18"/>
          <w:szCs w:val="18"/>
        </w:rPr>
      </w:pPr>
      <w:r w:rsidRPr="002B56B7">
        <w:rPr>
          <w:rStyle w:val="FootnoteReference"/>
          <w:sz w:val="18"/>
          <w:szCs w:val="18"/>
        </w:rPr>
        <w:footnoteRef/>
      </w:r>
      <w:r w:rsidRPr="002B56B7">
        <w:rPr>
          <w:sz w:val="18"/>
          <w:szCs w:val="18"/>
        </w:rPr>
        <w:t xml:space="preserve"> Based on Zip Code Data</w:t>
      </w:r>
    </w:p>
  </w:footnote>
  <w:footnote w:id="11">
    <w:p w14:paraId="7A622989" w14:textId="77777777" w:rsidR="00F22CCA" w:rsidRDefault="00F22CCA" w:rsidP="00F22CCA">
      <w:pPr>
        <w:pStyle w:val="FootnoteText"/>
      </w:pPr>
      <w:r w:rsidRPr="00744B8D">
        <w:rPr>
          <w:rStyle w:val="FootnoteReference"/>
          <w:sz w:val="18"/>
          <w:szCs w:val="18"/>
        </w:rPr>
        <w:footnoteRef/>
      </w:r>
      <w:r w:rsidRPr="00744B8D">
        <w:rPr>
          <w:sz w:val="18"/>
          <w:szCs w:val="18"/>
        </w:rPr>
        <w:t xml:space="preserve"> All Other includes the following: Self-pay, Worker’s Compensation, and all other payer sources not already listed.</w:t>
      </w:r>
      <w:r>
        <w:t xml:space="preserve"> </w:t>
      </w:r>
    </w:p>
  </w:footnote>
  <w:footnote w:id="12">
    <w:p w14:paraId="679977B0" w14:textId="77777777" w:rsidR="00EC1BBA" w:rsidRPr="00FF373C" w:rsidRDefault="00EC1BBA" w:rsidP="00EC1BBA">
      <w:pPr>
        <w:pStyle w:val="FootnoteText"/>
        <w:rPr>
          <w:sz w:val="18"/>
          <w:szCs w:val="18"/>
        </w:rPr>
      </w:pPr>
      <w:r w:rsidRPr="00FF373C">
        <w:rPr>
          <w:rStyle w:val="FootnoteReference"/>
          <w:sz w:val="18"/>
          <w:szCs w:val="18"/>
        </w:rPr>
        <w:footnoteRef/>
      </w:r>
      <w:r w:rsidRPr="00FF373C">
        <w:rPr>
          <w:sz w:val="18"/>
          <w:szCs w:val="18"/>
        </w:rPr>
        <w:t xml:space="preserve"> For operational purposes, part-time imaging services equates to less than five days per week and/or less than 24 hours per day.  </w:t>
      </w:r>
    </w:p>
  </w:footnote>
  <w:footnote w:id="13">
    <w:p w14:paraId="4BB09E0C" w14:textId="1F0C631B" w:rsidR="00B021B1" w:rsidRPr="00445E2E" w:rsidRDefault="00B021B1">
      <w:pPr>
        <w:pStyle w:val="FootnoteText"/>
        <w:rPr>
          <w:sz w:val="18"/>
          <w:szCs w:val="18"/>
        </w:rPr>
      </w:pPr>
      <w:r w:rsidRPr="00445E2E">
        <w:rPr>
          <w:rStyle w:val="FootnoteReference"/>
          <w:sz w:val="18"/>
          <w:szCs w:val="18"/>
        </w:rPr>
        <w:footnoteRef/>
      </w:r>
      <w:r w:rsidRPr="00445E2E">
        <w:rPr>
          <w:sz w:val="18"/>
          <w:szCs w:val="18"/>
        </w:rPr>
        <w:t xml:space="preserve"> If additional days of service are determined to be needed, an amendment to a Notice of Determination of Need can be filed. </w:t>
      </w:r>
    </w:p>
  </w:footnote>
  <w:footnote w:id="14">
    <w:p w14:paraId="5FF1CEB7" w14:textId="77777777" w:rsidR="00E72B07" w:rsidRPr="00445E2E" w:rsidRDefault="00E72B07" w:rsidP="00174EF8">
      <w:pPr>
        <w:pStyle w:val="FootnoteText"/>
        <w:rPr>
          <w:sz w:val="18"/>
          <w:szCs w:val="18"/>
        </w:rPr>
      </w:pPr>
      <w:r w:rsidRPr="00445E2E">
        <w:rPr>
          <w:rStyle w:val="FootnoteReference"/>
          <w:sz w:val="18"/>
          <w:szCs w:val="18"/>
        </w:rPr>
        <w:footnoteRef/>
      </w:r>
      <w:r w:rsidRPr="00445E2E">
        <w:rPr>
          <w:sz w:val="18"/>
          <w:szCs w:val="18"/>
        </w:rPr>
        <w:t xml:space="preserve"> The Applicant notes the existing vendor is unable to provide patient data on </w:t>
      </w:r>
      <w:proofErr w:type="gramStart"/>
      <w:r w:rsidRPr="00445E2E">
        <w:rPr>
          <w:sz w:val="18"/>
          <w:szCs w:val="18"/>
        </w:rPr>
        <w:t>a unique bases</w:t>
      </w:r>
      <w:proofErr w:type="gramEnd"/>
      <w:r w:rsidRPr="00445E2E">
        <w:rPr>
          <w:sz w:val="18"/>
          <w:szCs w:val="18"/>
        </w:rPr>
        <w:t xml:space="preserve"> and therefore some of the data may include duplicate patients. </w:t>
      </w:r>
    </w:p>
  </w:footnote>
  <w:footnote w:id="15">
    <w:p w14:paraId="5A941AAB" w14:textId="1E838586" w:rsidR="00E72B07" w:rsidRPr="00445E2E" w:rsidRDefault="00E72B07" w:rsidP="00174EF8">
      <w:pPr>
        <w:pStyle w:val="FootnoteText"/>
        <w:rPr>
          <w:sz w:val="18"/>
          <w:szCs w:val="18"/>
        </w:rPr>
      </w:pPr>
      <w:r w:rsidRPr="00445E2E">
        <w:rPr>
          <w:rStyle w:val="FootnoteReference"/>
          <w:sz w:val="18"/>
          <w:szCs w:val="18"/>
        </w:rPr>
        <w:footnoteRef/>
      </w:r>
      <w:r w:rsidRPr="00445E2E">
        <w:rPr>
          <w:sz w:val="18"/>
          <w:szCs w:val="18"/>
        </w:rPr>
        <w:t xml:space="preserve"> The Applicant notes that the 2020 MRI scan volume decreased </w:t>
      </w:r>
      <w:proofErr w:type="gramStart"/>
      <w:r w:rsidRPr="00445E2E">
        <w:rPr>
          <w:sz w:val="18"/>
          <w:szCs w:val="18"/>
        </w:rPr>
        <w:t>as a result of</w:t>
      </w:r>
      <w:proofErr w:type="gramEnd"/>
      <w:r w:rsidRPr="00445E2E">
        <w:rPr>
          <w:sz w:val="18"/>
          <w:szCs w:val="18"/>
        </w:rPr>
        <w:t xml:space="preserve"> the COVID-19 pandemic. </w:t>
      </w:r>
    </w:p>
  </w:footnote>
  <w:footnote w:id="16">
    <w:p w14:paraId="54DDEBAE" w14:textId="09039248" w:rsidR="002F6868" w:rsidRPr="004246C7" w:rsidRDefault="002F6868">
      <w:pPr>
        <w:pStyle w:val="FootnoteText"/>
        <w:rPr>
          <w:sz w:val="18"/>
          <w:szCs w:val="18"/>
        </w:rPr>
      </w:pPr>
      <w:r w:rsidRPr="00445E2E">
        <w:rPr>
          <w:rStyle w:val="FootnoteReference"/>
          <w:sz w:val="18"/>
          <w:szCs w:val="18"/>
        </w:rPr>
        <w:footnoteRef/>
      </w:r>
      <w:r w:rsidRPr="00445E2E">
        <w:rPr>
          <w:sz w:val="18"/>
          <w:szCs w:val="18"/>
        </w:rPr>
        <w:t xml:space="preserve"> The most common areas of the body scanned for MRI patients include lumbar; brain; lower extremity joint; abdomen; upper extremity, other than joint; cervical; neck; pelvis; and lower extremity, other than joint. The most common areas of the body scanned for PET-CT patients include skull, whole body, and brain.</w:t>
      </w:r>
      <w:r w:rsidRPr="004246C7">
        <w:rPr>
          <w:sz w:val="18"/>
          <w:szCs w:val="18"/>
        </w:rPr>
        <w:t xml:space="preserve">  </w:t>
      </w:r>
    </w:p>
  </w:footnote>
  <w:footnote w:id="17">
    <w:p w14:paraId="7F87BCFE" w14:textId="098764F0"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Applicant states that the remaining patients are either from other cities and towns within Massachusetts or do not reside in the state. </w:t>
      </w:r>
    </w:p>
  </w:footnote>
  <w:footnote w:id="18">
    <w:p w14:paraId="7660C201" w14:textId="30F688DB"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Applicant notes that the existing vendor bills for PET-CT services and the Applicant does not have access to the payer mix data for PET-CT patients. </w:t>
      </w:r>
    </w:p>
  </w:footnote>
  <w:footnote w:id="19">
    <w:p w14:paraId="0C47D123" w14:textId="168244E5"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w:t>
      </w:r>
      <w:r w:rsidR="00590098">
        <w:rPr>
          <w:sz w:val="18"/>
          <w:szCs w:val="18"/>
        </w:rPr>
        <w:t>r</w:t>
      </w:r>
      <w:r w:rsidRPr="00FF373C">
        <w:rPr>
          <w:sz w:val="18"/>
          <w:szCs w:val="18"/>
        </w:rPr>
        <w:t>eport states that the Central Region includes 46 communities anchored by the city of Worcester, with secondary industrial/population centers, Leominster, and Fitchburg, to the north</w:t>
      </w:r>
      <w:r w:rsidR="00812D2D">
        <w:rPr>
          <w:sz w:val="18"/>
          <w:szCs w:val="18"/>
        </w:rPr>
        <w:t>.</w:t>
      </w:r>
    </w:p>
  </w:footnote>
  <w:footnote w:id="20">
    <w:p w14:paraId="013535DA" w14:textId="76745663" w:rsidR="007C4192" w:rsidRPr="00FF373C" w:rsidRDefault="00E72B07" w:rsidP="007C4192">
      <w:pPr>
        <w:pStyle w:val="FootnoteText"/>
        <w:rPr>
          <w:sz w:val="18"/>
          <w:szCs w:val="18"/>
        </w:rPr>
      </w:pPr>
      <w:r w:rsidRPr="00FF373C">
        <w:rPr>
          <w:rStyle w:val="FootnoteReference"/>
          <w:sz w:val="18"/>
          <w:szCs w:val="18"/>
        </w:rPr>
        <w:footnoteRef/>
      </w:r>
      <w:r w:rsidRPr="00FF373C">
        <w:rPr>
          <w:sz w:val="18"/>
          <w:szCs w:val="18"/>
        </w:rPr>
        <w:t xml:space="preserve"> MRI yearly changes: 4.3% (Y1-Y2), 2.8% (Y2-Y3), 4.1% (Y3-Y4), and 3.2% (Y4-Y5).</w:t>
      </w:r>
    </w:p>
    <w:p w14:paraId="58ED2DBA" w14:textId="5DDF0544" w:rsidR="00E72B07" w:rsidRDefault="00E72B07">
      <w:pPr>
        <w:pStyle w:val="FootnoteText"/>
      </w:pPr>
      <w:r w:rsidRPr="00FF373C">
        <w:rPr>
          <w:sz w:val="18"/>
          <w:szCs w:val="18"/>
        </w:rPr>
        <w:t xml:space="preserve"> PET-CT yearly changes: 12.2% (Y1-Y2), 11.6% (Y2-Y3), 12.2% (Y3-Y4),</w:t>
      </w:r>
      <w:r w:rsidR="004B7B9D">
        <w:rPr>
          <w:sz w:val="18"/>
          <w:szCs w:val="18"/>
        </w:rPr>
        <w:t xml:space="preserve"> </w:t>
      </w:r>
      <w:r w:rsidRPr="00FF373C">
        <w:rPr>
          <w:sz w:val="18"/>
          <w:szCs w:val="18"/>
        </w:rPr>
        <w:t>and 9.9% (Y4-Y5).</w:t>
      </w:r>
    </w:p>
  </w:footnote>
  <w:footnote w:id="21">
    <w:p w14:paraId="385CC10D" w14:textId="77777777" w:rsidR="00E72B07" w:rsidRPr="0010344C" w:rsidRDefault="00E72B07" w:rsidP="003E1CDA">
      <w:pPr>
        <w:pStyle w:val="FootnoteText"/>
        <w:rPr>
          <w:sz w:val="18"/>
          <w:szCs w:val="18"/>
        </w:rPr>
      </w:pPr>
      <w:r w:rsidRPr="0010344C">
        <w:rPr>
          <w:rStyle w:val="FootnoteReference"/>
          <w:sz w:val="18"/>
          <w:szCs w:val="18"/>
        </w:rPr>
        <w:footnoteRef/>
      </w:r>
      <w:r w:rsidRPr="0010344C">
        <w:rPr>
          <w:sz w:val="18"/>
          <w:szCs w:val="18"/>
        </w:rPr>
        <w:t xml:space="preserve"> Community Engagement Standards for Community Health Planning Guideline</w:t>
      </w:r>
    </w:p>
  </w:footnote>
  <w:footnote w:id="22">
    <w:p w14:paraId="5966E8BC" w14:textId="4E694F35" w:rsidR="00E72B07" w:rsidRPr="0010344C" w:rsidRDefault="00E72B07" w:rsidP="003E1CDA">
      <w:pPr>
        <w:pStyle w:val="FootnoteText"/>
        <w:rPr>
          <w:sz w:val="18"/>
          <w:szCs w:val="18"/>
        </w:rPr>
      </w:pPr>
      <w:r w:rsidRPr="0010344C">
        <w:rPr>
          <w:rStyle w:val="FootnoteReference"/>
          <w:sz w:val="18"/>
          <w:szCs w:val="18"/>
        </w:rPr>
        <w:footnoteRef/>
      </w:r>
      <w:r w:rsidRPr="0010344C">
        <w:rPr>
          <w:sz w:val="18"/>
          <w:szCs w:val="18"/>
        </w:rPr>
        <w:t xml:space="preserve"> </w:t>
      </w:r>
      <w:proofErr w:type="spellStart"/>
      <w:r w:rsidRPr="0010344C">
        <w:rPr>
          <w:sz w:val="18"/>
          <w:szCs w:val="18"/>
        </w:rPr>
        <w:t>DoN</w:t>
      </w:r>
      <w:proofErr w:type="spellEnd"/>
      <w:r w:rsidRPr="0010344C">
        <w:rPr>
          <w:sz w:val="18"/>
          <w:szCs w:val="18"/>
        </w:rPr>
        <w:t xml:space="preserve"> Regulation 100.210 (A)(1)(e). </w:t>
      </w:r>
      <w:hyperlink r:id="rId2" w:history="1">
        <w:r w:rsidR="00BA4700">
          <w:rPr>
            <w:rStyle w:val="Hyperlink"/>
            <w:sz w:val="18"/>
            <w:szCs w:val="18"/>
          </w:rPr>
          <w:t>Available at https://www.mass.gov/files/documents/2018/12/31/jud-lib-105cmr100.pdf</w:t>
        </w:r>
      </w:hyperlink>
      <w:r w:rsidRPr="0010344C">
        <w:rPr>
          <w:sz w:val="18"/>
          <w:szCs w:val="18"/>
        </w:rPr>
        <w:t xml:space="preserve"> </w:t>
      </w:r>
    </w:p>
  </w:footnote>
  <w:footnote w:id="23">
    <w:p w14:paraId="3DEC5730" w14:textId="1525E4EA" w:rsidR="00E72B07" w:rsidRDefault="00E72B07">
      <w:pPr>
        <w:pStyle w:val="FootnoteText"/>
      </w:pPr>
      <w:r w:rsidRPr="0010344C">
        <w:rPr>
          <w:rStyle w:val="FootnoteReference"/>
          <w:sz w:val="18"/>
          <w:szCs w:val="18"/>
        </w:rPr>
        <w:footnoteRef/>
      </w:r>
      <w:r w:rsidRPr="0010344C">
        <w:rPr>
          <w:sz w:val="18"/>
          <w:szCs w:val="18"/>
        </w:rPr>
        <w:t xml:space="preserve"> Heywood Healthcare has one combined PFAC for both Heywood and Athol Hospitals since the onset of the COVID-19 pandemic.</w:t>
      </w:r>
      <w:r>
        <w:t xml:space="preserve"> </w:t>
      </w:r>
    </w:p>
  </w:footnote>
  <w:footnote w:id="24">
    <w:p w14:paraId="57AE5F94" w14:textId="27834773" w:rsidR="00E72B07" w:rsidRPr="0010344C" w:rsidRDefault="00E72B07">
      <w:pPr>
        <w:pStyle w:val="FootnoteText"/>
        <w:rPr>
          <w:sz w:val="18"/>
          <w:szCs w:val="18"/>
        </w:rPr>
      </w:pPr>
      <w:r w:rsidRPr="0010344C">
        <w:rPr>
          <w:rStyle w:val="FootnoteReference"/>
          <w:sz w:val="18"/>
          <w:szCs w:val="18"/>
        </w:rPr>
        <w:footnoteRef/>
      </w:r>
      <w:r w:rsidRPr="0010344C">
        <w:rPr>
          <w:sz w:val="18"/>
          <w:szCs w:val="18"/>
        </w:rPr>
        <w:t xml:space="preserve"> An IDTF is a facility that is independent both of an attending or consulting physician’s office and of a hospital. </w:t>
      </w:r>
      <w:hyperlink r:id="rId3" w:history="1">
        <w:r w:rsidR="00211EE2">
          <w:rPr>
            <w:rStyle w:val="Hyperlink"/>
            <w:sz w:val="18"/>
            <w:szCs w:val="18"/>
          </w:rPr>
          <w:t>Available at https://www.cms.gov/Outreach-and-Education/Medicare-Learning-Network-MLN/MLNProducts/Downloads/ICN909060-IDTF-Fact-Sheet.pdf</w:t>
        </w:r>
      </w:hyperlink>
      <w:r w:rsidRPr="0010344C">
        <w:rPr>
          <w:sz w:val="18"/>
          <w:szCs w:val="18"/>
        </w:rPr>
        <w:t xml:space="preserve"> </w:t>
      </w:r>
    </w:p>
  </w:footnote>
  <w:footnote w:id="25">
    <w:p w14:paraId="2952505D" w14:textId="0FB24187"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Heywood Hospital does not participate in </w:t>
      </w:r>
      <w:r w:rsidR="00F51013">
        <w:rPr>
          <w:sz w:val="18"/>
          <w:szCs w:val="18"/>
        </w:rPr>
        <w:t>alternative payment method (</w:t>
      </w:r>
      <w:r w:rsidRPr="00FF373C">
        <w:rPr>
          <w:sz w:val="18"/>
          <w:szCs w:val="18"/>
        </w:rPr>
        <w:t>APM</w:t>
      </w:r>
      <w:r w:rsidR="00F51013">
        <w:rPr>
          <w:sz w:val="18"/>
          <w:szCs w:val="18"/>
        </w:rPr>
        <w:t>)</w:t>
      </w:r>
      <w:r w:rsidRPr="00FF373C">
        <w:rPr>
          <w:sz w:val="18"/>
          <w:szCs w:val="18"/>
        </w:rPr>
        <w:t xml:space="preserve"> contracts. </w:t>
      </w:r>
    </w:p>
  </w:footnote>
  <w:footnote w:id="26">
    <w:p w14:paraId="441341AB" w14:textId="38D5D71A" w:rsidR="00E72B07" w:rsidRPr="00FF373C" w:rsidRDefault="00E72B07">
      <w:pPr>
        <w:pStyle w:val="FootnoteText"/>
        <w:rPr>
          <w:sz w:val="18"/>
          <w:szCs w:val="18"/>
        </w:rPr>
      </w:pPr>
      <w:r w:rsidRPr="00FF373C">
        <w:rPr>
          <w:rStyle w:val="FootnoteReference"/>
          <w:sz w:val="18"/>
          <w:szCs w:val="18"/>
        </w:rPr>
        <w:footnoteRef/>
      </w:r>
      <w:r w:rsidRPr="00FF373C">
        <w:rPr>
          <w:sz w:val="18"/>
          <w:szCs w:val="18"/>
        </w:rPr>
        <w:t xml:space="preserve"> The CPA states Shields noted that while contractual rate increases from their payers are possible, they are not guaranteed.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CD9"/>
    <w:multiLevelType w:val="hybridMultilevel"/>
    <w:tmpl w:val="525891F0"/>
    <w:lvl w:ilvl="0" w:tplc="4024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14DF1"/>
    <w:multiLevelType w:val="hybridMultilevel"/>
    <w:tmpl w:val="B5203286"/>
    <w:lvl w:ilvl="0" w:tplc="04090001">
      <w:start w:val="1"/>
      <w:numFmt w:val="bullet"/>
      <w:lvlText w:val=""/>
      <w:lvlJc w:val="left"/>
      <w:pPr>
        <w:ind w:left="720" w:hanging="360"/>
      </w:pPr>
      <w:rPr>
        <w:rFonts w:ascii="Symbol" w:hAnsi="Symbol" w:hint="default"/>
      </w:rPr>
    </w:lvl>
    <w:lvl w:ilvl="1" w:tplc="A5E8603E">
      <w:numFmt w:val="bullet"/>
      <w:lvlText w:val="•"/>
      <w:lvlJc w:val="left"/>
      <w:pPr>
        <w:ind w:left="1800" w:hanging="720"/>
      </w:pPr>
      <w:rPr>
        <w:rFonts w:ascii="Garamond" w:eastAsiaTheme="minorHAns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2B75"/>
    <w:multiLevelType w:val="hybridMultilevel"/>
    <w:tmpl w:val="52AA9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02D0"/>
    <w:multiLevelType w:val="hybridMultilevel"/>
    <w:tmpl w:val="1D2C7E06"/>
    <w:lvl w:ilvl="0" w:tplc="DF66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832"/>
    <w:multiLevelType w:val="hybridMultilevel"/>
    <w:tmpl w:val="96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3433"/>
    <w:multiLevelType w:val="hybridMultilevel"/>
    <w:tmpl w:val="130274F8"/>
    <w:lvl w:ilvl="0" w:tplc="C38C7E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149C5"/>
    <w:multiLevelType w:val="hybridMultilevel"/>
    <w:tmpl w:val="7BD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0C48"/>
    <w:multiLevelType w:val="hybridMultilevel"/>
    <w:tmpl w:val="B09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93A15"/>
    <w:multiLevelType w:val="hybridMultilevel"/>
    <w:tmpl w:val="49968FB6"/>
    <w:lvl w:ilvl="0" w:tplc="7A00C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C5354"/>
    <w:multiLevelType w:val="hybridMultilevel"/>
    <w:tmpl w:val="E99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F2D9B"/>
    <w:multiLevelType w:val="hybridMultilevel"/>
    <w:tmpl w:val="7F124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63EB0"/>
    <w:multiLevelType w:val="hybridMultilevel"/>
    <w:tmpl w:val="ECC0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11F77"/>
    <w:multiLevelType w:val="hybridMultilevel"/>
    <w:tmpl w:val="8ED27E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370D5"/>
    <w:multiLevelType w:val="hybridMultilevel"/>
    <w:tmpl w:val="D4AED148"/>
    <w:lvl w:ilvl="0" w:tplc="67E67F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42D4C"/>
    <w:multiLevelType w:val="hybridMultilevel"/>
    <w:tmpl w:val="E9EA583C"/>
    <w:lvl w:ilvl="0" w:tplc="AEF8E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A3542"/>
    <w:multiLevelType w:val="hybridMultilevel"/>
    <w:tmpl w:val="6EAA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20D43"/>
    <w:multiLevelType w:val="hybridMultilevel"/>
    <w:tmpl w:val="FD80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E2468"/>
    <w:multiLevelType w:val="hybridMultilevel"/>
    <w:tmpl w:val="0D96B3F6"/>
    <w:lvl w:ilvl="0" w:tplc="04090001">
      <w:start w:val="1"/>
      <w:numFmt w:val="bullet"/>
      <w:lvlText w:val=""/>
      <w:lvlJc w:val="left"/>
      <w:pPr>
        <w:ind w:left="950" w:hanging="360"/>
      </w:pPr>
      <w:rPr>
        <w:rFonts w:ascii="Symbol" w:hAnsi="Symbol" w:hint="default"/>
      </w:rPr>
    </w:lvl>
    <w:lvl w:ilvl="1" w:tplc="04090003">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8" w15:restartNumberingAfterBreak="0">
    <w:nsid w:val="46D655D0"/>
    <w:multiLevelType w:val="hybridMultilevel"/>
    <w:tmpl w:val="4D9E1990"/>
    <w:lvl w:ilvl="0" w:tplc="21B0C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8205A"/>
    <w:multiLevelType w:val="hybridMultilevel"/>
    <w:tmpl w:val="66425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0213"/>
    <w:multiLevelType w:val="hybridMultilevel"/>
    <w:tmpl w:val="8BA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6D5"/>
    <w:multiLevelType w:val="hybridMultilevel"/>
    <w:tmpl w:val="79BA48D0"/>
    <w:lvl w:ilvl="0" w:tplc="EBDCD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F1C20"/>
    <w:multiLevelType w:val="hybridMultilevel"/>
    <w:tmpl w:val="9CBA0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6196E"/>
    <w:multiLevelType w:val="hybridMultilevel"/>
    <w:tmpl w:val="90A8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A65CC"/>
    <w:multiLevelType w:val="hybridMultilevel"/>
    <w:tmpl w:val="AADE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12C32"/>
    <w:multiLevelType w:val="hybridMultilevel"/>
    <w:tmpl w:val="87D222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55B60185"/>
    <w:multiLevelType w:val="hybridMultilevel"/>
    <w:tmpl w:val="3F4E01B8"/>
    <w:lvl w:ilvl="0" w:tplc="5F081A8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56E61"/>
    <w:multiLevelType w:val="hybridMultilevel"/>
    <w:tmpl w:val="58B222C6"/>
    <w:lvl w:ilvl="0" w:tplc="98D47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3264BE"/>
    <w:multiLevelType w:val="hybridMultilevel"/>
    <w:tmpl w:val="245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75A0D"/>
    <w:multiLevelType w:val="hybridMultilevel"/>
    <w:tmpl w:val="D246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1B37"/>
    <w:multiLevelType w:val="hybridMultilevel"/>
    <w:tmpl w:val="7170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558E3"/>
    <w:multiLevelType w:val="hybridMultilevel"/>
    <w:tmpl w:val="9B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96371"/>
    <w:multiLevelType w:val="hybridMultilevel"/>
    <w:tmpl w:val="261E90EE"/>
    <w:lvl w:ilvl="0" w:tplc="D2BC3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D6749"/>
    <w:multiLevelType w:val="hybridMultilevel"/>
    <w:tmpl w:val="3D3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3"/>
  </w:num>
  <w:num w:numId="4">
    <w:abstractNumId w:val="35"/>
  </w:num>
  <w:num w:numId="5">
    <w:abstractNumId w:val="22"/>
  </w:num>
  <w:num w:numId="6">
    <w:abstractNumId w:val="3"/>
  </w:num>
  <w:num w:numId="7">
    <w:abstractNumId w:val="14"/>
  </w:num>
  <w:num w:numId="8">
    <w:abstractNumId w:val="34"/>
  </w:num>
  <w:num w:numId="9">
    <w:abstractNumId w:val="8"/>
  </w:num>
  <w:num w:numId="10">
    <w:abstractNumId w:val="20"/>
  </w:num>
  <w:num w:numId="11">
    <w:abstractNumId w:val="31"/>
  </w:num>
  <w:num w:numId="12">
    <w:abstractNumId w:val="23"/>
  </w:num>
  <w:num w:numId="13">
    <w:abstractNumId w:val="4"/>
  </w:num>
  <w:num w:numId="14">
    <w:abstractNumId w:val="15"/>
  </w:num>
  <w:num w:numId="15">
    <w:abstractNumId w:val="29"/>
  </w:num>
  <w:num w:numId="16">
    <w:abstractNumId w:val="7"/>
  </w:num>
  <w:num w:numId="17">
    <w:abstractNumId w:val="2"/>
  </w:num>
  <w:num w:numId="18">
    <w:abstractNumId w:val="13"/>
  </w:num>
  <w:num w:numId="19">
    <w:abstractNumId w:val="9"/>
  </w:num>
  <w:num w:numId="20">
    <w:abstractNumId w:val="0"/>
  </w:num>
  <w:num w:numId="21">
    <w:abstractNumId w:val="11"/>
  </w:num>
  <w:num w:numId="22">
    <w:abstractNumId w:val="16"/>
  </w:num>
  <w:num w:numId="23">
    <w:abstractNumId w:val="19"/>
  </w:num>
  <w:num w:numId="24">
    <w:abstractNumId w:val="18"/>
  </w:num>
  <w:num w:numId="25">
    <w:abstractNumId w:val="5"/>
  </w:num>
  <w:num w:numId="26">
    <w:abstractNumId w:val="17"/>
  </w:num>
  <w:num w:numId="27">
    <w:abstractNumId w:val="1"/>
  </w:num>
  <w:num w:numId="28">
    <w:abstractNumId w:val="10"/>
  </w:num>
  <w:num w:numId="29">
    <w:abstractNumId w:val="24"/>
  </w:num>
  <w:num w:numId="30">
    <w:abstractNumId w:val="25"/>
  </w:num>
  <w:num w:numId="31">
    <w:abstractNumId w:val="21"/>
  </w:num>
  <w:num w:numId="32">
    <w:abstractNumId w:val="32"/>
  </w:num>
  <w:num w:numId="33">
    <w:abstractNumId w:val="28"/>
  </w:num>
  <w:num w:numId="34">
    <w:abstractNumId w:val="30"/>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71"/>
    <w:rsid w:val="00004B2A"/>
    <w:rsid w:val="00005B62"/>
    <w:rsid w:val="0001384C"/>
    <w:rsid w:val="00013859"/>
    <w:rsid w:val="00016549"/>
    <w:rsid w:val="00017030"/>
    <w:rsid w:val="000208BF"/>
    <w:rsid w:val="00024F01"/>
    <w:rsid w:val="00032EB5"/>
    <w:rsid w:val="0003581F"/>
    <w:rsid w:val="00035D73"/>
    <w:rsid w:val="00036D6D"/>
    <w:rsid w:val="00040062"/>
    <w:rsid w:val="00040ED6"/>
    <w:rsid w:val="00041F66"/>
    <w:rsid w:val="00043B29"/>
    <w:rsid w:val="000454D6"/>
    <w:rsid w:val="00046C7B"/>
    <w:rsid w:val="00047478"/>
    <w:rsid w:val="00047513"/>
    <w:rsid w:val="00050A3A"/>
    <w:rsid w:val="0005623C"/>
    <w:rsid w:val="00057674"/>
    <w:rsid w:val="00060059"/>
    <w:rsid w:val="00062574"/>
    <w:rsid w:val="00062CF8"/>
    <w:rsid w:val="00063C7E"/>
    <w:rsid w:val="000641F1"/>
    <w:rsid w:val="0006601B"/>
    <w:rsid w:val="00066246"/>
    <w:rsid w:val="00066973"/>
    <w:rsid w:val="00067961"/>
    <w:rsid w:val="00071489"/>
    <w:rsid w:val="00071A17"/>
    <w:rsid w:val="00076C81"/>
    <w:rsid w:val="00076FBC"/>
    <w:rsid w:val="000775A2"/>
    <w:rsid w:val="00082F3B"/>
    <w:rsid w:val="000831D8"/>
    <w:rsid w:val="0008371D"/>
    <w:rsid w:val="000844BC"/>
    <w:rsid w:val="00084C68"/>
    <w:rsid w:val="0009066A"/>
    <w:rsid w:val="00091809"/>
    <w:rsid w:val="00093059"/>
    <w:rsid w:val="000968AB"/>
    <w:rsid w:val="00096E2C"/>
    <w:rsid w:val="00097C15"/>
    <w:rsid w:val="00097CC1"/>
    <w:rsid w:val="000A1340"/>
    <w:rsid w:val="000A1F97"/>
    <w:rsid w:val="000A2D3C"/>
    <w:rsid w:val="000A5D24"/>
    <w:rsid w:val="000A5D87"/>
    <w:rsid w:val="000B0D1A"/>
    <w:rsid w:val="000B0DC7"/>
    <w:rsid w:val="000B3D50"/>
    <w:rsid w:val="000B446D"/>
    <w:rsid w:val="000B5D27"/>
    <w:rsid w:val="000B791A"/>
    <w:rsid w:val="000C0647"/>
    <w:rsid w:val="000C5F22"/>
    <w:rsid w:val="000C7140"/>
    <w:rsid w:val="000D48AA"/>
    <w:rsid w:val="000D6FDB"/>
    <w:rsid w:val="000D7FC6"/>
    <w:rsid w:val="000E1528"/>
    <w:rsid w:val="000E495C"/>
    <w:rsid w:val="000E69B0"/>
    <w:rsid w:val="000E7D1B"/>
    <w:rsid w:val="000E7E02"/>
    <w:rsid w:val="000F0F70"/>
    <w:rsid w:val="000F1918"/>
    <w:rsid w:val="000F2F0C"/>
    <w:rsid w:val="000F2FAC"/>
    <w:rsid w:val="000F7F55"/>
    <w:rsid w:val="001002AD"/>
    <w:rsid w:val="00101782"/>
    <w:rsid w:val="0010344C"/>
    <w:rsid w:val="001055DE"/>
    <w:rsid w:val="00106026"/>
    <w:rsid w:val="00107369"/>
    <w:rsid w:val="00107BAD"/>
    <w:rsid w:val="00112412"/>
    <w:rsid w:val="001145F8"/>
    <w:rsid w:val="00116498"/>
    <w:rsid w:val="001227A4"/>
    <w:rsid w:val="00122EBD"/>
    <w:rsid w:val="00126522"/>
    <w:rsid w:val="001313C9"/>
    <w:rsid w:val="00133DDE"/>
    <w:rsid w:val="00134B27"/>
    <w:rsid w:val="00134B3A"/>
    <w:rsid w:val="00135033"/>
    <w:rsid w:val="00137187"/>
    <w:rsid w:val="001410DD"/>
    <w:rsid w:val="0014259F"/>
    <w:rsid w:val="0014785D"/>
    <w:rsid w:val="00151371"/>
    <w:rsid w:val="001529E2"/>
    <w:rsid w:val="0015395D"/>
    <w:rsid w:val="00153A6B"/>
    <w:rsid w:val="00153C36"/>
    <w:rsid w:val="00155EAA"/>
    <w:rsid w:val="0016069D"/>
    <w:rsid w:val="00160AB0"/>
    <w:rsid w:val="001658C1"/>
    <w:rsid w:val="0017011D"/>
    <w:rsid w:val="001703BC"/>
    <w:rsid w:val="00171435"/>
    <w:rsid w:val="0017200E"/>
    <w:rsid w:val="00172591"/>
    <w:rsid w:val="00174EF8"/>
    <w:rsid w:val="001752D9"/>
    <w:rsid w:val="00175C8A"/>
    <w:rsid w:val="0017637D"/>
    <w:rsid w:val="00181C32"/>
    <w:rsid w:val="001834EC"/>
    <w:rsid w:val="00186F0C"/>
    <w:rsid w:val="00187D11"/>
    <w:rsid w:val="00187FC0"/>
    <w:rsid w:val="001901E8"/>
    <w:rsid w:val="00193129"/>
    <w:rsid w:val="00193EB0"/>
    <w:rsid w:val="001947F1"/>
    <w:rsid w:val="00194AA3"/>
    <w:rsid w:val="00196030"/>
    <w:rsid w:val="001972BF"/>
    <w:rsid w:val="001977EC"/>
    <w:rsid w:val="00197B3E"/>
    <w:rsid w:val="001A57D6"/>
    <w:rsid w:val="001A6E48"/>
    <w:rsid w:val="001A6EB3"/>
    <w:rsid w:val="001A6FED"/>
    <w:rsid w:val="001B71E8"/>
    <w:rsid w:val="001C02C6"/>
    <w:rsid w:val="001C0A38"/>
    <w:rsid w:val="001C0C4E"/>
    <w:rsid w:val="001C2816"/>
    <w:rsid w:val="001C6CAB"/>
    <w:rsid w:val="001D0BE3"/>
    <w:rsid w:val="001D1C8A"/>
    <w:rsid w:val="001D47E9"/>
    <w:rsid w:val="001E0EFD"/>
    <w:rsid w:val="001E2279"/>
    <w:rsid w:val="001E28BB"/>
    <w:rsid w:val="001E525E"/>
    <w:rsid w:val="001E54B3"/>
    <w:rsid w:val="001F16DE"/>
    <w:rsid w:val="001F18E2"/>
    <w:rsid w:val="001F213D"/>
    <w:rsid w:val="00200E14"/>
    <w:rsid w:val="00211EE2"/>
    <w:rsid w:val="00211F53"/>
    <w:rsid w:val="0021249E"/>
    <w:rsid w:val="00214CC9"/>
    <w:rsid w:val="002170DF"/>
    <w:rsid w:val="002201DF"/>
    <w:rsid w:val="00220821"/>
    <w:rsid w:val="00220BCB"/>
    <w:rsid w:val="002223E8"/>
    <w:rsid w:val="002237F0"/>
    <w:rsid w:val="00224EE0"/>
    <w:rsid w:val="00225E37"/>
    <w:rsid w:val="00227182"/>
    <w:rsid w:val="002327CA"/>
    <w:rsid w:val="002355BC"/>
    <w:rsid w:val="00237F02"/>
    <w:rsid w:val="002400EB"/>
    <w:rsid w:val="0024256A"/>
    <w:rsid w:val="00243E4A"/>
    <w:rsid w:val="002442B8"/>
    <w:rsid w:val="00244CC8"/>
    <w:rsid w:val="002475FD"/>
    <w:rsid w:val="00250142"/>
    <w:rsid w:val="00250BAA"/>
    <w:rsid w:val="0025118B"/>
    <w:rsid w:val="00252886"/>
    <w:rsid w:val="00254A3F"/>
    <w:rsid w:val="002610FF"/>
    <w:rsid w:val="00261234"/>
    <w:rsid w:val="00264FB7"/>
    <w:rsid w:val="00265584"/>
    <w:rsid w:val="0026575E"/>
    <w:rsid w:val="00265CE4"/>
    <w:rsid w:val="00271905"/>
    <w:rsid w:val="0027605B"/>
    <w:rsid w:val="00276466"/>
    <w:rsid w:val="00277797"/>
    <w:rsid w:val="00281A92"/>
    <w:rsid w:val="00281F95"/>
    <w:rsid w:val="00283F07"/>
    <w:rsid w:val="00287B15"/>
    <w:rsid w:val="00290BA5"/>
    <w:rsid w:val="00293A73"/>
    <w:rsid w:val="00294C50"/>
    <w:rsid w:val="0029502B"/>
    <w:rsid w:val="00296C0D"/>
    <w:rsid w:val="002A09FF"/>
    <w:rsid w:val="002A23BC"/>
    <w:rsid w:val="002A27AA"/>
    <w:rsid w:val="002A3EBC"/>
    <w:rsid w:val="002A61F4"/>
    <w:rsid w:val="002B00C6"/>
    <w:rsid w:val="002B1086"/>
    <w:rsid w:val="002B32FB"/>
    <w:rsid w:val="002B46FA"/>
    <w:rsid w:val="002B56B7"/>
    <w:rsid w:val="002C1914"/>
    <w:rsid w:val="002C262F"/>
    <w:rsid w:val="002C29FF"/>
    <w:rsid w:val="002C37FC"/>
    <w:rsid w:val="002C3BAF"/>
    <w:rsid w:val="002C5E1E"/>
    <w:rsid w:val="002C6F5E"/>
    <w:rsid w:val="002C71E7"/>
    <w:rsid w:val="002C76D7"/>
    <w:rsid w:val="002D4138"/>
    <w:rsid w:val="002D66E1"/>
    <w:rsid w:val="002D6E33"/>
    <w:rsid w:val="002D7438"/>
    <w:rsid w:val="002D7BB9"/>
    <w:rsid w:val="002E39EF"/>
    <w:rsid w:val="002E6C77"/>
    <w:rsid w:val="002F055F"/>
    <w:rsid w:val="002F2DF7"/>
    <w:rsid w:val="002F2E5C"/>
    <w:rsid w:val="002F6868"/>
    <w:rsid w:val="002F7433"/>
    <w:rsid w:val="002F7BF7"/>
    <w:rsid w:val="00300AEA"/>
    <w:rsid w:val="003024EC"/>
    <w:rsid w:val="00302591"/>
    <w:rsid w:val="00304DFB"/>
    <w:rsid w:val="003061C6"/>
    <w:rsid w:val="00307C51"/>
    <w:rsid w:val="00314617"/>
    <w:rsid w:val="003211FA"/>
    <w:rsid w:val="00326202"/>
    <w:rsid w:val="00336007"/>
    <w:rsid w:val="00337B85"/>
    <w:rsid w:val="003401AF"/>
    <w:rsid w:val="0034154F"/>
    <w:rsid w:val="00341818"/>
    <w:rsid w:val="003418A2"/>
    <w:rsid w:val="003457FF"/>
    <w:rsid w:val="00346488"/>
    <w:rsid w:val="00347796"/>
    <w:rsid w:val="00350632"/>
    <w:rsid w:val="0035170A"/>
    <w:rsid w:val="003520D5"/>
    <w:rsid w:val="003532C7"/>
    <w:rsid w:val="003533B7"/>
    <w:rsid w:val="00357899"/>
    <w:rsid w:val="00361814"/>
    <w:rsid w:val="00362B39"/>
    <w:rsid w:val="00362FB6"/>
    <w:rsid w:val="003634E3"/>
    <w:rsid w:val="00365A1F"/>
    <w:rsid w:val="00373F67"/>
    <w:rsid w:val="00374033"/>
    <w:rsid w:val="003742DC"/>
    <w:rsid w:val="00383FA5"/>
    <w:rsid w:val="003860B2"/>
    <w:rsid w:val="00387906"/>
    <w:rsid w:val="00391503"/>
    <w:rsid w:val="0039177C"/>
    <w:rsid w:val="003923F3"/>
    <w:rsid w:val="00392BCA"/>
    <w:rsid w:val="0039302C"/>
    <w:rsid w:val="00394182"/>
    <w:rsid w:val="0039705E"/>
    <w:rsid w:val="003A0277"/>
    <w:rsid w:val="003A18FD"/>
    <w:rsid w:val="003A360B"/>
    <w:rsid w:val="003A5CBA"/>
    <w:rsid w:val="003A78FE"/>
    <w:rsid w:val="003B118F"/>
    <w:rsid w:val="003B14E2"/>
    <w:rsid w:val="003B3F46"/>
    <w:rsid w:val="003B48BB"/>
    <w:rsid w:val="003B521C"/>
    <w:rsid w:val="003C243E"/>
    <w:rsid w:val="003C337C"/>
    <w:rsid w:val="003C5D3C"/>
    <w:rsid w:val="003E1CDA"/>
    <w:rsid w:val="003E2A91"/>
    <w:rsid w:val="003E494B"/>
    <w:rsid w:val="003E6023"/>
    <w:rsid w:val="003E7F00"/>
    <w:rsid w:val="003F2E8C"/>
    <w:rsid w:val="003F71DF"/>
    <w:rsid w:val="004045FB"/>
    <w:rsid w:val="00405707"/>
    <w:rsid w:val="00405DC3"/>
    <w:rsid w:val="00407C83"/>
    <w:rsid w:val="004112A7"/>
    <w:rsid w:val="0041216B"/>
    <w:rsid w:val="00412B53"/>
    <w:rsid w:val="00412FEB"/>
    <w:rsid w:val="00417174"/>
    <w:rsid w:val="00421B65"/>
    <w:rsid w:val="00422911"/>
    <w:rsid w:val="004246C7"/>
    <w:rsid w:val="00426563"/>
    <w:rsid w:val="00426D34"/>
    <w:rsid w:val="0042725F"/>
    <w:rsid w:val="0042733A"/>
    <w:rsid w:val="00432F15"/>
    <w:rsid w:val="00435061"/>
    <w:rsid w:val="00437C8D"/>
    <w:rsid w:val="00437CE8"/>
    <w:rsid w:val="004410D3"/>
    <w:rsid w:val="0044144C"/>
    <w:rsid w:val="00445E2E"/>
    <w:rsid w:val="0044784C"/>
    <w:rsid w:val="00450274"/>
    <w:rsid w:val="0045158C"/>
    <w:rsid w:val="00451BFD"/>
    <w:rsid w:val="00451CBB"/>
    <w:rsid w:val="004522F1"/>
    <w:rsid w:val="00452D33"/>
    <w:rsid w:val="00461DC3"/>
    <w:rsid w:val="00463188"/>
    <w:rsid w:val="00464A47"/>
    <w:rsid w:val="00466934"/>
    <w:rsid w:val="00466A89"/>
    <w:rsid w:val="00467374"/>
    <w:rsid w:val="00473189"/>
    <w:rsid w:val="004802A7"/>
    <w:rsid w:val="004900E3"/>
    <w:rsid w:val="004901EF"/>
    <w:rsid w:val="00490B5C"/>
    <w:rsid w:val="00491664"/>
    <w:rsid w:val="00491F29"/>
    <w:rsid w:val="0049259A"/>
    <w:rsid w:val="00495712"/>
    <w:rsid w:val="00495872"/>
    <w:rsid w:val="0049665E"/>
    <w:rsid w:val="004A08B0"/>
    <w:rsid w:val="004A2A08"/>
    <w:rsid w:val="004A3035"/>
    <w:rsid w:val="004A4242"/>
    <w:rsid w:val="004A4488"/>
    <w:rsid w:val="004A461A"/>
    <w:rsid w:val="004A7F8D"/>
    <w:rsid w:val="004B01AC"/>
    <w:rsid w:val="004B0781"/>
    <w:rsid w:val="004B12B4"/>
    <w:rsid w:val="004B2E16"/>
    <w:rsid w:val="004B4BAE"/>
    <w:rsid w:val="004B7B9D"/>
    <w:rsid w:val="004C288C"/>
    <w:rsid w:val="004C2EF5"/>
    <w:rsid w:val="004C3BEA"/>
    <w:rsid w:val="004C6B15"/>
    <w:rsid w:val="004D1182"/>
    <w:rsid w:val="004D197B"/>
    <w:rsid w:val="004D441C"/>
    <w:rsid w:val="004E019C"/>
    <w:rsid w:val="004E0BC3"/>
    <w:rsid w:val="004E1741"/>
    <w:rsid w:val="004E18D0"/>
    <w:rsid w:val="004E1A62"/>
    <w:rsid w:val="004E5357"/>
    <w:rsid w:val="004E656E"/>
    <w:rsid w:val="004E6BEB"/>
    <w:rsid w:val="004E7701"/>
    <w:rsid w:val="004F023E"/>
    <w:rsid w:val="00500AE2"/>
    <w:rsid w:val="0050158A"/>
    <w:rsid w:val="00502F83"/>
    <w:rsid w:val="00503C10"/>
    <w:rsid w:val="005044E5"/>
    <w:rsid w:val="005053C8"/>
    <w:rsid w:val="00506F69"/>
    <w:rsid w:val="00512A41"/>
    <w:rsid w:val="00512AA2"/>
    <w:rsid w:val="00513147"/>
    <w:rsid w:val="00513316"/>
    <w:rsid w:val="005173A4"/>
    <w:rsid w:val="00517BD3"/>
    <w:rsid w:val="0052171F"/>
    <w:rsid w:val="00521D6E"/>
    <w:rsid w:val="00522FAD"/>
    <w:rsid w:val="0052365A"/>
    <w:rsid w:val="00523D7F"/>
    <w:rsid w:val="00525B4D"/>
    <w:rsid w:val="005269BB"/>
    <w:rsid w:val="005309E7"/>
    <w:rsid w:val="00531C83"/>
    <w:rsid w:val="00533A88"/>
    <w:rsid w:val="00535637"/>
    <w:rsid w:val="00536EB4"/>
    <w:rsid w:val="00537EB4"/>
    <w:rsid w:val="005433EF"/>
    <w:rsid w:val="0054392F"/>
    <w:rsid w:val="005454EA"/>
    <w:rsid w:val="00550671"/>
    <w:rsid w:val="00552255"/>
    <w:rsid w:val="00553725"/>
    <w:rsid w:val="005549A2"/>
    <w:rsid w:val="005557F2"/>
    <w:rsid w:val="00557634"/>
    <w:rsid w:val="00561278"/>
    <w:rsid w:val="00563AE0"/>
    <w:rsid w:val="00563B11"/>
    <w:rsid w:val="0056543C"/>
    <w:rsid w:val="0056598A"/>
    <w:rsid w:val="005749AC"/>
    <w:rsid w:val="0057791C"/>
    <w:rsid w:val="00577D2F"/>
    <w:rsid w:val="00580AAE"/>
    <w:rsid w:val="00582059"/>
    <w:rsid w:val="005848E1"/>
    <w:rsid w:val="005861EA"/>
    <w:rsid w:val="00590098"/>
    <w:rsid w:val="005907FF"/>
    <w:rsid w:val="00593179"/>
    <w:rsid w:val="00594625"/>
    <w:rsid w:val="0059582B"/>
    <w:rsid w:val="005960A2"/>
    <w:rsid w:val="0059690C"/>
    <w:rsid w:val="00596951"/>
    <w:rsid w:val="00596CD0"/>
    <w:rsid w:val="00596F3C"/>
    <w:rsid w:val="005A0DB5"/>
    <w:rsid w:val="005A1F59"/>
    <w:rsid w:val="005A3D08"/>
    <w:rsid w:val="005A3E90"/>
    <w:rsid w:val="005A4234"/>
    <w:rsid w:val="005A4450"/>
    <w:rsid w:val="005B17FA"/>
    <w:rsid w:val="005B48BE"/>
    <w:rsid w:val="005B4A09"/>
    <w:rsid w:val="005B732C"/>
    <w:rsid w:val="005C0498"/>
    <w:rsid w:val="005C2EAF"/>
    <w:rsid w:val="005C3EED"/>
    <w:rsid w:val="005C4EF5"/>
    <w:rsid w:val="005C78ED"/>
    <w:rsid w:val="005C7EE8"/>
    <w:rsid w:val="005D41B7"/>
    <w:rsid w:val="005D6CD8"/>
    <w:rsid w:val="005E0292"/>
    <w:rsid w:val="005E20BB"/>
    <w:rsid w:val="005E7005"/>
    <w:rsid w:val="005F2DE7"/>
    <w:rsid w:val="005F446C"/>
    <w:rsid w:val="005F4A9E"/>
    <w:rsid w:val="005F4B9F"/>
    <w:rsid w:val="005F62A7"/>
    <w:rsid w:val="0060059D"/>
    <w:rsid w:val="00600AA5"/>
    <w:rsid w:val="006035B6"/>
    <w:rsid w:val="00604330"/>
    <w:rsid w:val="0060524B"/>
    <w:rsid w:val="00607025"/>
    <w:rsid w:val="0060761E"/>
    <w:rsid w:val="00610EBD"/>
    <w:rsid w:val="006117AA"/>
    <w:rsid w:val="006121FA"/>
    <w:rsid w:val="006137AB"/>
    <w:rsid w:val="00614EC5"/>
    <w:rsid w:val="0061656A"/>
    <w:rsid w:val="006208CB"/>
    <w:rsid w:val="00621297"/>
    <w:rsid w:val="006227A6"/>
    <w:rsid w:val="00623306"/>
    <w:rsid w:val="00623E73"/>
    <w:rsid w:val="00625248"/>
    <w:rsid w:val="006301A9"/>
    <w:rsid w:val="00633AC9"/>
    <w:rsid w:val="00634515"/>
    <w:rsid w:val="00635C5A"/>
    <w:rsid w:val="00635F72"/>
    <w:rsid w:val="00644467"/>
    <w:rsid w:val="006445E8"/>
    <w:rsid w:val="00645FA1"/>
    <w:rsid w:val="00647A1C"/>
    <w:rsid w:val="00647CA3"/>
    <w:rsid w:val="00650B64"/>
    <w:rsid w:val="00655AC6"/>
    <w:rsid w:val="00656582"/>
    <w:rsid w:val="00656A79"/>
    <w:rsid w:val="00657169"/>
    <w:rsid w:val="006601B7"/>
    <w:rsid w:val="006607D0"/>
    <w:rsid w:val="006608F5"/>
    <w:rsid w:val="00661D37"/>
    <w:rsid w:val="006647FB"/>
    <w:rsid w:val="006654C7"/>
    <w:rsid w:val="006673B2"/>
    <w:rsid w:val="00670D34"/>
    <w:rsid w:val="00671438"/>
    <w:rsid w:val="0067479F"/>
    <w:rsid w:val="00677745"/>
    <w:rsid w:val="00680325"/>
    <w:rsid w:val="00683ACF"/>
    <w:rsid w:val="00684D63"/>
    <w:rsid w:val="00684DC9"/>
    <w:rsid w:val="00685994"/>
    <w:rsid w:val="00687E6C"/>
    <w:rsid w:val="006A2549"/>
    <w:rsid w:val="006A2997"/>
    <w:rsid w:val="006B0E0B"/>
    <w:rsid w:val="006B18D9"/>
    <w:rsid w:val="006B3CBE"/>
    <w:rsid w:val="006B4ED9"/>
    <w:rsid w:val="006B5C2A"/>
    <w:rsid w:val="006B66D0"/>
    <w:rsid w:val="006C0DE7"/>
    <w:rsid w:val="006C3591"/>
    <w:rsid w:val="006C3F77"/>
    <w:rsid w:val="006C4537"/>
    <w:rsid w:val="006C6374"/>
    <w:rsid w:val="006C6EE1"/>
    <w:rsid w:val="006D1101"/>
    <w:rsid w:val="006D5187"/>
    <w:rsid w:val="006D7788"/>
    <w:rsid w:val="006E24FE"/>
    <w:rsid w:val="006E3C48"/>
    <w:rsid w:val="006E5249"/>
    <w:rsid w:val="006F42DD"/>
    <w:rsid w:val="006F5976"/>
    <w:rsid w:val="006F70CA"/>
    <w:rsid w:val="006F74B4"/>
    <w:rsid w:val="0070406C"/>
    <w:rsid w:val="00704BF1"/>
    <w:rsid w:val="00705718"/>
    <w:rsid w:val="007058C9"/>
    <w:rsid w:val="00707B6B"/>
    <w:rsid w:val="00707FEE"/>
    <w:rsid w:val="00710454"/>
    <w:rsid w:val="00712082"/>
    <w:rsid w:val="00714B64"/>
    <w:rsid w:val="00714DF7"/>
    <w:rsid w:val="00717133"/>
    <w:rsid w:val="007171FD"/>
    <w:rsid w:val="00721DCD"/>
    <w:rsid w:val="00722734"/>
    <w:rsid w:val="00724588"/>
    <w:rsid w:val="00724995"/>
    <w:rsid w:val="00724DE7"/>
    <w:rsid w:val="00725BB6"/>
    <w:rsid w:val="00726DFA"/>
    <w:rsid w:val="00727512"/>
    <w:rsid w:val="00735882"/>
    <w:rsid w:val="00741C3F"/>
    <w:rsid w:val="00743CE5"/>
    <w:rsid w:val="00744B8D"/>
    <w:rsid w:val="00744C7C"/>
    <w:rsid w:val="00750FA4"/>
    <w:rsid w:val="00751C87"/>
    <w:rsid w:val="00752062"/>
    <w:rsid w:val="0075421F"/>
    <w:rsid w:val="00756C2B"/>
    <w:rsid w:val="0076136D"/>
    <w:rsid w:val="007618A7"/>
    <w:rsid w:val="00762952"/>
    <w:rsid w:val="00765850"/>
    <w:rsid w:val="00771D31"/>
    <w:rsid w:val="007752AC"/>
    <w:rsid w:val="0077670B"/>
    <w:rsid w:val="007767DD"/>
    <w:rsid w:val="007774EA"/>
    <w:rsid w:val="007777C4"/>
    <w:rsid w:val="00777FC4"/>
    <w:rsid w:val="007852A9"/>
    <w:rsid w:val="0079082E"/>
    <w:rsid w:val="00792A7F"/>
    <w:rsid w:val="007947D7"/>
    <w:rsid w:val="007955DC"/>
    <w:rsid w:val="0079665D"/>
    <w:rsid w:val="00797F39"/>
    <w:rsid w:val="007A1378"/>
    <w:rsid w:val="007A5E9D"/>
    <w:rsid w:val="007A74E8"/>
    <w:rsid w:val="007B226B"/>
    <w:rsid w:val="007B3403"/>
    <w:rsid w:val="007B4494"/>
    <w:rsid w:val="007C190B"/>
    <w:rsid w:val="007C4192"/>
    <w:rsid w:val="007D08E7"/>
    <w:rsid w:val="007D0939"/>
    <w:rsid w:val="007D31EE"/>
    <w:rsid w:val="007D4482"/>
    <w:rsid w:val="007D48F4"/>
    <w:rsid w:val="007D5ADD"/>
    <w:rsid w:val="007D631E"/>
    <w:rsid w:val="007D6615"/>
    <w:rsid w:val="007D7847"/>
    <w:rsid w:val="007E2F1C"/>
    <w:rsid w:val="007E39BB"/>
    <w:rsid w:val="007E45D4"/>
    <w:rsid w:val="007F22F6"/>
    <w:rsid w:val="007F6042"/>
    <w:rsid w:val="007F78F0"/>
    <w:rsid w:val="008009EF"/>
    <w:rsid w:val="008029C9"/>
    <w:rsid w:val="00803C4A"/>
    <w:rsid w:val="00805068"/>
    <w:rsid w:val="00806019"/>
    <w:rsid w:val="0080672A"/>
    <w:rsid w:val="008101B1"/>
    <w:rsid w:val="00810961"/>
    <w:rsid w:val="0081160C"/>
    <w:rsid w:val="00812D2D"/>
    <w:rsid w:val="00812D44"/>
    <w:rsid w:val="00813C36"/>
    <w:rsid w:val="00813CE3"/>
    <w:rsid w:val="0081416B"/>
    <w:rsid w:val="00814A13"/>
    <w:rsid w:val="00815AD2"/>
    <w:rsid w:val="00816600"/>
    <w:rsid w:val="00817685"/>
    <w:rsid w:val="00824733"/>
    <w:rsid w:val="00824CBE"/>
    <w:rsid w:val="008252E3"/>
    <w:rsid w:val="00830E6D"/>
    <w:rsid w:val="00832CA5"/>
    <w:rsid w:val="00834207"/>
    <w:rsid w:val="008360DE"/>
    <w:rsid w:val="00837441"/>
    <w:rsid w:val="00840622"/>
    <w:rsid w:val="008425F8"/>
    <w:rsid w:val="00842A2F"/>
    <w:rsid w:val="00844959"/>
    <w:rsid w:val="008454E1"/>
    <w:rsid w:val="008475FC"/>
    <w:rsid w:val="00847A5F"/>
    <w:rsid w:val="00850CBC"/>
    <w:rsid w:val="008518C0"/>
    <w:rsid w:val="00853D23"/>
    <w:rsid w:val="00856566"/>
    <w:rsid w:val="00856D8F"/>
    <w:rsid w:val="008574FD"/>
    <w:rsid w:val="008648B4"/>
    <w:rsid w:val="008667FF"/>
    <w:rsid w:val="0087154B"/>
    <w:rsid w:val="0087367C"/>
    <w:rsid w:val="00874532"/>
    <w:rsid w:val="00876003"/>
    <w:rsid w:val="0087685B"/>
    <w:rsid w:val="00883277"/>
    <w:rsid w:val="00884D33"/>
    <w:rsid w:val="0089315A"/>
    <w:rsid w:val="00897353"/>
    <w:rsid w:val="008A1723"/>
    <w:rsid w:val="008A2D5E"/>
    <w:rsid w:val="008A5186"/>
    <w:rsid w:val="008A67F6"/>
    <w:rsid w:val="008A6C9D"/>
    <w:rsid w:val="008A7D55"/>
    <w:rsid w:val="008B0855"/>
    <w:rsid w:val="008B17DD"/>
    <w:rsid w:val="008B7CB9"/>
    <w:rsid w:val="008C0B5A"/>
    <w:rsid w:val="008C1ACC"/>
    <w:rsid w:val="008C2CF0"/>
    <w:rsid w:val="008C3446"/>
    <w:rsid w:val="008C5D18"/>
    <w:rsid w:val="008C606A"/>
    <w:rsid w:val="008C671A"/>
    <w:rsid w:val="008C767F"/>
    <w:rsid w:val="008D333B"/>
    <w:rsid w:val="008D38A9"/>
    <w:rsid w:val="008D3D6E"/>
    <w:rsid w:val="008D4553"/>
    <w:rsid w:val="008D6345"/>
    <w:rsid w:val="008D6923"/>
    <w:rsid w:val="008D7589"/>
    <w:rsid w:val="008E1FAD"/>
    <w:rsid w:val="008E458E"/>
    <w:rsid w:val="008E4CF7"/>
    <w:rsid w:val="008E6504"/>
    <w:rsid w:val="008F39AD"/>
    <w:rsid w:val="008F5DF8"/>
    <w:rsid w:val="008F6795"/>
    <w:rsid w:val="00900C3E"/>
    <w:rsid w:val="00904172"/>
    <w:rsid w:val="00904F92"/>
    <w:rsid w:val="00905E6A"/>
    <w:rsid w:val="0091092D"/>
    <w:rsid w:val="009111BF"/>
    <w:rsid w:val="009126C8"/>
    <w:rsid w:val="00913287"/>
    <w:rsid w:val="0091368A"/>
    <w:rsid w:val="009158F1"/>
    <w:rsid w:val="00916FC1"/>
    <w:rsid w:val="009217A3"/>
    <w:rsid w:val="00926274"/>
    <w:rsid w:val="009301D6"/>
    <w:rsid w:val="00930EC1"/>
    <w:rsid w:val="009337F3"/>
    <w:rsid w:val="00934392"/>
    <w:rsid w:val="009351FD"/>
    <w:rsid w:val="00940201"/>
    <w:rsid w:val="00940AB0"/>
    <w:rsid w:val="00942C25"/>
    <w:rsid w:val="00945233"/>
    <w:rsid w:val="009464F3"/>
    <w:rsid w:val="00947E4C"/>
    <w:rsid w:val="00952543"/>
    <w:rsid w:val="009527AE"/>
    <w:rsid w:val="009547A5"/>
    <w:rsid w:val="009550C7"/>
    <w:rsid w:val="00957953"/>
    <w:rsid w:val="00960A15"/>
    <w:rsid w:val="0096164F"/>
    <w:rsid w:val="00962EAC"/>
    <w:rsid w:val="009668E1"/>
    <w:rsid w:val="00966C0D"/>
    <w:rsid w:val="009673E9"/>
    <w:rsid w:val="00972D91"/>
    <w:rsid w:val="00972EA8"/>
    <w:rsid w:val="00973B6C"/>
    <w:rsid w:val="00973F1C"/>
    <w:rsid w:val="00976C09"/>
    <w:rsid w:val="009832A7"/>
    <w:rsid w:val="00985AF8"/>
    <w:rsid w:val="009908A3"/>
    <w:rsid w:val="009A3463"/>
    <w:rsid w:val="009A4266"/>
    <w:rsid w:val="009A4EE9"/>
    <w:rsid w:val="009A5596"/>
    <w:rsid w:val="009A5744"/>
    <w:rsid w:val="009A5AC8"/>
    <w:rsid w:val="009B08E7"/>
    <w:rsid w:val="009C026F"/>
    <w:rsid w:val="009C099B"/>
    <w:rsid w:val="009C273C"/>
    <w:rsid w:val="009C4C14"/>
    <w:rsid w:val="009C5B56"/>
    <w:rsid w:val="009C6302"/>
    <w:rsid w:val="009C654B"/>
    <w:rsid w:val="009D012F"/>
    <w:rsid w:val="009D16FA"/>
    <w:rsid w:val="009D1701"/>
    <w:rsid w:val="009D2797"/>
    <w:rsid w:val="009D2A6B"/>
    <w:rsid w:val="009D2D05"/>
    <w:rsid w:val="009D31AB"/>
    <w:rsid w:val="009D392B"/>
    <w:rsid w:val="009D39D5"/>
    <w:rsid w:val="009E1DD5"/>
    <w:rsid w:val="009E279F"/>
    <w:rsid w:val="009F3023"/>
    <w:rsid w:val="009F37E1"/>
    <w:rsid w:val="009F3914"/>
    <w:rsid w:val="009F53A4"/>
    <w:rsid w:val="00A00200"/>
    <w:rsid w:val="00A04DAC"/>
    <w:rsid w:val="00A07A4C"/>
    <w:rsid w:val="00A07FCA"/>
    <w:rsid w:val="00A12343"/>
    <w:rsid w:val="00A146A7"/>
    <w:rsid w:val="00A155B4"/>
    <w:rsid w:val="00A15936"/>
    <w:rsid w:val="00A15E4E"/>
    <w:rsid w:val="00A21A6C"/>
    <w:rsid w:val="00A22F8B"/>
    <w:rsid w:val="00A247AB"/>
    <w:rsid w:val="00A26AA7"/>
    <w:rsid w:val="00A271D9"/>
    <w:rsid w:val="00A3798D"/>
    <w:rsid w:val="00A40793"/>
    <w:rsid w:val="00A4310F"/>
    <w:rsid w:val="00A459BD"/>
    <w:rsid w:val="00A47BD7"/>
    <w:rsid w:val="00A505FE"/>
    <w:rsid w:val="00A52450"/>
    <w:rsid w:val="00A56F71"/>
    <w:rsid w:val="00A62534"/>
    <w:rsid w:val="00A712F0"/>
    <w:rsid w:val="00A7157A"/>
    <w:rsid w:val="00A721D4"/>
    <w:rsid w:val="00A740A7"/>
    <w:rsid w:val="00A75258"/>
    <w:rsid w:val="00A76131"/>
    <w:rsid w:val="00A97FCC"/>
    <w:rsid w:val="00AA4C56"/>
    <w:rsid w:val="00AA5629"/>
    <w:rsid w:val="00AA79FD"/>
    <w:rsid w:val="00AA7C01"/>
    <w:rsid w:val="00AB1624"/>
    <w:rsid w:val="00AB1733"/>
    <w:rsid w:val="00AB24DC"/>
    <w:rsid w:val="00AB2D69"/>
    <w:rsid w:val="00AB3733"/>
    <w:rsid w:val="00AB43CF"/>
    <w:rsid w:val="00AB7F00"/>
    <w:rsid w:val="00AC07A1"/>
    <w:rsid w:val="00AC6B7A"/>
    <w:rsid w:val="00AD09DB"/>
    <w:rsid w:val="00AD25D8"/>
    <w:rsid w:val="00AD380E"/>
    <w:rsid w:val="00AD3D32"/>
    <w:rsid w:val="00AD62AC"/>
    <w:rsid w:val="00AE0A4F"/>
    <w:rsid w:val="00AE25AA"/>
    <w:rsid w:val="00AE38C5"/>
    <w:rsid w:val="00AE4001"/>
    <w:rsid w:val="00AE56F1"/>
    <w:rsid w:val="00AE5D14"/>
    <w:rsid w:val="00AE6422"/>
    <w:rsid w:val="00AE65B9"/>
    <w:rsid w:val="00AF1025"/>
    <w:rsid w:val="00AF13E9"/>
    <w:rsid w:val="00AF31A0"/>
    <w:rsid w:val="00AF5769"/>
    <w:rsid w:val="00AF58B2"/>
    <w:rsid w:val="00AF58D5"/>
    <w:rsid w:val="00B021B1"/>
    <w:rsid w:val="00B050A3"/>
    <w:rsid w:val="00B05DF7"/>
    <w:rsid w:val="00B10A15"/>
    <w:rsid w:val="00B134DF"/>
    <w:rsid w:val="00B16936"/>
    <w:rsid w:val="00B16F77"/>
    <w:rsid w:val="00B1729E"/>
    <w:rsid w:val="00B21758"/>
    <w:rsid w:val="00B21DDB"/>
    <w:rsid w:val="00B224D3"/>
    <w:rsid w:val="00B23C9B"/>
    <w:rsid w:val="00B269B1"/>
    <w:rsid w:val="00B27A18"/>
    <w:rsid w:val="00B27E26"/>
    <w:rsid w:val="00B307A7"/>
    <w:rsid w:val="00B309F0"/>
    <w:rsid w:val="00B30C38"/>
    <w:rsid w:val="00B311E0"/>
    <w:rsid w:val="00B324EE"/>
    <w:rsid w:val="00B32A7F"/>
    <w:rsid w:val="00B371E0"/>
    <w:rsid w:val="00B43BB6"/>
    <w:rsid w:val="00B4411E"/>
    <w:rsid w:val="00B46C3E"/>
    <w:rsid w:val="00B47B72"/>
    <w:rsid w:val="00B47D5E"/>
    <w:rsid w:val="00B524B5"/>
    <w:rsid w:val="00B52786"/>
    <w:rsid w:val="00B54DF6"/>
    <w:rsid w:val="00B5694F"/>
    <w:rsid w:val="00B60D2C"/>
    <w:rsid w:val="00B65178"/>
    <w:rsid w:val="00B655A5"/>
    <w:rsid w:val="00B675A1"/>
    <w:rsid w:val="00B71F50"/>
    <w:rsid w:val="00B72E77"/>
    <w:rsid w:val="00B73649"/>
    <w:rsid w:val="00B7645B"/>
    <w:rsid w:val="00B82A66"/>
    <w:rsid w:val="00B83098"/>
    <w:rsid w:val="00B85ED7"/>
    <w:rsid w:val="00B902FD"/>
    <w:rsid w:val="00B91ADB"/>
    <w:rsid w:val="00B9288A"/>
    <w:rsid w:val="00B928D8"/>
    <w:rsid w:val="00B950F4"/>
    <w:rsid w:val="00B977AB"/>
    <w:rsid w:val="00BA2928"/>
    <w:rsid w:val="00BA304D"/>
    <w:rsid w:val="00BA45CA"/>
    <w:rsid w:val="00BA4700"/>
    <w:rsid w:val="00BA4907"/>
    <w:rsid w:val="00BA5456"/>
    <w:rsid w:val="00BA5910"/>
    <w:rsid w:val="00BA5AD6"/>
    <w:rsid w:val="00BA5C5F"/>
    <w:rsid w:val="00BA6B62"/>
    <w:rsid w:val="00BB1015"/>
    <w:rsid w:val="00BB3474"/>
    <w:rsid w:val="00BB5A32"/>
    <w:rsid w:val="00BB673F"/>
    <w:rsid w:val="00BB69FD"/>
    <w:rsid w:val="00BC0558"/>
    <w:rsid w:val="00BC18C8"/>
    <w:rsid w:val="00BC3503"/>
    <w:rsid w:val="00BC3563"/>
    <w:rsid w:val="00BC6BC7"/>
    <w:rsid w:val="00BC6E27"/>
    <w:rsid w:val="00BD3C3E"/>
    <w:rsid w:val="00BD435F"/>
    <w:rsid w:val="00BD4A4B"/>
    <w:rsid w:val="00BD4A8B"/>
    <w:rsid w:val="00BD53F4"/>
    <w:rsid w:val="00BD6929"/>
    <w:rsid w:val="00BD6D3D"/>
    <w:rsid w:val="00BE3D09"/>
    <w:rsid w:val="00BF2530"/>
    <w:rsid w:val="00BF2B16"/>
    <w:rsid w:val="00BF4FFC"/>
    <w:rsid w:val="00BF75C4"/>
    <w:rsid w:val="00BF75F5"/>
    <w:rsid w:val="00C01441"/>
    <w:rsid w:val="00C02029"/>
    <w:rsid w:val="00C02E38"/>
    <w:rsid w:val="00C043F4"/>
    <w:rsid w:val="00C049FF"/>
    <w:rsid w:val="00C06623"/>
    <w:rsid w:val="00C1026B"/>
    <w:rsid w:val="00C12878"/>
    <w:rsid w:val="00C13671"/>
    <w:rsid w:val="00C24BFA"/>
    <w:rsid w:val="00C270A4"/>
    <w:rsid w:val="00C2787A"/>
    <w:rsid w:val="00C30ED8"/>
    <w:rsid w:val="00C33404"/>
    <w:rsid w:val="00C34E2B"/>
    <w:rsid w:val="00C36459"/>
    <w:rsid w:val="00C3689E"/>
    <w:rsid w:val="00C36F27"/>
    <w:rsid w:val="00C3771F"/>
    <w:rsid w:val="00C40266"/>
    <w:rsid w:val="00C408C2"/>
    <w:rsid w:val="00C41559"/>
    <w:rsid w:val="00C41901"/>
    <w:rsid w:val="00C419F2"/>
    <w:rsid w:val="00C442CE"/>
    <w:rsid w:val="00C464EA"/>
    <w:rsid w:val="00C50C45"/>
    <w:rsid w:val="00C52D16"/>
    <w:rsid w:val="00C5394A"/>
    <w:rsid w:val="00C53D7E"/>
    <w:rsid w:val="00C53DA0"/>
    <w:rsid w:val="00C61040"/>
    <w:rsid w:val="00C61E86"/>
    <w:rsid w:val="00C64B33"/>
    <w:rsid w:val="00C64F3D"/>
    <w:rsid w:val="00C700CC"/>
    <w:rsid w:val="00C70A16"/>
    <w:rsid w:val="00C71D4C"/>
    <w:rsid w:val="00C75273"/>
    <w:rsid w:val="00C75F8F"/>
    <w:rsid w:val="00C76F9C"/>
    <w:rsid w:val="00C81A54"/>
    <w:rsid w:val="00C845BF"/>
    <w:rsid w:val="00C849E6"/>
    <w:rsid w:val="00C9583A"/>
    <w:rsid w:val="00CA042E"/>
    <w:rsid w:val="00CA109F"/>
    <w:rsid w:val="00CA2251"/>
    <w:rsid w:val="00CA28A2"/>
    <w:rsid w:val="00CA28B3"/>
    <w:rsid w:val="00CA397C"/>
    <w:rsid w:val="00CB0207"/>
    <w:rsid w:val="00CB08A5"/>
    <w:rsid w:val="00CB09D9"/>
    <w:rsid w:val="00CB0ABC"/>
    <w:rsid w:val="00CB2DA0"/>
    <w:rsid w:val="00CB351C"/>
    <w:rsid w:val="00CB4796"/>
    <w:rsid w:val="00CC2D4F"/>
    <w:rsid w:val="00CC3BAC"/>
    <w:rsid w:val="00CC4218"/>
    <w:rsid w:val="00CC46A2"/>
    <w:rsid w:val="00CC6ADB"/>
    <w:rsid w:val="00CC76F1"/>
    <w:rsid w:val="00CD511D"/>
    <w:rsid w:val="00CD52B0"/>
    <w:rsid w:val="00CE154C"/>
    <w:rsid w:val="00CE1926"/>
    <w:rsid w:val="00CE30E4"/>
    <w:rsid w:val="00CE3415"/>
    <w:rsid w:val="00CE349A"/>
    <w:rsid w:val="00CE3670"/>
    <w:rsid w:val="00CE5A79"/>
    <w:rsid w:val="00CE7AFB"/>
    <w:rsid w:val="00CF0300"/>
    <w:rsid w:val="00CF6137"/>
    <w:rsid w:val="00D01CE1"/>
    <w:rsid w:val="00D12013"/>
    <w:rsid w:val="00D1219D"/>
    <w:rsid w:val="00D1663C"/>
    <w:rsid w:val="00D169C8"/>
    <w:rsid w:val="00D16AD8"/>
    <w:rsid w:val="00D22194"/>
    <w:rsid w:val="00D270D6"/>
    <w:rsid w:val="00D30389"/>
    <w:rsid w:val="00D32614"/>
    <w:rsid w:val="00D33699"/>
    <w:rsid w:val="00D33C1E"/>
    <w:rsid w:val="00D34417"/>
    <w:rsid w:val="00D408CF"/>
    <w:rsid w:val="00D40C69"/>
    <w:rsid w:val="00D42D33"/>
    <w:rsid w:val="00D4696F"/>
    <w:rsid w:val="00D50C9B"/>
    <w:rsid w:val="00D53DDC"/>
    <w:rsid w:val="00D54707"/>
    <w:rsid w:val="00D54E53"/>
    <w:rsid w:val="00D55E38"/>
    <w:rsid w:val="00D56F42"/>
    <w:rsid w:val="00D57998"/>
    <w:rsid w:val="00D6157F"/>
    <w:rsid w:val="00D63342"/>
    <w:rsid w:val="00D65F11"/>
    <w:rsid w:val="00D6784E"/>
    <w:rsid w:val="00D70878"/>
    <w:rsid w:val="00D75499"/>
    <w:rsid w:val="00D8289D"/>
    <w:rsid w:val="00D84503"/>
    <w:rsid w:val="00D84FE4"/>
    <w:rsid w:val="00D8596C"/>
    <w:rsid w:val="00D86AAD"/>
    <w:rsid w:val="00D90D0E"/>
    <w:rsid w:val="00D92130"/>
    <w:rsid w:val="00D967A0"/>
    <w:rsid w:val="00DA1D76"/>
    <w:rsid w:val="00DA20DF"/>
    <w:rsid w:val="00DA2157"/>
    <w:rsid w:val="00DA40E9"/>
    <w:rsid w:val="00DA6175"/>
    <w:rsid w:val="00DA78DB"/>
    <w:rsid w:val="00DB1ED0"/>
    <w:rsid w:val="00DB394D"/>
    <w:rsid w:val="00DB58E9"/>
    <w:rsid w:val="00DC011A"/>
    <w:rsid w:val="00DC01DB"/>
    <w:rsid w:val="00DC1F86"/>
    <w:rsid w:val="00DC35E5"/>
    <w:rsid w:val="00DC5631"/>
    <w:rsid w:val="00DC5A43"/>
    <w:rsid w:val="00DC5C1B"/>
    <w:rsid w:val="00DC6012"/>
    <w:rsid w:val="00DC7CFE"/>
    <w:rsid w:val="00DD17F8"/>
    <w:rsid w:val="00DD3154"/>
    <w:rsid w:val="00DD50DA"/>
    <w:rsid w:val="00DD59B4"/>
    <w:rsid w:val="00DE0077"/>
    <w:rsid w:val="00DE04D0"/>
    <w:rsid w:val="00DE08B6"/>
    <w:rsid w:val="00DE0AF1"/>
    <w:rsid w:val="00DE2156"/>
    <w:rsid w:val="00DE404E"/>
    <w:rsid w:val="00DE4C72"/>
    <w:rsid w:val="00DE5276"/>
    <w:rsid w:val="00DE575A"/>
    <w:rsid w:val="00DE5B63"/>
    <w:rsid w:val="00DE6178"/>
    <w:rsid w:val="00DF052B"/>
    <w:rsid w:val="00DF2B61"/>
    <w:rsid w:val="00E0165D"/>
    <w:rsid w:val="00E02D49"/>
    <w:rsid w:val="00E03F71"/>
    <w:rsid w:val="00E043DC"/>
    <w:rsid w:val="00E04A1E"/>
    <w:rsid w:val="00E04F72"/>
    <w:rsid w:val="00E0666F"/>
    <w:rsid w:val="00E06AEB"/>
    <w:rsid w:val="00E075C7"/>
    <w:rsid w:val="00E13070"/>
    <w:rsid w:val="00E14AD4"/>
    <w:rsid w:val="00E173FB"/>
    <w:rsid w:val="00E1745C"/>
    <w:rsid w:val="00E20705"/>
    <w:rsid w:val="00E21B16"/>
    <w:rsid w:val="00E23B5C"/>
    <w:rsid w:val="00E26825"/>
    <w:rsid w:val="00E27194"/>
    <w:rsid w:val="00E316F1"/>
    <w:rsid w:val="00E31E9D"/>
    <w:rsid w:val="00E406AE"/>
    <w:rsid w:val="00E44BF1"/>
    <w:rsid w:val="00E52613"/>
    <w:rsid w:val="00E52FE2"/>
    <w:rsid w:val="00E54CFE"/>
    <w:rsid w:val="00E56877"/>
    <w:rsid w:val="00E572B6"/>
    <w:rsid w:val="00E57384"/>
    <w:rsid w:val="00E601E2"/>
    <w:rsid w:val="00E61D4B"/>
    <w:rsid w:val="00E644AD"/>
    <w:rsid w:val="00E65B11"/>
    <w:rsid w:val="00E67279"/>
    <w:rsid w:val="00E724AC"/>
    <w:rsid w:val="00E72B07"/>
    <w:rsid w:val="00E72FE7"/>
    <w:rsid w:val="00E7478E"/>
    <w:rsid w:val="00E748CA"/>
    <w:rsid w:val="00E74FC8"/>
    <w:rsid w:val="00E84F3A"/>
    <w:rsid w:val="00E863D3"/>
    <w:rsid w:val="00E90234"/>
    <w:rsid w:val="00E91DDD"/>
    <w:rsid w:val="00E92072"/>
    <w:rsid w:val="00E93D1E"/>
    <w:rsid w:val="00E9431D"/>
    <w:rsid w:val="00EA175A"/>
    <w:rsid w:val="00EB00C5"/>
    <w:rsid w:val="00EB318F"/>
    <w:rsid w:val="00EB3A8F"/>
    <w:rsid w:val="00EB4FCF"/>
    <w:rsid w:val="00EB6BB2"/>
    <w:rsid w:val="00EB7033"/>
    <w:rsid w:val="00EC0091"/>
    <w:rsid w:val="00EC0C82"/>
    <w:rsid w:val="00EC13E6"/>
    <w:rsid w:val="00EC1BBA"/>
    <w:rsid w:val="00EC3A53"/>
    <w:rsid w:val="00EC5E06"/>
    <w:rsid w:val="00EC6419"/>
    <w:rsid w:val="00EC7363"/>
    <w:rsid w:val="00ED0ED1"/>
    <w:rsid w:val="00ED3BCC"/>
    <w:rsid w:val="00ED522E"/>
    <w:rsid w:val="00ED6E19"/>
    <w:rsid w:val="00ED73D4"/>
    <w:rsid w:val="00EE7BC9"/>
    <w:rsid w:val="00EF1CF7"/>
    <w:rsid w:val="00EF2458"/>
    <w:rsid w:val="00EF3053"/>
    <w:rsid w:val="00EF30F8"/>
    <w:rsid w:val="00F03990"/>
    <w:rsid w:val="00F07E1E"/>
    <w:rsid w:val="00F116FC"/>
    <w:rsid w:val="00F126E5"/>
    <w:rsid w:val="00F133AF"/>
    <w:rsid w:val="00F16DDD"/>
    <w:rsid w:val="00F173F1"/>
    <w:rsid w:val="00F22CCA"/>
    <w:rsid w:val="00F244D9"/>
    <w:rsid w:val="00F244E1"/>
    <w:rsid w:val="00F25626"/>
    <w:rsid w:val="00F27223"/>
    <w:rsid w:val="00F30AEB"/>
    <w:rsid w:val="00F3352D"/>
    <w:rsid w:val="00F34F16"/>
    <w:rsid w:val="00F36FAB"/>
    <w:rsid w:val="00F4250E"/>
    <w:rsid w:val="00F4438F"/>
    <w:rsid w:val="00F4442A"/>
    <w:rsid w:val="00F51013"/>
    <w:rsid w:val="00F51588"/>
    <w:rsid w:val="00F51ADD"/>
    <w:rsid w:val="00F534F7"/>
    <w:rsid w:val="00F559EB"/>
    <w:rsid w:val="00F56096"/>
    <w:rsid w:val="00F56D36"/>
    <w:rsid w:val="00F600ED"/>
    <w:rsid w:val="00F60839"/>
    <w:rsid w:val="00F61B75"/>
    <w:rsid w:val="00F644BD"/>
    <w:rsid w:val="00F66715"/>
    <w:rsid w:val="00F67509"/>
    <w:rsid w:val="00F75511"/>
    <w:rsid w:val="00F76747"/>
    <w:rsid w:val="00F802CD"/>
    <w:rsid w:val="00F83141"/>
    <w:rsid w:val="00F83833"/>
    <w:rsid w:val="00F84FDD"/>
    <w:rsid w:val="00F90401"/>
    <w:rsid w:val="00F93F39"/>
    <w:rsid w:val="00F94DD8"/>
    <w:rsid w:val="00F951A3"/>
    <w:rsid w:val="00F962C6"/>
    <w:rsid w:val="00F9691C"/>
    <w:rsid w:val="00F975AA"/>
    <w:rsid w:val="00FA2B34"/>
    <w:rsid w:val="00FA3333"/>
    <w:rsid w:val="00FA530A"/>
    <w:rsid w:val="00FA6789"/>
    <w:rsid w:val="00FA6CD1"/>
    <w:rsid w:val="00FB0D32"/>
    <w:rsid w:val="00FB1617"/>
    <w:rsid w:val="00FB2600"/>
    <w:rsid w:val="00FB30FD"/>
    <w:rsid w:val="00FB7558"/>
    <w:rsid w:val="00FC078C"/>
    <w:rsid w:val="00FC2771"/>
    <w:rsid w:val="00FC3C19"/>
    <w:rsid w:val="00FC575D"/>
    <w:rsid w:val="00FC6BE0"/>
    <w:rsid w:val="00FD6D0E"/>
    <w:rsid w:val="00FE347B"/>
    <w:rsid w:val="00FE362C"/>
    <w:rsid w:val="00FE6CBD"/>
    <w:rsid w:val="00FF0B58"/>
    <w:rsid w:val="00FF31D8"/>
    <w:rsid w:val="00FF373C"/>
    <w:rsid w:val="00FF43B2"/>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chartTrackingRefBased/>
  <w15:docId w15:val="{A3F44B03-BDC9-4056-945F-C97B0B0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0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
    <w:name w:val="Unresolved Mention"/>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semiHidden/>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semiHidden/>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semiHidden/>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nchs/pressroom/states/massachusetts/massachusetts.htm" TargetMode="External"/><Relationship Id="rId7" Type="http://schemas.openxmlformats.org/officeDocument/2006/relationships/hyperlink" Target="https://www.cdc.gov/socialdeterminants/about.html" TargetMode="External"/><Relationship Id="rId2" Type="http://schemas.openxmlformats.org/officeDocument/2006/relationships/hyperlink" Target="https://www.ncbi.nlm.nih.gov/pmc/articles/PMC3047732/" TargetMode="External"/><Relationship Id="rId1" Type="http://schemas.openxmlformats.org/officeDocument/2006/relationships/hyperlink" Target="http://pep.donahue-institute.org/downloads/2015/new/UMDI_LongTermPopulationProjectionsReport_2015%2004%20_29.pdf" TargetMode="External"/><Relationship Id="rId6" Type="http://schemas.openxmlformats.org/officeDocument/2006/relationships/hyperlink" Target="https://www.mass.gov/files/documents/2019/02/20/2018%20Cost%20Trends%20Report.pdf" TargetMode="External"/><Relationship Id="rId5" Type="http://schemas.openxmlformats.org/officeDocument/2006/relationships/hyperlink" Target="https://www.healthit.gov/topic/health-it-basics/improve-care-coordination" TargetMode="External"/><Relationship Id="rId4" Type="http://schemas.openxmlformats.org/officeDocument/2006/relationships/hyperlink" Target="https://www.annfammed.org/content/7/2/1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s.gov/Outreach-and-Education/Medicare-Learning-Network-MLN/MLNProducts/Downloads/ICN909060-IDTF-Fact-Sheet.pdf" TargetMode="External"/><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ruralhealthinfo.org/topics/critical-access-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9323</Words>
  <Characters>53142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29</cp:revision>
  <cp:lastPrinted>2021-10-28T18:49:00Z</cp:lastPrinted>
  <dcterms:created xsi:type="dcterms:W3CDTF">2021-11-01T20:08:00Z</dcterms:created>
  <dcterms:modified xsi:type="dcterms:W3CDTF">2021-11-01T20:43:00Z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