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80B57" w14:textId="77777777" w:rsidR="0037512E" w:rsidRPr="003D2485" w:rsidRDefault="0037512E" w:rsidP="009A6740">
      <w:pPr>
        <w:pStyle w:val="Header"/>
        <w:jc w:val="center"/>
        <w:rPr>
          <w:rFonts w:ascii="Arial" w:hAnsi="Arial" w:cs="Arial"/>
          <w:sz w:val="28"/>
          <w:szCs w:val="28"/>
        </w:rPr>
      </w:pPr>
      <w:r w:rsidRPr="003D2485">
        <w:rPr>
          <w:rFonts w:ascii="Arial" w:hAnsi="Arial" w:cs="Arial"/>
          <w:sz w:val="28"/>
          <w:szCs w:val="28"/>
        </w:rPr>
        <w:t>Shields Healthcare of Cambridge, Inc.</w:t>
      </w:r>
    </w:p>
    <w:p w14:paraId="4638672A" w14:textId="447CD392" w:rsidR="009A6740" w:rsidRPr="003D2485" w:rsidRDefault="009A6740" w:rsidP="009A6740">
      <w:pPr>
        <w:pStyle w:val="Header"/>
        <w:jc w:val="center"/>
        <w:rPr>
          <w:rFonts w:ascii="Arial" w:hAnsi="Arial" w:cs="Arial"/>
          <w:sz w:val="28"/>
          <w:szCs w:val="28"/>
        </w:rPr>
      </w:pPr>
      <w:r w:rsidRPr="003D2485">
        <w:rPr>
          <w:rFonts w:ascii="Arial" w:hAnsi="Arial" w:cs="Arial"/>
          <w:sz w:val="28"/>
          <w:szCs w:val="28"/>
        </w:rPr>
        <w:t xml:space="preserve">DoN# </w:t>
      </w:r>
      <w:r w:rsidR="0037512E" w:rsidRPr="003D2485">
        <w:rPr>
          <w:rFonts w:ascii="Arial" w:hAnsi="Arial" w:cs="Arial"/>
          <w:sz w:val="28"/>
          <w:szCs w:val="28"/>
        </w:rPr>
        <w:t>22020311-RE</w:t>
      </w:r>
    </w:p>
    <w:p w14:paraId="7CDA82D5" w14:textId="77777777" w:rsidR="009A6740" w:rsidRPr="003D2485" w:rsidRDefault="009A6740" w:rsidP="009A6740">
      <w:pPr>
        <w:pStyle w:val="Header"/>
        <w:jc w:val="center"/>
        <w:rPr>
          <w:rFonts w:ascii="Arial" w:hAnsi="Arial" w:cs="Arial"/>
          <w:sz w:val="28"/>
          <w:szCs w:val="28"/>
        </w:rPr>
      </w:pPr>
    </w:p>
    <w:p w14:paraId="2FE00012" w14:textId="28E6DD79" w:rsidR="009A6740" w:rsidRPr="003D2485" w:rsidRDefault="009A6740" w:rsidP="009A6740">
      <w:pPr>
        <w:jc w:val="center"/>
        <w:rPr>
          <w:rStyle w:val="Hyperlink"/>
          <w:rFonts w:ascii="Arial" w:hAnsi="Arial" w:cs="Arial"/>
        </w:rPr>
      </w:pPr>
      <w:r w:rsidRPr="003D2485">
        <w:rPr>
          <w:rFonts w:ascii="Arial" w:hAnsi="Arial" w:cs="Arial"/>
          <w:i/>
          <w:iCs/>
        </w:rPr>
        <w:t xml:space="preserve">Responses should be sent to DoN staff at </w:t>
      </w:r>
      <w:hyperlink r:id="rId8" w:history="1">
        <w:r w:rsidRPr="003D2485">
          <w:rPr>
            <w:rStyle w:val="Hyperlink"/>
            <w:rFonts w:ascii="Arial" w:hAnsi="Arial" w:cs="Arial"/>
          </w:rPr>
          <w:t>DPH.DON@State.MA.US</w:t>
        </w:r>
      </w:hyperlink>
    </w:p>
    <w:p w14:paraId="3BCB392F" w14:textId="77777777" w:rsidR="007E5CA0" w:rsidRPr="003D2485" w:rsidRDefault="007E5CA0" w:rsidP="009A6740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9A6740" w:rsidRPr="003D2485" w14:paraId="3F4FD5BC" w14:textId="77777777" w:rsidTr="006E3431">
        <w:trPr>
          <w:jc w:val="center"/>
        </w:trPr>
        <w:tc>
          <w:tcPr>
            <w:tcW w:w="9350" w:type="dxa"/>
          </w:tcPr>
          <w:p w14:paraId="3F6F83B0" w14:textId="77777777" w:rsidR="009A6740" w:rsidRPr="003D2485" w:rsidRDefault="009A6740" w:rsidP="006E3431">
            <w:pPr>
              <w:rPr>
                <w:rFonts w:ascii="Arial" w:hAnsi="Arial" w:cs="Arial"/>
                <w:bCs/>
              </w:rPr>
            </w:pPr>
            <w:r w:rsidRPr="003D2485">
              <w:rPr>
                <w:rFonts w:ascii="Arial" w:hAnsi="Arial" w:cs="Arial"/>
                <w:bCs/>
              </w:rPr>
              <w:t xml:space="preserve">While you may submit each answer as available, please </w:t>
            </w:r>
          </w:p>
          <w:p w14:paraId="341BC5EA" w14:textId="77777777" w:rsidR="009A6740" w:rsidRPr="003D2485" w:rsidRDefault="009A6740" w:rsidP="009A67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3D2485">
              <w:rPr>
                <w:rFonts w:ascii="Arial" w:hAnsi="Arial" w:cs="Arial"/>
                <w:bCs/>
              </w:rPr>
              <w:t xml:space="preserve">List question number and question for each answer you provide </w:t>
            </w:r>
          </w:p>
          <w:p w14:paraId="288466B8" w14:textId="77777777" w:rsidR="009A6740" w:rsidRPr="003D2485" w:rsidRDefault="009A6740" w:rsidP="009A67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3D2485">
              <w:rPr>
                <w:rFonts w:ascii="Arial" w:hAnsi="Arial" w:cs="Arial"/>
                <w:bCs/>
              </w:rPr>
              <w:t xml:space="preserve">Submit responses as a separate word document, using the above application title and number as a running header and page numbers in the footer </w:t>
            </w:r>
          </w:p>
          <w:p w14:paraId="7A6569F8" w14:textId="77777777" w:rsidR="009A6740" w:rsidRPr="003D2485" w:rsidRDefault="009A6740" w:rsidP="009A67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3D2485">
              <w:rPr>
                <w:rFonts w:ascii="Arial" w:hAnsi="Arial" w:cs="Arial"/>
                <w:bCs/>
              </w:rPr>
              <w:t xml:space="preserve">When providing the answer to the final question, submit all questions and answers in one final document </w:t>
            </w:r>
          </w:p>
          <w:p w14:paraId="1F9F5A17" w14:textId="77777777" w:rsidR="009A6740" w:rsidRPr="003D2485" w:rsidRDefault="009A6740" w:rsidP="009A67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3D2485">
              <w:rPr>
                <w:rFonts w:ascii="Arial" w:hAnsi="Arial" w:cs="Arial"/>
                <w:bCs/>
              </w:rPr>
              <w:t>Responses must be available in PDF and source document (excel preferred for data and word for narrative)</w:t>
            </w:r>
          </w:p>
        </w:tc>
      </w:tr>
    </w:tbl>
    <w:p w14:paraId="4E50711E" w14:textId="77777777" w:rsidR="009A6740" w:rsidRPr="003D2485" w:rsidRDefault="009A6740">
      <w:pPr>
        <w:rPr>
          <w:rFonts w:ascii="Arial" w:hAnsi="Arial" w:cs="Arial"/>
        </w:rPr>
      </w:pPr>
    </w:p>
    <w:p w14:paraId="67E97A72" w14:textId="75CDF12C" w:rsidR="00DF1E9A" w:rsidRPr="003D2485" w:rsidRDefault="00DF1E9A" w:rsidP="008A6CB8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</w:rPr>
      </w:pPr>
      <w:r w:rsidRPr="003D2485">
        <w:rPr>
          <w:rFonts w:ascii="Arial" w:hAnsi="Arial" w:cs="Arial"/>
        </w:rPr>
        <w:t xml:space="preserve">Projections on total scan volume is provided in a table on page </w:t>
      </w:r>
      <w:r w:rsidR="00B552AF" w:rsidRPr="003D2485">
        <w:rPr>
          <w:rFonts w:ascii="Arial" w:hAnsi="Arial" w:cs="Arial"/>
        </w:rPr>
        <w:t>6</w:t>
      </w:r>
      <w:r w:rsidRPr="003D2485">
        <w:rPr>
          <w:rFonts w:ascii="Arial" w:hAnsi="Arial" w:cs="Arial"/>
        </w:rPr>
        <w:t xml:space="preserve"> and shown below. Explain why the 1.2T unit will do </w:t>
      </w:r>
      <w:proofErr w:type="gramStart"/>
      <w:r w:rsidRPr="003D2485">
        <w:rPr>
          <w:rFonts w:ascii="Arial" w:hAnsi="Arial" w:cs="Arial"/>
        </w:rPr>
        <w:t>the larger majority of</w:t>
      </w:r>
      <w:proofErr w:type="gramEnd"/>
      <w:r w:rsidRPr="003D2485">
        <w:rPr>
          <w:rFonts w:ascii="Arial" w:hAnsi="Arial" w:cs="Arial"/>
        </w:rPr>
        <w:t xml:space="preserve"> the scans.</w:t>
      </w:r>
    </w:p>
    <w:p w14:paraId="02E2860D" w14:textId="78AA0B2F" w:rsidR="00DF1E9A" w:rsidRPr="003D2485" w:rsidRDefault="00DF1E9A" w:rsidP="00DF1E9A">
      <w:pPr>
        <w:pStyle w:val="Caption"/>
        <w:spacing w:after="0"/>
        <w:contextualSpacing/>
        <w:rPr>
          <w:rFonts w:ascii="Arial" w:hAnsi="Arial" w:cs="Arial"/>
          <w:color w:val="2F5496" w:themeColor="accent1" w:themeShade="BF"/>
          <w:sz w:val="22"/>
          <w:szCs w:val="22"/>
        </w:rPr>
      </w:pPr>
    </w:p>
    <w:p w14:paraId="2E7C00FD" w14:textId="4C1CF33F" w:rsidR="00B552AF" w:rsidRPr="003D2485" w:rsidRDefault="00B552AF" w:rsidP="00B552AF">
      <w:pPr>
        <w:pStyle w:val="ListParagraph"/>
        <w:spacing w:after="0"/>
        <w:rPr>
          <w:rFonts w:ascii="Arial" w:hAnsi="Arial" w:cs="Arial"/>
        </w:rPr>
      </w:pPr>
      <w:r w:rsidRPr="003D2485">
        <w:rPr>
          <w:rFonts w:ascii="Arial" w:hAnsi="Arial" w:cs="Arial"/>
        </w:rPr>
        <w:t>Total Scan Volume Projections for Brighton by Unit:</w:t>
      </w:r>
    </w:p>
    <w:tbl>
      <w:tblPr>
        <w:tblStyle w:val="TableGrid"/>
        <w:tblW w:w="8744" w:type="dxa"/>
        <w:tblInd w:w="607" w:type="dxa"/>
        <w:tblLook w:val="04A0" w:firstRow="1" w:lastRow="0" w:firstColumn="1" w:lastColumn="0" w:noHBand="0" w:noVBand="1"/>
      </w:tblPr>
      <w:tblGrid>
        <w:gridCol w:w="1484"/>
        <w:gridCol w:w="1133"/>
        <w:gridCol w:w="1225"/>
        <w:gridCol w:w="1225"/>
        <w:gridCol w:w="1225"/>
        <w:gridCol w:w="1226"/>
        <w:gridCol w:w="1226"/>
      </w:tblGrid>
      <w:tr w:rsidR="00DF1E9A" w:rsidRPr="003D2485" w14:paraId="39598EDD" w14:textId="77777777" w:rsidTr="00DE271A">
        <w:trPr>
          <w:cantSplit/>
          <w:trHeight w:val="262"/>
          <w:tblHeader/>
        </w:trPr>
        <w:tc>
          <w:tcPr>
            <w:tcW w:w="1484" w:type="dxa"/>
          </w:tcPr>
          <w:p w14:paraId="473D449D" w14:textId="77777777" w:rsidR="00DF1E9A" w:rsidRPr="003D2485" w:rsidRDefault="00DF1E9A" w:rsidP="00C478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</w:tcPr>
          <w:p w14:paraId="147E151B" w14:textId="77777777" w:rsidR="00DF1E9A" w:rsidRPr="003D2485" w:rsidRDefault="00DF1E9A" w:rsidP="00C47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D2485">
              <w:rPr>
                <w:rFonts w:ascii="Arial" w:hAnsi="Arial" w:cs="Arial"/>
                <w:b/>
                <w:bCs/>
                <w:color w:val="000000"/>
              </w:rPr>
              <w:t>Current</w:t>
            </w:r>
          </w:p>
        </w:tc>
        <w:tc>
          <w:tcPr>
            <w:tcW w:w="1225" w:type="dxa"/>
          </w:tcPr>
          <w:p w14:paraId="43FC5DA9" w14:textId="77777777" w:rsidR="00DF1E9A" w:rsidRPr="003D2485" w:rsidRDefault="00DF1E9A" w:rsidP="00C47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D2485">
              <w:rPr>
                <w:rFonts w:ascii="Arial" w:hAnsi="Arial" w:cs="Arial"/>
                <w:b/>
                <w:bCs/>
                <w:color w:val="000000"/>
              </w:rPr>
              <w:t>Year 1</w:t>
            </w:r>
          </w:p>
        </w:tc>
        <w:tc>
          <w:tcPr>
            <w:tcW w:w="1225" w:type="dxa"/>
          </w:tcPr>
          <w:p w14:paraId="43A206B8" w14:textId="77777777" w:rsidR="00DF1E9A" w:rsidRPr="003D2485" w:rsidRDefault="00DF1E9A" w:rsidP="00C47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D2485">
              <w:rPr>
                <w:rFonts w:ascii="Arial" w:hAnsi="Arial" w:cs="Arial"/>
                <w:b/>
                <w:bCs/>
                <w:color w:val="000000"/>
              </w:rPr>
              <w:t>Year 2</w:t>
            </w:r>
          </w:p>
        </w:tc>
        <w:tc>
          <w:tcPr>
            <w:tcW w:w="1225" w:type="dxa"/>
          </w:tcPr>
          <w:p w14:paraId="39E89105" w14:textId="77777777" w:rsidR="00DF1E9A" w:rsidRPr="003D2485" w:rsidRDefault="00DF1E9A" w:rsidP="00C47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D2485">
              <w:rPr>
                <w:rFonts w:ascii="Arial" w:hAnsi="Arial" w:cs="Arial"/>
                <w:b/>
                <w:bCs/>
                <w:color w:val="000000"/>
              </w:rPr>
              <w:t>Year 3</w:t>
            </w:r>
          </w:p>
        </w:tc>
        <w:tc>
          <w:tcPr>
            <w:tcW w:w="1226" w:type="dxa"/>
          </w:tcPr>
          <w:p w14:paraId="2A102DEE" w14:textId="77777777" w:rsidR="00DF1E9A" w:rsidRPr="003D2485" w:rsidRDefault="00DF1E9A" w:rsidP="00C47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D2485">
              <w:rPr>
                <w:rFonts w:ascii="Arial" w:hAnsi="Arial" w:cs="Arial"/>
                <w:b/>
                <w:bCs/>
                <w:color w:val="000000"/>
              </w:rPr>
              <w:t>Year 4</w:t>
            </w:r>
          </w:p>
        </w:tc>
        <w:tc>
          <w:tcPr>
            <w:tcW w:w="1226" w:type="dxa"/>
          </w:tcPr>
          <w:p w14:paraId="49BED761" w14:textId="77777777" w:rsidR="00DF1E9A" w:rsidRPr="003D2485" w:rsidRDefault="00DF1E9A" w:rsidP="00C47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D2485">
              <w:rPr>
                <w:rFonts w:ascii="Arial" w:hAnsi="Arial" w:cs="Arial"/>
                <w:b/>
                <w:bCs/>
                <w:color w:val="000000"/>
              </w:rPr>
              <w:t>Year 5</w:t>
            </w:r>
          </w:p>
        </w:tc>
      </w:tr>
      <w:tr w:rsidR="00DF1E9A" w:rsidRPr="003D2485" w14:paraId="707DD57F" w14:textId="77777777" w:rsidTr="00FF4917">
        <w:trPr>
          <w:cantSplit/>
          <w:trHeight w:val="247"/>
        </w:trPr>
        <w:tc>
          <w:tcPr>
            <w:tcW w:w="1484" w:type="dxa"/>
          </w:tcPr>
          <w:p w14:paraId="3BCA79F8" w14:textId="77777777" w:rsidR="00DF1E9A" w:rsidRPr="003D2485" w:rsidRDefault="00DF1E9A" w:rsidP="00C478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D2485">
              <w:rPr>
                <w:rFonts w:ascii="Arial" w:hAnsi="Arial" w:cs="Arial"/>
                <w:b/>
                <w:bCs/>
                <w:color w:val="000000"/>
              </w:rPr>
              <w:t>Hitachi 1.2T</w:t>
            </w:r>
          </w:p>
        </w:tc>
        <w:tc>
          <w:tcPr>
            <w:tcW w:w="1133" w:type="dxa"/>
          </w:tcPr>
          <w:p w14:paraId="61B5F615" w14:textId="77777777" w:rsidR="00DF1E9A" w:rsidRPr="003D2485" w:rsidRDefault="00DF1E9A" w:rsidP="00C47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D2485">
              <w:rPr>
                <w:rFonts w:ascii="Arial" w:hAnsi="Arial" w:cs="Arial"/>
                <w:color w:val="000000"/>
              </w:rPr>
              <w:t>4,300</w:t>
            </w:r>
          </w:p>
        </w:tc>
        <w:tc>
          <w:tcPr>
            <w:tcW w:w="1225" w:type="dxa"/>
          </w:tcPr>
          <w:p w14:paraId="1CAE7F6A" w14:textId="77777777" w:rsidR="00DF1E9A" w:rsidRPr="003D2485" w:rsidRDefault="00DF1E9A" w:rsidP="00C47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D2485">
              <w:rPr>
                <w:rFonts w:ascii="Arial" w:hAnsi="Arial" w:cs="Arial"/>
                <w:color w:val="000000"/>
              </w:rPr>
              <w:t>3,800</w:t>
            </w:r>
          </w:p>
        </w:tc>
        <w:tc>
          <w:tcPr>
            <w:tcW w:w="1225" w:type="dxa"/>
          </w:tcPr>
          <w:p w14:paraId="6D5ABBAE" w14:textId="77777777" w:rsidR="00DF1E9A" w:rsidRPr="003D2485" w:rsidRDefault="00DF1E9A" w:rsidP="00C47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D2485">
              <w:rPr>
                <w:rFonts w:ascii="Arial" w:hAnsi="Arial" w:cs="Arial"/>
                <w:color w:val="000000"/>
              </w:rPr>
              <w:t>4,050</w:t>
            </w:r>
          </w:p>
        </w:tc>
        <w:tc>
          <w:tcPr>
            <w:tcW w:w="1225" w:type="dxa"/>
          </w:tcPr>
          <w:p w14:paraId="4CDEE890" w14:textId="77777777" w:rsidR="00DF1E9A" w:rsidRPr="003D2485" w:rsidRDefault="00DF1E9A" w:rsidP="00C47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D2485">
              <w:rPr>
                <w:rFonts w:ascii="Arial" w:hAnsi="Arial" w:cs="Arial"/>
                <w:color w:val="000000"/>
              </w:rPr>
              <w:t>4,051</w:t>
            </w:r>
          </w:p>
        </w:tc>
        <w:tc>
          <w:tcPr>
            <w:tcW w:w="1226" w:type="dxa"/>
          </w:tcPr>
          <w:p w14:paraId="1E8CBAF3" w14:textId="77777777" w:rsidR="00DF1E9A" w:rsidRPr="003D2485" w:rsidRDefault="00DF1E9A" w:rsidP="00C47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D2485">
              <w:rPr>
                <w:rFonts w:ascii="Arial" w:hAnsi="Arial" w:cs="Arial"/>
                <w:color w:val="000000"/>
              </w:rPr>
              <w:t>4,300</w:t>
            </w:r>
          </w:p>
        </w:tc>
        <w:tc>
          <w:tcPr>
            <w:tcW w:w="1226" w:type="dxa"/>
          </w:tcPr>
          <w:p w14:paraId="17ECBF91" w14:textId="77777777" w:rsidR="00DF1E9A" w:rsidRPr="003D2485" w:rsidRDefault="00DF1E9A" w:rsidP="00C47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D2485">
              <w:rPr>
                <w:rFonts w:ascii="Arial" w:hAnsi="Arial" w:cs="Arial"/>
                <w:color w:val="000000"/>
              </w:rPr>
              <w:t>4,440</w:t>
            </w:r>
          </w:p>
        </w:tc>
      </w:tr>
      <w:tr w:rsidR="00DF1E9A" w:rsidRPr="003D2485" w14:paraId="4A3F463A" w14:textId="77777777" w:rsidTr="00FF4917">
        <w:trPr>
          <w:cantSplit/>
          <w:trHeight w:val="262"/>
        </w:trPr>
        <w:tc>
          <w:tcPr>
            <w:tcW w:w="1484" w:type="dxa"/>
          </w:tcPr>
          <w:p w14:paraId="26744F57" w14:textId="77777777" w:rsidR="00DF1E9A" w:rsidRPr="003D2485" w:rsidRDefault="00DF1E9A" w:rsidP="00C478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D2485">
              <w:rPr>
                <w:rFonts w:ascii="Arial" w:hAnsi="Arial" w:cs="Arial"/>
                <w:b/>
                <w:bCs/>
                <w:color w:val="000000"/>
              </w:rPr>
              <w:t>Espree 1.5T</w:t>
            </w:r>
          </w:p>
        </w:tc>
        <w:tc>
          <w:tcPr>
            <w:tcW w:w="1133" w:type="dxa"/>
          </w:tcPr>
          <w:p w14:paraId="57148D27" w14:textId="77777777" w:rsidR="00DF1E9A" w:rsidRPr="003D2485" w:rsidRDefault="00DF1E9A" w:rsidP="00C47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D2485">
              <w:rPr>
                <w:rFonts w:ascii="Arial" w:hAnsi="Arial" w:cs="Arial"/>
                <w:color w:val="000000"/>
              </w:rPr>
              <w:t>--</w:t>
            </w:r>
          </w:p>
        </w:tc>
        <w:tc>
          <w:tcPr>
            <w:tcW w:w="1225" w:type="dxa"/>
          </w:tcPr>
          <w:p w14:paraId="4A77F51F" w14:textId="77777777" w:rsidR="00DF1E9A" w:rsidRPr="003D2485" w:rsidRDefault="00DF1E9A" w:rsidP="00C47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D2485">
              <w:rPr>
                <w:rFonts w:ascii="Arial" w:hAnsi="Arial" w:cs="Arial"/>
                <w:color w:val="000000"/>
              </w:rPr>
              <w:t>1,200</w:t>
            </w:r>
          </w:p>
        </w:tc>
        <w:tc>
          <w:tcPr>
            <w:tcW w:w="1225" w:type="dxa"/>
          </w:tcPr>
          <w:p w14:paraId="77038BF0" w14:textId="77777777" w:rsidR="00DF1E9A" w:rsidRPr="003D2485" w:rsidRDefault="00DF1E9A" w:rsidP="00C47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D2485">
              <w:rPr>
                <w:rFonts w:ascii="Arial" w:hAnsi="Arial" w:cs="Arial"/>
                <w:color w:val="000000"/>
              </w:rPr>
              <w:t>1,650</w:t>
            </w:r>
          </w:p>
        </w:tc>
        <w:tc>
          <w:tcPr>
            <w:tcW w:w="1225" w:type="dxa"/>
          </w:tcPr>
          <w:p w14:paraId="5E1C62AF" w14:textId="77777777" w:rsidR="00DF1E9A" w:rsidRPr="003D2485" w:rsidRDefault="00DF1E9A" w:rsidP="00C47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D2485">
              <w:rPr>
                <w:rFonts w:ascii="Arial" w:hAnsi="Arial" w:cs="Arial"/>
                <w:color w:val="000000"/>
              </w:rPr>
              <w:t>2,150</w:t>
            </w:r>
          </w:p>
        </w:tc>
        <w:tc>
          <w:tcPr>
            <w:tcW w:w="1226" w:type="dxa"/>
          </w:tcPr>
          <w:p w14:paraId="0202AE04" w14:textId="77777777" w:rsidR="00DF1E9A" w:rsidRPr="003D2485" w:rsidRDefault="00DF1E9A" w:rsidP="00C47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D2485">
              <w:rPr>
                <w:rFonts w:ascii="Arial" w:hAnsi="Arial" w:cs="Arial"/>
                <w:color w:val="000000"/>
              </w:rPr>
              <w:t>2,700</w:t>
            </w:r>
          </w:p>
        </w:tc>
        <w:tc>
          <w:tcPr>
            <w:tcW w:w="1226" w:type="dxa"/>
          </w:tcPr>
          <w:p w14:paraId="3BDA8C25" w14:textId="77777777" w:rsidR="00DF1E9A" w:rsidRPr="003D2485" w:rsidRDefault="00DF1E9A" w:rsidP="00C47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D2485">
              <w:rPr>
                <w:rFonts w:ascii="Arial" w:hAnsi="Arial" w:cs="Arial"/>
                <w:color w:val="000000"/>
              </w:rPr>
              <w:t>3,200</w:t>
            </w:r>
          </w:p>
        </w:tc>
      </w:tr>
      <w:tr w:rsidR="00DF1E9A" w:rsidRPr="003D2485" w14:paraId="4C1456F9" w14:textId="77777777" w:rsidTr="00FF4917">
        <w:trPr>
          <w:cantSplit/>
          <w:trHeight w:val="247"/>
        </w:trPr>
        <w:tc>
          <w:tcPr>
            <w:tcW w:w="1484" w:type="dxa"/>
          </w:tcPr>
          <w:p w14:paraId="7876074B" w14:textId="77777777" w:rsidR="00DF1E9A" w:rsidRPr="003D2485" w:rsidRDefault="00DF1E9A" w:rsidP="00C478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D2485">
              <w:rPr>
                <w:rFonts w:ascii="Arial" w:hAnsi="Arial" w:cs="Arial"/>
                <w:b/>
                <w:bCs/>
                <w:color w:val="000000"/>
              </w:rPr>
              <w:t>Total Volume</w:t>
            </w:r>
          </w:p>
        </w:tc>
        <w:tc>
          <w:tcPr>
            <w:tcW w:w="1133" w:type="dxa"/>
          </w:tcPr>
          <w:p w14:paraId="6302BB7C" w14:textId="77777777" w:rsidR="00DF1E9A" w:rsidRPr="003D2485" w:rsidRDefault="00DF1E9A" w:rsidP="00C47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D2485">
              <w:rPr>
                <w:rFonts w:ascii="Arial" w:hAnsi="Arial" w:cs="Arial"/>
                <w:b/>
                <w:bCs/>
                <w:color w:val="000000"/>
              </w:rPr>
              <w:t>4,300</w:t>
            </w:r>
          </w:p>
        </w:tc>
        <w:tc>
          <w:tcPr>
            <w:tcW w:w="1225" w:type="dxa"/>
          </w:tcPr>
          <w:p w14:paraId="7ADF6BF8" w14:textId="77777777" w:rsidR="00DF1E9A" w:rsidRPr="003D2485" w:rsidRDefault="00DF1E9A" w:rsidP="00C47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D2485">
              <w:rPr>
                <w:rFonts w:ascii="Arial" w:hAnsi="Arial" w:cs="Arial"/>
                <w:b/>
                <w:bCs/>
                <w:color w:val="000000"/>
              </w:rPr>
              <w:t>5,000</w:t>
            </w:r>
          </w:p>
        </w:tc>
        <w:tc>
          <w:tcPr>
            <w:tcW w:w="1225" w:type="dxa"/>
          </w:tcPr>
          <w:p w14:paraId="683E06D2" w14:textId="77777777" w:rsidR="00DF1E9A" w:rsidRPr="003D2485" w:rsidRDefault="00DF1E9A" w:rsidP="00C47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D2485">
              <w:rPr>
                <w:rFonts w:ascii="Arial" w:hAnsi="Arial" w:cs="Arial"/>
                <w:b/>
                <w:bCs/>
                <w:color w:val="000000"/>
              </w:rPr>
              <w:t>5,700</w:t>
            </w:r>
          </w:p>
        </w:tc>
        <w:tc>
          <w:tcPr>
            <w:tcW w:w="1225" w:type="dxa"/>
          </w:tcPr>
          <w:p w14:paraId="2E989EB3" w14:textId="77777777" w:rsidR="00DF1E9A" w:rsidRPr="003D2485" w:rsidRDefault="00DF1E9A" w:rsidP="00C47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D2485">
              <w:rPr>
                <w:rFonts w:ascii="Arial" w:hAnsi="Arial" w:cs="Arial"/>
                <w:b/>
                <w:bCs/>
                <w:color w:val="000000"/>
              </w:rPr>
              <w:t>6,300</w:t>
            </w:r>
          </w:p>
        </w:tc>
        <w:tc>
          <w:tcPr>
            <w:tcW w:w="1226" w:type="dxa"/>
          </w:tcPr>
          <w:p w14:paraId="300D0EE5" w14:textId="77777777" w:rsidR="00DF1E9A" w:rsidRPr="003D2485" w:rsidRDefault="00DF1E9A" w:rsidP="00C47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D2485">
              <w:rPr>
                <w:rFonts w:ascii="Arial" w:hAnsi="Arial" w:cs="Arial"/>
                <w:b/>
                <w:bCs/>
                <w:color w:val="000000"/>
              </w:rPr>
              <w:t>7,000</w:t>
            </w:r>
          </w:p>
        </w:tc>
        <w:tc>
          <w:tcPr>
            <w:tcW w:w="1226" w:type="dxa"/>
          </w:tcPr>
          <w:p w14:paraId="0001472E" w14:textId="77777777" w:rsidR="00DF1E9A" w:rsidRPr="003D2485" w:rsidRDefault="00DF1E9A" w:rsidP="00C47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D2485">
              <w:rPr>
                <w:rFonts w:ascii="Arial" w:hAnsi="Arial" w:cs="Arial"/>
                <w:b/>
                <w:bCs/>
                <w:color w:val="000000"/>
              </w:rPr>
              <w:t>7,600</w:t>
            </w:r>
          </w:p>
        </w:tc>
      </w:tr>
    </w:tbl>
    <w:p w14:paraId="42181947" w14:textId="011EA29D" w:rsidR="004E2919" w:rsidRPr="003D2485" w:rsidRDefault="004E2919" w:rsidP="004E2919">
      <w:pPr>
        <w:rPr>
          <w:rFonts w:ascii="Arial" w:hAnsi="Arial" w:cs="Arial"/>
          <w:sz w:val="22"/>
          <w:szCs w:val="22"/>
        </w:rPr>
      </w:pPr>
    </w:p>
    <w:p w14:paraId="0F510095" w14:textId="5CD991FB" w:rsidR="004E2919" w:rsidRPr="007A4382" w:rsidRDefault="004E2919" w:rsidP="004E2919">
      <w:pPr>
        <w:rPr>
          <w:rFonts w:ascii="Arial" w:hAnsi="Arial" w:cs="Arial"/>
          <w:b/>
          <w:color w:val="A30000"/>
          <w:sz w:val="22"/>
          <w:szCs w:val="22"/>
          <w:u w:val="single"/>
        </w:rPr>
      </w:pPr>
      <w:r w:rsidRPr="007A4382">
        <w:rPr>
          <w:rFonts w:ascii="Arial" w:hAnsi="Arial" w:cs="Arial"/>
          <w:b/>
          <w:color w:val="A30000"/>
          <w:sz w:val="22"/>
          <w:szCs w:val="22"/>
          <w:u w:val="single"/>
        </w:rPr>
        <w:t>Answer:</w:t>
      </w:r>
    </w:p>
    <w:p w14:paraId="21C2430C" w14:textId="3492D650" w:rsidR="004E2919" w:rsidRPr="007A4382" w:rsidRDefault="004E2919" w:rsidP="004E2919">
      <w:pPr>
        <w:rPr>
          <w:rFonts w:ascii="Arial" w:hAnsi="Arial" w:cs="Arial"/>
          <w:b/>
          <w:color w:val="A30000"/>
          <w:sz w:val="22"/>
          <w:szCs w:val="22"/>
          <w:u w:val="single"/>
        </w:rPr>
      </w:pPr>
    </w:p>
    <w:p w14:paraId="22BBA1F8" w14:textId="7996C8A1" w:rsidR="00794893" w:rsidRPr="007A4382" w:rsidRDefault="00A701B0" w:rsidP="00750BED">
      <w:pPr>
        <w:pStyle w:val="ListParagraph"/>
        <w:numPr>
          <w:ilvl w:val="0"/>
          <w:numId w:val="3"/>
        </w:numPr>
        <w:rPr>
          <w:rFonts w:ascii="Arial" w:hAnsi="Arial" w:cs="Arial"/>
          <w:color w:val="A30000"/>
        </w:rPr>
      </w:pPr>
      <w:r w:rsidRPr="007A4382">
        <w:rPr>
          <w:rFonts w:ascii="Arial" w:hAnsi="Arial" w:cs="Arial"/>
          <w:color w:val="A30000"/>
        </w:rPr>
        <w:t xml:space="preserve">The 1.2T Hitachi unit will do the larger </w:t>
      </w:r>
      <w:r w:rsidR="0010603D" w:rsidRPr="007A4382">
        <w:rPr>
          <w:rFonts w:ascii="Arial" w:hAnsi="Arial" w:cs="Arial"/>
          <w:color w:val="A30000"/>
        </w:rPr>
        <w:t>share</w:t>
      </w:r>
      <w:r w:rsidRPr="007A4382">
        <w:rPr>
          <w:rFonts w:ascii="Arial" w:hAnsi="Arial" w:cs="Arial"/>
          <w:color w:val="A30000"/>
        </w:rPr>
        <w:t xml:space="preserve"> of scans at the center because it will be the magnet </w:t>
      </w:r>
      <w:r w:rsidR="00750BED" w:rsidRPr="007A4382">
        <w:rPr>
          <w:rFonts w:ascii="Arial" w:hAnsi="Arial" w:cs="Arial"/>
          <w:color w:val="A30000"/>
        </w:rPr>
        <w:t>better suited for a larger portion of scan types per</w:t>
      </w:r>
      <w:r w:rsidR="007E5CA0" w:rsidRPr="007A4382">
        <w:rPr>
          <w:rFonts w:ascii="Arial" w:hAnsi="Arial" w:cs="Arial"/>
          <w:color w:val="A30000"/>
        </w:rPr>
        <w:t>formed.</w:t>
      </w:r>
    </w:p>
    <w:p w14:paraId="3B16A742" w14:textId="77777777" w:rsidR="00750BED" w:rsidRPr="003D2485" w:rsidRDefault="00750BED" w:rsidP="00750BED">
      <w:pPr>
        <w:pStyle w:val="ListParagraph"/>
        <w:rPr>
          <w:rFonts w:ascii="Arial" w:hAnsi="Arial" w:cs="Arial"/>
          <w:color w:val="FF0000"/>
        </w:rPr>
      </w:pPr>
    </w:p>
    <w:p w14:paraId="155D4B08" w14:textId="425FF8BE" w:rsidR="00F216FB" w:rsidRPr="003D2485" w:rsidRDefault="00175B52" w:rsidP="006B3795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</w:rPr>
      </w:pPr>
      <w:r w:rsidRPr="003D2485">
        <w:rPr>
          <w:rFonts w:ascii="Arial" w:hAnsi="Arial" w:cs="Arial"/>
        </w:rPr>
        <w:t>Describe any Clinical Decision Support tools or Preauthorization tools in use currently and their effectiveness in curbing unnecessary</w:t>
      </w:r>
      <w:r w:rsidR="004A751A" w:rsidRPr="003D2485">
        <w:rPr>
          <w:rFonts w:ascii="Arial" w:hAnsi="Arial" w:cs="Arial"/>
        </w:rPr>
        <w:t xml:space="preserve"> </w:t>
      </w:r>
      <w:r w:rsidRPr="003D2485">
        <w:rPr>
          <w:rFonts w:ascii="Arial" w:hAnsi="Arial" w:cs="Arial"/>
        </w:rPr>
        <w:t>MRI imaging.</w:t>
      </w:r>
    </w:p>
    <w:p w14:paraId="76D656EE" w14:textId="77777777" w:rsidR="00794893" w:rsidRPr="003D2485" w:rsidRDefault="00794893" w:rsidP="00794893">
      <w:pPr>
        <w:rPr>
          <w:rFonts w:ascii="Arial" w:hAnsi="Arial" w:cs="Arial"/>
        </w:rPr>
      </w:pPr>
    </w:p>
    <w:p w14:paraId="698100C2" w14:textId="77777777" w:rsidR="00794893" w:rsidRPr="00F93CA5" w:rsidRDefault="00794893" w:rsidP="00794893">
      <w:pPr>
        <w:rPr>
          <w:rFonts w:ascii="Arial" w:hAnsi="Arial" w:cs="Arial"/>
          <w:b/>
          <w:color w:val="A30000"/>
          <w:sz w:val="22"/>
          <w:szCs w:val="22"/>
          <w:u w:val="single"/>
        </w:rPr>
      </w:pPr>
      <w:r w:rsidRPr="00F93CA5">
        <w:rPr>
          <w:rFonts w:ascii="Arial" w:hAnsi="Arial" w:cs="Arial"/>
          <w:b/>
          <w:color w:val="A30000"/>
          <w:sz w:val="22"/>
          <w:szCs w:val="22"/>
          <w:u w:val="single"/>
        </w:rPr>
        <w:t>Answer:</w:t>
      </w:r>
    </w:p>
    <w:p w14:paraId="150700D9" w14:textId="77777777" w:rsidR="00794893" w:rsidRPr="00F93CA5" w:rsidRDefault="00794893" w:rsidP="00794893">
      <w:pPr>
        <w:rPr>
          <w:rFonts w:ascii="Arial" w:hAnsi="Arial" w:cs="Arial"/>
          <w:b/>
          <w:color w:val="A30000"/>
          <w:sz w:val="22"/>
          <w:szCs w:val="22"/>
          <w:u w:val="single"/>
        </w:rPr>
      </w:pPr>
    </w:p>
    <w:p w14:paraId="499727C1" w14:textId="7E064D30" w:rsidR="00F216FB" w:rsidRPr="00F93CA5" w:rsidRDefault="00B966CA" w:rsidP="000658A5">
      <w:pPr>
        <w:pStyle w:val="ListParagraph"/>
        <w:numPr>
          <w:ilvl w:val="0"/>
          <w:numId w:val="3"/>
        </w:numPr>
        <w:rPr>
          <w:rFonts w:ascii="Arial" w:hAnsi="Arial" w:cs="Arial"/>
          <w:color w:val="A30000"/>
        </w:rPr>
      </w:pPr>
      <w:r w:rsidRPr="00F93CA5">
        <w:rPr>
          <w:rFonts w:ascii="Arial" w:hAnsi="Arial" w:cs="Arial"/>
          <w:color w:val="A30000"/>
        </w:rPr>
        <w:t>Shields does provide a C</w:t>
      </w:r>
      <w:r w:rsidR="008A0E89" w:rsidRPr="00F93CA5">
        <w:rPr>
          <w:rFonts w:ascii="Arial" w:hAnsi="Arial" w:cs="Arial"/>
          <w:color w:val="A30000"/>
        </w:rPr>
        <w:t xml:space="preserve">linical </w:t>
      </w:r>
      <w:r w:rsidRPr="00F93CA5">
        <w:rPr>
          <w:rFonts w:ascii="Arial" w:hAnsi="Arial" w:cs="Arial"/>
          <w:color w:val="A30000"/>
        </w:rPr>
        <w:t>D</w:t>
      </w:r>
      <w:r w:rsidR="008A0E89" w:rsidRPr="00F93CA5">
        <w:rPr>
          <w:rFonts w:ascii="Arial" w:hAnsi="Arial" w:cs="Arial"/>
          <w:color w:val="A30000"/>
        </w:rPr>
        <w:t xml:space="preserve">ecision </w:t>
      </w:r>
      <w:r w:rsidRPr="00F93CA5">
        <w:rPr>
          <w:rFonts w:ascii="Arial" w:hAnsi="Arial" w:cs="Arial"/>
          <w:color w:val="A30000"/>
        </w:rPr>
        <w:t>S</w:t>
      </w:r>
      <w:r w:rsidR="008A0E89" w:rsidRPr="00F93CA5">
        <w:rPr>
          <w:rFonts w:ascii="Arial" w:hAnsi="Arial" w:cs="Arial"/>
          <w:color w:val="A30000"/>
        </w:rPr>
        <w:t>upport</w:t>
      </w:r>
      <w:r w:rsidRPr="00F93CA5">
        <w:rPr>
          <w:rFonts w:ascii="Arial" w:hAnsi="Arial" w:cs="Arial"/>
          <w:color w:val="A30000"/>
        </w:rPr>
        <w:t xml:space="preserve"> tool</w:t>
      </w:r>
      <w:r w:rsidR="000658A5" w:rsidRPr="00F93CA5">
        <w:rPr>
          <w:rFonts w:ascii="Arial" w:hAnsi="Arial" w:cs="Arial"/>
          <w:color w:val="A30000"/>
        </w:rPr>
        <w:t xml:space="preserve"> (A</w:t>
      </w:r>
      <w:r w:rsidR="008A0E89" w:rsidRPr="00F93CA5">
        <w:rPr>
          <w:rFonts w:ascii="Arial" w:hAnsi="Arial" w:cs="Arial"/>
          <w:color w:val="A30000"/>
        </w:rPr>
        <w:t xml:space="preserve">merican </w:t>
      </w:r>
      <w:r w:rsidR="000658A5" w:rsidRPr="00F93CA5">
        <w:rPr>
          <w:rFonts w:ascii="Arial" w:hAnsi="Arial" w:cs="Arial"/>
          <w:color w:val="A30000"/>
        </w:rPr>
        <w:t>C</w:t>
      </w:r>
      <w:r w:rsidR="008A0E89" w:rsidRPr="00F93CA5">
        <w:rPr>
          <w:rFonts w:ascii="Arial" w:hAnsi="Arial" w:cs="Arial"/>
          <w:color w:val="A30000"/>
        </w:rPr>
        <w:t xml:space="preserve">ollege of </w:t>
      </w:r>
      <w:r w:rsidR="000658A5" w:rsidRPr="00F93CA5">
        <w:rPr>
          <w:rFonts w:ascii="Arial" w:hAnsi="Arial" w:cs="Arial"/>
          <w:color w:val="A30000"/>
        </w:rPr>
        <w:t>R</w:t>
      </w:r>
      <w:r w:rsidR="008A0E89" w:rsidRPr="00F93CA5">
        <w:rPr>
          <w:rFonts w:ascii="Arial" w:hAnsi="Arial" w:cs="Arial"/>
          <w:color w:val="A30000"/>
        </w:rPr>
        <w:t>adiology</w:t>
      </w:r>
      <w:r w:rsidR="000658A5" w:rsidRPr="00F93CA5">
        <w:rPr>
          <w:rFonts w:ascii="Arial" w:hAnsi="Arial" w:cs="Arial"/>
          <w:color w:val="A30000"/>
        </w:rPr>
        <w:t>)</w:t>
      </w:r>
      <w:r w:rsidRPr="00F93CA5">
        <w:rPr>
          <w:rFonts w:ascii="Arial" w:hAnsi="Arial" w:cs="Arial"/>
          <w:color w:val="A30000"/>
        </w:rPr>
        <w:t xml:space="preserve"> to referring physicians who are leveraging e</w:t>
      </w:r>
      <w:r w:rsidR="000658A5" w:rsidRPr="00F93CA5">
        <w:rPr>
          <w:rFonts w:ascii="Arial" w:hAnsi="Arial" w:cs="Arial"/>
          <w:color w:val="A30000"/>
        </w:rPr>
        <w:t>lectronic ordering, and this is primarily referring physician driven. The physicians leverage the tool to identify if an MRI scan is appropriate/necessary for the patient, and then they determine the final order (MRI, CT, or no imaging) based on the results of the tool. This essential</w:t>
      </w:r>
      <w:r w:rsidR="00B77AF4" w:rsidRPr="00F93CA5">
        <w:rPr>
          <w:rFonts w:ascii="Arial" w:hAnsi="Arial" w:cs="Arial"/>
          <w:color w:val="A30000"/>
        </w:rPr>
        <w:t>ly means that Shields will never schedule and scan a</w:t>
      </w:r>
      <w:r w:rsidR="000658A5" w:rsidRPr="00F93CA5">
        <w:rPr>
          <w:rFonts w:ascii="Arial" w:hAnsi="Arial" w:cs="Arial"/>
          <w:color w:val="A30000"/>
        </w:rPr>
        <w:t xml:space="preserve"> patient that would be categorized as “unnecessary” </w:t>
      </w:r>
      <w:r w:rsidR="00B77AF4" w:rsidRPr="00F93CA5">
        <w:rPr>
          <w:rFonts w:ascii="Arial" w:hAnsi="Arial" w:cs="Arial"/>
          <w:color w:val="A30000"/>
        </w:rPr>
        <w:t xml:space="preserve">by a referring MD </w:t>
      </w:r>
      <w:r w:rsidR="000658A5" w:rsidRPr="00F93CA5">
        <w:rPr>
          <w:rFonts w:ascii="Arial" w:hAnsi="Arial" w:cs="Arial"/>
          <w:color w:val="A30000"/>
        </w:rPr>
        <w:t xml:space="preserve">for </w:t>
      </w:r>
      <w:r w:rsidR="00B77AF4" w:rsidRPr="00F93CA5">
        <w:rPr>
          <w:rFonts w:ascii="Arial" w:hAnsi="Arial" w:cs="Arial"/>
          <w:color w:val="A30000"/>
        </w:rPr>
        <w:t xml:space="preserve">an MRI order. </w:t>
      </w:r>
    </w:p>
    <w:p w14:paraId="5A59FDE6" w14:textId="77777777" w:rsidR="000658A5" w:rsidRPr="003D2485" w:rsidRDefault="000658A5" w:rsidP="000658A5">
      <w:pPr>
        <w:pStyle w:val="ListParagraph"/>
        <w:rPr>
          <w:rFonts w:ascii="Arial" w:hAnsi="Arial" w:cs="Arial"/>
          <w:color w:val="FF0000"/>
        </w:rPr>
      </w:pPr>
    </w:p>
    <w:p w14:paraId="4DB59161" w14:textId="16F4A947" w:rsidR="00F216FB" w:rsidRPr="003D2485" w:rsidRDefault="00F216FB" w:rsidP="00DF1E9A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</w:rPr>
      </w:pPr>
      <w:r w:rsidRPr="003D2485">
        <w:rPr>
          <w:rFonts w:ascii="Arial" w:hAnsi="Arial" w:cs="Arial"/>
        </w:rPr>
        <w:t xml:space="preserve">There </w:t>
      </w:r>
      <w:r w:rsidR="00B552AF" w:rsidRPr="003D2485">
        <w:rPr>
          <w:rFonts w:ascii="Arial" w:hAnsi="Arial" w:cs="Arial"/>
        </w:rPr>
        <w:t>are two</w:t>
      </w:r>
      <w:r w:rsidRPr="003D2485">
        <w:rPr>
          <w:rFonts w:ascii="Arial" w:hAnsi="Arial" w:cs="Arial"/>
        </w:rPr>
        <w:t xml:space="preserve"> measures the Applicant proposed</w:t>
      </w:r>
      <w:r w:rsidR="00B552AF" w:rsidRPr="003D2485">
        <w:rPr>
          <w:rFonts w:ascii="Arial" w:hAnsi="Arial" w:cs="Arial"/>
        </w:rPr>
        <w:t xml:space="preserve"> to assess Project impact that need further clarification. (pg. 20 and Follow-up Response 3.29.2022)</w:t>
      </w:r>
    </w:p>
    <w:p w14:paraId="7D311DA2" w14:textId="1D670833" w:rsidR="005074C2" w:rsidRPr="003D2485" w:rsidRDefault="005074C2" w:rsidP="005074C2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</w:rPr>
      </w:pPr>
      <w:r w:rsidRPr="003D2485">
        <w:rPr>
          <w:rFonts w:ascii="Arial" w:hAnsi="Arial" w:cs="Arial"/>
        </w:rPr>
        <w:t xml:space="preserve">For </w:t>
      </w:r>
      <w:r w:rsidRPr="003D2485">
        <w:rPr>
          <w:rFonts w:ascii="Arial" w:hAnsi="Arial" w:cs="Arial"/>
          <w:u w:val="single"/>
        </w:rPr>
        <w:t>Wait Times: Access-Backlog</w:t>
      </w:r>
      <w:r w:rsidRPr="003D2485">
        <w:rPr>
          <w:rFonts w:ascii="Arial" w:hAnsi="Arial" w:cs="Arial"/>
        </w:rPr>
        <w:t xml:space="preserve"> measure, the Applicant said it would measure “The number of times scanning day utilization is greater than 90% and adjustments need to be made to the schedule.” In a follow-up question, the </w:t>
      </w:r>
      <w:r w:rsidRPr="003D2485">
        <w:rPr>
          <w:rFonts w:ascii="Arial" w:hAnsi="Arial" w:cs="Arial"/>
        </w:rPr>
        <w:lastRenderedPageBreak/>
        <w:t xml:space="preserve">numerator and denominator </w:t>
      </w:r>
      <w:proofErr w:type="gramStart"/>
      <w:r w:rsidRPr="003D2485">
        <w:rPr>
          <w:rFonts w:ascii="Arial" w:hAnsi="Arial" w:cs="Arial"/>
        </w:rPr>
        <w:t>was</w:t>
      </w:r>
      <w:proofErr w:type="gramEnd"/>
      <w:r w:rsidRPr="003D2485">
        <w:rPr>
          <w:rFonts w:ascii="Arial" w:hAnsi="Arial" w:cs="Arial"/>
        </w:rPr>
        <w:t xml:space="preserve"> to be defined </w:t>
      </w:r>
      <w:r w:rsidR="007E5CA0" w:rsidRPr="003D2485">
        <w:rPr>
          <w:rFonts w:ascii="Arial" w:hAnsi="Arial" w:cs="Arial"/>
        </w:rPr>
        <w:t xml:space="preserve">as </w:t>
      </w:r>
      <w:r w:rsidRPr="003D2485">
        <w:rPr>
          <w:rFonts w:ascii="Arial" w:hAnsi="Arial" w:cs="Arial"/>
        </w:rPr>
        <w:t>(</w:t>
      </w:r>
      <w:r w:rsidRPr="003D2485">
        <w:rPr>
          <w:rFonts w:ascii="Arial" w:hAnsi="Arial" w:cs="Arial"/>
          <w:i/>
          <w:iCs/>
        </w:rPr>
        <w:t>Date of order/referral to date of appointment</w:t>
      </w:r>
      <w:r w:rsidRPr="003D2485">
        <w:rPr>
          <w:rFonts w:ascii="Arial" w:hAnsi="Arial" w:cs="Arial"/>
        </w:rPr>
        <w:t xml:space="preserve">), however, it is unclear how it relates to this measure. </w:t>
      </w:r>
    </w:p>
    <w:p w14:paraId="0F1372D4" w14:textId="77777777" w:rsidR="00F97412" w:rsidRPr="003D2485" w:rsidRDefault="00F97412" w:rsidP="00720216">
      <w:pPr>
        <w:rPr>
          <w:rFonts w:ascii="Arial" w:hAnsi="Arial" w:cs="Arial"/>
        </w:rPr>
      </w:pPr>
    </w:p>
    <w:p w14:paraId="6984E877" w14:textId="23A63956" w:rsidR="007E5CA0" w:rsidRPr="00F93CA5" w:rsidRDefault="00720216" w:rsidP="007E5CA0">
      <w:pPr>
        <w:rPr>
          <w:rFonts w:ascii="Arial" w:hAnsi="Arial" w:cs="Arial"/>
          <w:b/>
          <w:color w:val="A30000"/>
          <w:sz w:val="22"/>
          <w:szCs w:val="22"/>
          <w:u w:val="single"/>
        </w:rPr>
      </w:pPr>
      <w:r w:rsidRPr="00F93CA5">
        <w:rPr>
          <w:rFonts w:ascii="Arial" w:hAnsi="Arial" w:cs="Arial"/>
          <w:b/>
          <w:color w:val="A30000"/>
          <w:sz w:val="22"/>
          <w:szCs w:val="22"/>
          <w:u w:val="single"/>
        </w:rPr>
        <w:t>Answer:</w:t>
      </w:r>
    </w:p>
    <w:p w14:paraId="242F083F" w14:textId="22144E14" w:rsidR="000D3C3E" w:rsidRPr="00F93CA5" w:rsidRDefault="000D3C3E" w:rsidP="000D3C3E">
      <w:pPr>
        <w:rPr>
          <w:rFonts w:ascii="Arial" w:hAnsi="Arial" w:cs="Arial"/>
          <w:b/>
          <w:color w:val="A30000"/>
          <w:u w:val="single"/>
        </w:rPr>
      </w:pPr>
    </w:p>
    <w:p w14:paraId="15BA0B1E" w14:textId="0C255D64" w:rsidR="000D3C3E" w:rsidRPr="00F93CA5" w:rsidRDefault="000D3C3E" w:rsidP="000D3C3E">
      <w:pPr>
        <w:rPr>
          <w:rFonts w:ascii="Arial" w:hAnsi="Arial" w:cs="Arial"/>
          <w:color w:val="A30000"/>
          <w:sz w:val="22"/>
          <w:szCs w:val="22"/>
        </w:rPr>
      </w:pPr>
      <w:r w:rsidRPr="00F93CA5">
        <w:rPr>
          <w:rFonts w:ascii="Arial" w:hAnsi="Arial" w:cs="Arial"/>
          <w:color w:val="A30000"/>
          <w:sz w:val="22"/>
          <w:szCs w:val="22"/>
        </w:rPr>
        <w:t>In the DoN narrative it was stated that scanning day utilization would be the measure used, but the actual measure for wait time/backlog/access will be as follows…</w:t>
      </w:r>
    </w:p>
    <w:p w14:paraId="0D4D5E5C" w14:textId="77777777" w:rsidR="000D3C3E" w:rsidRPr="00F93CA5" w:rsidRDefault="000D3C3E" w:rsidP="000D3C3E">
      <w:pPr>
        <w:rPr>
          <w:rFonts w:ascii="Arial" w:hAnsi="Arial" w:cs="Arial"/>
          <w:color w:val="A30000"/>
          <w:sz w:val="22"/>
          <w:szCs w:val="22"/>
        </w:rPr>
      </w:pPr>
    </w:p>
    <w:p w14:paraId="492A966D" w14:textId="39748754" w:rsidR="00145FF7" w:rsidRPr="00F93CA5" w:rsidRDefault="00E23A1E" w:rsidP="000D3C3E">
      <w:pPr>
        <w:pStyle w:val="ListParagraph"/>
        <w:numPr>
          <w:ilvl w:val="0"/>
          <w:numId w:val="3"/>
        </w:numPr>
        <w:rPr>
          <w:rFonts w:ascii="Arial" w:hAnsi="Arial" w:cs="Arial"/>
          <w:color w:val="A30000"/>
        </w:rPr>
      </w:pPr>
      <w:r w:rsidRPr="00F93CA5">
        <w:rPr>
          <w:rFonts w:ascii="Arial" w:hAnsi="Arial" w:cs="Arial"/>
          <w:b/>
          <w:color w:val="A30000"/>
        </w:rPr>
        <w:t>Time</w:t>
      </w:r>
      <w:r w:rsidR="00145FF7" w:rsidRPr="00F93CA5">
        <w:rPr>
          <w:rFonts w:ascii="Arial" w:hAnsi="Arial" w:cs="Arial"/>
          <w:b/>
          <w:color w:val="A30000"/>
        </w:rPr>
        <w:t>frame</w:t>
      </w:r>
      <w:r w:rsidRPr="00F93CA5">
        <w:rPr>
          <w:rFonts w:ascii="Arial" w:hAnsi="Arial" w:cs="Arial"/>
          <w:b/>
          <w:color w:val="A30000"/>
        </w:rPr>
        <w:t xml:space="preserve"> between the </w:t>
      </w:r>
      <w:r w:rsidR="000D3C3E" w:rsidRPr="00F93CA5">
        <w:rPr>
          <w:rFonts w:ascii="Arial" w:hAnsi="Arial" w:cs="Arial"/>
          <w:b/>
          <w:color w:val="A30000"/>
        </w:rPr>
        <w:t xml:space="preserve">“Order </w:t>
      </w:r>
      <w:r w:rsidRPr="00F93CA5">
        <w:rPr>
          <w:rFonts w:ascii="Arial" w:hAnsi="Arial" w:cs="Arial"/>
          <w:b/>
          <w:color w:val="A30000"/>
        </w:rPr>
        <w:t xml:space="preserve">Date” </w:t>
      </w:r>
      <w:r w:rsidR="00145FF7" w:rsidRPr="00F93CA5">
        <w:rPr>
          <w:rFonts w:ascii="Arial" w:hAnsi="Arial" w:cs="Arial"/>
          <w:b/>
          <w:color w:val="A30000"/>
        </w:rPr>
        <w:t>and</w:t>
      </w:r>
      <w:r w:rsidR="000D3C3E" w:rsidRPr="00F93CA5">
        <w:rPr>
          <w:rFonts w:ascii="Arial" w:hAnsi="Arial" w:cs="Arial"/>
          <w:b/>
          <w:color w:val="A30000"/>
        </w:rPr>
        <w:t xml:space="preserve"> “Date of A</w:t>
      </w:r>
      <w:r w:rsidRPr="00F93CA5">
        <w:rPr>
          <w:rFonts w:ascii="Arial" w:hAnsi="Arial" w:cs="Arial"/>
          <w:b/>
          <w:color w:val="A30000"/>
        </w:rPr>
        <w:t>ppointment</w:t>
      </w:r>
      <w:r w:rsidR="000D3C3E" w:rsidRPr="00F93CA5">
        <w:rPr>
          <w:rFonts w:ascii="Arial" w:hAnsi="Arial" w:cs="Arial"/>
          <w:b/>
          <w:color w:val="A30000"/>
        </w:rPr>
        <w:t>”.</w:t>
      </w:r>
      <w:r w:rsidR="000D3C3E" w:rsidRPr="00F93CA5">
        <w:rPr>
          <w:rFonts w:ascii="Arial" w:hAnsi="Arial" w:cs="Arial"/>
          <w:color w:val="A30000"/>
        </w:rPr>
        <w:t xml:space="preserve"> </w:t>
      </w:r>
    </w:p>
    <w:p w14:paraId="455ADBE5" w14:textId="66146BB6" w:rsidR="00750BED" w:rsidRPr="00F93CA5" w:rsidRDefault="00145FF7" w:rsidP="008C0BCD">
      <w:pPr>
        <w:pStyle w:val="ListParagraph"/>
        <w:numPr>
          <w:ilvl w:val="0"/>
          <w:numId w:val="3"/>
        </w:numPr>
        <w:rPr>
          <w:rFonts w:ascii="Arial" w:hAnsi="Arial" w:cs="Arial"/>
          <w:color w:val="A30000"/>
        </w:rPr>
      </w:pPr>
      <w:r w:rsidRPr="00F93CA5">
        <w:rPr>
          <w:rFonts w:ascii="Arial" w:hAnsi="Arial" w:cs="Arial"/>
          <w:color w:val="A30000"/>
        </w:rPr>
        <w:t xml:space="preserve">This measure tracks how fast Shields patients </w:t>
      </w:r>
      <w:proofErr w:type="gramStart"/>
      <w:r w:rsidRPr="00F93CA5">
        <w:rPr>
          <w:rFonts w:ascii="Arial" w:hAnsi="Arial" w:cs="Arial"/>
          <w:color w:val="A30000"/>
        </w:rPr>
        <w:t>are able to</w:t>
      </w:r>
      <w:proofErr w:type="gramEnd"/>
      <w:r w:rsidRPr="00F93CA5">
        <w:rPr>
          <w:rFonts w:ascii="Arial" w:hAnsi="Arial" w:cs="Arial"/>
          <w:color w:val="A30000"/>
        </w:rPr>
        <w:t xml:space="preserve"> get into the schedule once an order is received, with the target being less than 48 hours. </w:t>
      </w:r>
    </w:p>
    <w:p w14:paraId="38750759" w14:textId="77777777" w:rsidR="00145FF7" w:rsidRPr="003D2485" w:rsidRDefault="00145FF7" w:rsidP="00145FF7">
      <w:pPr>
        <w:pStyle w:val="ListParagraph"/>
        <w:rPr>
          <w:rFonts w:ascii="Arial" w:hAnsi="Arial" w:cs="Arial"/>
          <w:color w:val="FF0000"/>
        </w:rPr>
      </w:pPr>
    </w:p>
    <w:p w14:paraId="49EA9AD8" w14:textId="19726558" w:rsidR="005074C2" w:rsidRPr="003D2485" w:rsidRDefault="005074C2" w:rsidP="005074C2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</w:rPr>
      </w:pPr>
      <w:r w:rsidRPr="003D2485">
        <w:rPr>
          <w:rFonts w:ascii="Arial" w:hAnsi="Arial" w:cs="Arial"/>
        </w:rPr>
        <w:t xml:space="preserve">For the </w:t>
      </w:r>
      <w:r w:rsidRPr="003D2485">
        <w:rPr>
          <w:rFonts w:ascii="Arial" w:hAnsi="Arial" w:cs="Arial"/>
          <w:u w:val="single"/>
        </w:rPr>
        <w:t>Important Finding Alert ("IFA")</w:t>
      </w:r>
      <w:r w:rsidRPr="003D2485">
        <w:rPr>
          <w:rFonts w:ascii="Arial" w:hAnsi="Arial" w:cs="Arial"/>
        </w:rPr>
        <w:t xml:space="preserve"> measure, is the measure for the number of IFAs or the number of IFAs for which radiologists conducted a report?</w:t>
      </w:r>
      <w:r w:rsidR="00981EB4" w:rsidRPr="003D2485">
        <w:rPr>
          <w:rFonts w:ascii="Arial" w:hAnsi="Arial" w:cs="Arial"/>
        </w:rPr>
        <w:t xml:space="preserve"> </w:t>
      </w:r>
    </w:p>
    <w:p w14:paraId="701126F1" w14:textId="2CA1F181" w:rsidR="00175B52" w:rsidRPr="003D2485" w:rsidRDefault="00175B52" w:rsidP="00175B52">
      <w:pPr>
        <w:rPr>
          <w:rFonts w:ascii="Arial" w:hAnsi="Arial" w:cs="Arial"/>
        </w:rPr>
      </w:pPr>
    </w:p>
    <w:p w14:paraId="3D97A386" w14:textId="77777777" w:rsidR="00981EB4" w:rsidRPr="00F93CA5" w:rsidRDefault="00981EB4" w:rsidP="00981EB4">
      <w:pPr>
        <w:rPr>
          <w:rFonts w:ascii="Arial" w:hAnsi="Arial" w:cs="Arial"/>
          <w:b/>
          <w:color w:val="A30000"/>
          <w:sz w:val="22"/>
          <w:szCs w:val="22"/>
          <w:u w:val="single"/>
        </w:rPr>
      </w:pPr>
      <w:r w:rsidRPr="00F93CA5">
        <w:rPr>
          <w:rFonts w:ascii="Arial" w:hAnsi="Arial" w:cs="Arial"/>
          <w:b/>
          <w:color w:val="A30000"/>
          <w:sz w:val="22"/>
          <w:szCs w:val="22"/>
          <w:u w:val="single"/>
        </w:rPr>
        <w:t>Answer:</w:t>
      </w:r>
    </w:p>
    <w:p w14:paraId="7D691EFF" w14:textId="77777777" w:rsidR="00981EB4" w:rsidRPr="00F93CA5" w:rsidRDefault="00981EB4" w:rsidP="00981EB4">
      <w:pPr>
        <w:rPr>
          <w:rFonts w:ascii="Arial" w:hAnsi="Arial" w:cs="Arial"/>
          <w:b/>
          <w:color w:val="A30000"/>
          <w:sz w:val="22"/>
          <w:szCs w:val="22"/>
          <w:u w:val="single"/>
        </w:rPr>
      </w:pPr>
    </w:p>
    <w:p w14:paraId="5BBAA6F2" w14:textId="01BBFF9D" w:rsidR="00175B52" w:rsidRPr="00F93CA5" w:rsidRDefault="00720216" w:rsidP="00720216">
      <w:pPr>
        <w:pStyle w:val="ListParagraph"/>
        <w:numPr>
          <w:ilvl w:val="0"/>
          <w:numId w:val="3"/>
        </w:numPr>
        <w:rPr>
          <w:rFonts w:ascii="Arial" w:hAnsi="Arial" w:cs="Arial"/>
          <w:color w:val="A30000"/>
        </w:rPr>
      </w:pPr>
      <w:r w:rsidRPr="00F93CA5">
        <w:rPr>
          <w:rFonts w:ascii="Arial" w:hAnsi="Arial" w:cs="Arial"/>
          <w:color w:val="A30000"/>
        </w:rPr>
        <w:t>The measure will be the number of IFAs for which a radiologist conducted a report. For Shields, all MRI scans that trigger an IFA need to have a</w:t>
      </w:r>
      <w:r w:rsidR="00AE6BAB" w:rsidRPr="00F93CA5">
        <w:rPr>
          <w:rFonts w:ascii="Arial" w:hAnsi="Arial" w:cs="Arial"/>
          <w:color w:val="A30000"/>
        </w:rPr>
        <w:t xml:space="preserve"> corresponding </w:t>
      </w:r>
      <w:r w:rsidRPr="00F93CA5">
        <w:rPr>
          <w:rFonts w:ascii="Arial" w:hAnsi="Arial" w:cs="Arial"/>
          <w:color w:val="A30000"/>
        </w:rPr>
        <w:t xml:space="preserve">critical value/finding report </w:t>
      </w:r>
      <w:r w:rsidR="00B966CA" w:rsidRPr="00F93CA5">
        <w:rPr>
          <w:rFonts w:ascii="Arial" w:hAnsi="Arial" w:cs="Arial"/>
          <w:color w:val="A30000"/>
        </w:rPr>
        <w:t>from the Radiologist.</w:t>
      </w:r>
    </w:p>
    <w:sectPr w:rsidR="00175B52" w:rsidRPr="00F93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D0C41"/>
    <w:multiLevelType w:val="hybridMultilevel"/>
    <w:tmpl w:val="8F1A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C59B3"/>
    <w:multiLevelType w:val="hybridMultilevel"/>
    <w:tmpl w:val="C6D45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15BEB"/>
    <w:multiLevelType w:val="hybridMultilevel"/>
    <w:tmpl w:val="55AC3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609213">
    <w:abstractNumId w:val="0"/>
  </w:num>
  <w:num w:numId="2" w16cid:durableId="3292751">
    <w:abstractNumId w:val="1"/>
  </w:num>
  <w:num w:numId="3" w16cid:durableId="1567764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9B0"/>
    <w:rsid w:val="000048F5"/>
    <w:rsid w:val="000658A5"/>
    <w:rsid w:val="000662CF"/>
    <w:rsid w:val="00082538"/>
    <w:rsid w:val="000D3C3E"/>
    <w:rsid w:val="000D79AC"/>
    <w:rsid w:val="0010603D"/>
    <w:rsid w:val="00114FE5"/>
    <w:rsid w:val="0012556C"/>
    <w:rsid w:val="00127C10"/>
    <w:rsid w:val="00145FF7"/>
    <w:rsid w:val="001626F2"/>
    <w:rsid w:val="00175B52"/>
    <w:rsid w:val="00175C48"/>
    <w:rsid w:val="001765FA"/>
    <w:rsid w:val="001A0C00"/>
    <w:rsid w:val="002513E9"/>
    <w:rsid w:val="002816BF"/>
    <w:rsid w:val="0030680E"/>
    <w:rsid w:val="00353051"/>
    <w:rsid w:val="00353F9A"/>
    <w:rsid w:val="0037512E"/>
    <w:rsid w:val="00382BE8"/>
    <w:rsid w:val="003956A0"/>
    <w:rsid w:val="003D2485"/>
    <w:rsid w:val="003E4197"/>
    <w:rsid w:val="003F7AD0"/>
    <w:rsid w:val="004278D4"/>
    <w:rsid w:val="00462EAF"/>
    <w:rsid w:val="00483816"/>
    <w:rsid w:val="004A751A"/>
    <w:rsid w:val="004C0455"/>
    <w:rsid w:val="004E2919"/>
    <w:rsid w:val="005074C2"/>
    <w:rsid w:val="00544157"/>
    <w:rsid w:val="00593519"/>
    <w:rsid w:val="005B278B"/>
    <w:rsid w:val="0060238E"/>
    <w:rsid w:val="0062043F"/>
    <w:rsid w:val="00650D9F"/>
    <w:rsid w:val="006A0476"/>
    <w:rsid w:val="006B3795"/>
    <w:rsid w:val="006F0EB9"/>
    <w:rsid w:val="00712491"/>
    <w:rsid w:val="00720216"/>
    <w:rsid w:val="00750BED"/>
    <w:rsid w:val="00764F26"/>
    <w:rsid w:val="00772E67"/>
    <w:rsid w:val="00794893"/>
    <w:rsid w:val="007A4382"/>
    <w:rsid w:val="007B071B"/>
    <w:rsid w:val="007C0EBA"/>
    <w:rsid w:val="007E1207"/>
    <w:rsid w:val="007E5CA0"/>
    <w:rsid w:val="008211A0"/>
    <w:rsid w:val="008A0E89"/>
    <w:rsid w:val="008A6CB8"/>
    <w:rsid w:val="008C0BCD"/>
    <w:rsid w:val="008C4F24"/>
    <w:rsid w:val="008C65B2"/>
    <w:rsid w:val="00954925"/>
    <w:rsid w:val="00980917"/>
    <w:rsid w:val="00981EB4"/>
    <w:rsid w:val="009A2B01"/>
    <w:rsid w:val="009A38FB"/>
    <w:rsid w:val="009A6085"/>
    <w:rsid w:val="009A6740"/>
    <w:rsid w:val="009B154F"/>
    <w:rsid w:val="009D4005"/>
    <w:rsid w:val="009F4808"/>
    <w:rsid w:val="00A23FE4"/>
    <w:rsid w:val="00A24D83"/>
    <w:rsid w:val="00A701B0"/>
    <w:rsid w:val="00AA1D28"/>
    <w:rsid w:val="00AA6E4B"/>
    <w:rsid w:val="00AE6BAB"/>
    <w:rsid w:val="00B3750B"/>
    <w:rsid w:val="00B552AF"/>
    <w:rsid w:val="00B675EB"/>
    <w:rsid w:val="00B77AF4"/>
    <w:rsid w:val="00B87871"/>
    <w:rsid w:val="00B966CA"/>
    <w:rsid w:val="00BB2970"/>
    <w:rsid w:val="00BB2B63"/>
    <w:rsid w:val="00BB3235"/>
    <w:rsid w:val="00BD7CF7"/>
    <w:rsid w:val="00BE74B4"/>
    <w:rsid w:val="00CA7B7A"/>
    <w:rsid w:val="00CF01BC"/>
    <w:rsid w:val="00CF5416"/>
    <w:rsid w:val="00D05536"/>
    <w:rsid w:val="00D20644"/>
    <w:rsid w:val="00D8173F"/>
    <w:rsid w:val="00D87898"/>
    <w:rsid w:val="00D9435B"/>
    <w:rsid w:val="00DA2B9A"/>
    <w:rsid w:val="00DA6332"/>
    <w:rsid w:val="00DB6D0C"/>
    <w:rsid w:val="00DE271A"/>
    <w:rsid w:val="00DF1E9A"/>
    <w:rsid w:val="00E23A1E"/>
    <w:rsid w:val="00E25B85"/>
    <w:rsid w:val="00ED378B"/>
    <w:rsid w:val="00EE006B"/>
    <w:rsid w:val="00F109B0"/>
    <w:rsid w:val="00F216FB"/>
    <w:rsid w:val="00F4034C"/>
    <w:rsid w:val="00F53DEB"/>
    <w:rsid w:val="00F6097C"/>
    <w:rsid w:val="00F66BBC"/>
    <w:rsid w:val="00F93CA5"/>
    <w:rsid w:val="00F97412"/>
    <w:rsid w:val="00FA2BDD"/>
    <w:rsid w:val="00FB4439"/>
    <w:rsid w:val="00FF2CF6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979AE"/>
  <w15:chartTrackingRefBased/>
  <w15:docId w15:val="{EB113DD3-00FD-6744-8C72-CD20378B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740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A6740"/>
    <w:rPr>
      <w:sz w:val="22"/>
      <w:szCs w:val="22"/>
    </w:rPr>
  </w:style>
  <w:style w:type="table" w:styleId="TableGrid">
    <w:name w:val="Table Grid"/>
    <w:basedOn w:val="TableNormal"/>
    <w:uiPriority w:val="59"/>
    <w:rsid w:val="009A674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A6740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A6740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A6740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A6E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6E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6E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E4B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DF1E9A"/>
    <w:pPr>
      <w:spacing w:after="200"/>
    </w:pPr>
    <w:rPr>
      <w:b/>
      <w:bCs/>
      <w:color w:val="4472C4" w:themeColor="accent1"/>
      <w:sz w:val="18"/>
      <w:szCs w:val="18"/>
    </w:rPr>
  </w:style>
  <w:style w:type="paragraph" w:styleId="Revision">
    <w:name w:val="Revision"/>
    <w:hidden/>
    <w:uiPriority w:val="99"/>
    <w:semiHidden/>
    <w:rsid w:val="004278D4"/>
  </w:style>
  <w:style w:type="paragraph" w:styleId="BalloonText">
    <w:name w:val="Balloon Text"/>
    <w:basedOn w:val="Normal"/>
    <w:link w:val="BalloonTextChar"/>
    <w:uiPriority w:val="99"/>
    <w:semiHidden/>
    <w:unhideWhenUsed/>
    <w:rsid w:val="008A0E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.DON@State.MA.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CC2FF7B408F4689910F3773D29BA5" ma:contentTypeVersion="9" ma:contentTypeDescription="Create a new document." ma:contentTypeScope="" ma:versionID="6d47f9fdbf8fc2740bbecc83bbb978bd">
  <xsd:schema xmlns:xsd="http://www.w3.org/2001/XMLSchema" xmlns:xs="http://www.w3.org/2001/XMLSchema" xmlns:p="http://schemas.microsoft.com/office/2006/metadata/properties" xmlns:ns3="9faf9ec9-1e89-427d-9aba-0982a7c55c29" targetNamespace="http://schemas.microsoft.com/office/2006/metadata/properties" ma:root="true" ma:fieldsID="ee0fdb27a6b4660be2ead8b327c271d9" ns3:_="">
    <xsd:import namespace="9faf9ec9-1e89-427d-9aba-0982a7c55c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f9ec9-1e89-427d-9aba-0982a7c55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F33E8-BF00-43E2-B033-B741B3151C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D79663-6D18-4546-AD48-CF634A9DE6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4C984-73E2-4E18-9DF8-82F46081F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f9ec9-1e89-427d-9aba-0982a7c55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(Borna) Nazmim Bhuiya</dc:creator>
  <cp:keywords/>
  <dc:description/>
  <cp:lastModifiedBy>Marks, Brett (DPH)</cp:lastModifiedBy>
  <cp:revision>7</cp:revision>
  <dcterms:created xsi:type="dcterms:W3CDTF">2022-05-02T17:20:00Z</dcterms:created>
  <dcterms:modified xsi:type="dcterms:W3CDTF">2022-05-03T18:53:00Z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0x010100ACACC2FF7B408F4689910F3773D29BA5</vt:lpwstr>
  </property>
</Properties>
</file>