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1C91B8E6" w:rsidR="000537DA" w:rsidRDefault="000537DA" w:rsidP="000F315B">
      <w:pPr>
        <w:pStyle w:val="ExecOffice"/>
        <w:framePr w:w="6926" w:wrap="notBeside" w:vAnchor="page" w:x="2884" w:y="711"/>
      </w:pPr>
      <w:r>
        <w:t>Department of Public Health</w:t>
      </w:r>
    </w:p>
    <w:p w14:paraId="1D6F026F" w14:textId="43421198" w:rsidR="00B66323" w:rsidRDefault="00B66323" w:rsidP="000F315B">
      <w:pPr>
        <w:pStyle w:val="ExecOffice"/>
        <w:framePr w:w="6926" w:wrap="notBeside" w:vAnchor="page" w:x="2884" w:y="711"/>
      </w:pPr>
      <w:r>
        <w:t>Bureau of Health Care Safety and Quality</w:t>
      </w:r>
    </w:p>
    <w:p w14:paraId="0958205A" w14:textId="1257A2ED" w:rsidR="006D06D9" w:rsidRDefault="00B66323" w:rsidP="000F315B">
      <w:pPr>
        <w:pStyle w:val="ExecOffice"/>
        <w:framePr w:w="6926" w:wrap="notBeside" w:vAnchor="page" w:x="2884" w:y="711"/>
      </w:pPr>
      <w:r>
        <w:t xml:space="preserve">67 Forest </w:t>
      </w:r>
      <w:r w:rsidR="000537DA">
        <w:t xml:space="preserve">Street, </w:t>
      </w:r>
      <w:r>
        <w:t>Marlborough</w:t>
      </w:r>
      <w:r w:rsidR="000537DA">
        <w:t>, MA 0</w:t>
      </w:r>
      <w:r>
        <w:t>1752</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63DA3540">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oel="http://schemas.microsoft.com/office/2019/extlst">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oel="http://schemas.microsoft.com/office/2019/extlst">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08EDF823" w14:textId="77777777" w:rsidR="00033154" w:rsidRDefault="00033154" w:rsidP="0072610D"/>
    <w:p w14:paraId="017C9852" w14:textId="77777777" w:rsidR="00FC4A84" w:rsidRPr="008229C4" w:rsidRDefault="00FC4A84" w:rsidP="00FC4A84">
      <w:pPr>
        <w:rPr>
          <w:szCs w:val="24"/>
        </w:rPr>
      </w:pPr>
      <w:r w:rsidRPr="008229C4">
        <w:rPr>
          <w:szCs w:val="24"/>
        </w:rPr>
        <w:t>TO:</w:t>
      </w:r>
      <w:r w:rsidRPr="008229C4">
        <w:rPr>
          <w:szCs w:val="24"/>
        </w:rPr>
        <w:tab/>
        <w:t xml:space="preserve">   </w:t>
      </w:r>
      <w:r w:rsidRPr="008229C4">
        <w:rPr>
          <w:szCs w:val="24"/>
        </w:rPr>
        <w:tab/>
      </w:r>
      <w:r>
        <w:rPr>
          <w:szCs w:val="24"/>
        </w:rPr>
        <w:t>Acute Care Hospitals</w:t>
      </w:r>
    </w:p>
    <w:p w14:paraId="23EC3F4F" w14:textId="77777777" w:rsidR="00FC4A84" w:rsidRPr="008229C4" w:rsidRDefault="00FC4A84" w:rsidP="00FC4A84">
      <w:pPr>
        <w:rPr>
          <w:szCs w:val="24"/>
        </w:rPr>
      </w:pPr>
    </w:p>
    <w:p w14:paraId="3945720C" w14:textId="77777777" w:rsidR="00FC4A84" w:rsidRPr="008229C4" w:rsidRDefault="00FC4A84" w:rsidP="00FC4A84">
      <w:pPr>
        <w:outlineLvl w:val="0"/>
        <w:rPr>
          <w:szCs w:val="24"/>
        </w:rPr>
      </w:pPr>
      <w:r w:rsidRPr="008229C4">
        <w:rPr>
          <w:szCs w:val="24"/>
        </w:rPr>
        <w:t xml:space="preserve">FROM: </w:t>
      </w:r>
      <w:r w:rsidRPr="008229C4">
        <w:rPr>
          <w:szCs w:val="24"/>
        </w:rPr>
        <w:tab/>
      </w:r>
      <w:r w:rsidRPr="001E0A87">
        <w:t>Elizabeth Kelley, MPH, MBA, Director</w:t>
      </w:r>
      <w:r w:rsidRPr="001E0A87">
        <w:tab/>
      </w:r>
      <w:r w:rsidRPr="001E0A87">
        <w:tab/>
      </w:r>
      <w:r w:rsidRPr="001E0A87">
        <w:tab/>
      </w:r>
      <w:r w:rsidRPr="001E0A87">
        <w:tab/>
      </w:r>
      <w:r w:rsidRPr="001E0A87">
        <w:tab/>
      </w:r>
      <w:r w:rsidRPr="001E0A87">
        <w:tab/>
      </w:r>
      <w:r w:rsidRPr="001E0A87">
        <w:tab/>
        <w:t xml:space="preserve"> </w:t>
      </w:r>
      <w:r w:rsidRPr="001E0A87">
        <w:tab/>
        <w:t>Bureau of Health Care Safety and Quality</w:t>
      </w:r>
      <w:r>
        <w:rPr>
          <w:szCs w:val="24"/>
        </w:rPr>
        <w:t xml:space="preserve"> </w:t>
      </w:r>
    </w:p>
    <w:p w14:paraId="38350C1E" w14:textId="77777777" w:rsidR="00FC4A84" w:rsidRPr="008229C4" w:rsidRDefault="00FC4A84" w:rsidP="00FC4A84">
      <w:pPr>
        <w:rPr>
          <w:szCs w:val="24"/>
        </w:rPr>
      </w:pPr>
    </w:p>
    <w:p w14:paraId="661E9D48" w14:textId="6673C938" w:rsidR="00FC4A84" w:rsidRDefault="00FC4A84" w:rsidP="00FC4A84">
      <w:pPr>
        <w:rPr>
          <w:szCs w:val="24"/>
        </w:rPr>
      </w:pPr>
      <w:r w:rsidRPr="008229C4">
        <w:rPr>
          <w:szCs w:val="24"/>
        </w:rPr>
        <w:t>DATE:</w:t>
      </w:r>
      <w:r w:rsidRPr="008229C4">
        <w:rPr>
          <w:szCs w:val="24"/>
        </w:rPr>
        <w:tab/>
      </w:r>
      <w:r w:rsidRPr="008229C4">
        <w:rPr>
          <w:szCs w:val="24"/>
        </w:rPr>
        <w:tab/>
      </w:r>
      <w:r>
        <w:rPr>
          <w:szCs w:val="24"/>
        </w:rPr>
        <w:t>June</w:t>
      </w:r>
      <w:r w:rsidR="00A059A5">
        <w:rPr>
          <w:szCs w:val="24"/>
        </w:rPr>
        <w:t xml:space="preserve"> 20,</w:t>
      </w:r>
      <w:r>
        <w:rPr>
          <w:szCs w:val="24"/>
        </w:rPr>
        <w:t xml:space="preserve"> 2023</w:t>
      </w:r>
    </w:p>
    <w:p w14:paraId="3F84D0D0" w14:textId="77777777" w:rsidR="00FC4A84" w:rsidRDefault="00FC4A84" w:rsidP="00FC4A84">
      <w:pPr>
        <w:rPr>
          <w:szCs w:val="24"/>
        </w:rPr>
      </w:pPr>
    </w:p>
    <w:p w14:paraId="654B867D" w14:textId="77777777" w:rsidR="00FC4A84" w:rsidRPr="008229C4" w:rsidRDefault="00FC4A84" w:rsidP="00FC4A84">
      <w:pPr>
        <w:rPr>
          <w:szCs w:val="24"/>
        </w:rPr>
      </w:pPr>
      <w:r>
        <w:rPr>
          <w:szCs w:val="24"/>
        </w:rPr>
        <w:t>RE:</w:t>
      </w:r>
      <w:r>
        <w:rPr>
          <w:szCs w:val="24"/>
        </w:rPr>
        <w:tab/>
      </w:r>
      <w:r>
        <w:rPr>
          <w:szCs w:val="24"/>
        </w:rPr>
        <w:tab/>
      </w:r>
      <w:bookmarkStart w:id="0" w:name="_Hlk95836585"/>
      <w:r>
        <w:rPr>
          <w:szCs w:val="24"/>
        </w:rPr>
        <w:t>Skilled Nursing Facility Short-Term Rehab Capacity Program</w:t>
      </w:r>
      <w:bookmarkEnd w:id="0"/>
    </w:p>
    <w:p w14:paraId="1D735BD4" w14:textId="77777777" w:rsidR="00FC4A84" w:rsidRDefault="00FC4A84" w:rsidP="00FC4A84">
      <w:pPr>
        <w:rPr>
          <w:szCs w:val="24"/>
        </w:rPr>
      </w:pPr>
    </w:p>
    <w:p w14:paraId="6D969580" w14:textId="3924FE95" w:rsidR="00FC4A84" w:rsidRDefault="00FC4A84" w:rsidP="00FC4A84">
      <w:pPr>
        <w:rPr>
          <w:szCs w:val="24"/>
        </w:rPr>
      </w:pPr>
      <w:r>
        <w:rPr>
          <w:szCs w:val="24"/>
        </w:rPr>
        <w:t>This memo serves as an update to the memo issued on December 22, 2022.</w:t>
      </w:r>
      <w:bookmarkStart w:id="1" w:name="_Hlk95836637"/>
      <w:r>
        <w:rPr>
          <w:szCs w:val="24"/>
        </w:rPr>
        <w:t xml:space="preserve">  Since January of 2022, as part of the response to the COVID-19 public health emergency, a </w:t>
      </w:r>
      <w:r w:rsidRPr="00B005AB">
        <w:rPr>
          <w:szCs w:val="24"/>
        </w:rPr>
        <w:t>temporary program that add</w:t>
      </w:r>
      <w:r>
        <w:rPr>
          <w:szCs w:val="24"/>
        </w:rPr>
        <w:t>ed</w:t>
      </w:r>
      <w:r w:rsidRPr="00B005AB">
        <w:rPr>
          <w:szCs w:val="24"/>
        </w:rPr>
        <w:t xml:space="preserve"> short-term rehabilitation capacity in all regions of Massachusetts</w:t>
      </w:r>
      <w:r>
        <w:rPr>
          <w:szCs w:val="24"/>
        </w:rPr>
        <w:t xml:space="preserve"> has been in place. Beginning July 1, 2023, a subset of the current skilled nursing facility (SNF) participants will no longer be participating in the program. The remaining ten facilities (see list below) will continue to participate through September 30, 2023. </w:t>
      </w:r>
    </w:p>
    <w:p w14:paraId="44F24643" w14:textId="77777777" w:rsidR="00FC4A84" w:rsidRDefault="00FC4A84" w:rsidP="00FC4A84">
      <w:pPr>
        <w:rPr>
          <w:szCs w:val="24"/>
        </w:rPr>
      </w:pPr>
      <w:r w:rsidRPr="00B005AB">
        <w:rPr>
          <w:szCs w:val="24"/>
        </w:rPr>
        <w:t xml:space="preserve"> </w:t>
      </w:r>
    </w:p>
    <w:p w14:paraId="1D7E4E6F" w14:textId="7EE815BD" w:rsidR="00FC4A84" w:rsidRPr="00B005AB" w:rsidRDefault="00FC4A84" w:rsidP="00FC4A84">
      <w:pPr>
        <w:rPr>
          <w:szCs w:val="24"/>
        </w:rPr>
      </w:pPr>
      <w:r>
        <w:rPr>
          <w:szCs w:val="24"/>
        </w:rPr>
        <w:t>The majority of SNFs that will no longer participate in the state sponsored program as of July 1, have demonstrated through hiring efforts that they are able to maintain the expanded capacity after they transition out of the program. Accordingly, these facilities will continue</w:t>
      </w:r>
      <w:r w:rsidRPr="00B005AB">
        <w:rPr>
          <w:szCs w:val="24"/>
        </w:rPr>
        <w:t xml:space="preserve"> to support patient care transitions</w:t>
      </w:r>
      <w:r>
        <w:rPr>
          <w:szCs w:val="24"/>
        </w:rPr>
        <w:t xml:space="preserve"> in their region at the current level.</w:t>
      </w:r>
    </w:p>
    <w:p w14:paraId="1193C6DA" w14:textId="77777777" w:rsidR="00FC4A84" w:rsidRPr="00B005AB" w:rsidRDefault="00FC4A84" w:rsidP="00FC4A84">
      <w:pPr>
        <w:rPr>
          <w:szCs w:val="24"/>
        </w:rPr>
      </w:pPr>
    </w:p>
    <w:p w14:paraId="6D405A75" w14:textId="77777777" w:rsidR="00FC4A84" w:rsidRPr="00B005AB" w:rsidRDefault="00FC4A84" w:rsidP="00FC4A84">
      <w:pPr>
        <w:rPr>
          <w:szCs w:val="24"/>
        </w:rPr>
      </w:pPr>
      <w:r w:rsidRPr="00B005AB">
        <w:rPr>
          <w:szCs w:val="24"/>
        </w:rPr>
        <w:t xml:space="preserve">The following Nursing Facilities in each Emergency Medical Service (EMS) region </w:t>
      </w:r>
      <w:r>
        <w:rPr>
          <w:szCs w:val="24"/>
        </w:rPr>
        <w:t xml:space="preserve">will continue to be </w:t>
      </w:r>
      <w:r w:rsidRPr="00B005AB">
        <w:rPr>
          <w:szCs w:val="24"/>
        </w:rPr>
        <w:t>required to accept all hospital referrals for patients that require short-term rehabilitation skilled nursing services as a requirement of participation in the programs</w:t>
      </w:r>
      <w:r>
        <w:rPr>
          <w:szCs w:val="24"/>
        </w:rPr>
        <w:t xml:space="preserve"> through September 30, 2023</w:t>
      </w:r>
      <w:r w:rsidRPr="00B005AB">
        <w:rPr>
          <w:szCs w:val="24"/>
        </w:rPr>
        <w:t xml:space="preserve">. The </w:t>
      </w:r>
      <w:r>
        <w:rPr>
          <w:szCs w:val="24"/>
        </w:rPr>
        <w:t xml:space="preserve">below facilities </w:t>
      </w:r>
      <w:r w:rsidRPr="00B005AB">
        <w:rPr>
          <w:szCs w:val="24"/>
        </w:rPr>
        <w:t xml:space="preserve">must be responsive to requests from any hospital for discharge planning and available to accept all new admissions, inclusive of COVID-19 positive patients, from at least 7:00 a.m. to 7:00 p.m., seven days a week.  Hospitals should use their usual process to refer patients to the SNFs. In addition, the </w:t>
      </w:r>
      <w:r>
        <w:rPr>
          <w:szCs w:val="24"/>
        </w:rPr>
        <w:t xml:space="preserve">SNF </w:t>
      </w:r>
      <w:r w:rsidRPr="00B005AB">
        <w:rPr>
          <w:szCs w:val="24"/>
        </w:rPr>
        <w:t>must work to ensure individuals admitted under this Program are discharged home into the community, in accordance with the resident’s goals once they are safely able to do so. This includes beginning discharge planning and coordinating with formal and informal community supports as soon as practicable upon admission.</w:t>
      </w:r>
    </w:p>
    <w:p w14:paraId="58DB1C5C" w14:textId="77777777" w:rsidR="00FC4A84" w:rsidRDefault="00FC4A84" w:rsidP="00FC4A84">
      <w:pPr>
        <w:rPr>
          <w:szCs w:val="24"/>
        </w:rPr>
      </w:pPr>
    </w:p>
    <w:bookmarkEnd w:id="1"/>
    <w:p w14:paraId="68DBD7F3" w14:textId="77777777" w:rsidR="00FC4A84" w:rsidRDefault="00FC4A84" w:rsidP="00FC4A84">
      <w:pPr>
        <w:rPr>
          <w:szCs w:val="24"/>
        </w:rPr>
      </w:pPr>
      <w:r w:rsidRPr="008C6B59">
        <w:rPr>
          <w:szCs w:val="24"/>
        </w:rPr>
        <w:t xml:space="preserve">Hospitals will be notified via </w:t>
      </w:r>
      <w:r>
        <w:rPr>
          <w:szCs w:val="24"/>
        </w:rPr>
        <w:t xml:space="preserve">a DPH list serv and Health and Medical Coordinating Committee </w:t>
      </w:r>
      <w:r w:rsidRPr="008C6B59">
        <w:rPr>
          <w:szCs w:val="24"/>
        </w:rPr>
        <w:t xml:space="preserve">communication </w:t>
      </w:r>
      <w:r>
        <w:rPr>
          <w:szCs w:val="24"/>
        </w:rPr>
        <w:t xml:space="preserve">should this list of facilities change or if there are any other important updates to share regarding this program. </w:t>
      </w:r>
    </w:p>
    <w:p w14:paraId="54F88002" w14:textId="77777777" w:rsidR="00FC4A84" w:rsidRPr="008C6B59" w:rsidRDefault="00FC4A84" w:rsidP="00FC4A84">
      <w:pPr>
        <w:rPr>
          <w:szCs w:val="24"/>
        </w:rPr>
      </w:pPr>
    </w:p>
    <w:p w14:paraId="5C53BACB" w14:textId="77777777" w:rsidR="00FC4A84" w:rsidRDefault="00FC4A84" w:rsidP="00FC4A84">
      <w:pPr>
        <w:rPr>
          <w:szCs w:val="24"/>
        </w:rPr>
      </w:pPr>
    </w:p>
    <w:tbl>
      <w:tblPr>
        <w:tblStyle w:val="GridTable4"/>
        <w:tblW w:w="9355" w:type="dxa"/>
        <w:tblCellMar>
          <w:top w:w="29" w:type="dxa"/>
          <w:bottom w:w="29" w:type="dxa"/>
        </w:tblCellMar>
        <w:tblLook w:val="0420" w:firstRow="1" w:lastRow="0" w:firstColumn="0" w:lastColumn="0" w:noHBand="0" w:noVBand="1"/>
      </w:tblPr>
      <w:tblGrid>
        <w:gridCol w:w="1118"/>
        <w:gridCol w:w="8237"/>
      </w:tblGrid>
      <w:tr w:rsidR="00FC4A84" w:rsidRPr="00C23705" w14:paraId="0DF05B2F" w14:textId="77777777" w:rsidTr="00D25F76">
        <w:trPr>
          <w:cnfStyle w:val="100000000000" w:firstRow="1" w:lastRow="0" w:firstColumn="0" w:lastColumn="0" w:oddVBand="0" w:evenVBand="0" w:oddHBand="0" w:evenHBand="0" w:firstRowFirstColumn="0" w:firstRowLastColumn="0" w:lastRowFirstColumn="0" w:lastRowLastColumn="0"/>
          <w:trHeight w:val="296"/>
        </w:trPr>
        <w:tc>
          <w:tcPr>
            <w:tcW w:w="1118" w:type="dxa"/>
            <w:hideMark/>
          </w:tcPr>
          <w:p w14:paraId="1331F76F" w14:textId="77777777" w:rsidR="00FC4A84" w:rsidRPr="00C23705" w:rsidRDefault="00FC4A84" w:rsidP="00D25F76">
            <w:pPr>
              <w:rPr>
                <w:sz w:val="36"/>
                <w:szCs w:val="36"/>
              </w:rPr>
            </w:pPr>
            <w:bookmarkStart w:id="2" w:name="_Hlk95836691"/>
            <w:r w:rsidRPr="00C23705">
              <w:rPr>
                <w:color w:val="FFFFFF" w:themeColor="light1"/>
                <w:kern w:val="24"/>
                <w:sz w:val="21"/>
                <w:szCs w:val="21"/>
              </w:rPr>
              <w:t xml:space="preserve">Region </w:t>
            </w:r>
          </w:p>
        </w:tc>
        <w:tc>
          <w:tcPr>
            <w:tcW w:w="8237" w:type="dxa"/>
            <w:hideMark/>
          </w:tcPr>
          <w:p w14:paraId="7EEE1032" w14:textId="77777777" w:rsidR="00FC4A84" w:rsidRPr="00C23705" w:rsidRDefault="00FC4A84" w:rsidP="00D25F76">
            <w:pPr>
              <w:rPr>
                <w:sz w:val="36"/>
                <w:szCs w:val="36"/>
              </w:rPr>
            </w:pPr>
            <w:r w:rsidRPr="00C23705">
              <w:rPr>
                <w:color w:val="FFFFFF" w:themeColor="light1"/>
                <w:kern w:val="24"/>
                <w:sz w:val="21"/>
                <w:szCs w:val="21"/>
              </w:rPr>
              <w:t xml:space="preserve">Facility </w:t>
            </w:r>
          </w:p>
        </w:tc>
      </w:tr>
      <w:tr w:rsidR="00FC4A84" w:rsidRPr="00C23705" w14:paraId="691899E3" w14:textId="77777777" w:rsidTr="00D25F76">
        <w:trPr>
          <w:cnfStyle w:val="000000100000" w:firstRow="0" w:lastRow="0" w:firstColumn="0" w:lastColumn="0" w:oddVBand="0" w:evenVBand="0" w:oddHBand="1" w:evenHBand="0" w:firstRowFirstColumn="0" w:firstRowLastColumn="0" w:lastRowFirstColumn="0" w:lastRowLastColumn="0"/>
          <w:trHeight w:val="293"/>
        </w:trPr>
        <w:tc>
          <w:tcPr>
            <w:tcW w:w="1118" w:type="dxa"/>
            <w:shd w:val="clear" w:color="auto" w:fill="BFBFBF" w:themeFill="background1" w:themeFillShade="BF"/>
            <w:hideMark/>
          </w:tcPr>
          <w:p w14:paraId="58E6C7DB" w14:textId="77777777" w:rsidR="00FC4A84" w:rsidRPr="00A77191" w:rsidRDefault="00FC4A84" w:rsidP="00D25F76">
            <w:pPr>
              <w:jc w:val="center"/>
              <w:rPr>
                <w:color w:val="000000" w:themeColor="dark1"/>
                <w:kern w:val="24"/>
                <w:sz w:val="22"/>
                <w:szCs w:val="22"/>
              </w:rPr>
            </w:pPr>
            <w:r w:rsidRPr="00C23705">
              <w:rPr>
                <w:color w:val="000000" w:themeColor="dark1"/>
                <w:kern w:val="24"/>
                <w:sz w:val="22"/>
                <w:szCs w:val="22"/>
              </w:rPr>
              <w:t>1</w:t>
            </w:r>
          </w:p>
        </w:tc>
        <w:tc>
          <w:tcPr>
            <w:tcW w:w="8237" w:type="dxa"/>
            <w:shd w:val="clear" w:color="auto" w:fill="auto"/>
            <w:vAlign w:val="center"/>
            <w:hideMark/>
          </w:tcPr>
          <w:p w14:paraId="288DF5BA" w14:textId="77777777" w:rsidR="00FC4A84" w:rsidRPr="00FC74FF" w:rsidRDefault="00FC4A84" w:rsidP="00D25F76">
            <w:pPr>
              <w:rPr>
                <w:szCs w:val="24"/>
              </w:rPr>
            </w:pPr>
            <w:r w:rsidRPr="00FC74FF">
              <w:rPr>
                <w:color w:val="000000" w:themeColor="dark1"/>
                <w:kern w:val="24"/>
                <w:szCs w:val="24"/>
              </w:rPr>
              <w:t>Chestnut Hill of East Longmeadow (East Longmeadow)</w:t>
            </w:r>
          </w:p>
        </w:tc>
      </w:tr>
      <w:tr w:rsidR="00FC4A84" w:rsidRPr="00C23705" w14:paraId="2E75EFBA" w14:textId="77777777" w:rsidTr="00D25F76">
        <w:trPr>
          <w:trHeight w:val="263"/>
        </w:trPr>
        <w:tc>
          <w:tcPr>
            <w:tcW w:w="1118" w:type="dxa"/>
            <w:vMerge w:val="restart"/>
            <w:shd w:val="clear" w:color="auto" w:fill="BFBFBF" w:themeFill="background1" w:themeFillShade="BF"/>
          </w:tcPr>
          <w:p w14:paraId="6FD497F1" w14:textId="77777777" w:rsidR="00FC4A84" w:rsidRPr="00A77191" w:rsidRDefault="00FC4A84" w:rsidP="00D25F76">
            <w:pPr>
              <w:jc w:val="center"/>
              <w:rPr>
                <w:color w:val="000000" w:themeColor="dark1"/>
                <w:kern w:val="24"/>
                <w:sz w:val="22"/>
                <w:szCs w:val="22"/>
              </w:rPr>
            </w:pPr>
            <w:r w:rsidRPr="00A77191">
              <w:rPr>
                <w:color w:val="000000" w:themeColor="dark1"/>
                <w:kern w:val="24"/>
                <w:sz w:val="22"/>
                <w:szCs w:val="22"/>
              </w:rPr>
              <w:t>2</w:t>
            </w:r>
          </w:p>
        </w:tc>
        <w:tc>
          <w:tcPr>
            <w:tcW w:w="8237" w:type="dxa"/>
            <w:tcBorders>
              <w:top w:val="single" w:sz="4" w:space="0" w:color="666666" w:themeColor="text1" w:themeTint="99"/>
              <w:left w:val="nil"/>
              <w:bottom w:val="single" w:sz="4" w:space="0" w:color="auto"/>
              <w:right w:val="single" w:sz="8" w:space="0" w:color="auto"/>
            </w:tcBorders>
            <w:shd w:val="clear" w:color="auto" w:fill="FFFFFF"/>
            <w:vAlign w:val="center"/>
          </w:tcPr>
          <w:p w14:paraId="49D5E9C4" w14:textId="77777777" w:rsidR="00FC4A84" w:rsidRPr="00FC74FF" w:rsidRDefault="00FC4A84" w:rsidP="00D25F76">
            <w:pPr>
              <w:rPr>
                <w:color w:val="000000" w:themeColor="dark1"/>
                <w:kern w:val="24"/>
                <w:szCs w:val="24"/>
              </w:rPr>
            </w:pPr>
            <w:r w:rsidRPr="008837F5">
              <w:rPr>
                <w:szCs w:val="24"/>
              </w:rPr>
              <w:t>Oakdale Rehabilitation and Skilled Nursing (Boylston)</w:t>
            </w:r>
          </w:p>
        </w:tc>
      </w:tr>
      <w:tr w:rsidR="00FC4A84" w:rsidRPr="00C23705" w14:paraId="655E19BE" w14:textId="77777777" w:rsidTr="00D25F76">
        <w:trPr>
          <w:cnfStyle w:val="000000100000" w:firstRow="0" w:lastRow="0" w:firstColumn="0" w:lastColumn="0" w:oddVBand="0" w:evenVBand="0" w:oddHBand="1" w:evenHBand="0" w:firstRowFirstColumn="0" w:firstRowLastColumn="0" w:lastRowFirstColumn="0" w:lastRowLastColumn="0"/>
          <w:trHeight w:val="263"/>
        </w:trPr>
        <w:tc>
          <w:tcPr>
            <w:tcW w:w="1118" w:type="dxa"/>
            <w:vMerge/>
            <w:shd w:val="clear" w:color="auto" w:fill="BFBFBF" w:themeFill="background1" w:themeFillShade="BF"/>
          </w:tcPr>
          <w:p w14:paraId="7D7A7F25" w14:textId="77777777" w:rsidR="00FC4A84" w:rsidRPr="00A77191" w:rsidRDefault="00FC4A84" w:rsidP="00D25F76">
            <w:pPr>
              <w:jc w:val="center"/>
              <w:rPr>
                <w:color w:val="000000" w:themeColor="dark1"/>
                <w:kern w:val="24"/>
                <w:sz w:val="22"/>
                <w:szCs w:val="22"/>
              </w:rPr>
            </w:pPr>
          </w:p>
        </w:tc>
        <w:tc>
          <w:tcPr>
            <w:tcW w:w="8237" w:type="dxa"/>
            <w:tcBorders>
              <w:top w:val="single" w:sz="4" w:space="0" w:color="auto"/>
              <w:left w:val="nil"/>
              <w:bottom w:val="single" w:sz="4" w:space="0" w:color="auto"/>
              <w:right w:val="single" w:sz="8" w:space="0" w:color="auto"/>
            </w:tcBorders>
            <w:shd w:val="clear" w:color="auto" w:fill="FFFFFF"/>
            <w:vAlign w:val="center"/>
          </w:tcPr>
          <w:p w14:paraId="5F6CA0B5" w14:textId="77777777" w:rsidR="00FC4A84" w:rsidRPr="00FC74FF" w:rsidRDefault="00FC4A84" w:rsidP="00D25F76">
            <w:pPr>
              <w:rPr>
                <w:color w:val="000000" w:themeColor="dark1"/>
                <w:kern w:val="24"/>
                <w:szCs w:val="24"/>
              </w:rPr>
            </w:pPr>
            <w:r w:rsidRPr="008837F5">
              <w:rPr>
                <w:szCs w:val="24"/>
              </w:rPr>
              <w:t xml:space="preserve">Alliance at </w:t>
            </w:r>
            <w:proofErr w:type="spellStart"/>
            <w:r w:rsidRPr="008837F5">
              <w:rPr>
                <w:szCs w:val="24"/>
              </w:rPr>
              <w:t>Baldwinville</w:t>
            </w:r>
            <w:proofErr w:type="spellEnd"/>
            <w:r w:rsidRPr="008837F5">
              <w:rPr>
                <w:szCs w:val="24"/>
              </w:rPr>
              <w:t xml:space="preserve"> (</w:t>
            </w:r>
            <w:proofErr w:type="spellStart"/>
            <w:r w:rsidRPr="008837F5">
              <w:rPr>
                <w:szCs w:val="24"/>
              </w:rPr>
              <w:t>Baldwinville</w:t>
            </w:r>
            <w:proofErr w:type="spellEnd"/>
            <w:r w:rsidRPr="008837F5">
              <w:rPr>
                <w:szCs w:val="24"/>
              </w:rPr>
              <w:t>)</w:t>
            </w:r>
          </w:p>
        </w:tc>
      </w:tr>
      <w:tr w:rsidR="00FC4A84" w:rsidRPr="00C23705" w14:paraId="13E31BFA" w14:textId="77777777" w:rsidTr="00D25F76">
        <w:trPr>
          <w:trHeight w:val="263"/>
        </w:trPr>
        <w:tc>
          <w:tcPr>
            <w:tcW w:w="1118" w:type="dxa"/>
            <w:vMerge/>
            <w:shd w:val="clear" w:color="auto" w:fill="BFBFBF" w:themeFill="background1" w:themeFillShade="BF"/>
          </w:tcPr>
          <w:p w14:paraId="660E6DA1" w14:textId="77777777" w:rsidR="00FC4A84" w:rsidRPr="00A77191" w:rsidRDefault="00FC4A84" w:rsidP="00D25F76">
            <w:pPr>
              <w:jc w:val="center"/>
              <w:rPr>
                <w:color w:val="000000" w:themeColor="dark1"/>
                <w:kern w:val="24"/>
                <w:sz w:val="22"/>
                <w:szCs w:val="22"/>
              </w:rPr>
            </w:pPr>
          </w:p>
        </w:tc>
        <w:tc>
          <w:tcPr>
            <w:tcW w:w="8237" w:type="dxa"/>
            <w:tcBorders>
              <w:top w:val="single" w:sz="4" w:space="0" w:color="auto"/>
              <w:left w:val="nil"/>
              <w:bottom w:val="single" w:sz="4" w:space="0" w:color="666666" w:themeColor="text1" w:themeTint="99"/>
              <w:right w:val="single" w:sz="8" w:space="0" w:color="auto"/>
            </w:tcBorders>
            <w:shd w:val="clear" w:color="auto" w:fill="FFFFFF"/>
            <w:vAlign w:val="center"/>
          </w:tcPr>
          <w:p w14:paraId="5290B100" w14:textId="77777777" w:rsidR="00FC4A84" w:rsidRPr="008837F5" w:rsidRDefault="00FC4A84" w:rsidP="00D25F76">
            <w:pPr>
              <w:rPr>
                <w:szCs w:val="24"/>
              </w:rPr>
            </w:pPr>
            <w:r w:rsidRPr="00805F51">
              <w:rPr>
                <w:szCs w:val="24"/>
              </w:rPr>
              <w:t>Holden Rehabilitation &amp;Nursing Center (Holden)</w:t>
            </w:r>
          </w:p>
        </w:tc>
      </w:tr>
      <w:tr w:rsidR="00FC4A84" w:rsidRPr="00C23705" w14:paraId="68F08865" w14:textId="77777777" w:rsidTr="00D25F76">
        <w:trPr>
          <w:cnfStyle w:val="000000100000" w:firstRow="0" w:lastRow="0" w:firstColumn="0" w:lastColumn="0" w:oddVBand="0" w:evenVBand="0" w:oddHBand="1" w:evenHBand="0" w:firstRowFirstColumn="0" w:firstRowLastColumn="0" w:lastRowFirstColumn="0" w:lastRowLastColumn="0"/>
          <w:trHeight w:val="293"/>
        </w:trPr>
        <w:tc>
          <w:tcPr>
            <w:tcW w:w="1118" w:type="dxa"/>
            <w:vMerge w:val="restart"/>
            <w:shd w:val="clear" w:color="auto" w:fill="BFBFBF" w:themeFill="background1" w:themeFillShade="BF"/>
          </w:tcPr>
          <w:p w14:paraId="0AB50A88" w14:textId="77777777" w:rsidR="00FC4A84" w:rsidRPr="00A77191" w:rsidRDefault="00FC4A84" w:rsidP="00D25F76">
            <w:pPr>
              <w:jc w:val="center"/>
              <w:rPr>
                <w:color w:val="000000" w:themeColor="dark1"/>
                <w:kern w:val="24"/>
                <w:sz w:val="22"/>
                <w:szCs w:val="22"/>
              </w:rPr>
            </w:pPr>
            <w:r w:rsidRPr="00A77191">
              <w:rPr>
                <w:color w:val="000000" w:themeColor="dark1"/>
                <w:kern w:val="24"/>
                <w:sz w:val="22"/>
                <w:szCs w:val="22"/>
              </w:rPr>
              <w:t>3</w:t>
            </w:r>
          </w:p>
        </w:tc>
        <w:tc>
          <w:tcPr>
            <w:tcW w:w="8237" w:type="dxa"/>
            <w:shd w:val="clear" w:color="auto" w:fill="auto"/>
            <w:vAlign w:val="center"/>
          </w:tcPr>
          <w:p w14:paraId="5E61CC89" w14:textId="77777777" w:rsidR="00FC4A84" w:rsidRPr="007A0B1D" w:rsidRDefault="00FC4A84" w:rsidP="00D25F76">
            <w:pPr>
              <w:rPr>
                <w:szCs w:val="24"/>
              </w:rPr>
            </w:pPr>
            <w:r>
              <w:rPr>
                <w:szCs w:val="24"/>
              </w:rPr>
              <w:t xml:space="preserve">Bear Mountain of Andover (Andover) </w:t>
            </w:r>
          </w:p>
        </w:tc>
      </w:tr>
      <w:tr w:rsidR="00FC4A84" w:rsidRPr="00C23705" w14:paraId="7782ACEB" w14:textId="77777777" w:rsidTr="00D25F76">
        <w:trPr>
          <w:trHeight w:val="293"/>
        </w:trPr>
        <w:tc>
          <w:tcPr>
            <w:tcW w:w="1118" w:type="dxa"/>
            <w:vMerge/>
            <w:shd w:val="clear" w:color="auto" w:fill="BFBFBF" w:themeFill="background1" w:themeFillShade="BF"/>
          </w:tcPr>
          <w:p w14:paraId="6EAD88B8" w14:textId="77777777" w:rsidR="00FC4A84" w:rsidRPr="00A77191" w:rsidRDefault="00FC4A84" w:rsidP="00D25F76">
            <w:pPr>
              <w:jc w:val="center"/>
              <w:rPr>
                <w:color w:val="000000" w:themeColor="dark1"/>
                <w:kern w:val="24"/>
                <w:sz w:val="22"/>
                <w:szCs w:val="22"/>
              </w:rPr>
            </w:pPr>
          </w:p>
        </w:tc>
        <w:tc>
          <w:tcPr>
            <w:tcW w:w="8237" w:type="dxa"/>
            <w:shd w:val="clear" w:color="auto" w:fill="auto"/>
            <w:vAlign w:val="center"/>
          </w:tcPr>
          <w:p w14:paraId="1262E89E" w14:textId="77777777" w:rsidR="00FC4A84" w:rsidRPr="008837F5" w:rsidRDefault="00FC4A84" w:rsidP="00D25F76">
            <w:pPr>
              <w:rPr>
                <w:szCs w:val="24"/>
              </w:rPr>
            </w:pPr>
            <w:r w:rsidRPr="007A0B1D">
              <w:rPr>
                <w:szCs w:val="24"/>
              </w:rPr>
              <w:t>Hannah Duston Health Center (Haverhill)</w:t>
            </w:r>
          </w:p>
        </w:tc>
      </w:tr>
      <w:tr w:rsidR="00FC4A84" w:rsidRPr="00C23705" w14:paraId="22627300" w14:textId="77777777" w:rsidTr="00D25F76">
        <w:trPr>
          <w:cnfStyle w:val="000000100000" w:firstRow="0" w:lastRow="0" w:firstColumn="0" w:lastColumn="0" w:oddVBand="0" w:evenVBand="0" w:oddHBand="1" w:evenHBand="0" w:firstRowFirstColumn="0" w:firstRowLastColumn="0" w:lastRowFirstColumn="0" w:lastRowLastColumn="0"/>
          <w:trHeight w:val="293"/>
        </w:trPr>
        <w:tc>
          <w:tcPr>
            <w:tcW w:w="1118" w:type="dxa"/>
            <w:vMerge/>
            <w:shd w:val="clear" w:color="auto" w:fill="BFBFBF" w:themeFill="background1" w:themeFillShade="BF"/>
          </w:tcPr>
          <w:p w14:paraId="6B30A410" w14:textId="77777777" w:rsidR="00FC4A84" w:rsidRPr="00A77191" w:rsidRDefault="00FC4A84" w:rsidP="00D25F76">
            <w:pPr>
              <w:jc w:val="center"/>
              <w:rPr>
                <w:color w:val="000000" w:themeColor="dark1"/>
                <w:kern w:val="24"/>
                <w:sz w:val="22"/>
                <w:szCs w:val="22"/>
              </w:rPr>
            </w:pPr>
          </w:p>
        </w:tc>
        <w:tc>
          <w:tcPr>
            <w:tcW w:w="8237" w:type="dxa"/>
            <w:shd w:val="clear" w:color="auto" w:fill="auto"/>
            <w:vAlign w:val="center"/>
          </w:tcPr>
          <w:p w14:paraId="4412DAD8" w14:textId="77777777" w:rsidR="00FC4A84" w:rsidRPr="00FC74FF" w:rsidRDefault="00FC4A84" w:rsidP="00D25F76">
            <w:pPr>
              <w:rPr>
                <w:color w:val="000000" w:themeColor="dark1"/>
                <w:kern w:val="24"/>
                <w:szCs w:val="24"/>
              </w:rPr>
            </w:pPr>
            <w:r w:rsidRPr="008837F5">
              <w:rPr>
                <w:szCs w:val="24"/>
              </w:rPr>
              <w:t>Port Healthcare Center (Newburyport)</w:t>
            </w:r>
          </w:p>
        </w:tc>
      </w:tr>
      <w:tr w:rsidR="00FC4A84" w:rsidRPr="00C23705" w14:paraId="36D85EAA" w14:textId="77777777" w:rsidTr="00D25F76">
        <w:trPr>
          <w:trHeight w:val="175"/>
        </w:trPr>
        <w:tc>
          <w:tcPr>
            <w:tcW w:w="1118" w:type="dxa"/>
            <w:vMerge w:val="restart"/>
            <w:shd w:val="clear" w:color="auto" w:fill="BFBFBF" w:themeFill="background1" w:themeFillShade="BF"/>
            <w:hideMark/>
          </w:tcPr>
          <w:p w14:paraId="35E29B5F" w14:textId="77777777" w:rsidR="00FC4A84" w:rsidRPr="00A77191" w:rsidRDefault="00FC4A84" w:rsidP="00D25F76">
            <w:pPr>
              <w:jc w:val="center"/>
              <w:rPr>
                <w:color w:val="000000" w:themeColor="dark1"/>
                <w:kern w:val="24"/>
                <w:sz w:val="22"/>
                <w:szCs w:val="22"/>
              </w:rPr>
            </w:pPr>
            <w:r w:rsidRPr="00A77191">
              <w:rPr>
                <w:color w:val="000000" w:themeColor="dark1"/>
                <w:kern w:val="24"/>
                <w:sz w:val="22"/>
                <w:szCs w:val="22"/>
              </w:rPr>
              <w:t>4</w:t>
            </w:r>
          </w:p>
        </w:tc>
        <w:tc>
          <w:tcPr>
            <w:tcW w:w="8237" w:type="dxa"/>
            <w:shd w:val="clear" w:color="auto" w:fill="auto"/>
            <w:vAlign w:val="center"/>
            <w:hideMark/>
          </w:tcPr>
          <w:p w14:paraId="516F5338" w14:textId="77777777" w:rsidR="00FC4A84" w:rsidRPr="00FC74FF" w:rsidRDefault="00FC4A84" w:rsidP="00D25F76">
            <w:pPr>
              <w:rPr>
                <w:szCs w:val="24"/>
              </w:rPr>
            </w:pPr>
            <w:r w:rsidRPr="00FC74FF">
              <w:rPr>
                <w:color w:val="000000" w:themeColor="dark1"/>
                <w:kern w:val="24"/>
                <w:szCs w:val="24"/>
              </w:rPr>
              <w:t>Alliance of Marina Bay (Quincy)</w:t>
            </w:r>
          </w:p>
        </w:tc>
      </w:tr>
      <w:tr w:rsidR="00FC4A84" w:rsidRPr="00C23705" w14:paraId="7241ABE0" w14:textId="77777777" w:rsidTr="00D25F76">
        <w:trPr>
          <w:cnfStyle w:val="000000100000" w:firstRow="0" w:lastRow="0" w:firstColumn="0" w:lastColumn="0" w:oddVBand="0" w:evenVBand="0" w:oddHBand="1" w:evenHBand="0" w:firstRowFirstColumn="0" w:firstRowLastColumn="0" w:lastRowFirstColumn="0" w:lastRowLastColumn="0"/>
          <w:trHeight w:val="175"/>
        </w:trPr>
        <w:tc>
          <w:tcPr>
            <w:tcW w:w="1118" w:type="dxa"/>
            <w:vMerge/>
            <w:shd w:val="clear" w:color="auto" w:fill="BFBFBF" w:themeFill="background1" w:themeFillShade="BF"/>
          </w:tcPr>
          <w:p w14:paraId="25B47900" w14:textId="77777777" w:rsidR="00FC4A84" w:rsidRPr="00C23705" w:rsidRDefault="00FC4A84" w:rsidP="00D25F76">
            <w:pPr>
              <w:rPr>
                <w:sz w:val="36"/>
                <w:szCs w:val="36"/>
              </w:rPr>
            </w:pPr>
          </w:p>
        </w:tc>
        <w:tc>
          <w:tcPr>
            <w:tcW w:w="8237" w:type="dxa"/>
            <w:shd w:val="clear" w:color="auto" w:fill="auto"/>
            <w:vAlign w:val="center"/>
          </w:tcPr>
          <w:p w14:paraId="1792B54B" w14:textId="77777777" w:rsidR="00FC4A84" w:rsidRPr="00FC74FF" w:rsidRDefault="00FC4A84" w:rsidP="00D25F76">
            <w:pPr>
              <w:rPr>
                <w:color w:val="000000" w:themeColor="dark1"/>
                <w:kern w:val="24"/>
                <w:szCs w:val="24"/>
              </w:rPr>
            </w:pPr>
            <w:r w:rsidRPr="008837F5">
              <w:rPr>
                <w:szCs w:val="24"/>
              </w:rPr>
              <w:t>John Scott House Rehabilitation and Nursing (Braintree)</w:t>
            </w:r>
          </w:p>
        </w:tc>
      </w:tr>
      <w:tr w:rsidR="00FC4A84" w:rsidRPr="00C23705" w14:paraId="0A88CC67" w14:textId="77777777" w:rsidTr="00D25F76">
        <w:trPr>
          <w:trHeight w:val="175"/>
        </w:trPr>
        <w:tc>
          <w:tcPr>
            <w:tcW w:w="1118" w:type="dxa"/>
            <w:shd w:val="clear" w:color="auto" w:fill="BFBFBF" w:themeFill="background1" w:themeFillShade="BF"/>
          </w:tcPr>
          <w:p w14:paraId="5C6BA1F7" w14:textId="77777777" w:rsidR="00FC4A84" w:rsidRPr="00C23705" w:rsidRDefault="00FC4A84" w:rsidP="00D25F76">
            <w:pPr>
              <w:jc w:val="center"/>
              <w:rPr>
                <w:color w:val="000000" w:themeColor="dark1"/>
                <w:kern w:val="24"/>
                <w:sz w:val="22"/>
                <w:szCs w:val="22"/>
              </w:rPr>
            </w:pPr>
            <w:r w:rsidRPr="00C23705">
              <w:rPr>
                <w:color w:val="000000" w:themeColor="dark1"/>
                <w:kern w:val="24"/>
                <w:sz w:val="22"/>
                <w:szCs w:val="22"/>
              </w:rPr>
              <w:t>5</w:t>
            </w:r>
          </w:p>
        </w:tc>
        <w:tc>
          <w:tcPr>
            <w:tcW w:w="8237" w:type="dxa"/>
            <w:shd w:val="clear" w:color="auto" w:fill="auto"/>
            <w:vAlign w:val="center"/>
          </w:tcPr>
          <w:p w14:paraId="283168A8" w14:textId="77777777" w:rsidR="00FC4A84" w:rsidRPr="00FC74FF" w:rsidRDefault="00FC4A84" w:rsidP="00D25F76">
            <w:pPr>
              <w:rPr>
                <w:color w:val="000000" w:themeColor="dark1"/>
                <w:kern w:val="24"/>
                <w:szCs w:val="24"/>
              </w:rPr>
            </w:pPr>
            <w:r w:rsidRPr="00FC74FF">
              <w:rPr>
                <w:color w:val="000000" w:themeColor="dark1"/>
                <w:kern w:val="24"/>
                <w:szCs w:val="24"/>
              </w:rPr>
              <w:t>Alliance at West Acres (Brockton)</w:t>
            </w:r>
          </w:p>
        </w:tc>
      </w:tr>
      <w:bookmarkEnd w:id="2"/>
    </w:tbl>
    <w:p w14:paraId="3D1636F4" w14:textId="77777777" w:rsidR="00FC4A84" w:rsidRPr="00C23705" w:rsidRDefault="00FC4A84" w:rsidP="00FC4A84">
      <w:pPr>
        <w:rPr>
          <w:szCs w:val="24"/>
        </w:rPr>
      </w:pPr>
    </w:p>
    <w:p w14:paraId="1846F693" w14:textId="77777777" w:rsidR="00FC4A84" w:rsidRPr="008C6B59" w:rsidRDefault="00FC4A84" w:rsidP="00FC4A84">
      <w:pPr>
        <w:rPr>
          <w:szCs w:val="24"/>
        </w:rPr>
      </w:pPr>
      <w:r w:rsidRPr="008C6B59">
        <w:rPr>
          <w:szCs w:val="24"/>
        </w:rPr>
        <w:t xml:space="preserve">Thank you for your continued support </w:t>
      </w:r>
      <w:r>
        <w:rPr>
          <w:szCs w:val="24"/>
        </w:rPr>
        <w:t xml:space="preserve">to </w:t>
      </w:r>
      <w:r w:rsidRPr="008C6B59">
        <w:rPr>
          <w:szCs w:val="24"/>
        </w:rPr>
        <w:t xml:space="preserve">your patients, </w:t>
      </w:r>
      <w:proofErr w:type="gramStart"/>
      <w:r w:rsidRPr="008C6B59">
        <w:rPr>
          <w:szCs w:val="24"/>
        </w:rPr>
        <w:t>staff</w:t>
      </w:r>
      <w:proofErr w:type="gramEnd"/>
      <w:r w:rsidRPr="008C6B59">
        <w:rPr>
          <w:szCs w:val="24"/>
        </w:rPr>
        <w:t xml:space="preserve"> and communities. </w:t>
      </w:r>
    </w:p>
    <w:p w14:paraId="756E2743" w14:textId="77777777" w:rsidR="00FC4A84" w:rsidRDefault="00FC4A84" w:rsidP="00FC4A84">
      <w:pPr>
        <w:ind w:left="1440" w:hanging="1440"/>
        <w:rPr>
          <w:szCs w:val="24"/>
        </w:rPr>
      </w:pPr>
    </w:p>
    <w:p w14:paraId="1DE52895" w14:textId="77777777" w:rsidR="00FC4A84" w:rsidRPr="008229C4" w:rsidRDefault="00FC4A84" w:rsidP="00FC4A84">
      <w:pPr>
        <w:ind w:left="1440" w:hanging="1440"/>
        <w:rPr>
          <w:szCs w:val="24"/>
        </w:rPr>
      </w:pPr>
      <w:r w:rsidRPr="008837F5">
        <w:rPr>
          <w:szCs w:val="24"/>
        </w:rPr>
        <w:br/>
      </w:r>
    </w:p>
    <w:p w14:paraId="2C550A58" w14:textId="77777777" w:rsidR="00033154" w:rsidRDefault="00033154" w:rsidP="0072610D"/>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F315B"/>
    <w:rsid w:val="001125C0"/>
    <w:rsid w:val="0015268B"/>
    <w:rsid w:val="00177C77"/>
    <w:rsid w:val="001B6693"/>
    <w:rsid w:val="0021698C"/>
    <w:rsid w:val="00260D54"/>
    <w:rsid w:val="00276957"/>
    <w:rsid w:val="00276DCC"/>
    <w:rsid w:val="002A132F"/>
    <w:rsid w:val="002D1C21"/>
    <w:rsid w:val="00301022"/>
    <w:rsid w:val="00375EAD"/>
    <w:rsid w:val="00385812"/>
    <w:rsid w:val="00392D0B"/>
    <w:rsid w:val="003A7AFC"/>
    <w:rsid w:val="003C60EF"/>
    <w:rsid w:val="004813AC"/>
    <w:rsid w:val="004B37A0"/>
    <w:rsid w:val="004B5CFB"/>
    <w:rsid w:val="004D6B39"/>
    <w:rsid w:val="004E0C3F"/>
    <w:rsid w:val="00512956"/>
    <w:rsid w:val="00530145"/>
    <w:rsid w:val="005448AA"/>
    <w:rsid w:val="006D06D9"/>
    <w:rsid w:val="006D77A6"/>
    <w:rsid w:val="00702109"/>
    <w:rsid w:val="0072610D"/>
    <w:rsid w:val="00757006"/>
    <w:rsid w:val="007B3F4B"/>
    <w:rsid w:val="007B7347"/>
    <w:rsid w:val="007D10F3"/>
    <w:rsid w:val="007F3CDB"/>
    <w:rsid w:val="009730E5"/>
    <w:rsid w:val="009908FF"/>
    <w:rsid w:val="00995505"/>
    <w:rsid w:val="009C4428"/>
    <w:rsid w:val="009D48CD"/>
    <w:rsid w:val="00A059A5"/>
    <w:rsid w:val="00A65101"/>
    <w:rsid w:val="00B403BF"/>
    <w:rsid w:val="00B608D9"/>
    <w:rsid w:val="00B66323"/>
    <w:rsid w:val="00BA4055"/>
    <w:rsid w:val="00BA7FB6"/>
    <w:rsid w:val="00C20BFE"/>
    <w:rsid w:val="00C46D29"/>
    <w:rsid w:val="00CC1778"/>
    <w:rsid w:val="00CE575B"/>
    <w:rsid w:val="00CF3DE8"/>
    <w:rsid w:val="00D0493F"/>
    <w:rsid w:val="00D56F91"/>
    <w:rsid w:val="00D8671C"/>
    <w:rsid w:val="00D91390"/>
    <w:rsid w:val="00DA57C3"/>
    <w:rsid w:val="00DC3855"/>
    <w:rsid w:val="00E242A8"/>
    <w:rsid w:val="00E274B8"/>
    <w:rsid w:val="00E72707"/>
    <w:rsid w:val="00F0586E"/>
    <w:rsid w:val="00F43932"/>
    <w:rsid w:val="00FA575E"/>
    <w:rsid w:val="00FC4A84"/>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table" w:styleId="GridTable4">
    <w:name w:val="Grid Table 4"/>
    <w:basedOn w:val="TableNormal"/>
    <w:uiPriority w:val="49"/>
    <w:rsid w:val="00FC4A8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47</TotalTime>
  <Pages>2</Pages>
  <Words>447</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Fillo, Katherine T. (DPH)</dc:creator>
  <cp:keywords/>
  <cp:lastModifiedBy>Fillo, Katherine (DPH)</cp:lastModifiedBy>
  <cp:revision>2</cp:revision>
  <cp:lastPrinted>2015-01-29T14:50:00Z</cp:lastPrinted>
  <dcterms:created xsi:type="dcterms:W3CDTF">2023-06-20T18:19:00Z</dcterms:created>
  <dcterms:modified xsi:type="dcterms:W3CDTF">2023-06-20T18:19:00Z</dcterms:modified>
</cp:coreProperties>
</file>