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Afternoon,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name is Skyler Bennett, and I am a second-year student at Boston University School of Law. Thank you for the opportunity to comment on the proposed 105 C.M.R. 272 regulations addressing healthcare provider expectations for infants with prenatal substance exposure. Switching to a two-track system and separating prenatal substance exposure notifications from child abuse and neglect reports is an incredible step for Massachusetts. Thank you to everyone advocating and working to implement this shift away from automatic reporting for substance exposure. I am appreciative of the many healthcare providers advocating for patient protections. I am also especially grateful for those willing to share their lived experiences throughout the drafting and comment process. These individuals face extraordinary stigma around substance use and nonetheless share their deeply personal journeys to advocate for a better system. Perspectives of those with lived experiences must continue to be centered as the Department of Public Health (“DPH”) revises these proposed regulations.</w:t>
      </w:r>
    </w:p>
    <w:p w:rsidR="00000000" w:rsidDel="00000000" w:rsidP="00000000" w:rsidRDefault="00000000" w:rsidRPr="00000000" w14:paraId="00000004">
      <w:pPr>
        <w:ind w:firstLine="720"/>
        <w:rPr>
          <w:rFonts w:ascii="Times New Roman" w:cs="Times New Roman" w:eastAsia="Times New Roman" w:hAnsi="Times New Roman"/>
          <w:sz w:val="24"/>
          <w:szCs w:val="24"/>
          <w:shd w:fill="999999" w:val="clear"/>
        </w:rPr>
      </w:pPr>
      <w:r w:rsidDel="00000000" w:rsidR="00000000" w:rsidRPr="00000000">
        <w:rPr>
          <w:rFonts w:ascii="Times New Roman" w:cs="Times New Roman" w:eastAsia="Times New Roman" w:hAnsi="Times New Roman"/>
          <w:sz w:val="24"/>
          <w:szCs w:val="24"/>
          <w:rtl w:val="0"/>
        </w:rPr>
        <w:t xml:space="preserve">The stigma surrounding substance use disorders (“SUDs”) is pervasive. These proposed regulations fail to protect already-vulnerable birthing parents from unnecessary data collection, surveillance, and intervention. The consequences of these regulations will fall heavier on marginalized communities facing systemic oppression and excessive family intervention.</w:t>
      </w: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proposed regulations, providers have no clarity regarding what patient information must be disclosed and no assurance of patient data protections besides an empty promise of confidentiality. Requiring healthcare providers to make personally identifiable reports of substance exposure and incorporating the data of individuals with SUDs into the existing Public Health Data Warehouse does not protect patient privacy. There is no federal law requiring that </w:t>
      </w:r>
      <w:r w:rsidDel="00000000" w:rsidR="00000000" w:rsidRPr="00000000">
        <w:rPr>
          <w:rFonts w:ascii="Times New Roman" w:cs="Times New Roman" w:eastAsia="Times New Roman" w:hAnsi="Times New Roman"/>
          <w:sz w:val="24"/>
          <w:szCs w:val="24"/>
          <w:rtl w:val="0"/>
        </w:rPr>
        <w:t xml:space="preserve">notifications be personally</w:t>
      </w:r>
      <w:r w:rsidDel="00000000" w:rsidR="00000000" w:rsidRPr="00000000">
        <w:rPr>
          <w:rFonts w:ascii="Times New Roman" w:cs="Times New Roman" w:eastAsia="Times New Roman" w:hAnsi="Times New Roman"/>
          <w:sz w:val="24"/>
          <w:szCs w:val="24"/>
          <w:rtl w:val="0"/>
        </w:rPr>
        <w:t xml:space="preserve"> identifiable and other states have CAPTA and HIPAA compliant two-track systems with de-identified substance exposure notifications. </w:t>
      </w:r>
      <w:r w:rsidDel="00000000" w:rsidR="00000000" w:rsidRPr="00000000">
        <w:rPr>
          <w:rFonts w:ascii="Times New Roman" w:cs="Times New Roman" w:eastAsia="Times New Roman" w:hAnsi="Times New Roman"/>
          <w:sz w:val="24"/>
          <w:szCs w:val="24"/>
          <w:u w:val="single"/>
          <w:rtl w:val="0"/>
        </w:rPr>
        <w:t xml:space="preserve">See</w:t>
      </w:r>
      <w:r w:rsidDel="00000000" w:rsidR="00000000" w:rsidRPr="00000000">
        <w:rPr>
          <w:rFonts w:ascii="Times New Roman" w:cs="Times New Roman" w:eastAsia="Times New Roman" w:hAnsi="Times New Roman"/>
          <w:sz w:val="24"/>
          <w:szCs w:val="24"/>
          <w:rtl w:val="0"/>
        </w:rPr>
        <w:t xml:space="preserve"> C.R.S.A. §§ 19-3-102, 19-3-103 (Colorado implemented a two-track system with de-identified and aggregate reporting); Conn. Gen. Stat. §§ 17a-101, 17a-102(a) (Connecticut implemented a two-track system with de-identified and aggregate reporting). </w:t>
      </w:r>
      <w:r w:rsidDel="00000000" w:rsidR="00000000" w:rsidRPr="00000000">
        <w:rPr>
          <w:rFonts w:ascii="Times New Roman" w:cs="Times New Roman" w:eastAsia="Times New Roman" w:hAnsi="Times New Roman"/>
          <w:sz w:val="24"/>
          <w:szCs w:val="24"/>
          <w:rtl w:val="0"/>
        </w:rPr>
        <w:t xml:space="preserve">DPH is requesting more patient information than the minimum necessary and threatens the patient-provider relationship in the process.</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Patient-provider relationships are built on trust. Under the proposed regulations, healthcare providers face an ethical dilemma. Providers must ensure patients feel safe sharing all relevant information for their treatment but cannot guarantee patient privacy or endorse a notification system where they do not know how patient data will be stored, managed, accessed, or used. DPH provided no clear explanation for why reports must be personally-identifiable nor detailed information on the policies and procedures for the governance of the data from these reports beyond the vague assurance of security and confidentiality provisions. Disclosing personally identifiable patient information is beyond what is necessary for CAPTA compliance. It is an unnecessary risk imposed on patients that will discourage individuals from seeking substance use treatment, contrary to public policy.</w:t>
      </w:r>
    </w:p>
    <w:p w:rsidR="00000000" w:rsidDel="00000000" w:rsidP="00000000" w:rsidRDefault="00000000" w:rsidRPr="00000000" w14:paraId="0000000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Codified patient protections for treatment records in other contexts illustrate that where public policy favors healthcare access and where confidentiality is critical to specialized healthcare services, the law should incorporate heightened patient privacy protections to further public health goals. For example, HIPAA provides the basics for protecting individually identifiable health information; however, additional protections were added for certain substance use and mental health treatment records. T</w:t>
      </w:r>
      <w:r w:rsidDel="00000000" w:rsidR="00000000" w:rsidRPr="00000000">
        <w:rPr>
          <w:rFonts w:ascii="Times New Roman" w:cs="Times New Roman" w:eastAsia="Times New Roman" w:hAnsi="Times New Roman"/>
          <w:sz w:val="24"/>
          <w:szCs w:val="24"/>
          <w:rtl w:val="0"/>
        </w:rPr>
        <w:t xml:space="preserve">he federal government placed additional restrictions on disclosures of substance use treatment records and how they can be used because ensuring patient confidentiality was critical for encouraging individuals to seek treatment for stigmatized conditions. </w:t>
      </w:r>
      <w:r w:rsidDel="00000000" w:rsidR="00000000" w:rsidRPr="00000000">
        <w:rPr>
          <w:rFonts w:ascii="Times New Roman" w:cs="Times New Roman" w:eastAsia="Times New Roman" w:hAnsi="Times New Roman"/>
          <w:sz w:val="24"/>
          <w:szCs w:val="24"/>
          <w:u w:val="single"/>
          <w:rtl w:val="0"/>
        </w:rPr>
        <w:t xml:space="preserve">See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42 U.S. Code § 290dd-2. Psychotherapist notes received heightened protections under HIPAA in recognition of how confidentiality is critical to effective psychotherapy. </w:t>
      </w:r>
    </w:p>
    <w:p w:rsidR="00000000" w:rsidDel="00000000" w:rsidP="00000000" w:rsidRDefault="00000000" w:rsidRPr="00000000" w14:paraId="00000008">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similar sentiment applies for the proposed regulations for infant prenatal substance exposure notifications. Here, confidentiality is critical because stigma and fear of family intervention are barriers to perinatal care access. To achieve the public health goals for increasing access to perinatal care and reducing prenatal substance exposure in infants, these regulations must incorporate heightened patient data privacy protections. Individually identifiable reporting, ambiguity in what data must be reported, and unclear confidentiality mechanisms are exposure, not protection.</w:t>
      </w:r>
    </w:p>
    <w:p w:rsidR="00000000" w:rsidDel="00000000" w:rsidP="00000000" w:rsidRDefault="00000000" w:rsidRPr="00000000" w14:paraId="0000000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light of these data and privacy concerns for patients, I hope to see the following in the revised regulations. First, reporting must be de-identified and no more patient information than is necessary for CAPTA compliance must be required. The regulations or the accompanying public health memo should dictate exactly what patient information providers are expected to disclose. This will allow providers to have meaningful conversations with patients where they can explain precisely what information will be shared and why it is necessary for that information to be shared beyond those on the patient’s healthcare team. Patients will have the assurance that their data is anonymous. Also, removing all non-essential data points reduces the risk of re-identification of any report.</w:t>
      </w:r>
    </w:p>
    <w:p w:rsidR="00000000" w:rsidDel="00000000" w:rsidP="00000000" w:rsidRDefault="00000000" w:rsidRPr="00000000" w14:paraId="0000000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Second, the regulations should include descriptions of who has access to patient data and for what purposes. I hope the future regulations provide clarity on data stewardship and include specific language addressing how the confidentiality of patient data will be maintained. A system delineating responsibility and accountability is crucial for effective data management and the protection of health data. Although aspects of data collection and management systems must remain confidential for </w:t>
      </w:r>
      <w:r w:rsidDel="00000000" w:rsidR="00000000" w:rsidRPr="00000000">
        <w:rPr>
          <w:rFonts w:ascii="Times New Roman" w:cs="Times New Roman" w:eastAsia="Times New Roman" w:hAnsi="Times New Roman"/>
          <w:sz w:val="24"/>
          <w:szCs w:val="24"/>
          <w:rtl w:val="0"/>
        </w:rPr>
        <w:t xml:space="preserve">data</w:t>
      </w:r>
      <w:r w:rsidDel="00000000" w:rsidR="00000000" w:rsidRPr="00000000">
        <w:rPr>
          <w:rFonts w:ascii="Times New Roman" w:cs="Times New Roman" w:eastAsia="Times New Roman" w:hAnsi="Times New Roman"/>
          <w:sz w:val="24"/>
          <w:szCs w:val="24"/>
          <w:rtl w:val="0"/>
        </w:rPr>
        <w:t xml:space="preserve"> security, specific assurances beyond the mere promise of confidentiality would be helpful.</w:t>
      </w:r>
    </w:p>
    <w:p w:rsidR="00000000" w:rsidDel="00000000" w:rsidP="00000000" w:rsidRDefault="00000000" w:rsidRPr="00000000" w14:paraId="0000000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Third, I hope to see an exploration of de-identification and data privacy protections beyond what HIPAA requires for de-identified disclosures. The de-identification standards discussed in HIPAA regulations at 42 C.F.R. § 164.514 </w:t>
      </w:r>
      <w:r w:rsidDel="00000000" w:rsidR="00000000" w:rsidRPr="00000000">
        <w:rPr>
          <w:rFonts w:ascii="Times New Roman" w:cs="Times New Roman" w:eastAsia="Times New Roman" w:hAnsi="Times New Roman"/>
          <w:sz w:val="24"/>
          <w:szCs w:val="24"/>
          <w:rtl w:val="0"/>
        </w:rPr>
        <w:t xml:space="preserve">are</w:t>
      </w:r>
      <w:r w:rsidDel="00000000" w:rsidR="00000000" w:rsidRPr="00000000">
        <w:rPr>
          <w:rFonts w:ascii="Times New Roman" w:cs="Times New Roman" w:eastAsia="Times New Roman" w:hAnsi="Times New Roman"/>
          <w:sz w:val="24"/>
          <w:szCs w:val="24"/>
          <w:rtl w:val="0"/>
        </w:rPr>
        <w:t xml:space="preserve"> no longer sufficient to prevent re-identification with certain studies reporting as high as a 10% re-identification rate. </w:t>
      </w:r>
      <w:r w:rsidDel="00000000" w:rsidR="00000000" w:rsidRPr="00000000">
        <w:rPr>
          <w:rFonts w:ascii="Times New Roman" w:cs="Times New Roman" w:eastAsia="Times New Roman" w:hAnsi="Times New Roman"/>
          <w:sz w:val="24"/>
          <w:szCs w:val="24"/>
          <w:u w:val="single"/>
          <w:rtl w:val="0"/>
        </w:rPr>
        <w:t xml:space="preserve">See</w:t>
      </w:r>
      <w:r w:rsidDel="00000000" w:rsidR="00000000" w:rsidRPr="00000000">
        <w:rPr>
          <w:rFonts w:ascii="Times New Roman" w:cs="Times New Roman" w:eastAsia="Times New Roman" w:hAnsi="Times New Roman"/>
          <w:sz w:val="24"/>
          <w:szCs w:val="24"/>
          <w:rtl w:val="0"/>
        </w:rPr>
        <w:t xml:space="preserve"> Lauren Quinn, </w:t>
      </w:r>
      <w:r w:rsidDel="00000000" w:rsidR="00000000" w:rsidRPr="00000000">
        <w:rPr>
          <w:rFonts w:ascii="Times New Roman" w:cs="Times New Roman" w:eastAsia="Times New Roman" w:hAnsi="Times New Roman"/>
          <w:i w:val="1"/>
          <w:iCs w:val="1"/>
          <w:sz w:val="24"/>
          <w:szCs w:val="24"/>
          <w:rtl w:val="0"/>
        </w:rPr>
        <w:t xml:space="preserve">Are Your Secrets Safe?: Imposing A Fiduciary Duty on Healthcare AI Developers Dealing with Sensitive Health Information</w:t>
      </w:r>
      <w:r w:rsidDel="00000000" w:rsidR="00000000" w:rsidRPr="00000000">
        <w:rPr>
          <w:rFonts w:ascii="Times New Roman" w:cs="Times New Roman" w:eastAsia="Times New Roman" w:hAnsi="Times New Roman"/>
          <w:sz w:val="24"/>
          <w:szCs w:val="24"/>
          <w:rtl w:val="0"/>
        </w:rPr>
        <w:t xml:space="preserve"> (2025). </w:t>
      </w:r>
    </w:p>
    <w:p w:rsidR="00000000" w:rsidDel="00000000" w:rsidP="00000000" w:rsidRDefault="00000000" w:rsidRPr="00000000" w14:paraId="0000000C">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concerned that reporting around the time of birth may result in individual identification even if a de-identified reporting system is implemented. I also wonder if additional protections may be considered, such as metadata scrubbing or implementing aggregate reports to reduce the risk of re-identification. </w:t>
      </w:r>
    </w:p>
    <w:p w:rsidR="00000000" w:rsidDel="00000000" w:rsidP="00000000" w:rsidRDefault="00000000" w:rsidRPr="00000000" w14:paraId="0000000D">
      <w:pPr>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so much for your time and attention to my comments. </w:t>
      </w:r>
    </w:p>
    <w:p w:rsidR="00000000" w:rsidDel="00000000" w:rsidP="00000000" w:rsidRDefault="00000000" w:rsidRPr="00000000" w14:paraId="0000000F">
      <w:pPr>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1">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Skyler Bennett</w:t>
      </w:r>
    </w:p>
    <w:p w:rsidR="00000000" w:rsidDel="00000000" w:rsidP="00000000" w:rsidRDefault="00000000" w:rsidRPr="00000000" w14:paraId="00000012">
      <w:pPr>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