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34D" w:rsidRPr="0007334D" w:rsidRDefault="0007334D" w:rsidP="0007334D">
      <w:pPr>
        <w:autoSpaceDE w:val="0"/>
        <w:autoSpaceDN w:val="0"/>
        <w:adjustRightInd w:val="0"/>
        <w:jc w:val="center"/>
        <w:rPr>
          <w:color w:val="000000"/>
        </w:rPr>
      </w:pPr>
      <w:r w:rsidRPr="0007334D">
        <w:rPr>
          <w:b/>
          <w:bCs/>
          <w:color w:val="000000"/>
        </w:rPr>
        <w:t>Commonwealth of Massachusetts</w:t>
      </w:r>
    </w:p>
    <w:p w:rsidR="00092B95" w:rsidRPr="0007334D" w:rsidRDefault="00092B95" w:rsidP="00092B95">
      <w:pPr>
        <w:pStyle w:val="Heading1"/>
        <w:rPr>
          <w:sz w:val="24"/>
        </w:rPr>
      </w:pPr>
      <w:r w:rsidRPr="0007334D">
        <w:rPr>
          <w:sz w:val="24"/>
        </w:rPr>
        <w:t>Executive Office of Energy and Environmental Affairs</w:t>
      </w:r>
    </w:p>
    <w:p w:rsidR="00B606F0" w:rsidRPr="0007334D" w:rsidRDefault="0007334D" w:rsidP="00B606F0">
      <w:pPr>
        <w:jc w:val="center"/>
        <w:rPr>
          <w:b/>
        </w:rPr>
      </w:pPr>
      <w:r w:rsidRPr="0007334D">
        <w:rPr>
          <w:b/>
        </w:rPr>
        <w:t>DEPARTMENT OF ENERGY RESOURCES</w:t>
      </w:r>
    </w:p>
    <w:p w:rsidR="00092B95" w:rsidRDefault="00092B95" w:rsidP="00092B95">
      <w:pPr>
        <w:pStyle w:val="Default"/>
        <w:jc w:val="center"/>
        <w:rPr>
          <w:rFonts w:ascii="Calibri" w:hAnsi="Calibri" w:cs="Calibri"/>
          <w:sz w:val="22"/>
          <w:szCs w:val="22"/>
        </w:rPr>
      </w:pPr>
    </w:p>
    <w:p w:rsidR="0007334D" w:rsidRPr="0007334D" w:rsidRDefault="007E4C15" w:rsidP="0007334D">
      <w:pPr>
        <w:jc w:val="center"/>
        <w:rPr>
          <w:rFonts w:eastAsia="Times"/>
          <w:b/>
          <w:sz w:val="28"/>
          <w:szCs w:val="28"/>
        </w:rPr>
      </w:pPr>
      <w:r>
        <w:rPr>
          <w:rFonts w:eastAsia="Times"/>
          <w:b/>
          <w:sz w:val="28"/>
          <w:szCs w:val="28"/>
        </w:rPr>
        <w:t>SOLAR MASSACHUSETTS RENEWABLE TARGET PROGRAM</w:t>
      </w:r>
    </w:p>
    <w:p w:rsidR="0007334D" w:rsidRPr="0007334D" w:rsidRDefault="0007334D" w:rsidP="0007334D">
      <w:pPr>
        <w:jc w:val="center"/>
        <w:rPr>
          <w:rFonts w:eastAsia="Times"/>
          <w:b/>
          <w:sz w:val="28"/>
          <w:szCs w:val="28"/>
        </w:rPr>
      </w:pPr>
      <w:r w:rsidRPr="0007334D">
        <w:rPr>
          <w:rFonts w:eastAsia="Times"/>
          <w:b/>
          <w:sz w:val="28"/>
          <w:szCs w:val="28"/>
        </w:rPr>
        <w:t xml:space="preserve">(225 CMR </w:t>
      </w:r>
      <w:r w:rsidR="00B75CC1">
        <w:rPr>
          <w:rFonts w:eastAsia="Times"/>
          <w:b/>
          <w:sz w:val="28"/>
          <w:szCs w:val="28"/>
        </w:rPr>
        <w:t>20</w:t>
      </w:r>
      <w:r w:rsidRPr="0007334D">
        <w:rPr>
          <w:rFonts w:eastAsia="Times"/>
          <w:b/>
          <w:sz w:val="28"/>
          <w:szCs w:val="28"/>
        </w:rPr>
        <w:t>.00)</w:t>
      </w:r>
    </w:p>
    <w:p w:rsidR="0007334D" w:rsidRDefault="0007334D" w:rsidP="00092B95">
      <w:pPr>
        <w:pStyle w:val="Default"/>
        <w:jc w:val="center"/>
        <w:rPr>
          <w:rFonts w:ascii="Calibri" w:hAnsi="Calibri" w:cs="Calibri"/>
          <w:sz w:val="22"/>
          <w:szCs w:val="22"/>
        </w:rPr>
      </w:pPr>
    </w:p>
    <w:p w:rsidR="0007334D" w:rsidRPr="0007334D" w:rsidRDefault="0007334D" w:rsidP="0007334D">
      <w:pPr>
        <w:spacing w:after="60"/>
        <w:jc w:val="center"/>
        <w:rPr>
          <w:rFonts w:eastAsia="Times"/>
          <w:b/>
          <w:sz w:val="30"/>
          <w:szCs w:val="30"/>
        </w:rPr>
      </w:pPr>
      <w:r w:rsidRPr="0007334D">
        <w:rPr>
          <w:rFonts w:eastAsia="Times"/>
          <w:b/>
          <w:sz w:val="28"/>
          <w:szCs w:val="28"/>
        </w:rPr>
        <w:t>GUIDELINE</w:t>
      </w:r>
    </w:p>
    <w:p w:rsidR="0007334D" w:rsidRDefault="0007334D" w:rsidP="00092B95">
      <w:pPr>
        <w:pStyle w:val="Default"/>
        <w:jc w:val="center"/>
        <w:rPr>
          <w:rFonts w:ascii="Calibri" w:hAnsi="Calibri" w:cs="Calibri"/>
          <w:sz w:val="22"/>
          <w:szCs w:val="22"/>
        </w:rPr>
      </w:pPr>
    </w:p>
    <w:p w:rsidR="00A82ADC" w:rsidRDefault="00934C82" w:rsidP="00092B95">
      <w:pPr>
        <w:pStyle w:val="Default"/>
        <w:jc w:val="center"/>
        <w:rPr>
          <w:rFonts w:ascii="Calibri" w:hAnsi="Calibri" w:cs="Calibri"/>
          <w:sz w:val="22"/>
          <w:szCs w:val="22"/>
        </w:rPr>
      </w:pPr>
      <w:r w:rsidRPr="00934C82">
        <w:rPr>
          <w:b/>
          <w:sz w:val="26"/>
          <w:szCs w:val="26"/>
          <w:u w:val="single"/>
        </w:rPr>
        <w:t>Guideli</w:t>
      </w:r>
      <w:r>
        <w:rPr>
          <w:b/>
          <w:sz w:val="26"/>
          <w:szCs w:val="26"/>
          <w:u w:val="single"/>
        </w:rPr>
        <w:t xml:space="preserve">ne Regarding the Definition of </w:t>
      </w:r>
      <w:r w:rsidRPr="00934C82">
        <w:rPr>
          <w:b/>
          <w:sz w:val="26"/>
          <w:szCs w:val="26"/>
          <w:u w:val="single"/>
        </w:rPr>
        <w:t>Agricultura</w:t>
      </w:r>
      <w:r>
        <w:rPr>
          <w:b/>
          <w:sz w:val="26"/>
          <w:szCs w:val="26"/>
          <w:u w:val="single"/>
        </w:rPr>
        <w:t>l Solar Tariff Generation Units</w:t>
      </w:r>
    </w:p>
    <w:p w:rsidR="00934C82" w:rsidRDefault="00934C82" w:rsidP="00AD4FBD">
      <w:pPr>
        <w:pStyle w:val="Default"/>
        <w:jc w:val="center"/>
        <w:rPr>
          <w:b/>
        </w:rPr>
      </w:pPr>
    </w:p>
    <w:p w:rsidR="00CA40BE" w:rsidRPr="00324815" w:rsidRDefault="005E4ECB" w:rsidP="00AD4FBD">
      <w:pPr>
        <w:pStyle w:val="Default"/>
        <w:jc w:val="center"/>
        <w:rPr>
          <w:rFonts w:asciiTheme="minorHAnsi" w:hAnsiTheme="minorHAnsi"/>
          <w:b/>
          <w:sz w:val="22"/>
          <w:szCs w:val="22"/>
        </w:rPr>
      </w:pPr>
      <w:r w:rsidRPr="0007334D">
        <w:rPr>
          <w:b/>
        </w:rPr>
        <w:t xml:space="preserve">Effective Date: </w:t>
      </w:r>
      <w:r w:rsidR="007E4C15">
        <w:rPr>
          <w:b/>
          <w:color w:val="auto"/>
        </w:rPr>
        <w:t>TBD</w:t>
      </w:r>
      <w:r w:rsidR="00092B95" w:rsidRPr="0007334D">
        <w:rPr>
          <w:b/>
        </w:rPr>
        <w:br/>
      </w:r>
    </w:p>
    <w:p w:rsidR="00896869" w:rsidRDefault="00C52B3E" w:rsidP="00C52B3E">
      <w:pPr>
        <w:ind w:firstLine="720"/>
        <w:rPr>
          <w:rFonts w:asciiTheme="minorHAnsi" w:hAnsiTheme="minorHAnsi"/>
          <w:sz w:val="22"/>
          <w:szCs w:val="22"/>
        </w:rPr>
      </w:pPr>
      <w:r w:rsidRPr="00C52B3E">
        <w:rPr>
          <w:rFonts w:asciiTheme="minorHAnsi" w:hAnsiTheme="minorHAnsi"/>
          <w:sz w:val="22"/>
          <w:szCs w:val="22"/>
        </w:rPr>
        <w:t>This document provides guidance regarding the manner in whi</w:t>
      </w:r>
      <w:r>
        <w:rPr>
          <w:rFonts w:asciiTheme="minorHAnsi" w:hAnsiTheme="minorHAnsi"/>
          <w:sz w:val="22"/>
          <w:szCs w:val="22"/>
        </w:rPr>
        <w:t xml:space="preserve">ch a </w:t>
      </w:r>
      <w:r w:rsidR="00934C82">
        <w:rPr>
          <w:rFonts w:asciiTheme="minorHAnsi" w:hAnsiTheme="minorHAnsi"/>
          <w:sz w:val="22"/>
          <w:szCs w:val="22"/>
        </w:rPr>
        <w:t>solar photovoltaic facility</w:t>
      </w:r>
      <w:r>
        <w:rPr>
          <w:rFonts w:asciiTheme="minorHAnsi" w:hAnsiTheme="minorHAnsi"/>
          <w:sz w:val="22"/>
          <w:szCs w:val="22"/>
        </w:rPr>
        <w:t xml:space="preserve"> may qualify as a</w:t>
      </w:r>
      <w:r w:rsidR="00934C82">
        <w:rPr>
          <w:rFonts w:asciiTheme="minorHAnsi" w:hAnsiTheme="minorHAnsi"/>
          <w:sz w:val="22"/>
          <w:szCs w:val="22"/>
        </w:rPr>
        <w:t>n</w:t>
      </w:r>
      <w:r>
        <w:rPr>
          <w:rFonts w:asciiTheme="minorHAnsi" w:hAnsiTheme="minorHAnsi"/>
          <w:sz w:val="22"/>
          <w:szCs w:val="22"/>
        </w:rPr>
        <w:t xml:space="preserve"> </w:t>
      </w:r>
      <w:r w:rsidRPr="00C52B3E">
        <w:rPr>
          <w:rFonts w:asciiTheme="minorHAnsi" w:hAnsiTheme="minorHAnsi"/>
          <w:sz w:val="22"/>
          <w:szCs w:val="22"/>
        </w:rPr>
        <w:t>Agricultural Solar Tariff Generation Unit under the Department of Energy Resource’s (Department) Solar Massachusetts Renewable Target</w:t>
      </w:r>
      <w:r w:rsidR="00934C82">
        <w:rPr>
          <w:rFonts w:asciiTheme="minorHAnsi" w:hAnsiTheme="minorHAnsi"/>
          <w:sz w:val="22"/>
          <w:szCs w:val="22"/>
        </w:rPr>
        <w:t xml:space="preserve"> (SMART)</w:t>
      </w:r>
      <w:r w:rsidRPr="00C52B3E">
        <w:rPr>
          <w:rFonts w:asciiTheme="minorHAnsi" w:hAnsiTheme="minorHAnsi"/>
          <w:sz w:val="22"/>
          <w:szCs w:val="22"/>
        </w:rPr>
        <w:t xml:space="preserve"> Program.</w:t>
      </w:r>
    </w:p>
    <w:p w:rsidR="00934C82" w:rsidRDefault="00934C82" w:rsidP="00C52B3E">
      <w:pPr>
        <w:ind w:firstLine="720"/>
        <w:rPr>
          <w:rFonts w:asciiTheme="minorHAnsi" w:hAnsiTheme="minorHAnsi"/>
          <w:sz w:val="22"/>
          <w:szCs w:val="22"/>
        </w:rPr>
      </w:pPr>
    </w:p>
    <w:p w:rsidR="00896869" w:rsidRPr="00CC3743" w:rsidRDefault="00896869" w:rsidP="00896869">
      <w:pPr>
        <w:pStyle w:val="Heading2"/>
        <w:rPr>
          <w:rFonts w:ascii="Calibri" w:hAnsi="Calibri" w:cs="Calibri"/>
          <w:sz w:val="22"/>
          <w:szCs w:val="22"/>
        </w:rPr>
      </w:pPr>
      <w:r w:rsidRPr="00CC3743">
        <w:rPr>
          <w:rFonts w:ascii="Calibri" w:hAnsi="Calibri" w:cs="Calibri"/>
          <w:sz w:val="22"/>
          <w:szCs w:val="22"/>
        </w:rPr>
        <w:t>BACKGROUND</w:t>
      </w:r>
      <w:r w:rsidR="00922E76">
        <w:rPr>
          <w:rFonts w:ascii="Calibri" w:hAnsi="Calibri" w:cs="Calibri"/>
          <w:sz w:val="22"/>
          <w:szCs w:val="22"/>
        </w:rPr>
        <w:t xml:space="preserve"> AND PURPOSE</w:t>
      </w:r>
    </w:p>
    <w:p w:rsidR="00896869" w:rsidRPr="00CC3743" w:rsidRDefault="00896869" w:rsidP="00896869">
      <w:pPr>
        <w:autoSpaceDE w:val="0"/>
        <w:autoSpaceDN w:val="0"/>
        <w:adjustRightInd w:val="0"/>
        <w:rPr>
          <w:rFonts w:ascii="Calibri" w:hAnsi="Calibri" w:cs="Calibri"/>
          <w:bCs/>
          <w:sz w:val="22"/>
          <w:szCs w:val="22"/>
        </w:rPr>
      </w:pPr>
    </w:p>
    <w:p w:rsidR="00C55398" w:rsidRDefault="00896869" w:rsidP="00922E76">
      <w:pPr>
        <w:pStyle w:val="NormalWeb"/>
        <w:spacing w:before="2" w:after="2"/>
        <w:ind w:firstLine="720"/>
        <w:rPr>
          <w:rFonts w:ascii="Calibri" w:hAnsi="Calibri" w:cs="Calibri"/>
          <w:sz w:val="22"/>
          <w:szCs w:val="22"/>
        </w:rPr>
      </w:pPr>
      <w:r>
        <w:rPr>
          <w:rFonts w:ascii="Calibri" w:hAnsi="Calibri" w:cs="Calibri"/>
          <w:sz w:val="22"/>
          <w:szCs w:val="22"/>
        </w:rPr>
        <w:t>On April 11, 2016 Governor Baker signed Chapter 75 of the Acts of 2016 into law. The Act direct</w:t>
      </w:r>
      <w:r w:rsidR="00C55398">
        <w:rPr>
          <w:rFonts w:ascii="Calibri" w:hAnsi="Calibri" w:cs="Calibri"/>
          <w:sz w:val="22"/>
          <w:szCs w:val="22"/>
        </w:rPr>
        <w:t>s</w:t>
      </w:r>
      <w:r>
        <w:rPr>
          <w:rFonts w:ascii="Calibri" w:hAnsi="Calibri" w:cs="Calibri"/>
          <w:sz w:val="22"/>
          <w:szCs w:val="22"/>
        </w:rPr>
        <w:t xml:space="preserve"> the Department to create a long-term sustainable solar incentive program to promote cost-effective solar in the Commonwealth. </w:t>
      </w:r>
      <w:r w:rsidR="00C55398">
        <w:rPr>
          <w:rFonts w:ascii="Calibri" w:hAnsi="Calibri" w:cs="Calibri"/>
          <w:sz w:val="22"/>
          <w:szCs w:val="22"/>
        </w:rPr>
        <w:t>The Act further directed the Department to “…differentiate</w:t>
      </w:r>
      <w:r w:rsidR="00C55398" w:rsidRPr="00C55398">
        <w:rPr>
          <w:rFonts w:ascii="Calibri" w:hAnsi="Calibri" w:cs="Calibri"/>
          <w:sz w:val="22"/>
          <w:szCs w:val="22"/>
        </w:rPr>
        <w:t xml:space="preserve"> incentive levels to support diverse installation types and sizes that provide unique benefits</w:t>
      </w:r>
      <w:r w:rsidR="00934C82">
        <w:rPr>
          <w:rFonts w:ascii="Calibri" w:hAnsi="Calibri" w:cs="Calibri"/>
          <w:sz w:val="22"/>
          <w:szCs w:val="22"/>
        </w:rPr>
        <w:t>..</w:t>
      </w:r>
      <w:r w:rsidR="00C55398">
        <w:rPr>
          <w:rFonts w:ascii="Calibri" w:hAnsi="Calibri" w:cs="Calibri"/>
          <w:sz w:val="22"/>
          <w:szCs w:val="22"/>
        </w:rPr>
        <w:t>.”</w:t>
      </w:r>
      <w:r w:rsidR="00C55398" w:rsidRPr="00C55398">
        <w:rPr>
          <w:rFonts w:ascii="Calibri" w:hAnsi="Calibri" w:cs="Calibri"/>
          <w:sz w:val="22"/>
          <w:szCs w:val="22"/>
        </w:rPr>
        <w:t xml:space="preserve"> </w:t>
      </w:r>
      <w:r w:rsidR="00C55398">
        <w:rPr>
          <w:rFonts w:ascii="Calibri" w:hAnsi="Calibri" w:cs="Calibri"/>
          <w:sz w:val="22"/>
          <w:szCs w:val="22"/>
        </w:rPr>
        <w:t xml:space="preserve">In developing the SMART Program, the Department established </w:t>
      </w:r>
      <w:r w:rsidR="00934C82">
        <w:rPr>
          <w:rFonts w:ascii="Calibri" w:hAnsi="Calibri" w:cs="Calibri"/>
          <w:sz w:val="22"/>
          <w:szCs w:val="22"/>
        </w:rPr>
        <w:t>six types of location based Compensation Rate Adders, one of which is provided for Agricultural Solar Tariff Generation Units</w:t>
      </w:r>
      <w:r w:rsidR="00C55398">
        <w:rPr>
          <w:rFonts w:ascii="Calibri" w:hAnsi="Calibri" w:cs="Calibri"/>
          <w:sz w:val="22"/>
          <w:szCs w:val="22"/>
        </w:rPr>
        <w:t>.</w:t>
      </w:r>
    </w:p>
    <w:p w:rsidR="00922E76" w:rsidRDefault="00922E76" w:rsidP="00922E76">
      <w:pPr>
        <w:pStyle w:val="NormalWeb"/>
        <w:spacing w:before="2" w:after="2"/>
        <w:ind w:firstLine="720"/>
        <w:rPr>
          <w:rFonts w:ascii="Calibri" w:hAnsi="Calibri" w:cs="Calibri"/>
          <w:sz w:val="22"/>
          <w:szCs w:val="22"/>
        </w:rPr>
      </w:pPr>
    </w:p>
    <w:p w:rsidR="00922E76" w:rsidRDefault="00922E76" w:rsidP="00922E76">
      <w:pPr>
        <w:ind w:firstLine="720"/>
        <w:rPr>
          <w:rFonts w:asciiTheme="minorHAnsi" w:hAnsiTheme="minorHAnsi"/>
          <w:sz w:val="22"/>
          <w:szCs w:val="22"/>
        </w:rPr>
      </w:pPr>
      <w:r>
        <w:rPr>
          <w:rFonts w:asciiTheme="minorHAnsi" w:hAnsiTheme="minorHAnsi"/>
          <w:sz w:val="22"/>
          <w:szCs w:val="22"/>
        </w:rPr>
        <w:t>Given the relative lack of solar facilities that meet the criteria outlined in definition of Agricultural Solar Tariff Generation Unit in the Commonwealth today, but the desire to see the installation of such systems that can provide the dual-use benefits, the Department, in consultation with the Massachusetts Department of Agricultural Resources (MDAR), has developed this Guideline to clarify additional eligibility criteria not prescribed in regulation.</w:t>
      </w:r>
    </w:p>
    <w:p w:rsidR="00922E76" w:rsidRDefault="00922E76" w:rsidP="00922E76">
      <w:pPr>
        <w:ind w:firstLine="720"/>
        <w:rPr>
          <w:rFonts w:asciiTheme="minorHAnsi" w:hAnsiTheme="minorHAnsi"/>
          <w:sz w:val="22"/>
          <w:szCs w:val="22"/>
        </w:rPr>
      </w:pPr>
    </w:p>
    <w:p w:rsidR="00922E76" w:rsidRDefault="00922E76" w:rsidP="00922E76">
      <w:pPr>
        <w:ind w:firstLine="720"/>
        <w:rPr>
          <w:rFonts w:asciiTheme="minorHAnsi" w:hAnsiTheme="minorHAnsi"/>
          <w:sz w:val="22"/>
          <w:szCs w:val="22"/>
        </w:rPr>
      </w:pPr>
      <w:r>
        <w:rPr>
          <w:rFonts w:asciiTheme="minorHAnsi" w:hAnsiTheme="minorHAnsi"/>
          <w:sz w:val="22"/>
          <w:szCs w:val="22"/>
        </w:rPr>
        <w:t>Adopting these provisions via Guideline, as was requested by many commenters in the initial stakeholder process that led to the promulgation of the regulation, will provide the necessary flexibility for the Department, in consultation with MDAR, to make modifications to key eligibility criteria as lessons are learned in constructing and operating Agricultural Solar Tariff Generation Unit.</w:t>
      </w:r>
    </w:p>
    <w:p w:rsidR="000E4A4E" w:rsidRDefault="000E4A4E" w:rsidP="00922E76">
      <w:pPr>
        <w:ind w:firstLine="720"/>
        <w:rPr>
          <w:rFonts w:asciiTheme="minorHAnsi" w:hAnsiTheme="minorHAnsi"/>
          <w:sz w:val="22"/>
          <w:szCs w:val="22"/>
        </w:rPr>
      </w:pPr>
    </w:p>
    <w:p w:rsidR="00922E76" w:rsidRDefault="00922E76" w:rsidP="00922E76">
      <w:pPr>
        <w:ind w:firstLine="720"/>
        <w:rPr>
          <w:rFonts w:asciiTheme="minorHAnsi" w:hAnsiTheme="minorHAnsi"/>
          <w:sz w:val="22"/>
          <w:szCs w:val="22"/>
        </w:rPr>
      </w:pPr>
      <w:r>
        <w:rPr>
          <w:rFonts w:asciiTheme="minorHAnsi" w:hAnsiTheme="minorHAnsi"/>
          <w:sz w:val="22"/>
          <w:szCs w:val="22"/>
        </w:rPr>
        <w:t>Any modifications to this Guideline will only be made following an opportunity for public comment that shall remain open for at least two weeks.</w:t>
      </w:r>
      <w:r w:rsidR="0003054C">
        <w:rPr>
          <w:rFonts w:asciiTheme="minorHAnsi" w:hAnsiTheme="minorHAnsi"/>
          <w:sz w:val="22"/>
          <w:szCs w:val="22"/>
        </w:rPr>
        <w:t xml:space="preserve"> All capitalized terms in this Guideline are defined in 225 CMR 20.02.</w:t>
      </w:r>
    </w:p>
    <w:p w:rsidR="00922E76" w:rsidRDefault="00922E76" w:rsidP="00922E76">
      <w:pPr>
        <w:pStyle w:val="NormalWeb"/>
        <w:spacing w:before="2" w:after="2"/>
        <w:ind w:firstLine="720"/>
        <w:rPr>
          <w:rFonts w:ascii="Calibri" w:hAnsi="Calibri" w:cs="Calibri"/>
          <w:sz w:val="22"/>
          <w:szCs w:val="22"/>
        </w:rPr>
      </w:pPr>
    </w:p>
    <w:p w:rsidR="00896869" w:rsidRPr="00723BA7" w:rsidRDefault="00934C82" w:rsidP="00896869">
      <w:pPr>
        <w:rPr>
          <w:rFonts w:ascii="Calibri" w:hAnsi="Calibri" w:cs="Calibri"/>
          <w:b/>
          <w:i/>
          <w:sz w:val="22"/>
          <w:szCs w:val="22"/>
          <w:u w:val="single"/>
        </w:rPr>
      </w:pPr>
      <w:r>
        <w:rPr>
          <w:rFonts w:ascii="Calibri" w:hAnsi="Calibri" w:cs="Calibri"/>
          <w:b/>
          <w:i/>
          <w:sz w:val="22"/>
          <w:szCs w:val="22"/>
          <w:u w:val="single"/>
        </w:rPr>
        <w:t>225 CMR 20.00 Regulatory Provisions Specific to Agricultural Solar Tariff Generation Units</w:t>
      </w:r>
    </w:p>
    <w:p w:rsidR="00896869" w:rsidRDefault="00896869" w:rsidP="00896869">
      <w:pPr>
        <w:rPr>
          <w:rFonts w:asciiTheme="minorHAnsi" w:hAnsiTheme="minorHAnsi"/>
          <w:sz w:val="22"/>
          <w:szCs w:val="22"/>
        </w:rPr>
      </w:pPr>
    </w:p>
    <w:p w:rsidR="00617B64" w:rsidRPr="00324815" w:rsidRDefault="00DB3D98" w:rsidP="00922E76">
      <w:pPr>
        <w:ind w:firstLine="720"/>
        <w:rPr>
          <w:rFonts w:asciiTheme="minorHAnsi" w:hAnsiTheme="minorHAnsi"/>
          <w:sz w:val="22"/>
          <w:szCs w:val="22"/>
        </w:rPr>
      </w:pPr>
      <w:r w:rsidRPr="00324815">
        <w:rPr>
          <w:rFonts w:asciiTheme="minorHAnsi" w:hAnsiTheme="minorHAnsi"/>
          <w:sz w:val="22"/>
          <w:szCs w:val="22"/>
        </w:rPr>
        <w:t xml:space="preserve">Under </w:t>
      </w:r>
      <w:r w:rsidR="005E4ECB" w:rsidRPr="00324815">
        <w:rPr>
          <w:rFonts w:asciiTheme="minorHAnsi" w:hAnsiTheme="minorHAnsi"/>
          <w:sz w:val="22"/>
          <w:szCs w:val="22"/>
        </w:rPr>
        <w:t xml:space="preserve">the </w:t>
      </w:r>
      <w:r w:rsidR="007E4C15" w:rsidRPr="00324815">
        <w:rPr>
          <w:rFonts w:asciiTheme="minorHAnsi" w:hAnsiTheme="minorHAnsi"/>
          <w:sz w:val="22"/>
          <w:szCs w:val="22"/>
        </w:rPr>
        <w:t>SMART program</w:t>
      </w:r>
      <w:r w:rsidRPr="00324815">
        <w:rPr>
          <w:rFonts w:asciiTheme="minorHAnsi" w:hAnsiTheme="minorHAnsi"/>
          <w:sz w:val="22"/>
          <w:szCs w:val="22"/>
        </w:rPr>
        <w:t xml:space="preserve">, </w:t>
      </w:r>
      <w:r w:rsidR="00934C82">
        <w:rPr>
          <w:rFonts w:asciiTheme="minorHAnsi" w:hAnsiTheme="minorHAnsi"/>
          <w:sz w:val="22"/>
          <w:szCs w:val="22"/>
        </w:rPr>
        <w:t xml:space="preserve">Solar Tariff </w:t>
      </w:r>
      <w:r w:rsidR="00D5064E" w:rsidRPr="00324815">
        <w:rPr>
          <w:rFonts w:asciiTheme="minorHAnsi" w:hAnsiTheme="minorHAnsi"/>
          <w:sz w:val="22"/>
          <w:szCs w:val="22"/>
        </w:rPr>
        <w:t xml:space="preserve">Generation Units are eligible to qualify </w:t>
      </w:r>
      <w:r w:rsidR="005F68B5">
        <w:rPr>
          <w:rFonts w:asciiTheme="minorHAnsi" w:hAnsiTheme="minorHAnsi"/>
          <w:sz w:val="22"/>
          <w:szCs w:val="22"/>
        </w:rPr>
        <w:t xml:space="preserve">as </w:t>
      </w:r>
      <w:r w:rsidR="00934C82">
        <w:rPr>
          <w:rFonts w:asciiTheme="minorHAnsi" w:hAnsiTheme="minorHAnsi"/>
          <w:sz w:val="22"/>
          <w:szCs w:val="22"/>
        </w:rPr>
        <w:t xml:space="preserve">an Agricultural </w:t>
      </w:r>
      <w:r w:rsidR="005F68B5">
        <w:rPr>
          <w:rFonts w:asciiTheme="minorHAnsi" w:hAnsiTheme="minorHAnsi"/>
          <w:sz w:val="22"/>
          <w:szCs w:val="22"/>
        </w:rPr>
        <w:t xml:space="preserve">Solar Tariff Generation Unit, which </w:t>
      </w:r>
      <w:r w:rsidR="00934C82">
        <w:rPr>
          <w:rFonts w:asciiTheme="minorHAnsi" w:hAnsiTheme="minorHAnsi"/>
          <w:sz w:val="22"/>
          <w:szCs w:val="22"/>
        </w:rPr>
        <w:t>is</w:t>
      </w:r>
      <w:r w:rsidR="005F68B5">
        <w:rPr>
          <w:rFonts w:asciiTheme="minorHAnsi" w:hAnsiTheme="minorHAnsi"/>
          <w:sz w:val="22"/>
          <w:szCs w:val="22"/>
        </w:rPr>
        <w:t xml:space="preserve"> defined under 225 CMR </w:t>
      </w:r>
      <w:r w:rsidR="00B75CC1">
        <w:rPr>
          <w:rFonts w:asciiTheme="minorHAnsi" w:hAnsiTheme="minorHAnsi"/>
          <w:sz w:val="22"/>
          <w:szCs w:val="22"/>
        </w:rPr>
        <w:t>20</w:t>
      </w:r>
      <w:r w:rsidR="005F68B5">
        <w:rPr>
          <w:rFonts w:asciiTheme="minorHAnsi" w:hAnsiTheme="minorHAnsi"/>
          <w:sz w:val="22"/>
          <w:szCs w:val="22"/>
        </w:rPr>
        <w:t>.02 as follows:</w:t>
      </w:r>
      <w:r w:rsidR="007E4C15" w:rsidRPr="00324815">
        <w:rPr>
          <w:rFonts w:asciiTheme="minorHAnsi" w:hAnsiTheme="minorHAnsi"/>
          <w:sz w:val="22"/>
          <w:szCs w:val="22"/>
        </w:rPr>
        <w:t xml:space="preserve"> </w:t>
      </w:r>
    </w:p>
    <w:p w:rsidR="005D0EDB" w:rsidRPr="00324815" w:rsidRDefault="005D0EDB" w:rsidP="008477FA">
      <w:pPr>
        <w:rPr>
          <w:rFonts w:asciiTheme="minorHAnsi" w:hAnsiTheme="minorHAnsi" w:cstheme="minorHAnsi"/>
          <w:sz w:val="22"/>
          <w:szCs w:val="22"/>
        </w:rPr>
      </w:pPr>
    </w:p>
    <w:p w:rsidR="00934C82" w:rsidRPr="00934C82" w:rsidRDefault="00934C82" w:rsidP="00934C82">
      <w:pPr>
        <w:pStyle w:val="CM24"/>
        <w:ind w:left="720"/>
        <w:jc w:val="both"/>
        <w:rPr>
          <w:rFonts w:asciiTheme="minorHAnsi" w:hAnsiTheme="minorHAnsi"/>
          <w:color w:val="000000"/>
          <w:sz w:val="22"/>
          <w:szCs w:val="22"/>
        </w:rPr>
      </w:pPr>
      <w:r w:rsidRPr="00934C82">
        <w:rPr>
          <w:rFonts w:asciiTheme="minorHAnsi" w:hAnsiTheme="minorHAnsi"/>
          <w:color w:val="000000"/>
          <w:sz w:val="22"/>
          <w:szCs w:val="22"/>
          <w:u w:val="single"/>
        </w:rPr>
        <w:lastRenderedPageBreak/>
        <w:t>Agricultural Solar Tariff Generation Unit</w:t>
      </w:r>
      <w:r w:rsidRPr="00934C82">
        <w:rPr>
          <w:rFonts w:asciiTheme="minorHAnsi" w:hAnsiTheme="minorHAnsi"/>
          <w:color w:val="000000"/>
          <w:sz w:val="22"/>
          <w:szCs w:val="22"/>
        </w:rPr>
        <w:t>. A Solar Tariff Generation Unit located on Land in Agricultural Use, Prime Agricultural Farmland</w:t>
      </w:r>
      <w:r w:rsidRPr="00934C82">
        <w:rPr>
          <w:rFonts w:asciiTheme="minorHAnsi" w:hAnsiTheme="minorHAnsi"/>
          <w:sz w:val="22"/>
          <w:szCs w:val="22"/>
        </w:rPr>
        <w:t>, or land that otherwise has the potential to meet definitions in M.G. L. c. 61A, §§ 1 &amp; 2, as determined by the Department in consultation with MDAR,</w:t>
      </w:r>
      <w:r w:rsidRPr="00934C82">
        <w:rPr>
          <w:rFonts w:asciiTheme="minorHAnsi" w:hAnsiTheme="minorHAnsi"/>
          <w:color w:val="000000"/>
          <w:sz w:val="22"/>
          <w:szCs w:val="22"/>
        </w:rPr>
        <w:t xml:space="preserve"> that allows the continued use of the land for agriculture.</w:t>
      </w:r>
    </w:p>
    <w:p w:rsidR="00A913FD" w:rsidRDefault="00A913FD" w:rsidP="002D4B1A">
      <w:pPr>
        <w:rPr>
          <w:rFonts w:ascii="Calibri" w:hAnsi="Calibri" w:cs="Calibri"/>
          <w:sz w:val="22"/>
          <w:szCs w:val="22"/>
        </w:rPr>
      </w:pPr>
    </w:p>
    <w:p w:rsidR="00921F3E" w:rsidRDefault="00921F3E" w:rsidP="00922E76">
      <w:pPr>
        <w:ind w:firstLine="720"/>
        <w:rPr>
          <w:rFonts w:ascii="Calibri" w:hAnsi="Calibri" w:cs="Calibri"/>
          <w:sz w:val="22"/>
          <w:szCs w:val="22"/>
        </w:rPr>
      </w:pPr>
      <w:r>
        <w:rPr>
          <w:rFonts w:ascii="Calibri" w:hAnsi="Calibri" w:cs="Calibri"/>
          <w:sz w:val="22"/>
          <w:szCs w:val="22"/>
        </w:rPr>
        <w:t xml:space="preserve">Additionally, 225 CMR </w:t>
      </w:r>
      <w:r w:rsidR="00B75CC1">
        <w:rPr>
          <w:rFonts w:ascii="Calibri" w:hAnsi="Calibri" w:cs="Calibri"/>
          <w:sz w:val="22"/>
          <w:szCs w:val="22"/>
        </w:rPr>
        <w:t>20</w:t>
      </w:r>
      <w:r w:rsidR="00934C82">
        <w:rPr>
          <w:rFonts w:ascii="Calibri" w:hAnsi="Calibri" w:cs="Calibri"/>
          <w:sz w:val="22"/>
          <w:szCs w:val="22"/>
        </w:rPr>
        <w:t>.06(1</w:t>
      </w:r>
      <w:proofErr w:type="gramStart"/>
      <w:r w:rsidR="00934C82">
        <w:rPr>
          <w:rFonts w:ascii="Calibri" w:hAnsi="Calibri" w:cs="Calibri"/>
          <w:sz w:val="22"/>
          <w:szCs w:val="22"/>
        </w:rPr>
        <w:t>)(</w:t>
      </w:r>
      <w:proofErr w:type="gramEnd"/>
      <w:r w:rsidR="00934C82">
        <w:rPr>
          <w:rFonts w:ascii="Calibri" w:hAnsi="Calibri" w:cs="Calibri"/>
          <w:sz w:val="22"/>
          <w:szCs w:val="22"/>
        </w:rPr>
        <w:t>d) contains special provisions pertaining specifically to the eligibility of Agricultural Solar Tariff Generation Units as fol</w:t>
      </w:r>
      <w:r>
        <w:rPr>
          <w:rFonts w:ascii="Calibri" w:hAnsi="Calibri" w:cs="Calibri"/>
          <w:sz w:val="22"/>
          <w:szCs w:val="22"/>
        </w:rPr>
        <w:t>lows:</w:t>
      </w:r>
    </w:p>
    <w:p w:rsidR="00921F3E" w:rsidRDefault="00921F3E" w:rsidP="002D4B1A">
      <w:pPr>
        <w:rPr>
          <w:rFonts w:ascii="Calibri" w:hAnsi="Calibri" w:cs="Calibri"/>
          <w:sz w:val="22"/>
          <w:szCs w:val="22"/>
        </w:rPr>
      </w:pPr>
    </w:p>
    <w:p w:rsidR="00934C82" w:rsidRPr="00934C82" w:rsidRDefault="00934C82" w:rsidP="00934C82">
      <w:pPr>
        <w:pStyle w:val="Default"/>
        <w:ind w:left="720"/>
        <w:jc w:val="both"/>
        <w:rPr>
          <w:rFonts w:asciiTheme="minorHAnsi" w:hAnsiTheme="minorHAnsi"/>
          <w:color w:val="auto"/>
          <w:sz w:val="22"/>
          <w:szCs w:val="22"/>
        </w:rPr>
      </w:pPr>
      <w:r w:rsidRPr="00934C82">
        <w:rPr>
          <w:rFonts w:asciiTheme="minorHAnsi" w:hAnsiTheme="minorHAnsi"/>
          <w:color w:val="auto"/>
          <w:sz w:val="22"/>
          <w:szCs w:val="22"/>
        </w:rPr>
        <w:t xml:space="preserve">(d) </w:t>
      </w:r>
      <w:r w:rsidRPr="00934C82">
        <w:rPr>
          <w:rFonts w:asciiTheme="minorHAnsi" w:hAnsiTheme="minorHAnsi"/>
          <w:color w:val="auto"/>
          <w:sz w:val="22"/>
          <w:szCs w:val="22"/>
          <w:u w:val="single"/>
        </w:rPr>
        <w:t>Special Provisions for Agricultural Solar Tariff Generation Units</w:t>
      </w:r>
      <w:r w:rsidRPr="00934C82">
        <w:rPr>
          <w:rFonts w:asciiTheme="minorHAnsi" w:hAnsiTheme="minorHAnsi"/>
          <w:color w:val="auto"/>
          <w:sz w:val="22"/>
          <w:szCs w:val="22"/>
        </w:rPr>
        <w:t>. In order to qualify as an Agricultural Solar Tariff Generation Unit, a Solar Tariff Generation Unit must submit documentation itemized in 225 CMR 20.06(1</w:t>
      </w:r>
      <w:proofErr w:type="gramStart"/>
      <w:r w:rsidRPr="00934C82">
        <w:rPr>
          <w:rFonts w:asciiTheme="minorHAnsi" w:hAnsiTheme="minorHAnsi"/>
          <w:color w:val="auto"/>
          <w:sz w:val="22"/>
          <w:szCs w:val="22"/>
        </w:rPr>
        <w:t>)(</w:t>
      </w:r>
      <w:proofErr w:type="gramEnd"/>
      <w:r w:rsidRPr="00934C82">
        <w:rPr>
          <w:rFonts w:asciiTheme="minorHAnsi" w:hAnsiTheme="minorHAnsi"/>
          <w:color w:val="auto"/>
          <w:sz w:val="22"/>
          <w:szCs w:val="22"/>
        </w:rPr>
        <w:t xml:space="preserve">d) below. All final determinations regarding the eligibility of such facilities will be made by the Department, in consultation with MDAR. A Solar Tariff Generation Unit must also submit satisfactory documentation to the Department as detailed in the Department’s </w:t>
      </w:r>
      <w:r w:rsidRPr="00934C82">
        <w:rPr>
          <w:rFonts w:asciiTheme="minorHAnsi" w:hAnsiTheme="minorHAnsi"/>
          <w:i/>
          <w:color w:val="auto"/>
          <w:sz w:val="22"/>
          <w:szCs w:val="22"/>
        </w:rPr>
        <w:t>Guideline Regarding the Definition of Agricultural Solar Tariff Generation Units</w:t>
      </w:r>
      <w:r w:rsidRPr="00934C82">
        <w:rPr>
          <w:rFonts w:asciiTheme="minorHAnsi" w:hAnsiTheme="minorHAnsi"/>
          <w:color w:val="auto"/>
          <w:sz w:val="22"/>
          <w:szCs w:val="22"/>
        </w:rPr>
        <w:t>.</w:t>
      </w:r>
    </w:p>
    <w:p w:rsidR="00934C82" w:rsidRPr="00934C82" w:rsidRDefault="00934C82" w:rsidP="00934C82">
      <w:pPr>
        <w:pStyle w:val="Default"/>
        <w:ind w:left="1080"/>
        <w:jc w:val="both"/>
        <w:rPr>
          <w:rFonts w:asciiTheme="minorHAnsi" w:hAnsiTheme="minorHAnsi"/>
          <w:color w:val="auto"/>
          <w:sz w:val="22"/>
          <w:szCs w:val="22"/>
        </w:rPr>
      </w:pPr>
      <w:r w:rsidRPr="00934C82">
        <w:rPr>
          <w:rFonts w:asciiTheme="minorHAnsi" w:hAnsiTheme="minorHAnsi"/>
          <w:color w:val="auto"/>
          <w:sz w:val="22"/>
          <w:szCs w:val="22"/>
        </w:rPr>
        <w:t xml:space="preserve">1. </w:t>
      </w:r>
      <w:proofErr w:type="gramStart"/>
      <w:r w:rsidRPr="00934C82">
        <w:rPr>
          <w:rFonts w:asciiTheme="minorHAnsi" w:hAnsiTheme="minorHAnsi"/>
          <w:color w:val="auto"/>
          <w:sz w:val="22"/>
          <w:szCs w:val="22"/>
        </w:rPr>
        <w:t>the</w:t>
      </w:r>
      <w:proofErr w:type="gramEnd"/>
      <w:r w:rsidRPr="00934C82">
        <w:rPr>
          <w:rFonts w:asciiTheme="minorHAnsi" w:hAnsiTheme="minorHAnsi"/>
          <w:color w:val="auto"/>
          <w:sz w:val="22"/>
          <w:szCs w:val="22"/>
        </w:rPr>
        <w:t xml:space="preserve"> Solar Tariff Generation Unit will not interfere with the continued use of the land beneath the canopy for agricultural purposes; </w:t>
      </w:r>
    </w:p>
    <w:p w:rsidR="00934C82" w:rsidRPr="00934C82" w:rsidRDefault="00934C82" w:rsidP="00934C82">
      <w:pPr>
        <w:pStyle w:val="Default"/>
        <w:ind w:left="1080"/>
        <w:jc w:val="both"/>
        <w:rPr>
          <w:rFonts w:asciiTheme="minorHAnsi" w:hAnsiTheme="minorHAnsi"/>
          <w:color w:val="auto"/>
          <w:sz w:val="22"/>
          <w:szCs w:val="22"/>
        </w:rPr>
      </w:pPr>
      <w:r w:rsidRPr="00934C82">
        <w:rPr>
          <w:rFonts w:asciiTheme="minorHAnsi" w:hAnsiTheme="minorHAnsi"/>
          <w:color w:val="auto"/>
          <w:sz w:val="22"/>
          <w:szCs w:val="22"/>
        </w:rPr>
        <w:t xml:space="preserve">2. </w:t>
      </w:r>
      <w:proofErr w:type="gramStart"/>
      <w:r w:rsidRPr="00934C82">
        <w:rPr>
          <w:rFonts w:asciiTheme="minorHAnsi" w:hAnsiTheme="minorHAnsi"/>
          <w:color w:val="auto"/>
          <w:sz w:val="22"/>
          <w:szCs w:val="22"/>
        </w:rPr>
        <w:t>the</w:t>
      </w:r>
      <w:proofErr w:type="gramEnd"/>
      <w:r w:rsidRPr="00934C82">
        <w:rPr>
          <w:rFonts w:asciiTheme="minorHAnsi" w:hAnsiTheme="minorHAnsi"/>
          <w:color w:val="auto"/>
          <w:sz w:val="22"/>
          <w:szCs w:val="22"/>
        </w:rPr>
        <w:t xml:space="preserve"> Solar Tariff Generation Unit is designed to optimize a balance between the generation of electricity and the agricultural productive capacity of the soils beneath;</w:t>
      </w:r>
    </w:p>
    <w:p w:rsidR="00934C82" w:rsidRPr="00934C82" w:rsidRDefault="00934C82" w:rsidP="00934C82">
      <w:pPr>
        <w:pStyle w:val="Default"/>
        <w:ind w:left="1080"/>
        <w:jc w:val="both"/>
        <w:rPr>
          <w:rFonts w:asciiTheme="minorHAnsi" w:hAnsiTheme="minorHAnsi"/>
          <w:color w:val="auto"/>
          <w:sz w:val="22"/>
          <w:szCs w:val="22"/>
        </w:rPr>
      </w:pPr>
      <w:r w:rsidRPr="00934C82">
        <w:rPr>
          <w:rFonts w:asciiTheme="minorHAnsi" w:hAnsiTheme="minorHAnsi"/>
          <w:color w:val="auto"/>
          <w:sz w:val="22"/>
          <w:szCs w:val="22"/>
        </w:rPr>
        <w:t xml:space="preserve">3. the Solar Tariff Generation Unit is a raised structure allowing for continuous growth of crops underneath the solar photovoltaic modules, with height enough for labor and/or machinery as it relates to tilling, cultivating, soil amendments, harvesting, </w:t>
      </w:r>
      <w:r w:rsidRPr="00934C82">
        <w:rPr>
          <w:rFonts w:asciiTheme="minorHAnsi" w:hAnsiTheme="minorHAnsi"/>
          <w:i/>
          <w:color w:val="auto"/>
          <w:sz w:val="22"/>
          <w:szCs w:val="22"/>
        </w:rPr>
        <w:t>etc.</w:t>
      </w:r>
      <w:r w:rsidRPr="00934C82">
        <w:rPr>
          <w:rFonts w:asciiTheme="minorHAnsi" w:hAnsiTheme="minorHAnsi"/>
          <w:color w:val="auto"/>
          <w:sz w:val="22"/>
          <w:szCs w:val="22"/>
        </w:rPr>
        <w:t xml:space="preserve"> and grazing animals;</w:t>
      </w:r>
    </w:p>
    <w:p w:rsidR="00934C82" w:rsidRPr="00934C82" w:rsidRDefault="00934C82" w:rsidP="00934C82">
      <w:pPr>
        <w:pStyle w:val="Default"/>
        <w:ind w:left="1080"/>
        <w:jc w:val="both"/>
        <w:rPr>
          <w:rFonts w:asciiTheme="minorHAnsi" w:hAnsiTheme="minorHAnsi"/>
          <w:color w:val="auto"/>
          <w:sz w:val="22"/>
          <w:szCs w:val="22"/>
        </w:rPr>
      </w:pPr>
      <w:r w:rsidRPr="00934C82">
        <w:rPr>
          <w:rFonts w:asciiTheme="minorHAnsi" w:hAnsiTheme="minorHAnsi"/>
          <w:color w:val="auto"/>
          <w:sz w:val="22"/>
          <w:szCs w:val="22"/>
        </w:rPr>
        <w:t xml:space="preserve">4. crop(s) to be grown to be provided by the farmer or farm agronomist in conjunction with UMass Amherst agricultural extension services, including compatibility with the design of the agricultural solar system for such factors as crop selection, sunlight percentage, </w:t>
      </w:r>
      <w:r w:rsidRPr="00934C82">
        <w:rPr>
          <w:rFonts w:asciiTheme="minorHAnsi" w:hAnsiTheme="minorHAnsi"/>
          <w:i/>
          <w:color w:val="auto"/>
          <w:sz w:val="22"/>
          <w:szCs w:val="22"/>
        </w:rPr>
        <w:t>etc.</w:t>
      </w:r>
      <w:r w:rsidRPr="00934C82">
        <w:rPr>
          <w:rFonts w:asciiTheme="minorHAnsi" w:hAnsiTheme="minorHAnsi"/>
          <w:color w:val="auto"/>
          <w:sz w:val="22"/>
          <w:szCs w:val="22"/>
        </w:rPr>
        <w:t>;</w:t>
      </w:r>
    </w:p>
    <w:p w:rsidR="00934C82" w:rsidRPr="00934C82" w:rsidRDefault="00934C82" w:rsidP="00934C82">
      <w:pPr>
        <w:pStyle w:val="Default"/>
        <w:ind w:left="1080"/>
        <w:jc w:val="both"/>
        <w:rPr>
          <w:rFonts w:asciiTheme="minorHAnsi" w:hAnsiTheme="minorHAnsi"/>
          <w:color w:val="auto"/>
          <w:sz w:val="22"/>
          <w:szCs w:val="22"/>
        </w:rPr>
      </w:pPr>
      <w:r w:rsidRPr="00934C82">
        <w:rPr>
          <w:rFonts w:asciiTheme="minorHAnsi" w:hAnsiTheme="minorHAnsi"/>
          <w:color w:val="auto"/>
          <w:sz w:val="22"/>
          <w:szCs w:val="22"/>
        </w:rPr>
        <w:t xml:space="preserve">5. annual reporting to the Department and MDAR of the productivity of the crop(s) and herd, including pounds harvested and/or grazed, herd size growth, success of the crop, potential changes, </w:t>
      </w:r>
      <w:r w:rsidRPr="00934C82">
        <w:rPr>
          <w:rFonts w:asciiTheme="minorHAnsi" w:hAnsiTheme="minorHAnsi"/>
          <w:i/>
          <w:color w:val="auto"/>
          <w:sz w:val="22"/>
          <w:szCs w:val="22"/>
        </w:rPr>
        <w:t>etc.</w:t>
      </w:r>
      <w:r w:rsidRPr="00934C82">
        <w:rPr>
          <w:rFonts w:asciiTheme="minorHAnsi" w:hAnsiTheme="minorHAnsi"/>
          <w:color w:val="auto"/>
          <w:sz w:val="22"/>
          <w:szCs w:val="22"/>
        </w:rPr>
        <w:t>, shall be provided after project implementation and throughout the SMART incentive period; and</w:t>
      </w:r>
    </w:p>
    <w:p w:rsidR="00934C82" w:rsidRPr="00934C82" w:rsidRDefault="00934C82" w:rsidP="00934C82">
      <w:pPr>
        <w:pStyle w:val="Default"/>
        <w:ind w:left="1080"/>
        <w:jc w:val="both"/>
        <w:rPr>
          <w:rFonts w:asciiTheme="minorHAnsi" w:hAnsiTheme="minorHAnsi"/>
          <w:color w:val="auto"/>
          <w:sz w:val="22"/>
          <w:szCs w:val="22"/>
        </w:rPr>
      </w:pPr>
      <w:r w:rsidRPr="00934C82">
        <w:rPr>
          <w:rFonts w:asciiTheme="minorHAnsi" w:hAnsiTheme="minorHAnsi"/>
          <w:color w:val="auto"/>
          <w:sz w:val="22"/>
          <w:szCs w:val="22"/>
        </w:rPr>
        <w:t xml:space="preserve">6. </w:t>
      </w:r>
      <w:proofErr w:type="gramStart"/>
      <w:r w:rsidRPr="00934C82">
        <w:rPr>
          <w:rFonts w:asciiTheme="minorHAnsi" w:hAnsiTheme="minorHAnsi"/>
          <w:color w:val="auto"/>
          <w:sz w:val="22"/>
          <w:szCs w:val="22"/>
        </w:rPr>
        <w:t>other</w:t>
      </w:r>
      <w:proofErr w:type="gramEnd"/>
      <w:r w:rsidRPr="00934C82">
        <w:rPr>
          <w:rFonts w:asciiTheme="minorHAnsi" w:hAnsiTheme="minorHAnsi"/>
          <w:color w:val="auto"/>
          <w:sz w:val="22"/>
          <w:szCs w:val="22"/>
        </w:rPr>
        <w:t xml:space="preserve"> system design information, which shall include, but not be limited to:</w:t>
      </w:r>
    </w:p>
    <w:p w:rsidR="00934C82" w:rsidRPr="00934C82" w:rsidRDefault="00934C82" w:rsidP="00934C82">
      <w:pPr>
        <w:pStyle w:val="Default"/>
        <w:ind w:left="1440"/>
        <w:jc w:val="both"/>
        <w:rPr>
          <w:rFonts w:asciiTheme="minorHAnsi" w:hAnsiTheme="minorHAnsi"/>
          <w:color w:val="auto"/>
          <w:sz w:val="22"/>
          <w:szCs w:val="22"/>
        </w:rPr>
      </w:pPr>
      <w:proofErr w:type="gramStart"/>
      <w:r w:rsidRPr="00934C82">
        <w:rPr>
          <w:rFonts w:asciiTheme="minorHAnsi" w:hAnsiTheme="minorHAnsi"/>
          <w:color w:val="auto"/>
          <w:sz w:val="22"/>
          <w:szCs w:val="22"/>
        </w:rPr>
        <w:t>a</w:t>
      </w:r>
      <w:proofErr w:type="gramEnd"/>
      <w:r w:rsidRPr="00934C82">
        <w:rPr>
          <w:rFonts w:asciiTheme="minorHAnsi" w:hAnsiTheme="minorHAnsi"/>
          <w:color w:val="auto"/>
          <w:sz w:val="22"/>
          <w:szCs w:val="22"/>
        </w:rPr>
        <w:t xml:space="preserve">. dual-use type, </w:t>
      </w:r>
      <w:r w:rsidRPr="00934C82">
        <w:rPr>
          <w:rFonts w:asciiTheme="minorHAnsi" w:hAnsiTheme="minorHAnsi"/>
          <w:i/>
          <w:color w:val="auto"/>
          <w:sz w:val="22"/>
          <w:szCs w:val="22"/>
        </w:rPr>
        <w:t>e.g.</w:t>
      </w:r>
      <w:r w:rsidRPr="00934C82">
        <w:rPr>
          <w:rFonts w:asciiTheme="minorHAnsi" w:hAnsiTheme="minorHAnsi"/>
          <w:color w:val="auto"/>
          <w:sz w:val="22"/>
          <w:szCs w:val="22"/>
        </w:rPr>
        <w:t xml:space="preserve">, ground mount racking, pole towers, tracking, </w:t>
      </w:r>
      <w:r w:rsidRPr="00934C82">
        <w:rPr>
          <w:rFonts w:asciiTheme="minorHAnsi" w:hAnsiTheme="minorHAnsi"/>
          <w:i/>
          <w:color w:val="auto"/>
          <w:sz w:val="22"/>
          <w:szCs w:val="22"/>
        </w:rPr>
        <w:t>etc.</w:t>
      </w:r>
      <w:r w:rsidRPr="00934C82">
        <w:rPr>
          <w:rFonts w:asciiTheme="minorHAnsi" w:hAnsiTheme="minorHAnsi"/>
          <w:color w:val="auto"/>
          <w:sz w:val="22"/>
          <w:szCs w:val="22"/>
        </w:rPr>
        <w:t>;</w:t>
      </w:r>
    </w:p>
    <w:p w:rsidR="00934C82" w:rsidRPr="00934C82" w:rsidRDefault="00934C82" w:rsidP="00934C82">
      <w:pPr>
        <w:pStyle w:val="Default"/>
        <w:ind w:left="1440"/>
        <w:jc w:val="both"/>
        <w:rPr>
          <w:rFonts w:asciiTheme="minorHAnsi" w:hAnsiTheme="minorHAnsi"/>
          <w:color w:val="auto"/>
          <w:sz w:val="22"/>
          <w:szCs w:val="22"/>
        </w:rPr>
      </w:pPr>
      <w:proofErr w:type="gramStart"/>
      <w:r w:rsidRPr="00934C82">
        <w:rPr>
          <w:rFonts w:asciiTheme="minorHAnsi" w:hAnsiTheme="minorHAnsi"/>
          <w:color w:val="auto"/>
          <w:sz w:val="22"/>
          <w:szCs w:val="22"/>
        </w:rPr>
        <w:t>b</w:t>
      </w:r>
      <w:proofErr w:type="gramEnd"/>
      <w:r w:rsidRPr="00934C82">
        <w:rPr>
          <w:rFonts w:asciiTheme="minorHAnsi" w:hAnsiTheme="minorHAnsi"/>
          <w:color w:val="auto"/>
          <w:sz w:val="22"/>
          <w:szCs w:val="22"/>
        </w:rPr>
        <w:t>. total gross acres of open farmland to be integrated with the project;</w:t>
      </w:r>
    </w:p>
    <w:p w:rsidR="00934C82" w:rsidRPr="00934C82" w:rsidRDefault="00934C82" w:rsidP="00934C82">
      <w:pPr>
        <w:pStyle w:val="Default"/>
        <w:ind w:left="1440"/>
        <w:jc w:val="both"/>
        <w:rPr>
          <w:rFonts w:asciiTheme="minorHAnsi" w:hAnsiTheme="minorHAnsi"/>
          <w:color w:val="auto"/>
          <w:sz w:val="22"/>
          <w:szCs w:val="22"/>
        </w:rPr>
      </w:pPr>
      <w:proofErr w:type="gramStart"/>
      <w:r w:rsidRPr="00934C82">
        <w:rPr>
          <w:rFonts w:asciiTheme="minorHAnsi" w:hAnsiTheme="minorHAnsi"/>
          <w:color w:val="auto"/>
          <w:sz w:val="22"/>
          <w:szCs w:val="22"/>
        </w:rPr>
        <w:t>c</w:t>
      </w:r>
      <w:proofErr w:type="gramEnd"/>
      <w:r w:rsidRPr="00934C82">
        <w:rPr>
          <w:rFonts w:asciiTheme="minorHAnsi" w:hAnsiTheme="minorHAnsi"/>
          <w:color w:val="auto"/>
          <w:sz w:val="22"/>
          <w:szCs w:val="22"/>
        </w:rPr>
        <w:t>. type of crop(s) to be grown, including grazing crops;</w:t>
      </w:r>
    </w:p>
    <w:p w:rsidR="00934C82" w:rsidRPr="00934C82" w:rsidRDefault="00934C82" w:rsidP="00934C82">
      <w:pPr>
        <w:pStyle w:val="Default"/>
        <w:ind w:left="1440"/>
        <w:jc w:val="both"/>
        <w:rPr>
          <w:rFonts w:asciiTheme="minorHAnsi" w:hAnsiTheme="minorHAnsi"/>
          <w:color w:val="auto"/>
          <w:sz w:val="22"/>
          <w:szCs w:val="22"/>
        </w:rPr>
      </w:pPr>
      <w:proofErr w:type="gramStart"/>
      <w:r w:rsidRPr="00934C82">
        <w:rPr>
          <w:rFonts w:asciiTheme="minorHAnsi" w:hAnsiTheme="minorHAnsi"/>
          <w:color w:val="auto"/>
          <w:sz w:val="22"/>
          <w:szCs w:val="22"/>
        </w:rPr>
        <w:t>d</w:t>
      </w:r>
      <w:proofErr w:type="gramEnd"/>
      <w:r w:rsidRPr="00934C82">
        <w:rPr>
          <w:rFonts w:asciiTheme="minorHAnsi" w:hAnsiTheme="minorHAnsi"/>
          <w:color w:val="auto"/>
          <w:sz w:val="22"/>
          <w:szCs w:val="22"/>
        </w:rPr>
        <w:t>. pounds of crop(s) projected to be grown and harvested, or grazed;</w:t>
      </w:r>
    </w:p>
    <w:p w:rsidR="00934C82" w:rsidRPr="00934C82" w:rsidRDefault="00934C82" w:rsidP="00934C82">
      <w:pPr>
        <w:pStyle w:val="Default"/>
        <w:ind w:left="1440"/>
        <w:jc w:val="both"/>
        <w:rPr>
          <w:rFonts w:asciiTheme="minorHAnsi" w:hAnsiTheme="minorHAnsi"/>
          <w:color w:val="auto"/>
          <w:sz w:val="22"/>
          <w:szCs w:val="22"/>
        </w:rPr>
      </w:pPr>
      <w:proofErr w:type="gramStart"/>
      <w:r w:rsidRPr="00934C82">
        <w:rPr>
          <w:rFonts w:asciiTheme="minorHAnsi" w:hAnsiTheme="minorHAnsi"/>
          <w:color w:val="auto"/>
          <w:sz w:val="22"/>
          <w:szCs w:val="22"/>
        </w:rPr>
        <w:t>e</w:t>
      </w:r>
      <w:proofErr w:type="gramEnd"/>
      <w:r w:rsidRPr="00934C82">
        <w:rPr>
          <w:rFonts w:asciiTheme="minorHAnsi" w:hAnsiTheme="minorHAnsi"/>
          <w:color w:val="auto"/>
          <w:sz w:val="22"/>
          <w:szCs w:val="22"/>
        </w:rPr>
        <w:t>. animals to be grazed with herd size(s); and</w:t>
      </w:r>
    </w:p>
    <w:p w:rsidR="00934C82" w:rsidRPr="00934C82" w:rsidRDefault="00934C82" w:rsidP="00934C82">
      <w:pPr>
        <w:pStyle w:val="Default"/>
        <w:ind w:left="1440"/>
        <w:jc w:val="both"/>
        <w:rPr>
          <w:rFonts w:asciiTheme="minorHAnsi" w:hAnsiTheme="minorHAnsi"/>
          <w:color w:val="auto"/>
          <w:sz w:val="22"/>
          <w:szCs w:val="22"/>
        </w:rPr>
      </w:pPr>
      <w:proofErr w:type="gramStart"/>
      <w:r w:rsidRPr="00934C82">
        <w:rPr>
          <w:rFonts w:asciiTheme="minorHAnsi" w:hAnsiTheme="minorHAnsi"/>
          <w:color w:val="auto"/>
          <w:sz w:val="22"/>
          <w:szCs w:val="22"/>
        </w:rPr>
        <w:t>f</w:t>
      </w:r>
      <w:proofErr w:type="gramEnd"/>
      <w:r w:rsidRPr="00934C82">
        <w:rPr>
          <w:rFonts w:asciiTheme="minorHAnsi" w:hAnsiTheme="minorHAnsi"/>
          <w:color w:val="auto"/>
          <w:sz w:val="22"/>
          <w:szCs w:val="22"/>
        </w:rPr>
        <w:t xml:space="preserve">. design drawing including mounting system type (fixed, tracking), panel tilt, panel row spacing, individual panel spacing, for pole towers tower spacing and mounting height, </w:t>
      </w:r>
      <w:r w:rsidRPr="00934C82">
        <w:rPr>
          <w:rFonts w:asciiTheme="minorHAnsi" w:hAnsiTheme="minorHAnsi"/>
          <w:i/>
          <w:color w:val="auto"/>
          <w:sz w:val="22"/>
          <w:szCs w:val="22"/>
        </w:rPr>
        <w:t>etc.</w:t>
      </w:r>
    </w:p>
    <w:p w:rsidR="00032F50" w:rsidRPr="00B2769E" w:rsidRDefault="00032F50" w:rsidP="00994CDE">
      <w:pPr>
        <w:rPr>
          <w:rFonts w:ascii="Calibri" w:hAnsi="Calibri" w:cs="Calibri"/>
          <w:iCs/>
          <w:sz w:val="22"/>
          <w:szCs w:val="22"/>
        </w:rPr>
      </w:pPr>
    </w:p>
    <w:p w:rsidR="00695111" w:rsidRDefault="00922E76" w:rsidP="002F393E">
      <w:pPr>
        <w:rPr>
          <w:rFonts w:ascii="Calibri" w:hAnsi="Calibri" w:cs="Calibri"/>
          <w:iCs/>
          <w:sz w:val="22"/>
          <w:szCs w:val="22"/>
        </w:rPr>
      </w:pPr>
      <w:r>
        <w:rPr>
          <w:rFonts w:ascii="Calibri" w:hAnsi="Calibri" w:cs="Calibri"/>
          <w:b/>
          <w:i/>
          <w:iCs/>
          <w:sz w:val="22"/>
          <w:szCs w:val="22"/>
          <w:u w:val="single"/>
        </w:rPr>
        <w:t>Additional Provisions for Agricultural Solar Tariff Generation Units</w:t>
      </w:r>
    </w:p>
    <w:p w:rsidR="00922E76" w:rsidRDefault="00922E76" w:rsidP="002F393E">
      <w:pPr>
        <w:rPr>
          <w:rFonts w:ascii="Calibri" w:hAnsi="Calibri" w:cs="Calibri"/>
          <w:iCs/>
          <w:sz w:val="22"/>
          <w:szCs w:val="22"/>
        </w:rPr>
      </w:pPr>
    </w:p>
    <w:p w:rsidR="002A17F4" w:rsidRPr="002A17F4" w:rsidRDefault="00922E76" w:rsidP="002A17F4">
      <w:pPr>
        <w:ind w:firstLine="720"/>
        <w:rPr>
          <w:rFonts w:asciiTheme="minorHAnsi" w:hAnsiTheme="minorHAnsi"/>
          <w:sz w:val="22"/>
          <w:szCs w:val="22"/>
        </w:rPr>
      </w:pPr>
      <w:r>
        <w:rPr>
          <w:rFonts w:asciiTheme="minorHAnsi" w:hAnsiTheme="minorHAnsi"/>
          <w:sz w:val="22"/>
          <w:szCs w:val="22"/>
        </w:rPr>
        <w:t>Provided a Solar Tariff Generation Unit meets all program eligibility criteria in 225 CMR 20.00, in particular the provisions relating to Agricultural Solar Tariff Generation Units prescribed in 225 CMR 20.02 and 20.06(1)(d) a</w:t>
      </w:r>
      <w:r w:rsidRPr="00324815">
        <w:rPr>
          <w:rFonts w:asciiTheme="minorHAnsi" w:hAnsiTheme="minorHAnsi"/>
          <w:sz w:val="22"/>
          <w:szCs w:val="22"/>
        </w:rPr>
        <w:t xml:space="preserve"> </w:t>
      </w:r>
      <w:r>
        <w:rPr>
          <w:rFonts w:asciiTheme="minorHAnsi" w:hAnsiTheme="minorHAnsi"/>
          <w:sz w:val="22"/>
          <w:szCs w:val="22"/>
        </w:rPr>
        <w:t xml:space="preserve">Solar Tariff </w:t>
      </w:r>
      <w:r w:rsidRPr="00324815">
        <w:rPr>
          <w:rFonts w:asciiTheme="minorHAnsi" w:hAnsiTheme="minorHAnsi"/>
          <w:sz w:val="22"/>
          <w:szCs w:val="22"/>
        </w:rPr>
        <w:t>Generation Units</w:t>
      </w:r>
      <w:r>
        <w:rPr>
          <w:rFonts w:asciiTheme="minorHAnsi" w:hAnsiTheme="minorHAnsi"/>
          <w:sz w:val="22"/>
          <w:szCs w:val="22"/>
        </w:rPr>
        <w:t xml:space="preserve"> must also satisfy the following provisions to qualify as an Agricultural Solar Tariff Generation Unit</w:t>
      </w:r>
      <w:r w:rsidR="002A17F4">
        <w:rPr>
          <w:rFonts w:asciiTheme="minorHAnsi" w:hAnsiTheme="minorHAnsi"/>
          <w:sz w:val="22"/>
          <w:szCs w:val="22"/>
        </w:rPr>
        <w:t>- Note t</w:t>
      </w:r>
      <w:r w:rsidR="002A17F4" w:rsidRPr="002A17F4">
        <w:rPr>
          <w:rFonts w:asciiTheme="minorHAnsi" w:hAnsiTheme="minorHAnsi"/>
          <w:sz w:val="22"/>
          <w:szCs w:val="22"/>
        </w:rPr>
        <w:t>hese provisions take into account the entire useful life of the solar photovoltaic array with consider</w:t>
      </w:r>
      <w:bookmarkStart w:id="0" w:name="_GoBack"/>
      <w:bookmarkEnd w:id="0"/>
      <w:r w:rsidR="002A17F4" w:rsidRPr="002A17F4">
        <w:rPr>
          <w:rFonts w:asciiTheme="minorHAnsi" w:hAnsiTheme="minorHAnsi"/>
          <w:sz w:val="22"/>
          <w:szCs w:val="22"/>
        </w:rPr>
        <w:t xml:space="preserve">ation for the variety of possible agricultural activities </w:t>
      </w:r>
      <w:r w:rsidR="002A17F4" w:rsidRPr="002A17F4">
        <w:rPr>
          <w:rFonts w:asciiTheme="minorHAnsi" w:hAnsiTheme="minorHAnsi"/>
          <w:sz w:val="22"/>
          <w:szCs w:val="22"/>
        </w:rPr>
        <w:lastRenderedPageBreak/>
        <w:t>and crops that typically can take place on farm land over that timeframe. In other words, they do not simply consider present use.</w:t>
      </w:r>
    </w:p>
    <w:p w:rsidR="00922E76" w:rsidRPr="00324815" w:rsidRDefault="00922E76" w:rsidP="00922E76">
      <w:pPr>
        <w:ind w:firstLine="720"/>
        <w:rPr>
          <w:rFonts w:asciiTheme="minorHAnsi" w:hAnsiTheme="minorHAnsi"/>
          <w:sz w:val="22"/>
          <w:szCs w:val="22"/>
        </w:rPr>
      </w:pPr>
    </w:p>
    <w:p w:rsidR="00785116" w:rsidRDefault="00785116" w:rsidP="0003054C">
      <w:pPr>
        <w:ind w:left="1080"/>
        <w:rPr>
          <w:rFonts w:asciiTheme="minorHAnsi" w:hAnsiTheme="minorHAnsi"/>
          <w:sz w:val="22"/>
          <w:szCs w:val="22"/>
        </w:rPr>
      </w:pPr>
    </w:p>
    <w:p w:rsidR="00922E76" w:rsidRPr="000E4A4E" w:rsidRDefault="00922E76" w:rsidP="000E4A4E">
      <w:pPr>
        <w:pStyle w:val="ListParagraph"/>
        <w:numPr>
          <w:ilvl w:val="0"/>
          <w:numId w:val="39"/>
        </w:numPr>
        <w:ind w:left="720"/>
        <w:rPr>
          <w:rFonts w:asciiTheme="minorHAnsi" w:hAnsiTheme="minorHAnsi"/>
          <w:sz w:val="22"/>
          <w:szCs w:val="22"/>
        </w:rPr>
      </w:pPr>
      <w:r w:rsidRPr="000E4A4E">
        <w:rPr>
          <w:rFonts w:asciiTheme="minorHAnsi" w:hAnsiTheme="minorHAnsi"/>
          <w:sz w:val="22"/>
          <w:szCs w:val="22"/>
        </w:rPr>
        <w:t xml:space="preserve">for fixed tilt </w:t>
      </w:r>
      <w:r w:rsidR="0003054C" w:rsidRPr="000E4A4E">
        <w:rPr>
          <w:rFonts w:asciiTheme="minorHAnsi" w:hAnsiTheme="minorHAnsi"/>
          <w:sz w:val="22"/>
          <w:szCs w:val="22"/>
        </w:rPr>
        <w:t xml:space="preserve">Agricultural </w:t>
      </w:r>
      <w:r w:rsidRPr="000E4A4E">
        <w:rPr>
          <w:rFonts w:asciiTheme="minorHAnsi" w:hAnsiTheme="minorHAnsi"/>
          <w:sz w:val="22"/>
          <w:szCs w:val="22"/>
        </w:rPr>
        <w:t xml:space="preserve">Solar Tariff Generation Units, the minimum height of the lowest panel point shall be </w:t>
      </w:r>
      <w:r w:rsidR="00AA294D">
        <w:rPr>
          <w:rFonts w:asciiTheme="minorHAnsi" w:hAnsiTheme="minorHAnsi"/>
          <w:sz w:val="22"/>
          <w:szCs w:val="22"/>
        </w:rPr>
        <w:t>eight (8)</w:t>
      </w:r>
      <w:r w:rsidRPr="000E4A4E">
        <w:rPr>
          <w:rFonts w:asciiTheme="minorHAnsi" w:hAnsiTheme="minorHAnsi"/>
          <w:sz w:val="22"/>
          <w:szCs w:val="22"/>
        </w:rPr>
        <w:t xml:space="preserve"> feet above ground; </w:t>
      </w:r>
    </w:p>
    <w:p w:rsidR="00922E76" w:rsidRPr="000E4A4E" w:rsidRDefault="00922E76" w:rsidP="000E4A4E">
      <w:pPr>
        <w:pStyle w:val="ListParagraph"/>
        <w:numPr>
          <w:ilvl w:val="0"/>
          <w:numId w:val="39"/>
        </w:numPr>
        <w:ind w:left="720"/>
        <w:rPr>
          <w:rFonts w:asciiTheme="minorHAnsi" w:hAnsiTheme="minorHAnsi"/>
          <w:sz w:val="22"/>
          <w:szCs w:val="22"/>
        </w:rPr>
      </w:pPr>
      <w:r w:rsidRPr="000E4A4E">
        <w:rPr>
          <w:rFonts w:asciiTheme="minorHAnsi" w:hAnsiTheme="minorHAnsi"/>
          <w:sz w:val="22"/>
          <w:szCs w:val="22"/>
        </w:rPr>
        <w:t xml:space="preserve">for tracking </w:t>
      </w:r>
      <w:r w:rsidR="0003054C" w:rsidRPr="000E4A4E">
        <w:rPr>
          <w:rFonts w:asciiTheme="minorHAnsi" w:hAnsiTheme="minorHAnsi"/>
          <w:sz w:val="22"/>
          <w:szCs w:val="22"/>
        </w:rPr>
        <w:t xml:space="preserve">Agricultural </w:t>
      </w:r>
      <w:r w:rsidRPr="000E4A4E">
        <w:rPr>
          <w:rFonts w:asciiTheme="minorHAnsi" w:hAnsiTheme="minorHAnsi"/>
          <w:sz w:val="22"/>
          <w:szCs w:val="22"/>
        </w:rPr>
        <w:t xml:space="preserve">Solar Tariff Generation Units, the minimum height of the panel at its horizontal position shall be 10 feet above ground; </w:t>
      </w:r>
    </w:p>
    <w:p w:rsidR="0003054C" w:rsidRPr="000E4A4E" w:rsidRDefault="00922E76" w:rsidP="000E4A4E">
      <w:pPr>
        <w:pStyle w:val="ListParagraph"/>
        <w:numPr>
          <w:ilvl w:val="0"/>
          <w:numId w:val="39"/>
        </w:numPr>
        <w:ind w:left="720"/>
        <w:rPr>
          <w:rFonts w:asciiTheme="minorHAnsi" w:hAnsiTheme="minorHAnsi"/>
          <w:sz w:val="22"/>
          <w:szCs w:val="22"/>
        </w:rPr>
      </w:pPr>
      <w:r w:rsidRPr="000E4A4E">
        <w:rPr>
          <w:rFonts w:asciiTheme="minorHAnsi" w:hAnsiTheme="minorHAnsi"/>
          <w:sz w:val="22"/>
          <w:szCs w:val="22"/>
        </w:rPr>
        <w:t xml:space="preserve">all </w:t>
      </w:r>
      <w:r w:rsidR="0003054C" w:rsidRPr="000E4A4E">
        <w:rPr>
          <w:rFonts w:asciiTheme="minorHAnsi" w:hAnsiTheme="minorHAnsi"/>
          <w:sz w:val="22"/>
          <w:szCs w:val="22"/>
        </w:rPr>
        <w:t>Agricultural Solar Tariff Generation Units</w:t>
      </w:r>
      <w:r w:rsidRPr="000E4A4E">
        <w:rPr>
          <w:rFonts w:asciiTheme="minorHAnsi" w:hAnsiTheme="minorHAnsi"/>
          <w:sz w:val="22"/>
          <w:szCs w:val="22"/>
        </w:rPr>
        <w:t xml:space="preserve"> must demonstrate that the maximum sunlight reduction from the panels on </w:t>
      </w:r>
      <w:r w:rsidR="00DC6AAD" w:rsidRPr="000E4A4E">
        <w:rPr>
          <w:rFonts w:asciiTheme="minorHAnsi" w:hAnsiTheme="minorHAnsi"/>
          <w:sz w:val="22"/>
          <w:szCs w:val="22"/>
        </w:rPr>
        <w:t>every square foot of</w:t>
      </w:r>
      <w:r w:rsidRPr="000E4A4E">
        <w:rPr>
          <w:rFonts w:asciiTheme="minorHAnsi" w:hAnsiTheme="minorHAnsi"/>
          <w:sz w:val="22"/>
          <w:szCs w:val="22"/>
        </w:rPr>
        <w:t xml:space="preserve"> </w:t>
      </w:r>
      <w:r w:rsidR="00DC6AAD" w:rsidRPr="000E4A4E">
        <w:rPr>
          <w:rFonts w:asciiTheme="minorHAnsi" w:hAnsiTheme="minorHAnsi"/>
          <w:sz w:val="22"/>
          <w:szCs w:val="22"/>
        </w:rPr>
        <w:t>land</w:t>
      </w:r>
      <w:r w:rsidRPr="000E4A4E">
        <w:rPr>
          <w:rFonts w:asciiTheme="minorHAnsi" w:hAnsiTheme="minorHAnsi"/>
          <w:sz w:val="22"/>
          <w:szCs w:val="22"/>
        </w:rPr>
        <w:t xml:space="preserve"> directly beneath</w:t>
      </w:r>
      <w:r w:rsidR="00DC6AAD" w:rsidRPr="000E4A4E">
        <w:rPr>
          <w:rFonts w:asciiTheme="minorHAnsi" w:hAnsiTheme="minorHAnsi"/>
          <w:sz w:val="22"/>
          <w:szCs w:val="22"/>
        </w:rPr>
        <w:t>, behind</w:t>
      </w:r>
      <w:r w:rsidRPr="000E4A4E">
        <w:rPr>
          <w:rFonts w:asciiTheme="minorHAnsi" w:hAnsiTheme="minorHAnsi"/>
          <w:sz w:val="22"/>
          <w:szCs w:val="22"/>
        </w:rPr>
        <w:t xml:space="preserve"> and in the areas adjacent to and within the Agricultural Solar </w:t>
      </w:r>
      <w:r w:rsidR="0003054C" w:rsidRPr="000E4A4E">
        <w:rPr>
          <w:rFonts w:asciiTheme="minorHAnsi" w:hAnsiTheme="minorHAnsi"/>
          <w:sz w:val="22"/>
          <w:szCs w:val="22"/>
        </w:rPr>
        <w:t xml:space="preserve">Tariff </w:t>
      </w:r>
      <w:r w:rsidRPr="000E4A4E">
        <w:rPr>
          <w:rFonts w:asciiTheme="minorHAnsi" w:hAnsiTheme="minorHAnsi"/>
          <w:sz w:val="22"/>
          <w:szCs w:val="22"/>
        </w:rPr>
        <w:t>Generation Unit</w:t>
      </w:r>
      <w:r w:rsidR="0003054C" w:rsidRPr="000E4A4E">
        <w:rPr>
          <w:rFonts w:asciiTheme="minorHAnsi" w:hAnsiTheme="minorHAnsi"/>
          <w:sz w:val="22"/>
          <w:szCs w:val="22"/>
        </w:rPr>
        <w:t>’s</w:t>
      </w:r>
      <w:r w:rsidRPr="000E4A4E">
        <w:rPr>
          <w:rFonts w:asciiTheme="minorHAnsi" w:hAnsiTheme="minorHAnsi"/>
          <w:sz w:val="22"/>
          <w:szCs w:val="22"/>
        </w:rPr>
        <w:t xml:space="preserve"> design shall not be more than 50% of baseline field conditions</w:t>
      </w:r>
      <w:r w:rsidR="0003054C" w:rsidRPr="000E4A4E">
        <w:rPr>
          <w:rFonts w:asciiTheme="minorHAnsi" w:hAnsiTheme="minorHAnsi"/>
          <w:sz w:val="22"/>
          <w:szCs w:val="22"/>
        </w:rPr>
        <w:t>;</w:t>
      </w:r>
      <w:r w:rsidR="00DC6AAD" w:rsidRPr="000E4A4E">
        <w:rPr>
          <w:rFonts w:asciiTheme="minorHAnsi" w:hAnsiTheme="minorHAnsi"/>
          <w:sz w:val="22"/>
          <w:szCs w:val="22"/>
        </w:rPr>
        <w:t xml:space="preserve"> </w:t>
      </w:r>
    </w:p>
    <w:p w:rsidR="00785116" w:rsidRPr="000E4A4E" w:rsidRDefault="00922E76" w:rsidP="000E4A4E">
      <w:pPr>
        <w:pStyle w:val="ListParagraph"/>
        <w:numPr>
          <w:ilvl w:val="0"/>
          <w:numId w:val="39"/>
        </w:numPr>
        <w:ind w:left="720"/>
        <w:rPr>
          <w:rFonts w:asciiTheme="minorHAnsi" w:hAnsiTheme="minorHAnsi"/>
          <w:sz w:val="22"/>
          <w:szCs w:val="22"/>
        </w:rPr>
      </w:pPr>
      <w:r w:rsidRPr="000E4A4E">
        <w:rPr>
          <w:rFonts w:asciiTheme="minorHAnsi" w:hAnsiTheme="minorHAnsi"/>
          <w:sz w:val="22"/>
          <w:szCs w:val="22"/>
        </w:rPr>
        <w:t>the typical growing season</w:t>
      </w:r>
      <w:r w:rsidR="00DC6AAD" w:rsidRPr="000E4A4E">
        <w:rPr>
          <w:rFonts w:asciiTheme="minorHAnsi" w:hAnsiTheme="minorHAnsi"/>
          <w:sz w:val="22"/>
          <w:szCs w:val="22"/>
        </w:rPr>
        <w:t xml:space="preserve"> shall be considered to be</w:t>
      </w:r>
      <w:r w:rsidRPr="000E4A4E">
        <w:rPr>
          <w:rFonts w:asciiTheme="minorHAnsi" w:hAnsiTheme="minorHAnsi"/>
          <w:sz w:val="22"/>
          <w:szCs w:val="22"/>
        </w:rPr>
        <w:t xml:space="preserve"> March through October</w:t>
      </w:r>
      <w:r w:rsidR="00785116" w:rsidRPr="000E4A4E">
        <w:rPr>
          <w:rFonts w:asciiTheme="minorHAnsi" w:hAnsiTheme="minorHAnsi"/>
          <w:sz w:val="22"/>
          <w:szCs w:val="22"/>
        </w:rPr>
        <w:t>,</w:t>
      </w:r>
      <w:r w:rsidR="00DC6AAD" w:rsidRPr="000E4A4E">
        <w:rPr>
          <w:rFonts w:asciiTheme="minorHAnsi" w:hAnsiTheme="minorHAnsi"/>
          <w:sz w:val="22"/>
          <w:szCs w:val="22"/>
        </w:rPr>
        <w:t xml:space="preserve"> with sunlight hour conditions with m</w:t>
      </w:r>
      <w:r w:rsidR="003516E2">
        <w:rPr>
          <w:rFonts w:asciiTheme="minorHAnsi" w:hAnsiTheme="minorHAnsi"/>
          <w:sz w:val="22"/>
          <w:szCs w:val="22"/>
        </w:rPr>
        <w:t>aximum</w:t>
      </w:r>
      <w:r w:rsidR="00DC6AAD" w:rsidRPr="000E4A4E">
        <w:rPr>
          <w:rFonts w:asciiTheme="minorHAnsi" w:hAnsiTheme="minorHAnsi"/>
          <w:sz w:val="22"/>
          <w:szCs w:val="22"/>
        </w:rPr>
        <w:t xml:space="preserve"> 50% sunlight</w:t>
      </w:r>
      <w:r w:rsidR="00785116" w:rsidRPr="000E4A4E">
        <w:rPr>
          <w:rFonts w:asciiTheme="minorHAnsi" w:hAnsiTheme="minorHAnsi"/>
          <w:sz w:val="22"/>
          <w:szCs w:val="22"/>
        </w:rPr>
        <w:t xml:space="preserve"> reduction</w:t>
      </w:r>
      <w:r w:rsidR="00DC6AAD" w:rsidRPr="000E4A4E">
        <w:rPr>
          <w:rFonts w:asciiTheme="minorHAnsi" w:hAnsiTheme="minorHAnsi"/>
          <w:sz w:val="22"/>
          <w:szCs w:val="22"/>
        </w:rPr>
        <w:t xml:space="preserve"> to be</w:t>
      </w:r>
      <w:r w:rsidR="00785116" w:rsidRPr="000E4A4E">
        <w:rPr>
          <w:rFonts w:asciiTheme="minorHAnsi" w:hAnsiTheme="minorHAnsi"/>
          <w:sz w:val="22"/>
          <w:szCs w:val="22"/>
        </w:rPr>
        <w:t xml:space="preserve"> between 10AM and 5PM for March and October, and from 9AM to 6PM from April through September</w:t>
      </w:r>
      <w:r w:rsidRPr="000E4A4E">
        <w:rPr>
          <w:rFonts w:asciiTheme="minorHAnsi" w:hAnsiTheme="minorHAnsi"/>
          <w:sz w:val="22"/>
          <w:szCs w:val="22"/>
        </w:rPr>
        <w:t>;</w:t>
      </w:r>
    </w:p>
    <w:p w:rsidR="00922E76" w:rsidRPr="000E4A4E" w:rsidRDefault="00785116" w:rsidP="000E4A4E">
      <w:pPr>
        <w:pStyle w:val="ListParagraph"/>
        <w:numPr>
          <w:ilvl w:val="0"/>
          <w:numId w:val="39"/>
        </w:numPr>
        <w:ind w:left="720"/>
        <w:rPr>
          <w:rFonts w:asciiTheme="minorHAnsi" w:hAnsiTheme="minorHAnsi"/>
          <w:color w:val="FF0000"/>
          <w:sz w:val="22"/>
          <w:szCs w:val="22"/>
        </w:rPr>
      </w:pPr>
      <w:r w:rsidRPr="000E4A4E">
        <w:rPr>
          <w:rFonts w:asciiTheme="minorHAnsi" w:hAnsiTheme="minorHAnsi"/>
          <w:sz w:val="22"/>
          <w:szCs w:val="22"/>
        </w:rPr>
        <w:t>fixed tilt</w:t>
      </w:r>
      <w:r w:rsidR="00922E76" w:rsidRPr="000E4A4E">
        <w:rPr>
          <w:rFonts w:asciiTheme="minorHAnsi" w:hAnsiTheme="minorHAnsi"/>
          <w:sz w:val="22"/>
          <w:szCs w:val="22"/>
        </w:rPr>
        <w:t xml:space="preserve"> design</w:t>
      </w:r>
      <w:r w:rsidRPr="000E4A4E">
        <w:rPr>
          <w:rFonts w:asciiTheme="minorHAnsi" w:hAnsiTheme="minorHAnsi"/>
          <w:sz w:val="22"/>
          <w:szCs w:val="22"/>
        </w:rPr>
        <w:t>s</w:t>
      </w:r>
      <w:r w:rsidR="00922E76" w:rsidRPr="000E4A4E">
        <w:rPr>
          <w:rFonts w:asciiTheme="minorHAnsi" w:hAnsiTheme="minorHAnsi"/>
          <w:sz w:val="22"/>
          <w:szCs w:val="22"/>
        </w:rPr>
        <w:t xml:space="preserve"> s</w:t>
      </w:r>
      <w:r w:rsidR="0003054C" w:rsidRPr="000E4A4E">
        <w:rPr>
          <w:rFonts w:asciiTheme="minorHAnsi" w:hAnsiTheme="minorHAnsi"/>
          <w:sz w:val="22"/>
          <w:szCs w:val="22"/>
        </w:rPr>
        <w:t xml:space="preserve">hall include a minimum four </w:t>
      </w:r>
      <w:r w:rsidR="00922E76" w:rsidRPr="000E4A4E">
        <w:rPr>
          <w:rFonts w:asciiTheme="minorHAnsi" w:hAnsiTheme="minorHAnsi"/>
          <w:sz w:val="22"/>
          <w:szCs w:val="22"/>
        </w:rPr>
        <w:t>feet distance between each panel(s) in order to avoid full shade beneat</w:t>
      </w:r>
      <w:r w:rsidR="0003054C" w:rsidRPr="000E4A4E">
        <w:rPr>
          <w:rFonts w:asciiTheme="minorHAnsi" w:hAnsiTheme="minorHAnsi"/>
          <w:sz w:val="22"/>
          <w:szCs w:val="22"/>
        </w:rPr>
        <w:t>h and behind each row of panels;</w:t>
      </w:r>
      <w:r w:rsidRPr="000E4A4E">
        <w:rPr>
          <w:rFonts w:asciiTheme="minorHAnsi" w:hAnsiTheme="minorHAnsi"/>
          <w:sz w:val="22"/>
          <w:szCs w:val="22"/>
        </w:rPr>
        <w:t xml:space="preserve"> </w:t>
      </w:r>
      <w:r w:rsidR="00112258" w:rsidRPr="000E4A4E">
        <w:rPr>
          <w:rFonts w:asciiTheme="minorHAnsi" w:hAnsiTheme="minorHAnsi"/>
          <w:sz w:val="22"/>
          <w:szCs w:val="22"/>
        </w:rPr>
        <w:t xml:space="preserve">single- and double-axis tracking systems must demonstrate the 50% sunlight reduction maximum can be achieved without the minimum four feet distance; </w:t>
      </w:r>
      <w:r w:rsidRPr="000E4A4E">
        <w:rPr>
          <w:rFonts w:asciiTheme="minorHAnsi" w:hAnsiTheme="minorHAnsi"/>
          <w:sz w:val="22"/>
          <w:szCs w:val="22"/>
        </w:rPr>
        <w:t>a</w:t>
      </w:r>
      <w:r w:rsidR="0003054C" w:rsidRPr="000E4A4E">
        <w:rPr>
          <w:rFonts w:asciiTheme="minorHAnsi" w:hAnsiTheme="minorHAnsi"/>
          <w:sz w:val="22"/>
          <w:szCs w:val="22"/>
        </w:rPr>
        <w:t>nd</w:t>
      </w:r>
    </w:p>
    <w:p w:rsidR="0003054C" w:rsidRPr="000E4A4E" w:rsidRDefault="00922E76" w:rsidP="000E4A4E">
      <w:pPr>
        <w:pStyle w:val="ListParagraph"/>
        <w:numPr>
          <w:ilvl w:val="0"/>
          <w:numId w:val="39"/>
        </w:numPr>
        <w:ind w:left="720"/>
        <w:rPr>
          <w:rFonts w:asciiTheme="minorHAnsi" w:hAnsiTheme="minorHAnsi"/>
          <w:sz w:val="22"/>
          <w:szCs w:val="22"/>
        </w:rPr>
      </w:pPr>
      <w:proofErr w:type="gramStart"/>
      <w:r w:rsidRPr="000E4A4E">
        <w:rPr>
          <w:rFonts w:asciiTheme="minorHAnsi" w:hAnsiTheme="minorHAnsi"/>
          <w:sz w:val="22"/>
          <w:szCs w:val="22"/>
        </w:rPr>
        <w:t>the</w:t>
      </w:r>
      <w:proofErr w:type="gramEnd"/>
      <w:r w:rsidR="0003054C" w:rsidRPr="000E4A4E">
        <w:rPr>
          <w:rFonts w:asciiTheme="minorHAnsi" w:hAnsiTheme="minorHAnsi"/>
          <w:sz w:val="22"/>
          <w:szCs w:val="22"/>
        </w:rPr>
        <w:t xml:space="preserve"> maximum AC</w:t>
      </w:r>
      <w:r w:rsidRPr="000E4A4E">
        <w:rPr>
          <w:rFonts w:asciiTheme="minorHAnsi" w:hAnsiTheme="minorHAnsi"/>
          <w:sz w:val="22"/>
          <w:szCs w:val="22"/>
        </w:rPr>
        <w:t xml:space="preserve"> rated capacity</w:t>
      </w:r>
      <w:r w:rsidR="0003054C" w:rsidRPr="000E4A4E">
        <w:rPr>
          <w:rFonts w:asciiTheme="minorHAnsi" w:hAnsiTheme="minorHAnsi"/>
          <w:sz w:val="22"/>
          <w:szCs w:val="22"/>
        </w:rPr>
        <w:t xml:space="preserve"> of an Agricultural Solar Tariff Generation Unit shall be two MW in the first two Capacity Blocks of each Distribution Company’s service territory. The Department, in consultation with MDAR, will make an evaluation as to whether or not this provision shall be adjusted in subsequent Capacity Blocks.</w:t>
      </w:r>
    </w:p>
    <w:p w:rsidR="00922E76" w:rsidRPr="00922E76" w:rsidRDefault="00922E76" w:rsidP="002F393E">
      <w:pPr>
        <w:rPr>
          <w:rFonts w:ascii="Calibri" w:hAnsi="Calibri" w:cs="Calibri"/>
          <w:iCs/>
          <w:sz w:val="22"/>
          <w:szCs w:val="22"/>
        </w:rPr>
      </w:pPr>
    </w:p>
    <w:p w:rsidR="00994CDE" w:rsidRDefault="00994CDE" w:rsidP="00A445BB">
      <w:pPr>
        <w:rPr>
          <w:rFonts w:ascii="Calibri" w:hAnsi="Calibri" w:cs="Calibri"/>
          <w:iCs/>
          <w:sz w:val="22"/>
          <w:szCs w:val="22"/>
        </w:rPr>
      </w:pPr>
    </w:p>
    <w:sectPr w:rsidR="00994CDE" w:rsidSect="00922E76">
      <w:footerReference w:type="default" r:id="rId9"/>
      <w:pgSz w:w="12240" w:h="15840" w:code="1"/>
      <w:pgMar w:top="1440" w:right="1440" w:bottom="1440" w:left="1440" w:header="72" w:footer="28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E74" w:rsidRDefault="000E3E74" w:rsidP="00CA40BE">
      <w:r>
        <w:separator/>
      </w:r>
    </w:p>
  </w:endnote>
  <w:endnote w:type="continuationSeparator" w:id="0">
    <w:p w:rsidR="000E3E74" w:rsidRDefault="000E3E74" w:rsidP="00CA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E74" w:rsidRPr="005064C8" w:rsidRDefault="000E3E74" w:rsidP="005064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E74" w:rsidRDefault="000E3E74" w:rsidP="00CA40BE">
      <w:r>
        <w:separator/>
      </w:r>
    </w:p>
  </w:footnote>
  <w:footnote w:type="continuationSeparator" w:id="0">
    <w:p w:rsidR="000E3E74" w:rsidRDefault="000E3E74" w:rsidP="00CA40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4AE6"/>
    <w:multiLevelType w:val="hybridMultilevel"/>
    <w:tmpl w:val="DA24432E"/>
    <w:lvl w:ilvl="0" w:tplc="5142B1B4">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1E2533"/>
    <w:multiLevelType w:val="hybridMultilevel"/>
    <w:tmpl w:val="4CCA30D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6D0328"/>
    <w:multiLevelType w:val="hybridMultilevel"/>
    <w:tmpl w:val="6FC2F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2B6DE4"/>
    <w:multiLevelType w:val="hybridMultilevel"/>
    <w:tmpl w:val="E4AE6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2D7ED6"/>
    <w:multiLevelType w:val="hybridMultilevel"/>
    <w:tmpl w:val="838C1352"/>
    <w:lvl w:ilvl="0" w:tplc="C26E7D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BD1097"/>
    <w:multiLevelType w:val="hybridMultilevel"/>
    <w:tmpl w:val="526AF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D92DE5"/>
    <w:multiLevelType w:val="hybridMultilevel"/>
    <w:tmpl w:val="D518B67C"/>
    <w:lvl w:ilvl="0" w:tplc="715A0AD0">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16408E"/>
    <w:multiLevelType w:val="hybridMultilevel"/>
    <w:tmpl w:val="55982D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EC3D0E"/>
    <w:multiLevelType w:val="hybridMultilevel"/>
    <w:tmpl w:val="E4AE6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4616AC"/>
    <w:multiLevelType w:val="hybridMultilevel"/>
    <w:tmpl w:val="CEAAC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13668C"/>
    <w:multiLevelType w:val="hybridMultilevel"/>
    <w:tmpl w:val="1868B5D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D2E7B95"/>
    <w:multiLevelType w:val="hybridMultilevel"/>
    <w:tmpl w:val="950A17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C37D00"/>
    <w:multiLevelType w:val="hybridMultilevel"/>
    <w:tmpl w:val="31A2619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893A3A"/>
    <w:multiLevelType w:val="hybridMultilevel"/>
    <w:tmpl w:val="388491CA"/>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95C4EA9"/>
    <w:multiLevelType w:val="hybridMultilevel"/>
    <w:tmpl w:val="B31EF2EA"/>
    <w:lvl w:ilvl="0" w:tplc="FDEE4968">
      <w:start w:val="3"/>
      <w:numFmt w:val="bullet"/>
      <w:lvlText w:val="-"/>
      <w:lvlJc w:val="left"/>
      <w:pPr>
        <w:ind w:left="360" w:hanging="360"/>
      </w:pPr>
      <w:rPr>
        <w:rFonts w:ascii="Calibri" w:eastAsia="Calibri" w:hAnsi="Calibri" w:cs="Calibri" w:hint="default"/>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15">
    <w:nsid w:val="3D4B27FF"/>
    <w:multiLevelType w:val="hybridMultilevel"/>
    <w:tmpl w:val="15FCA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12E3BB8"/>
    <w:multiLevelType w:val="hybridMultilevel"/>
    <w:tmpl w:val="83D86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96299D"/>
    <w:multiLevelType w:val="hybridMultilevel"/>
    <w:tmpl w:val="32F42A5C"/>
    <w:lvl w:ilvl="0" w:tplc="60DC2D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194F0D"/>
    <w:multiLevelType w:val="hybridMultilevel"/>
    <w:tmpl w:val="DE34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4C878CB"/>
    <w:multiLevelType w:val="hybridMultilevel"/>
    <w:tmpl w:val="A850B64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296F76"/>
    <w:multiLevelType w:val="hybridMultilevel"/>
    <w:tmpl w:val="8BB8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A63005"/>
    <w:multiLevelType w:val="hybridMultilevel"/>
    <w:tmpl w:val="8294DF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5D77C35"/>
    <w:multiLevelType w:val="hybridMultilevel"/>
    <w:tmpl w:val="A032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5F42CC"/>
    <w:multiLevelType w:val="hybridMultilevel"/>
    <w:tmpl w:val="059227DC"/>
    <w:lvl w:ilvl="0" w:tplc="884A24BE">
      <w:start w:val="1"/>
      <w:numFmt w:val="decimal"/>
      <w:lvlText w:val="%1."/>
      <w:lvlJc w:val="left"/>
      <w:pPr>
        <w:ind w:left="9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9F74294"/>
    <w:multiLevelType w:val="hybridMultilevel"/>
    <w:tmpl w:val="3FBED95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21A7F8C"/>
    <w:multiLevelType w:val="hybridMultilevel"/>
    <w:tmpl w:val="E64EC1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AA5BB0"/>
    <w:multiLevelType w:val="hybridMultilevel"/>
    <w:tmpl w:val="5A389DC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B30F2C"/>
    <w:multiLevelType w:val="hybridMultilevel"/>
    <w:tmpl w:val="8E22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D673C1"/>
    <w:multiLevelType w:val="hybridMultilevel"/>
    <w:tmpl w:val="76287E6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A72DC3"/>
    <w:multiLevelType w:val="hybridMultilevel"/>
    <w:tmpl w:val="BF269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D27B89"/>
    <w:multiLevelType w:val="hybridMultilevel"/>
    <w:tmpl w:val="12E08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B52D93"/>
    <w:multiLevelType w:val="hybridMultilevel"/>
    <w:tmpl w:val="310CEF5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F858C3"/>
    <w:multiLevelType w:val="hybridMultilevel"/>
    <w:tmpl w:val="FBE0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F22BBE"/>
    <w:multiLevelType w:val="hybridMultilevel"/>
    <w:tmpl w:val="9EE07AC2"/>
    <w:lvl w:ilvl="0" w:tplc="8102CEF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B1D0BC1"/>
    <w:multiLevelType w:val="multilevel"/>
    <w:tmpl w:val="2AD69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2F7451E"/>
    <w:multiLevelType w:val="hybridMultilevel"/>
    <w:tmpl w:val="6EECC12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C7C65FA"/>
    <w:multiLevelType w:val="hybridMultilevel"/>
    <w:tmpl w:val="EF041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D9F05FF"/>
    <w:multiLevelType w:val="hybridMultilevel"/>
    <w:tmpl w:val="7BD2CE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8C1D26"/>
    <w:multiLevelType w:val="hybridMultilevel"/>
    <w:tmpl w:val="AD0C36E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11"/>
  </w:num>
  <w:num w:numId="3">
    <w:abstractNumId w:val="25"/>
  </w:num>
  <w:num w:numId="4">
    <w:abstractNumId w:val="17"/>
  </w:num>
  <w:num w:numId="5">
    <w:abstractNumId w:val="13"/>
  </w:num>
  <w:num w:numId="6">
    <w:abstractNumId w:val="21"/>
  </w:num>
  <w:num w:numId="7">
    <w:abstractNumId w:val="32"/>
  </w:num>
  <w:num w:numId="8">
    <w:abstractNumId w:val="9"/>
  </w:num>
  <w:num w:numId="9">
    <w:abstractNumId w:val="34"/>
  </w:num>
  <w:num w:numId="10">
    <w:abstractNumId w:val="18"/>
  </w:num>
  <w:num w:numId="11">
    <w:abstractNumId w:val="36"/>
  </w:num>
  <w:num w:numId="12">
    <w:abstractNumId w:val="2"/>
  </w:num>
  <w:num w:numId="13">
    <w:abstractNumId w:val="16"/>
  </w:num>
  <w:num w:numId="14">
    <w:abstractNumId w:val="5"/>
  </w:num>
  <w:num w:numId="15">
    <w:abstractNumId w:val="29"/>
  </w:num>
  <w:num w:numId="16">
    <w:abstractNumId w:val="22"/>
  </w:num>
  <w:num w:numId="17">
    <w:abstractNumId w:val="1"/>
  </w:num>
  <w:num w:numId="18">
    <w:abstractNumId w:val="38"/>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30"/>
  </w:num>
  <w:num w:numId="22">
    <w:abstractNumId w:val="37"/>
  </w:num>
  <w:num w:numId="23">
    <w:abstractNumId w:val="27"/>
  </w:num>
  <w:num w:numId="24">
    <w:abstractNumId w:val="28"/>
  </w:num>
  <w:num w:numId="25">
    <w:abstractNumId w:val="20"/>
  </w:num>
  <w:num w:numId="26">
    <w:abstractNumId w:val="31"/>
  </w:num>
  <w:num w:numId="27">
    <w:abstractNumId w:val="4"/>
  </w:num>
  <w:num w:numId="28">
    <w:abstractNumId w:val="7"/>
  </w:num>
  <w:num w:numId="29">
    <w:abstractNumId w:val="0"/>
  </w:num>
  <w:num w:numId="30">
    <w:abstractNumId w:val="12"/>
  </w:num>
  <w:num w:numId="31">
    <w:abstractNumId w:val="19"/>
  </w:num>
  <w:num w:numId="32">
    <w:abstractNumId w:val="26"/>
  </w:num>
  <w:num w:numId="33">
    <w:abstractNumId w:val="6"/>
  </w:num>
  <w:num w:numId="34">
    <w:abstractNumId w:val="24"/>
  </w:num>
  <w:num w:numId="35">
    <w:abstractNumId w:val="33"/>
  </w:num>
  <w:num w:numId="36">
    <w:abstractNumId w:val="8"/>
  </w:num>
  <w:num w:numId="37">
    <w:abstractNumId w:val="3"/>
  </w:num>
  <w:num w:numId="38">
    <w:abstractNumId w:val="10"/>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4AB"/>
    <w:rsid w:val="00000152"/>
    <w:rsid w:val="000073DC"/>
    <w:rsid w:val="0001175F"/>
    <w:rsid w:val="00014ACE"/>
    <w:rsid w:val="00022A9E"/>
    <w:rsid w:val="000301D1"/>
    <w:rsid w:val="0003054C"/>
    <w:rsid w:val="00030FD4"/>
    <w:rsid w:val="00032B1A"/>
    <w:rsid w:val="00032F50"/>
    <w:rsid w:val="00036E19"/>
    <w:rsid w:val="00037607"/>
    <w:rsid w:val="00043845"/>
    <w:rsid w:val="000714AB"/>
    <w:rsid w:val="0007334D"/>
    <w:rsid w:val="0007586A"/>
    <w:rsid w:val="000819AC"/>
    <w:rsid w:val="0008208F"/>
    <w:rsid w:val="00092B95"/>
    <w:rsid w:val="00096EC5"/>
    <w:rsid w:val="000D4B3B"/>
    <w:rsid w:val="000E3E74"/>
    <w:rsid w:val="000E4341"/>
    <w:rsid w:val="000E4A4E"/>
    <w:rsid w:val="000F7163"/>
    <w:rsid w:val="000F74F8"/>
    <w:rsid w:val="00104D43"/>
    <w:rsid w:val="00112258"/>
    <w:rsid w:val="00116B54"/>
    <w:rsid w:val="00120C7F"/>
    <w:rsid w:val="001335A1"/>
    <w:rsid w:val="0013647D"/>
    <w:rsid w:val="001449C0"/>
    <w:rsid w:val="001468F3"/>
    <w:rsid w:val="00147581"/>
    <w:rsid w:val="0016585F"/>
    <w:rsid w:val="001709CB"/>
    <w:rsid w:val="001722CA"/>
    <w:rsid w:val="001769D1"/>
    <w:rsid w:val="00181E61"/>
    <w:rsid w:val="00184ABB"/>
    <w:rsid w:val="001941C4"/>
    <w:rsid w:val="001A3560"/>
    <w:rsid w:val="001A615D"/>
    <w:rsid w:val="001C4B30"/>
    <w:rsid w:val="001D3EF2"/>
    <w:rsid w:val="001D6820"/>
    <w:rsid w:val="001F5F34"/>
    <w:rsid w:val="001F6892"/>
    <w:rsid w:val="002032BD"/>
    <w:rsid w:val="00203F98"/>
    <w:rsid w:val="00207DDA"/>
    <w:rsid w:val="0021039C"/>
    <w:rsid w:val="00216AC1"/>
    <w:rsid w:val="00216CF0"/>
    <w:rsid w:val="002246BB"/>
    <w:rsid w:val="00224E85"/>
    <w:rsid w:val="0023197C"/>
    <w:rsid w:val="002336A9"/>
    <w:rsid w:val="0023792B"/>
    <w:rsid w:val="002411D9"/>
    <w:rsid w:val="00257F72"/>
    <w:rsid w:val="00260C28"/>
    <w:rsid w:val="00272F1D"/>
    <w:rsid w:val="0028091B"/>
    <w:rsid w:val="002822D8"/>
    <w:rsid w:val="00284FBC"/>
    <w:rsid w:val="00285C96"/>
    <w:rsid w:val="002962D8"/>
    <w:rsid w:val="002A17F4"/>
    <w:rsid w:val="002A4DC9"/>
    <w:rsid w:val="002B1307"/>
    <w:rsid w:val="002B7FB5"/>
    <w:rsid w:val="002C26AC"/>
    <w:rsid w:val="002C3F50"/>
    <w:rsid w:val="002D4B1A"/>
    <w:rsid w:val="002D6B26"/>
    <w:rsid w:val="002D771E"/>
    <w:rsid w:val="002E1239"/>
    <w:rsid w:val="002F02B8"/>
    <w:rsid w:val="002F02E5"/>
    <w:rsid w:val="002F393E"/>
    <w:rsid w:val="002F6C2A"/>
    <w:rsid w:val="00300AC0"/>
    <w:rsid w:val="003011C5"/>
    <w:rsid w:val="0030200C"/>
    <w:rsid w:val="00303FDF"/>
    <w:rsid w:val="003176E3"/>
    <w:rsid w:val="00323B81"/>
    <w:rsid w:val="00324815"/>
    <w:rsid w:val="00325577"/>
    <w:rsid w:val="00334247"/>
    <w:rsid w:val="00336A09"/>
    <w:rsid w:val="003516E2"/>
    <w:rsid w:val="00357091"/>
    <w:rsid w:val="00357B94"/>
    <w:rsid w:val="00370DB7"/>
    <w:rsid w:val="003951CA"/>
    <w:rsid w:val="003A38FF"/>
    <w:rsid w:val="003B244E"/>
    <w:rsid w:val="003B2A40"/>
    <w:rsid w:val="003B57D4"/>
    <w:rsid w:val="003B67A3"/>
    <w:rsid w:val="003C52AE"/>
    <w:rsid w:val="003D4058"/>
    <w:rsid w:val="003F486D"/>
    <w:rsid w:val="003F7FF4"/>
    <w:rsid w:val="0040117F"/>
    <w:rsid w:val="00407106"/>
    <w:rsid w:val="00441774"/>
    <w:rsid w:val="0044461C"/>
    <w:rsid w:val="0045138C"/>
    <w:rsid w:val="004526F4"/>
    <w:rsid w:val="00457CEA"/>
    <w:rsid w:val="00462053"/>
    <w:rsid w:val="00463EC6"/>
    <w:rsid w:val="004709E8"/>
    <w:rsid w:val="00473C1E"/>
    <w:rsid w:val="004918AF"/>
    <w:rsid w:val="00491BC2"/>
    <w:rsid w:val="004A51C9"/>
    <w:rsid w:val="004F3469"/>
    <w:rsid w:val="004F5E7F"/>
    <w:rsid w:val="004F643C"/>
    <w:rsid w:val="00500E41"/>
    <w:rsid w:val="005064C8"/>
    <w:rsid w:val="00511268"/>
    <w:rsid w:val="0051512C"/>
    <w:rsid w:val="00524A7D"/>
    <w:rsid w:val="00553F60"/>
    <w:rsid w:val="0056299F"/>
    <w:rsid w:val="005653FF"/>
    <w:rsid w:val="0058065F"/>
    <w:rsid w:val="00594D30"/>
    <w:rsid w:val="005A6D3C"/>
    <w:rsid w:val="005B1A69"/>
    <w:rsid w:val="005B3E20"/>
    <w:rsid w:val="005D0EDB"/>
    <w:rsid w:val="005D74B4"/>
    <w:rsid w:val="005E3BD0"/>
    <w:rsid w:val="005E4ECB"/>
    <w:rsid w:val="005E7EAC"/>
    <w:rsid w:val="005F4348"/>
    <w:rsid w:val="005F491C"/>
    <w:rsid w:val="005F494B"/>
    <w:rsid w:val="005F68B5"/>
    <w:rsid w:val="00617B64"/>
    <w:rsid w:val="00641AC1"/>
    <w:rsid w:val="00651626"/>
    <w:rsid w:val="00652510"/>
    <w:rsid w:val="00655CB9"/>
    <w:rsid w:val="00662879"/>
    <w:rsid w:val="00667165"/>
    <w:rsid w:val="006865B8"/>
    <w:rsid w:val="006909AE"/>
    <w:rsid w:val="00695111"/>
    <w:rsid w:val="00696015"/>
    <w:rsid w:val="0069615E"/>
    <w:rsid w:val="006972AE"/>
    <w:rsid w:val="006A59EF"/>
    <w:rsid w:val="006E78DE"/>
    <w:rsid w:val="006F4F1E"/>
    <w:rsid w:val="00701966"/>
    <w:rsid w:val="00701AB3"/>
    <w:rsid w:val="00707AFA"/>
    <w:rsid w:val="00711D71"/>
    <w:rsid w:val="00716777"/>
    <w:rsid w:val="00723BA7"/>
    <w:rsid w:val="00726DC0"/>
    <w:rsid w:val="00733FB2"/>
    <w:rsid w:val="00734A8B"/>
    <w:rsid w:val="00741B6C"/>
    <w:rsid w:val="0074565E"/>
    <w:rsid w:val="007600E6"/>
    <w:rsid w:val="00773E6A"/>
    <w:rsid w:val="00774AC6"/>
    <w:rsid w:val="00785116"/>
    <w:rsid w:val="0078757B"/>
    <w:rsid w:val="0079126C"/>
    <w:rsid w:val="007A1AFB"/>
    <w:rsid w:val="007A5CBC"/>
    <w:rsid w:val="007A6A9C"/>
    <w:rsid w:val="007B549F"/>
    <w:rsid w:val="007E0607"/>
    <w:rsid w:val="007E4C15"/>
    <w:rsid w:val="007F2027"/>
    <w:rsid w:val="007F60F5"/>
    <w:rsid w:val="007F69BD"/>
    <w:rsid w:val="008005FE"/>
    <w:rsid w:val="0080633B"/>
    <w:rsid w:val="008068DD"/>
    <w:rsid w:val="00812015"/>
    <w:rsid w:val="0081425B"/>
    <w:rsid w:val="00823D51"/>
    <w:rsid w:val="00825290"/>
    <w:rsid w:val="00826BFF"/>
    <w:rsid w:val="00837B0A"/>
    <w:rsid w:val="008454DA"/>
    <w:rsid w:val="008477FA"/>
    <w:rsid w:val="008516D1"/>
    <w:rsid w:val="00855923"/>
    <w:rsid w:val="00863868"/>
    <w:rsid w:val="00872615"/>
    <w:rsid w:val="0087643D"/>
    <w:rsid w:val="00880B01"/>
    <w:rsid w:val="00893D1C"/>
    <w:rsid w:val="00895323"/>
    <w:rsid w:val="00896869"/>
    <w:rsid w:val="008D0F79"/>
    <w:rsid w:val="008D28DC"/>
    <w:rsid w:val="00920343"/>
    <w:rsid w:val="00921F3E"/>
    <w:rsid w:val="00922E76"/>
    <w:rsid w:val="00924EED"/>
    <w:rsid w:val="00925EDC"/>
    <w:rsid w:val="0093473A"/>
    <w:rsid w:val="00934C82"/>
    <w:rsid w:val="00940EF4"/>
    <w:rsid w:val="009426E3"/>
    <w:rsid w:val="00953B92"/>
    <w:rsid w:val="0096011C"/>
    <w:rsid w:val="0096689D"/>
    <w:rsid w:val="009772C7"/>
    <w:rsid w:val="009830E8"/>
    <w:rsid w:val="00986121"/>
    <w:rsid w:val="00994CDE"/>
    <w:rsid w:val="00994F6D"/>
    <w:rsid w:val="00995BCA"/>
    <w:rsid w:val="009C3592"/>
    <w:rsid w:val="009D0A92"/>
    <w:rsid w:val="009D2B35"/>
    <w:rsid w:val="009F4D47"/>
    <w:rsid w:val="00A06479"/>
    <w:rsid w:val="00A07B46"/>
    <w:rsid w:val="00A10174"/>
    <w:rsid w:val="00A10DE9"/>
    <w:rsid w:val="00A11B3C"/>
    <w:rsid w:val="00A23AA6"/>
    <w:rsid w:val="00A416BC"/>
    <w:rsid w:val="00A445BB"/>
    <w:rsid w:val="00A53FEA"/>
    <w:rsid w:val="00A565AD"/>
    <w:rsid w:val="00A60BA2"/>
    <w:rsid w:val="00A73E8E"/>
    <w:rsid w:val="00A82ADC"/>
    <w:rsid w:val="00A84702"/>
    <w:rsid w:val="00A8576E"/>
    <w:rsid w:val="00A913FD"/>
    <w:rsid w:val="00A96977"/>
    <w:rsid w:val="00AA294D"/>
    <w:rsid w:val="00AA318C"/>
    <w:rsid w:val="00AA464C"/>
    <w:rsid w:val="00AC1085"/>
    <w:rsid w:val="00AD196E"/>
    <w:rsid w:val="00AD4FBD"/>
    <w:rsid w:val="00AD694C"/>
    <w:rsid w:val="00AD734B"/>
    <w:rsid w:val="00AE332E"/>
    <w:rsid w:val="00B068B8"/>
    <w:rsid w:val="00B06947"/>
    <w:rsid w:val="00B079D8"/>
    <w:rsid w:val="00B102EE"/>
    <w:rsid w:val="00B11C2C"/>
    <w:rsid w:val="00B15394"/>
    <w:rsid w:val="00B2769E"/>
    <w:rsid w:val="00B32E31"/>
    <w:rsid w:val="00B339DE"/>
    <w:rsid w:val="00B53CD0"/>
    <w:rsid w:val="00B606F0"/>
    <w:rsid w:val="00B743A6"/>
    <w:rsid w:val="00B75CC1"/>
    <w:rsid w:val="00B87E18"/>
    <w:rsid w:val="00B95035"/>
    <w:rsid w:val="00B96403"/>
    <w:rsid w:val="00BA2A43"/>
    <w:rsid w:val="00BC64AD"/>
    <w:rsid w:val="00BD38B5"/>
    <w:rsid w:val="00BD4C42"/>
    <w:rsid w:val="00BE0606"/>
    <w:rsid w:val="00BE5273"/>
    <w:rsid w:val="00BE5483"/>
    <w:rsid w:val="00BF26E4"/>
    <w:rsid w:val="00BF39E9"/>
    <w:rsid w:val="00C077C8"/>
    <w:rsid w:val="00C15021"/>
    <w:rsid w:val="00C1595C"/>
    <w:rsid w:val="00C169DE"/>
    <w:rsid w:val="00C30D65"/>
    <w:rsid w:val="00C34E70"/>
    <w:rsid w:val="00C52B3E"/>
    <w:rsid w:val="00C55398"/>
    <w:rsid w:val="00C65404"/>
    <w:rsid w:val="00C675E6"/>
    <w:rsid w:val="00C74369"/>
    <w:rsid w:val="00C77025"/>
    <w:rsid w:val="00C873A5"/>
    <w:rsid w:val="00CA0B1E"/>
    <w:rsid w:val="00CA1E0E"/>
    <w:rsid w:val="00CA40BE"/>
    <w:rsid w:val="00CA4CF6"/>
    <w:rsid w:val="00CB010F"/>
    <w:rsid w:val="00CC033B"/>
    <w:rsid w:val="00CC3743"/>
    <w:rsid w:val="00CD2C2C"/>
    <w:rsid w:val="00CD42D7"/>
    <w:rsid w:val="00CD4A87"/>
    <w:rsid w:val="00CF0AB8"/>
    <w:rsid w:val="00CF2230"/>
    <w:rsid w:val="00CF3712"/>
    <w:rsid w:val="00CF4F0F"/>
    <w:rsid w:val="00D0203E"/>
    <w:rsid w:val="00D0292B"/>
    <w:rsid w:val="00D20C47"/>
    <w:rsid w:val="00D46ACE"/>
    <w:rsid w:val="00D5064E"/>
    <w:rsid w:val="00D52AE1"/>
    <w:rsid w:val="00D54836"/>
    <w:rsid w:val="00D633D6"/>
    <w:rsid w:val="00D727BC"/>
    <w:rsid w:val="00D72C8E"/>
    <w:rsid w:val="00DA3061"/>
    <w:rsid w:val="00DA7E37"/>
    <w:rsid w:val="00DB1258"/>
    <w:rsid w:val="00DB3D98"/>
    <w:rsid w:val="00DC0F61"/>
    <w:rsid w:val="00DC6AAD"/>
    <w:rsid w:val="00DE2ABE"/>
    <w:rsid w:val="00DE2C93"/>
    <w:rsid w:val="00DF478D"/>
    <w:rsid w:val="00DF5A08"/>
    <w:rsid w:val="00E07700"/>
    <w:rsid w:val="00E340D7"/>
    <w:rsid w:val="00E35F9C"/>
    <w:rsid w:val="00E42B82"/>
    <w:rsid w:val="00E54EB0"/>
    <w:rsid w:val="00E5549C"/>
    <w:rsid w:val="00E7212A"/>
    <w:rsid w:val="00E7493A"/>
    <w:rsid w:val="00E75547"/>
    <w:rsid w:val="00E77B40"/>
    <w:rsid w:val="00E90486"/>
    <w:rsid w:val="00EA7403"/>
    <w:rsid w:val="00EA772A"/>
    <w:rsid w:val="00EB7A34"/>
    <w:rsid w:val="00F026C0"/>
    <w:rsid w:val="00F12C31"/>
    <w:rsid w:val="00F20AC3"/>
    <w:rsid w:val="00F4799F"/>
    <w:rsid w:val="00F55913"/>
    <w:rsid w:val="00F61AE0"/>
    <w:rsid w:val="00F67588"/>
    <w:rsid w:val="00F675CC"/>
    <w:rsid w:val="00F733D0"/>
    <w:rsid w:val="00F73BF2"/>
    <w:rsid w:val="00F8796C"/>
    <w:rsid w:val="00FC1A18"/>
    <w:rsid w:val="00FE6365"/>
    <w:rsid w:val="00FF3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B1E"/>
    <w:rPr>
      <w:sz w:val="24"/>
      <w:szCs w:val="24"/>
    </w:rPr>
  </w:style>
  <w:style w:type="paragraph" w:styleId="Heading1">
    <w:name w:val="heading 1"/>
    <w:basedOn w:val="Normal"/>
    <w:next w:val="Normal"/>
    <w:qFormat/>
    <w:rsid w:val="00CA0B1E"/>
    <w:pPr>
      <w:keepNext/>
      <w:jc w:val="center"/>
      <w:outlineLvl w:val="0"/>
    </w:pPr>
    <w:rPr>
      <w:b/>
      <w:bCs/>
      <w:sz w:val="28"/>
    </w:rPr>
  </w:style>
  <w:style w:type="paragraph" w:styleId="Heading2">
    <w:name w:val="heading 2"/>
    <w:basedOn w:val="Normal"/>
    <w:next w:val="Normal"/>
    <w:qFormat/>
    <w:rsid w:val="00CA0B1E"/>
    <w:pPr>
      <w:keepNext/>
      <w:autoSpaceDE w:val="0"/>
      <w:autoSpaceDN w:val="0"/>
      <w:adjustRightInd w:val="0"/>
      <w:outlineLvl w:val="1"/>
    </w:pPr>
    <w:rPr>
      <w:rFonts w:cs="Courier New"/>
      <w:b/>
      <w:bCs/>
      <w:i/>
      <w:iCs/>
      <w:szCs w:val="20"/>
      <w:u w:val="single"/>
    </w:rPr>
  </w:style>
  <w:style w:type="paragraph" w:styleId="Heading3">
    <w:name w:val="heading 3"/>
    <w:basedOn w:val="Normal"/>
    <w:next w:val="Normal"/>
    <w:qFormat/>
    <w:rsid w:val="00CA0B1E"/>
    <w:pPr>
      <w:keepNext/>
      <w:tabs>
        <w:tab w:val="left" w:pos="1200"/>
        <w:tab w:val="left" w:pos="1555"/>
        <w:tab w:val="left" w:pos="1915"/>
        <w:tab w:val="left" w:pos="2275"/>
        <w:tab w:val="left" w:pos="2635"/>
        <w:tab w:val="left" w:pos="2995"/>
        <w:tab w:val="left" w:pos="7675"/>
      </w:tabs>
      <w:jc w:val="both"/>
      <w:outlineLvl w:val="2"/>
    </w:pPr>
    <w:rPr>
      <w:b/>
      <w:bCs/>
      <w:i/>
      <w:iCs/>
    </w:rPr>
  </w:style>
  <w:style w:type="paragraph" w:styleId="Heading4">
    <w:name w:val="heading 4"/>
    <w:basedOn w:val="Normal"/>
    <w:next w:val="Normal"/>
    <w:qFormat/>
    <w:rsid w:val="00CA0B1E"/>
    <w:pPr>
      <w:keepNext/>
      <w:outlineLvl w:val="3"/>
    </w:pPr>
    <w:rPr>
      <w:rFonts w:ascii="Arial" w:hAnsi="Arial" w:cs="Arial"/>
      <w:outline/>
      <w:color w:val="000000"/>
      <w:sz w:val="144"/>
      <w14:textOutline w14:w="9525" w14:cap="flat" w14:cmpd="sng" w14:algn="ctr">
        <w14:solidFill>
          <w14:srgbClr w14:val="000000"/>
        </w14:solidFill>
        <w14:prstDash w14:val="solid"/>
        <w14:round/>
      </w14:textOutline>
      <w14:textFill>
        <w14:noFill/>
      </w14:textFill>
    </w:rPr>
  </w:style>
  <w:style w:type="paragraph" w:styleId="Heading5">
    <w:name w:val="heading 5"/>
    <w:basedOn w:val="Normal"/>
    <w:next w:val="Normal"/>
    <w:qFormat/>
    <w:rsid w:val="00CA0B1E"/>
    <w:pPr>
      <w:keepNext/>
      <w:jc w:val="center"/>
      <w:outlineLvl w:val="4"/>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0B1E"/>
    <w:pPr>
      <w:tabs>
        <w:tab w:val="center" w:pos="4320"/>
        <w:tab w:val="right" w:pos="8640"/>
      </w:tabs>
    </w:pPr>
  </w:style>
  <w:style w:type="paragraph" w:styleId="Footer">
    <w:name w:val="footer"/>
    <w:basedOn w:val="Normal"/>
    <w:link w:val="FooterChar"/>
    <w:uiPriority w:val="99"/>
    <w:rsid w:val="00CA0B1E"/>
    <w:pPr>
      <w:tabs>
        <w:tab w:val="center" w:pos="4320"/>
        <w:tab w:val="right" w:pos="8640"/>
      </w:tabs>
    </w:pPr>
  </w:style>
  <w:style w:type="paragraph" w:styleId="BodyTextIndent">
    <w:name w:val="Body Text Indent"/>
    <w:basedOn w:val="Normal"/>
    <w:semiHidden/>
    <w:rsid w:val="00CA0B1E"/>
    <w:pPr>
      <w:autoSpaceDE w:val="0"/>
      <w:autoSpaceDN w:val="0"/>
      <w:adjustRightInd w:val="0"/>
      <w:ind w:left="720"/>
    </w:pPr>
    <w:rPr>
      <w:rFonts w:cs="Courier New"/>
      <w:szCs w:val="20"/>
    </w:rPr>
  </w:style>
  <w:style w:type="character" w:styleId="PageNumber">
    <w:name w:val="page number"/>
    <w:basedOn w:val="DefaultParagraphFont"/>
    <w:rsid w:val="00CA0B1E"/>
  </w:style>
  <w:style w:type="paragraph" w:styleId="BalloonText">
    <w:name w:val="Balloon Text"/>
    <w:basedOn w:val="Normal"/>
    <w:link w:val="BalloonTextChar"/>
    <w:uiPriority w:val="99"/>
    <w:semiHidden/>
    <w:unhideWhenUsed/>
    <w:rsid w:val="000714AB"/>
    <w:rPr>
      <w:rFonts w:ascii="Tahoma" w:hAnsi="Tahoma" w:cs="Tahoma"/>
      <w:sz w:val="16"/>
      <w:szCs w:val="16"/>
    </w:rPr>
  </w:style>
  <w:style w:type="character" w:customStyle="1" w:styleId="BalloonTextChar">
    <w:name w:val="Balloon Text Char"/>
    <w:basedOn w:val="DefaultParagraphFont"/>
    <w:link w:val="BalloonText"/>
    <w:uiPriority w:val="99"/>
    <w:semiHidden/>
    <w:rsid w:val="000714AB"/>
    <w:rPr>
      <w:rFonts w:ascii="Tahoma" w:hAnsi="Tahoma" w:cs="Tahoma"/>
      <w:sz w:val="16"/>
      <w:szCs w:val="16"/>
    </w:rPr>
  </w:style>
  <w:style w:type="character" w:customStyle="1" w:styleId="HeaderChar">
    <w:name w:val="Header Char"/>
    <w:basedOn w:val="DefaultParagraphFont"/>
    <w:link w:val="Header"/>
    <w:uiPriority w:val="99"/>
    <w:rsid w:val="00CF3712"/>
    <w:rPr>
      <w:sz w:val="24"/>
      <w:szCs w:val="24"/>
    </w:rPr>
  </w:style>
  <w:style w:type="character" w:styleId="Strong">
    <w:name w:val="Strong"/>
    <w:basedOn w:val="DefaultParagraphFont"/>
    <w:uiPriority w:val="22"/>
    <w:qFormat/>
    <w:rsid w:val="009C3592"/>
    <w:rPr>
      <w:b/>
      <w:bCs/>
    </w:rPr>
  </w:style>
  <w:style w:type="character" w:styleId="CommentReference">
    <w:name w:val="annotation reference"/>
    <w:basedOn w:val="DefaultParagraphFont"/>
    <w:uiPriority w:val="99"/>
    <w:semiHidden/>
    <w:unhideWhenUsed/>
    <w:rsid w:val="001709CB"/>
    <w:rPr>
      <w:sz w:val="16"/>
      <w:szCs w:val="16"/>
    </w:rPr>
  </w:style>
  <w:style w:type="paragraph" w:styleId="CommentText">
    <w:name w:val="annotation text"/>
    <w:basedOn w:val="Normal"/>
    <w:link w:val="CommentTextChar"/>
    <w:uiPriority w:val="99"/>
    <w:semiHidden/>
    <w:unhideWhenUsed/>
    <w:rsid w:val="001709CB"/>
    <w:rPr>
      <w:sz w:val="20"/>
      <w:szCs w:val="20"/>
    </w:rPr>
  </w:style>
  <w:style w:type="character" w:customStyle="1" w:styleId="CommentTextChar">
    <w:name w:val="Comment Text Char"/>
    <w:basedOn w:val="DefaultParagraphFont"/>
    <w:link w:val="CommentText"/>
    <w:uiPriority w:val="99"/>
    <w:semiHidden/>
    <w:rsid w:val="001709CB"/>
  </w:style>
  <w:style w:type="paragraph" w:styleId="ListParagraph">
    <w:name w:val="List Paragraph"/>
    <w:basedOn w:val="Normal"/>
    <w:uiPriority w:val="34"/>
    <w:qFormat/>
    <w:rsid w:val="00CA1E0E"/>
    <w:pPr>
      <w:ind w:left="720"/>
    </w:pPr>
  </w:style>
  <w:style w:type="character" w:styleId="Hyperlink">
    <w:name w:val="Hyperlink"/>
    <w:basedOn w:val="DefaultParagraphFont"/>
    <w:unhideWhenUsed/>
    <w:rsid w:val="006E78DE"/>
    <w:rPr>
      <w:color w:val="0000FF"/>
      <w:u w:val="single"/>
    </w:rPr>
  </w:style>
  <w:style w:type="paragraph" w:styleId="NormalWeb">
    <w:name w:val="Normal (Web)"/>
    <w:basedOn w:val="Normal"/>
    <w:uiPriority w:val="99"/>
    <w:rsid w:val="00022A9E"/>
    <w:pPr>
      <w:spacing w:beforeLines="1" w:afterLines="1"/>
    </w:pPr>
    <w:rPr>
      <w:rFonts w:ascii="Times" w:hAnsi="Times"/>
      <w:sz w:val="20"/>
      <w:szCs w:val="20"/>
    </w:rPr>
  </w:style>
  <w:style w:type="paragraph" w:styleId="CommentSubject">
    <w:name w:val="annotation subject"/>
    <w:basedOn w:val="CommentText"/>
    <w:next w:val="CommentText"/>
    <w:link w:val="CommentSubjectChar"/>
    <w:uiPriority w:val="99"/>
    <w:semiHidden/>
    <w:unhideWhenUsed/>
    <w:rsid w:val="002822D8"/>
    <w:rPr>
      <w:b/>
      <w:bCs/>
    </w:rPr>
  </w:style>
  <w:style w:type="character" w:customStyle="1" w:styleId="CommentSubjectChar">
    <w:name w:val="Comment Subject Char"/>
    <w:basedOn w:val="CommentTextChar"/>
    <w:link w:val="CommentSubject"/>
    <w:uiPriority w:val="99"/>
    <w:semiHidden/>
    <w:rsid w:val="002822D8"/>
    <w:rPr>
      <w:b/>
      <w:bCs/>
    </w:rPr>
  </w:style>
  <w:style w:type="paragraph" w:customStyle="1" w:styleId="Default">
    <w:name w:val="Default"/>
    <w:rsid w:val="003D4058"/>
    <w:pPr>
      <w:autoSpaceDE w:val="0"/>
      <w:autoSpaceDN w:val="0"/>
      <w:adjustRightInd w:val="0"/>
    </w:pPr>
    <w:rPr>
      <w:rFonts w:eastAsia="Calibri"/>
      <w:color w:val="000000"/>
      <w:sz w:val="24"/>
      <w:szCs w:val="24"/>
    </w:rPr>
  </w:style>
  <w:style w:type="character" w:styleId="Emphasis">
    <w:name w:val="Emphasis"/>
    <w:basedOn w:val="DefaultParagraphFont"/>
    <w:uiPriority w:val="20"/>
    <w:qFormat/>
    <w:rsid w:val="00336A09"/>
    <w:rPr>
      <w:i/>
      <w:iCs/>
    </w:rPr>
  </w:style>
  <w:style w:type="character" w:customStyle="1" w:styleId="FooterChar">
    <w:name w:val="Footer Char"/>
    <w:basedOn w:val="DefaultParagraphFont"/>
    <w:link w:val="Footer"/>
    <w:uiPriority w:val="99"/>
    <w:rsid w:val="00E42B82"/>
    <w:rPr>
      <w:sz w:val="24"/>
      <w:szCs w:val="24"/>
    </w:rPr>
  </w:style>
  <w:style w:type="paragraph" w:customStyle="1" w:styleId="bars24">
    <w:name w:val="bars 24"/>
    <w:rsid w:val="0023792B"/>
    <w:pPr>
      <w:pBdr>
        <w:top w:val="single" w:sz="2" w:space="0" w:color="auto"/>
        <w:between w:val="single" w:sz="2" w:space="0" w:color="auto"/>
      </w:pBdr>
      <w:tabs>
        <w:tab w:val="left" w:pos="360"/>
      </w:tabs>
      <w:spacing w:line="240" w:lineRule="atLeast"/>
      <w:ind w:left="360"/>
    </w:pPr>
    <w:rPr>
      <w:rFonts w:ascii="Arial" w:hAnsi="Arial"/>
      <w:color w:val="000000"/>
      <w:position w:val="8"/>
      <w:sz w:val="16"/>
    </w:rPr>
  </w:style>
  <w:style w:type="paragraph" w:customStyle="1" w:styleId="head2upd">
    <w:name w:val="head 2 upd"/>
    <w:basedOn w:val="BodyText"/>
    <w:rsid w:val="0023792B"/>
    <w:pPr>
      <w:spacing w:after="0"/>
      <w:ind w:right="-720"/>
    </w:pPr>
    <w:rPr>
      <w:rFonts w:ascii="Arial" w:hAnsi="Arial"/>
      <w:b/>
      <w:szCs w:val="20"/>
    </w:rPr>
  </w:style>
  <w:style w:type="paragraph" w:customStyle="1" w:styleId="head2">
    <w:name w:val="head 2"/>
    <w:basedOn w:val="head2upd"/>
    <w:rsid w:val="0023792B"/>
    <w:pPr>
      <w:ind w:right="0"/>
    </w:pPr>
    <w:rPr>
      <w:sz w:val="28"/>
    </w:rPr>
  </w:style>
  <w:style w:type="paragraph" w:customStyle="1" w:styleId="text">
    <w:name w:val="text"/>
    <w:basedOn w:val="Normal"/>
    <w:rsid w:val="0023792B"/>
    <w:pPr>
      <w:tabs>
        <w:tab w:val="left" w:pos="360"/>
      </w:tabs>
    </w:pPr>
    <w:rPr>
      <w:rFonts w:ascii="Arial" w:hAnsi="Arial"/>
      <w:sz w:val="20"/>
      <w:szCs w:val="20"/>
    </w:rPr>
  </w:style>
  <w:style w:type="paragraph" w:customStyle="1" w:styleId="texthang">
    <w:name w:val="text hang"/>
    <w:basedOn w:val="Normal"/>
    <w:rsid w:val="0023792B"/>
    <w:pPr>
      <w:tabs>
        <w:tab w:val="left" w:pos="360"/>
      </w:tabs>
      <w:ind w:left="360" w:hanging="360"/>
    </w:pPr>
    <w:rPr>
      <w:rFonts w:ascii="Arial" w:eastAsia="Times" w:hAnsi="Arial"/>
      <w:sz w:val="20"/>
      <w:szCs w:val="20"/>
    </w:rPr>
  </w:style>
  <w:style w:type="paragraph" w:styleId="BodyText">
    <w:name w:val="Body Text"/>
    <w:basedOn w:val="Normal"/>
    <w:link w:val="BodyTextChar"/>
    <w:uiPriority w:val="99"/>
    <w:semiHidden/>
    <w:unhideWhenUsed/>
    <w:rsid w:val="0023792B"/>
    <w:pPr>
      <w:spacing w:after="120"/>
    </w:pPr>
  </w:style>
  <w:style w:type="character" w:customStyle="1" w:styleId="BodyTextChar">
    <w:name w:val="Body Text Char"/>
    <w:basedOn w:val="DefaultParagraphFont"/>
    <w:link w:val="BodyText"/>
    <w:uiPriority w:val="99"/>
    <w:semiHidden/>
    <w:rsid w:val="0023792B"/>
    <w:rPr>
      <w:sz w:val="24"/>
      <w:szCs w:val="24"/>
    </w:rPr>
  </w:style>
  <w:style w:type="paragraph" w:styleId="Revision">
    <w:name w:val="Revision"/>
    <w:hidden/>
    <w:uiPriority w:val="99"/>
    <w:semiHidden/>
    <w:rsid w:val="00773E6A"/>
    <w:rPr>
      <w:sz w:val="24"/>
      <w:szCs w:val="24"/>
    </w:rPr>
  </w:style>
  <w:style w:type="paragraph" w:customStyle="1" w:styleId="CM7">
    <w:name w:val="CM7"/>
    <w:basedOn w:val="Default"/>
    <w:next w:val="Default"/>
    <w:uiPriority w:val="99"/>
    <w:rsid w:val="007A5CBC"/>
    <w:pPr>
      <w:spacing w:line="278" w:lineRule="atLeast"/>
    </w:pPr>
    <w:rPr>
      <w:rFonts w:eastAsiaTheme="minorHAnsi"/>
      <w:color w:val="auto"/>
    </w:rPr>
  </w:style>
  <w:style w:type="paragraph" w:customStyle="1" w:styleId="CM24">
    <w:name w:val="CM24"/>
    <w:basedOn w:val="Normal"/>
    <w:next w:val="Normal"/>
    <w:uiPriority w:val="99"/>
    <w:rsid w:val="00934C82"/>
    <w:pPr>
      <w:autoSpaceDE w:val="0"/>
      <w:autoSpaceDN w:val="0"/>
      <w:adjustRightInd w:val="0"/>
    </w:pPr>
    <w:rPr>
      <w:rFonts w:eastAsiaTheme="minorHAnsi"/>
    </w:rPr>
  </w:style>
  <w:style w:type="paragraph" w:styleId="FootnoteText">
    <w:name w:val="footnote text"/>
    <w:basedOn w:val="Normal"/>
    <w:link w:val="FootnoteTextChar"/>
    <w:uiPriority w:val="99"/>
    <w:semiHidden/>
    <w:unhideWhenUsed/>
    <w:rsid w:val="000E4A4E"/>
    <w:rPr>
      <w:sz w:val="20"/>
      <w:szCs w:val="20"/>
    </w:rPr>
  </w:style>
  <w:style w:type="character" w:customStyle="1" w:styleId="FootnoteTextChar">
    <w:name w:val="Footnote Text Char"/>
    <w:basedOn w:val="DefaultParagraphFont"/>
    <w:link w:val="FootnoteText"/>
    <w:uiPriority w:val="99"/>
    <w:semiHidden/>
    <w:rsid w:val="000E4A4E"/>
  </w:style>
  <w:style w:type="character" w:styleId="FootnoteReference">
    <w:name w:val="footnote reference"/>
    <w:basedOn w:val="DefaultParagraphFont"/>
    <w:uiPriority w:val="99"/>
    <w:semiHidden/>
    <w:unhideWhenUsed/>
    <w:rsid w:val="000E4A4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B1E"/>
    <w:rPr>
      <w:sz w:val="24"/>
      <w:szCs w:val="24"/>
    </w:rPr>
  </w:style>
  <w:style w:type="paragraph" w:styleId="Heading1">
    <w:name w:val="heading 1"/>
    <w:basedOn w:val="Normal"/>
    <w:next w:val="Normal"/>
    <w:qFormat/>
    <w:rsid w:val="00CA0B1E"/>
    <w:pPr>
      <w:keepNext/>
      <w:jc w:val="center"/>
      <w:outlineLvl w:val="0"/>
    </w:pPr>
    <w:rPr>
      <w:b/>
      <w:bCs/>
      <w:sz w:val="28"/>
    </w:rPr>
  </w:style>
  <w:style w:type="paragraph" w:styleId="Heading2">
    <w:name w:val="heading 2"/>
    <w:basedOn w:val="Normal"/>
    <w:next w:val="Normal"/>
    <w:qFormat/>
    <w:rsid w:val="00CA0B1E"/>
    <w:pPr>
      <w:keepNext/>
      <w:autoSpaceDE w:val="0"/>
      <w:autoSpaceDN w:val="0"/>
      <w:adjustRightInd w:val="0"/>
      <w:outlineLvl w:val="1"/>
    </w:pPr>
    <w:rPr>
      <w:rFonts w:cs="Courier New"/>
      <w:b/>
      <w:bCs/>
      <w:i/>
      <w:iCs/>
      <w:szCs w:val="20"/>
      <w:u w:val="single"/>
    </w:rPr>
  </w:style>
  <w:style w:type="paragraph" w:styleId="Heading3">
    <w:name w:val="heading 3"/>
    <w:basedOn w:val="Normal"/>
    <w:next w:val="Normal"/>
    <w:qFormat/>
    <w:rsid w:val="00CA0B1E"/>
    <w:pPr>
      <w:keepNext/>
      <w:tabs>
        <w:tab w:val="left" w:pos="1200"/>
        <w:tab w:val="left" w:pos="1555"/>
        <w:tab w:val="left" w:pos="1915"/>
        <w:tab w:val="left" w:pos="2275"/>
        <w:tab w:val="left" w:pos="2635"/>
        <w:tab w:val="left" w:pos="2995"/>
        <w:tab w:val="left" w:pos="7675"/>
      </w:tabs>
      <w:jc w:val="both"/>
      <w:outlineLvl w:val="2"/>
    </w:pPr>
    <w:rPr>
      <w:b/>
      <w:bCs/>
      <w:i/>
      <w:iCs/>
    </w:rPr>
  </w:style>
  <w:style w:type="paragraph" w:styleId="Heading4">
    <w:name w:val="heading 4"/>
    <w:basedOn w:val="Normal"/>
    <w:next w:val="Normal"/>
    <w:qFormat/>
    <w:rsid w:val="00CA0B1E"/>
    <w:pPr>
      <w:keepNext/>
      <w:outlineLvl w:val="3"/>
    </w:pPr>
    <w:rPr>
      <w:rFonts w:ascii="Arial" w:hAnsi="Arial" w:cs="Arial"/>
      <w:outline/>
      <w:color w:val="000000"/>
      <w:sz w:val="144"/>
      <w14:textOutline w14:w="9525" w14:cap="flat" w14:cmpd="sng" w14:algn="ctr">
        <w14:solidFill>
          <w14:srgbClr w14:val="000000"/>
        </w14:solidFill>
        <w14:prstDash w14:val="solid"/>
        <w14:round/>
      </w14:textOutline>
      <w14:textFill>
        <w14:noFill/>
      </w14:textFill>
    </w:rPr>
  </w:style>
  <w:style w:type="paragraph" w:styleId="Heading5">
    <w:name w:val="heading 5"/>
    <w:basedOn w:val="Normal"/>
    <w:next w:val="Normal"/>
    <w:qFormat/>
    <w:rsid w:val="00CA0B1E"/>
    <w:pPr>
      <w:keepNext/>
      <w:jc w:val="center"/>
      <w:outlineLvl w:val="4"/>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0B1E"/>
    <w:pPr>
      <w:tabs>
        <w:tab w:val="center" w:pos="4320"/>
        <w:tab w:val="right" w:pos="8640"/>
      </w:tabs>
    </w:pPr>
  </w:style>
  <w:style w:type="paragraph" w:styleId="Footer">
    <w:name w:val="footer"/>
    <w:basedOn w:val="Normal"/>
    <w:link w:val="FooterChar"/>
    <w:uiPriority w:val="99"/>
    <w:rsid w:val="00CA0B1E"/>
    <w:pPr>
      <w:tabs>
        <w:tab w:val="center" w:pos="4320"/>
        <w:tab w:val="right" w:pos="8640"/>
      </w:tabs>
    </w:pPr>
  </w:style>
  <w:style w:type="paragraph" w:styleId="BodyTextIndent">
    <w:name w:val="Body Text Indent"/>
    <w:basedOn w:val="Normal"/>
    <w:semiHidden/>
    <w:rsid w:val="00CA0B1E"/>
    <w:pPr>
      <w:autoSpaceDE w:val="0"/>
      <w:autoSpaceDN w:val="0"/>
      <w:adjustRightInd w:val="0"/>
      <w:ind w:left="720"/>
    </w:pPr>
    <w:rPr>
      <w:rFonts w:cs="Courier New"/>
      <w:szCs w:val="20"/>
    </w:rPr>
  </w:style>
  <w:style w:type="character" w:styleId="PageNumber">
    <w:name w:val="page number"/>
    <w:basedOn w:val="DefaultParagraphFont"/>
    <w:rsid w:val="00CA0B1E"/>
  </w:style>
  <w:style w:type="paragraph" w:styleId="BalloonText">
    <w:name w:val="Balloon Text"/>
    <w:basedOn w:val="Normal"/>
    <w:link w:val="BalloonTextChar"/>
    <w:uiPriority w:val="99"/>
    <w:semiHidden/>
    <w:unhideWhenUsed/>
    <w:rsid w:val="000714AB"/>
    <w:rPr>
      <w:rFonts w:ascii="Tahoma" w:hAnsi="Tahoma" w:cs="Tahoma"/>
      <w:sz w:val="16"/>
      <w:szCs w:val="16"/>
    </w:rPr>
  </w:style>
  <w:style w:type="character" w:customStyle="1" w:styleId="BalloonTextChar">
    <w:name w:val="Balloon Text Char"/>
    <w:basedOn w:val="DefaultParagraphFont"/>
    <w:link w:val="BalloonText"/>
    <w:uiPriority w:val="99"/>
    <w:semiHidden/>
    <w:rsid w:val="000714AB"/>
    <w:rPr>
      <w:rFonts w:ascii="Tahoma" w:hAnsi="Tahoma" w:cs="Tahoma"/>
      <w:sz w:val="16"/>
      <w:szCs w:val="16"/>
    </w:rPr>
  </w:style>
  <w:style w:type="character" w:customStyle="1" w:styleId="HeaderChar">
    <w:name w:val="Header Char"/>
    <w:basedOn w:val="DefaultParagraphFont"/>
    <w:link w:val="Header"/>
    <w:uiPriority w:val="99"/>
    <w:rsid w:val="00CF3712"/>
    <w:rPr>
      <w:sz w:val="24"/>
      <w:szCs w:val="24"/>
    </w:rPr>
  </w:style>
  <w:style w:type="character" w:styleId="Strong">
    <w:name w:val="Strong"/>
    <w:basedOn w:val="DefaultParagraphFont"/>
    <w:uiPriority w:val="22"/>
    <w:qFormat/>
    <w:rsid w:val="009C3592"/>
    <w:rPr>
      <w:b/>
      <w:bCs/>
    </w:rPr>
  </w:style>
  <w:style w:type="character" w:styleId="CommentReference">
    <w:name w:val="annotation reference"/>
    <w:basedOn w:val="DefaultParagraphFont"/>
    <w:uiPriority w:val="99"/>
    <w:semiHidden/>
    <w:unhideWhenUsed/>
    <w:rsid w:val="001709CB"/>
    <w:rPr>
      <w:sz w:val="16"/>
      <w:szCs w:val="16"/>
    </w:rPr>
  </w:style>
  <w:style w:type="paragraph" w:styleId="CommentText">
    <w:name w:val="annotation text"/>
    <w:basedOn w:val="Normal"/>
    <w:link w:val="CommentTextChar"/>
    <w:uiPriority w:val="99"/>
    <w:semiHidden/>
    <w:unhideWhenUsed/>
    <w:rsid w:val="001709CB"/>
    <w:rPr>
      <w:sz w:val="20"/>
      <w:szCs w:val="20"/>
    </w:rPr>
  </w:style>
  <w:style w:type="character" w:customStyle="1" w:styleId="CommentTextChar">
    <w:name w:val="Comment Text Char"/>
    <w:basedOn w:val="DefaultParagraphFont"/>
    <w:link w:val="CommentText"/>
    <w:uiPriority w:val="99"/>
    <w:semiHidden/>
    <w:rsid w:val="001709CB"/>
  </w:style>
  <w:style w:type="paragraph" w:styleId="ListParagraph">
    <w:name w:val="List Paragraph"/>
    <w:basedOn w:val="Normal"/>
    <w:uiPriority w:val="34"/>
    <w:qFormat/>
    <w:rsid w:val="00CA1E0E"/>
    <w:pPr>
      <w:ind w:left="720"/>
    </w:pPr>
  </w:style>
  <w:style w:type="character" w:styleId="Hyperlink">
    <w:name w:val="Hyperlink"/>
    <w:basedOn w:val="DefaultParagraphFont"/>
    <w:unhideWhenUsed/>
    <w:rsid w:val="006E78DE"/>
    <w:rPr>
      <w:color w:val="0000FF"/>
      <w:u w:val="single"/>
    </w:rPr>
  </w:style>
  <w:style w:type="paragraph" w:styleId="NormalWeb">
    <w:name w:val="Normal (Web)"/>
    <w:basedOn w:val="Normal"/>
    <w:uiPriority w:val="99"/>
    <w:rsid w:val="00022A9E"/>
    <w:pPr>
      <w:spacing w:beforeLines="1" w:afterLines="1"/>
    </w:pPr>
    <w:rPr>
      <w:rFonts w:ascii="Times" w:hAnsi="Times"/>
      <w:sz w:val="20"/>
      <w:szCs w:val="20"/>
    </w:rPr>
  </w:style>
  <w:style w:type="paragraph" w:styleId="CommentSubject">
    <w:name w:val="annotation subject"/>
    <w:basedOn w:val="CommentText"/>
    <w:next w:val="CommentText"/>
    <w:link w:val="CommentSubjectChar"/>
    <w:uiPriority w:val="99"/>
    <w:semiHidden/>
    <w:unhideWhenUsed/>
    <w:rsid w:val="002822D8"/>
    <w:rPr>
      <w:b/>
      <w:bCs/>
    </w:rPr>
  </w:style>
  <w:style w:type="character" w:customStyle="1" w:styleId="CommentSubjectChar">
    <w:name w:val="Comment Subject Char"/>
    <w:basedOn w:val="CommentTextChar"/>
    <w:link w:val="CommentSubject"/>
    <w:uiPriority w:val="99"/>
    <w:semiHidden/>
    <w:rsid w:val="002822D8"/>
    <w:rPr>
      <w:b/>
      <w:bCs/>
    </w:rPr>
  </w:style>
  <w:style w:type="paragraph" w:customStyle="1" w:styleId="Default">
    <w:name w:val="Default"/>
    <w:rsid w:val="003D4058"/>
    <w:pPr>
      <w:autoSpaceDE w:val="0"/>
      <w:autoSpaceDN w:val="0"/>
      <w:adjustRightInd w:val="0"/>
    </w:pPr>
    <w:rPr>
      <w:rFonts w:eastAsia="Calibri"/>
      <w:color w:val="000000"/>
      <w:sz w:val="24"/>
      <w:szCs w:val="24"/>
    </w:rPr>
  </w:style>
  <w:style w:type="character" w:styleId="Emphasis">
    <w:name w:val="Emphasis"/>
    <w:basedOn w:val="DefaultParagraphFont"/>
    <w:uiPriority w:val="20"/>
    <w:qFormat/>
    <w:rsid w:val="00336A09"/>
    <w:rPr>
      <w:i/>
      <w:iCs/>
    </w:rPr>
  </w:style>
  <w:style w:type="character" w:customStyle="1" w:styleId="FooterChar">
    <w:name w:val="Footer Char"/>
    <w:basedOn w:val="DefaultParagraphFont"/>
    <w:link w:val="Footer"/>
    <w:uiPriority w:val="99"/>
    <w:rsid w:val="00E42B82"/>
    <w:rPr>
      <w:sz w:val="24"/>
      <w:szCs w:val="24"/>
    </w:rPr>
  </w:style>
  <w:style w:type="paragraph" w:customStyle="1" w:styleId="bars24">
    <w:name w:val="bars 24"/>
    <w:rsid w:val="0023792B"/>
    <w:pPr>
      <w:pBdr>
        <w:top w:val="single" w:sz="2" w:space="0" w:color="auto"/>
        <w:between w:val="single" w:sz="2" w:space="0" w:color="auto"/>
      </w:pBdr>
      <w:tabs>
        <w:tab w:val="left" w:pos="360"/>
      </w:tabs>
      <w:spacing w:line="240" w:lineRule="atLeast"/>
      <w:ind w:left="360"/>
    </w:pPr>
    <w:rPr>
      <w:rFonts w:ascii="Arial" w:hAnsi="Arial"/>
      <w:color w:val="000000"/>
      <w:position w:val="8"/>
      <w:sz w:val="16"/>
    </w:rPr>
  </w:style>
  <w:style w:type="paragraph" w:customStyle="1" w:styleId="head2upd">
    <w:name w:val="head 2 upd"/>
    <w:basedOn w:val="BodyText"/>
    <w:rsid w:val="0023792B"/>
    <w:pPr>
      <w:spacing w:after="0"/>
      <w:ind w:right="-720"/>
    </w:pPr>
    <w:rPr>
      <w:rFonts w:ascii="Arial" w:hAnsi="Arial"/>
      <w:b/>
      <w:szCs w:val="20"/>
    </w:rPr>
  </w:style>
  <w:style w:type="paragraph" w:customStyle="1" w:styleId="head2">
    <w:name w:val="head 2"/>
    <w:basedOn w:val="head2upd"/>
    <w:rsid w:val="0023792B"/>
    <w:pPr>
      <w:ind w:right="0"/>
    </w:pPr>
    <w:rPr>
      <w:sz w:val="28"/>
    </w:rPr>
  </w:style>
  <w:style w:type="paragraph" w:customStyle="1" w:styleId="text">
    <w:name w:val="text"/>
    <w:basedOn w:val="Normal"/>
    <w:rsid w:val="0023792B"/>
    <w:pPr>
      <w:tabs>
        <w:tab w:val="left" w:pos="360"/>
      </w:tabs>
    </w:pPr>
    <w:rPr>
      <w:rFonts w:ascii="Arial" w:hAnsi="Arial"/>
      <w:sz w:val="20"/>
      <w:szCs w:val="20"/>
    </w:rPr>
  </w:style>
  <w:style w:type="paragraph" w:customStyle="1" w:styleId="texthang">
    <w:name w:val="text hang"/>
    <w:basedOn w:val="Normal"/>
    <w:rsid w:val="0023792B"/>
    <w:pPr>
      <w:tabs>
        <w:tab w:val="left" w:pos="360"/>
      </w:tabs>
      <w:ind w:left="360" w:hanging="360"/>
    </w:pPr>
    <w:rPr>
      <w:rFonts w:ascii="Arial" w:eastAsia="Times" w:hAnsi="Arial"/>
      <w:sz w:val="20"/>
      <w:szCs w:val="20"/>
    </w:rPr>
  </w:style>
  <w:style w:type="paragraph" w:styleId="BodyText">
    <w:name w:val="Body Text"/>
    <w:basedOn w:val="Normal"/>
    <w:link w:val="BodyTextChar"/>
    <w:uiPriority w:val="99"/>
    <w:semiHidden/>
    <w:unhideWhenUsed/>
    <w:rsid w:val="0023792B"/>
    <w:pPr>
      <w:spacing w:after="120"/>
    </w:pPr>
  </w:style>
  <w:style w:type="character" w:customStyle="1" w:styleId="BodyTextChar">
    <w:name w:val="Body Text Char"/>
    <w:basedOn w:val="DefaultParagraphFont"/>
    <w:link w:val="BodyText"/>
    <w:uiPriority w:val="99"/>
    <w:semiHidden/>
    <w:rsid w:val="0023792B"/>
    <w:rPr>
      <w:sz w:val="24"/>
      <w:szCs w:val="24"/>
    </w:rPr>
  </w:style>
  <w:style w:type="paragraph" w:styleId="Revision">
    <w:name w:val="Revision"/>
    <w:hidden/>
    <w:uiPriority w:val="99"/>
    <w:semiHidden/>
    <w:rsid w:val="00773E6A"/>
    <w:rPr>
      <w:sz w:val="24"/>
      <w:szCs w:val="24"/>
    </w:rPr>
  </w:style>
  <w:style w:type="paragraph" w:customStyle="1" w:styleId="CM7">
    <w:name w:val="CM7"/>
    <w:basedOn w:val="Default"/>
    <w:next w:val="Default"/>
    <w:uiPriority w:val="99"/>
    <w:rsid w:val="007A5CBC"/>
    <w:pPr>
      <w:spacing w:line="278" w:lineRule="atLeast"/>
    </w:pPr>
    <w:rPr>
      <w:rFonts w:eastAsiaTheme="minorHAnsi"/>
      <w:color w:val="auto"/>
    </w:rPr>
  </w:style>
  <w:style w:type="paragraph" w:customStyle="1" w:styleId="CM24">
    <w:name w:val="CM24"/>
    <w:basedOn w:val="Normal"/>
    <w:next w:val="Normal"/>
    <w:uiPriority w:val="99"/>
    <w:rsid w:val="00934C82"/>
    <w:pPr>
      <w:autoSpaceDE w:val="0"/>
      <w:autoSpaceDN w:val="0"/>
      <w:adjustRightInd w:val="0"/>
    </w:pPr>
    <w:rPr>
      <w:rFonts w:eastAsiaTheme="minorHAnsi"/>
    </w:rPr>
  </w:style>
  <w:style w:type="paragraph" w:styleId="FootnoteText">
    <w:name w:val="footnote text"/>
    <w:basedOn w:val="Normal"/>
    <w:link w:val="FootnoteTextChar"/>
    <w:uiPriority w:val="99"/>
    <w:semiHidden/>
    <w:unhideWhenUsed/>
    <w:rsid w:val="000E4A4E"/>
    <w:rPr>
      <w:sz w:val="20"/>
      <w:szCs w:val="20"/>
    </w:rPr>
  </w:style>
  <w:style w:type="character" w:customStyle="1" w:styleId="FootnoteTextChar">
    <w:name w:val="Footnote Text Char"/>
    <w:basedOn w:val="DefaultParagraphFont"/>
    <w:link w:val="FootnoteText"/>
    <w:uiPriority w:val="99"/>
    <w:semiHidden/>
    <w:rsid w:val="000E4A4E"/>
  </w:style>
  <w:style w:type="character" w:styleId="FootnoteReference">
    <w:name w:val="footnote reference"/>
    <w:basedOn w:val="DefaultParagraphFont"/>
    <w:uiPriority w:val="99"/>
    <w:semiHidden/>
    <w:unhideWhenUsed/>
    <w:rsid w:val="000E4A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970731">
      <w:bodyDiv w:val="1"/>
      <w:marLeft w:val="0"/>
      <w:marRight w:val="0"/>
      <w:marTop w:val="0"/>
      <w:marBottom w:val="0"/>
      <w:divBdr>
        <w:top w:val="none" w:sz="0" w:space="0" w:color="auto"/>
        <w:left w:val="none" w:sz="0" w:space="0" w:color="auto"/>
        <w:bottom w:val="none" w:sz="0" w:space="0" w:color="auto"/>
        <w:right w:val="none" w:sz="0" w:space="0" w:color="auto"/>
      </w:divBdr>
    </w:div>
    <w:div w:id="916666393">
      <w:bodyDiv w:val="1"/>
      <w:marLeft w:val="0"/>
      <w:marRight w:val="0"/>
      <w:marTop w:val="0"/>
      <w:marBottom w:val="0"/>
      <w:divBdr>
        <w:top w:val="none" w:sz="0" w:space="0" w:color="auto"/>
        <w:left w:val="none" w:sz="0" w:space="0" w:color="auto"/>
        <w:bottom w:val="none" w:sz="0" w:space="0" w:color="auto"/>
        <w:right w:val="none" w:sz="0" w:space="0" w:color="auto"/>
      </w:divBdr>
    </w:div>
    <w:div w:id="952369594">
      <w:bodyDiv w:val="1"/>
      <w:marLeft w:val="0"/>
      <w:marRight w:val="0"/>
      <w:marTop w:val="0"/>
      <w:marBottom w:val="0"/>
      <w:divBdr>
        <w:top w:val="none" w:sz="0" w:space="0" w:color="auto"/>
        <w:left w:val="none" w:sz="0" w:space="0" w:color="auto"/>
        <w:bottom w:val="none" w:sz="0" w:space="0" w:color="auto"/>
        <w:right w:val="none" w:sz="0" w:space="0" w:color="auto"/>
      </w:divBdr>
    </w:div>
    <w:div w:id="1126268283">
      <w:bodyDiv w:val="1"/>
      <w:marLeft w:val="0"/>
      <w:marRight w:val="0"/>
      <w:marTop w:val="0"/>
      <w:marBottom w:val="0"/>
      <w:divBdr>
        <w:top w:val="none" w:sz="0" w:space="0" w:color="auto"/>
        <w:left w:val="none" w:sz="0" w:space="0" w:color="auto"/>
        <w:bottom w:val="none" w:sz="0" w:space="0" w:color="auto"/>
        <w:right w:val="none" w:sz="0" w:space="0" w:color="auto"/>
      </w:divBdr>
    </w:div>
    <w:div w:id="1576161290">
      <w:bodyDiv w:val="1"/>
      <w:marLeft w:val="0"/>
      <w:marRight w:val="0"/>
      <w:marTop w:val="23"/>
      <w:marBottom w:val="567"/>
      <w:divBdr>
        <w:top w:val="none" w:sz="0" w:space="0" w:color="auto"/>
        <w:left w:val="none" w:sz="0" w:space="0" w:color="auto"/>
        <w:bottom w:val="none" w:sz="0" w:space="0" w:color="auto"/>
        <w:right w:val="none" w:sz="0" w:space="0" w:color="auto"/>
      </w:divBdr>
      <w:divsChild>
        <w:div w:id="91360232">
          <w:marLeft w:val="0"/>
          <w:marRight w:val="0"/>
          <w:marTop w:val="0"/>
          <w:marBottom w:val="0"/>
          <w:divBdr>
            <w:top w:val="none" w:sz="0" w:space="0" w:color="auto"/>
            <w:left w:val="none" w:sz="0" w:space="0" w:color="auto"/>
            <w:bottom w:val="none" w:sz="0" w:space="0" w:color="auto"/>
            <w:right w:val="none" w:sz="0" w:space="0" w:color="auto"/>
          </w:divBdr>
        </w:div>
      </w:divsChild>
    </w:div>
    <w:div w:id="1696539235">
      <w:bodyDiv w:val="1"/>
      <w:marLeft w:val="0"/>
      <w:marRight w:val="0"/>
      <w:marTop w:val="0"/>
      <w:marBottom w:val="0"/>
      <w:divBdr>
        <w:top w:val="none" w:sz="0" w:space="0" w:color="auto"/>
        <w:left w:val="none" w:sz="0" w:space="0" w:color="auto"/>
        <w:bottom w:val="none" w:sz="0" w:space="0" w:color="auto"/>
        <w:right w:val="none" w:sz="0" w:space="0" w:color="auto"/>
      </w:divBdr>
    </w:div>
    <w:div w:id="1993950945">
      <w:bodyDiv w:val="1"/>
      <w:marLeft w:val="0"/>
      <w:marRight w:val="0"/>
      <w:marTop w:val="0"/>
      <w:marBottom w:val="0"/>
      <w:divBdr>
        <w:top w:val="none" w:sz="0" w:space="0" w:color="auto"/>
        <w:left w:val="none" w:sz="0" w:space="0" w:color="auto"/>
        <w:bottom w:val="none" w:sz="0" w:space="0" w:color="auto"/>
        <w:right w:val="none" w:sz="0" w:space="0" w:color="auto"/>
      </w:divBdr>
    </w:div>
    <w:div w:id="2031713200">
      <w:bodyDiv w:val="1"/>
      <w:marLeft w:val="0"/>
      <w:marRight w:val="0"/>
      <w:marTop w:val="0"/>
      <w:marBottom w:val="0"/>
      <w:divBdr>
        <w:top w:val="none" w:sz="0" w:space="0" w:color="auto"/>
        <w:left w:val="none" w:sz="0" w:space="0" w:color="auto"/>
        <w:bottom w:val="none" w:sz="0" w:space="0" w:color="auto"/>
        <w:right w:val="none" w:sz="0" w:space="0" w:color="auto"/>
      </w:divBdr>
      <w:divsChild>
        <w:div w:id="72704567">
          <w:marLeft w:val="0"/>
          <w:marRight w:val="0"/>
          <w:marTop w:val="0"/>
          <w:marBottom w:val="0"/>
          <w:divBdr>
            <w:top w:val="none" w:sz="0" w:space="0" w:color="auto"/>
            <w:left w:val="none" w:sz="0" w:space="0" w:color="auto"/>
            <w:bottom w:val="none" w:sz="0" w:space="0" w:color="auto"/>
            <w:right w:val="none" w:sz="0" w:space="0" w:color="auto"/>
          </w:divBdr>
          <w:divsChild>
            <w:div w:id="67845808">
              <w:marLeft w:val="0"/>
              <w:marRight w:val="0"/>
              <w:marTop w:val="0"/>
              <w:marBottom w:val="0"/>
              <w:divBdr>
                <w:top w:val="none" w:sz="0" w:space="0" w:color="auto"/>
                <w:left w:val="none" w:sz="0" w:space="0" w:color="auto"/>
                <w:bottom w:val="none" w:sz="0" w:space="0" w:color="auto"/>
                <w:right w:val="none" w:sz="0" w:space="0" w:color="auto"/>
              </w:divBdr>
              <w:divsChild>
                <w:div w:id="1970282405">
                  <w:marLeft w:val="0"/>
                  <w:marRight w:val="0"/>
                  <w:marTop w:val="0"/>
                  <w:marBottom w:val="0"/>
                  <w:divBdr>
                    <w:top w:val="none" w:sz="0" w:space="0" w:color="auto"/>
                    <w:left w:val="none" w:sz="0" w:space="0" w:color="auto"/>
                    <w:bottom w:val="none" w:sz="0" w:space="0" w:color="auto"/>
                    <w:right w:val="none" w:sz="0" w:space="0" w:color="auto"/>
                  </w:divBdr>
                  <w:divsChild>
                    <w:div w:id="1961721841">
                      <w:marLeft w:val="2"/>
                      <w:marRight w:val="0"/>
                      <w:marTop w:val="0"/>
                      <w:marBottom w:val="0"/>
                      <w:divBdr>
                        <w:top w:val="none" w:sz="0" w:space="0" w:color="auto"/>
                        <w:left w:val="none" w:sz="0" w:space="0" w:color="auto"/>
                        <w:bottom w:val="none" w:sz="0" w:space="0" w:color="auto"/>
                        <w:right w:val="none" w:sz="0" w:space="0" w:color="auto"/>
                      </w:divBdr>
                      <w:divsChild>
                        <w:div w:id="1689520732">
                          <w:marLeft w:val="0"/>
                          <w:marRight w:val="0"/>
                          <w:marTop w:val="0"/>
                          <w:marBottom w:val="0"/>
                          <w:divBdr>
                            <w:top w:val="none" w:sz="0" w:space="0" w:color="auto"/>
                            <w:left w:val="none" w:sz="0" w:space="0" w:color="auto"/>
                            <w:bottom w:val="none" w:sz="0" w:space="0" w:color="auto"/>
                            <w:right w:val="none" w:sz="0" w:space="0" w:color="auto"/>
                          </w:divBdr>
                          <w:divsChild>
                            <w:div w:id="529955074">
                              <w:marLeft w:val="2"/>
                              <w:marRight w:val="0"/>
                              <w:marTop w:val="0"/>
                              <w:marBottom w:val="0"/>
                              <w:divBdr>
                                <w:top w:val="none" w:sz="0" w:space="0" w:color="auto"/>
                                <w:left w:val="none" w:sz="0" w:space="0" w:color="auto"/>
                                <w:bottom w:val="none" w:sz="0" w:space="0" w:color="auto"/>
                                <w:right w:val="none" w:sz="0" w:space="0" w:color="auto"/>
                              </w:divBdr>
                              <w:divsChild>
                                <w:div w:id="16350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702860">
      <w:bodyDiv w:val="1"/>
      <w:marLeft w:val="0"/>
      <w:marRight w:val="0"/>
      <w:marTop w:val="38"/>
      <w:marBottom w:val="0"/>
      <w:divBdr>
        <w:top w:val="none" w:sz="0" w:space="0" w:color="auto"/>
        <w:left w:val="none" w:sz="0" w:space="0" w:color="auto"/>
        <w:bottom w:val="none" w:sz="0" w:space="0" w:color="auto"/>
        <w:right w:val="none" w:sz="0" w:space="0" w:color="auto"/>
      </w:divBdr>
      <w:divsChild>
        <w:div w:id="1877962603">
          <w:marLeft w:val="0"/>
          <w:marRight w:val="0"/>
          <w:marTop w:val="0"/>
          <w:marBottom w:val="0"/>
          <w:divBdr>
            <w:top w:val="none" w:sz="0" w:space="0" w:color="auto"/>
            <w:left w:val="none" w:sz="0" w:space="0" w:color="auto"/>
            <w:bottom w:val="none" w:sz="0" w:space="0" w:color="auto"/>
            <w:right w:val="none" w:sz="0" w:space="0" w:color="auto"/>
          </w:divBdr>
          <w:divsChild>
            <w:div w:id="1644699740">
              <w:marLeft w:val="0"/>
              <w:marRight w:val="0"/>
              <w:marTop w:val="0"/>
              <w:marBottom w:val="0"/>
              <w:divBdr>
                <w:top w:val="none" w:sz="0" w:space="0" w:color="auto"/>
                <w:left w:val="none" w:sz="0" w:space="0" w:color="auto"/>
                <w:bottom w:val="none" w:sz="0" w:space="0" w:color="auto"/>
                <w:right w:val="none" w:sz="0" w:space="0" w:color="auto"/>
              </w:divBdr>
              <w:divsChild>
                <w:div w:id="250046704">
                  <w:marLeft w:val="0"/>
                  <w:marRight w:val="0"/>
                  <w:marTop w:val="0"/>
                  <w:marBottom w:val="0"/>
                  <w:divBdr>
                    <w:top w:val="none" w:sz="0" w:space="0" w:color="auto"/>
                    <w:left w:val="none" w:sz="0" w:space="0" w:color="auto"/>
                    <w:bottom w:val="none" w:sz="0" w:space="0" w:color="auto"/>
                    <w:right w:val="none" w:sz="0" w:space="0" w:color="auto"/>
                  </w:divBdr>
                  <w:divsChild>
                    <w:div w:id="1086803040">
                      <w:marLeft w:val="0"/>
                      <w:marRight w:val="0"/>
                      <w:marTop w:val="0"/>
                      <w:marBottom w:val="0"/>
                      <w:divBdr>
                        <w:top w:val="none" w:sz="0" w:space="0" w:color="auto"/>
                        <w:left w:val="none" w:sz="0" w:space="0" w:color="auto"/>
                        <w:bottom w:val="none" w:sz="0" w:space="0" w:color="auto"/>
                        <w:right w:val="none" w:sz="0" w:space="0" w:color="auto"/>
                      </w:divBdr>
                      <w:divsChild>
                        <w:div w:id="1393773528">
                          <w:marLeft w:val="0"/>
                          <w:marRight w:val="0"/>
                          <w:marTop w:val="38"/>
                          <w:marBottom w:val="0"/>
                          <w:divBdr>
                            <w:top w:val="none" w:sz="0" w:space="0" w:color="auto"/>
                            <w:left w:val="none" w:sz="0" w:space="0" w:color="auto"/>
                            <w:bottom w:val="none" w:sz="0" w:space="0" w:color="auto"/>
                            <w:right w:val="none" w:sz="0" w:space="0" w:color="auto"/>
                          </w:divBdr>
                          <w:divsChild>
                            <w:div w:id="2009938263">
                              <w:marLeft w:val="0"/>
                              <w:marRight w:val="0"/>
                              <w:marTop w:val="0"/>
                              <w:marBottom w:val="0"/>
                              <w:divBdr>
                                <w:top w:val="none" w:sz="0" w:space="0" w:color="auto"/>
                                <w:left w:val="none" w:sz="0" w:space="0" w:color="auto"/>
                                <w:bottom w:val="none" w:sz="0" w:space="0" w:color="auto"/>
                                <w:right w:val="none" w:sz="0" w:space="0" w:color="auto"/>
                              </w:divBdr>
                              <w:divsChild>
                                <w:div w:id="1417357254">
                                  <w:marLeft w:val="1503"/>
                                  <w:marRight w:val="3306"/>
                                  <w:marTop w:val="0"/>
                                  <w:marBottom w:val="0"/>
                                  <w:divBdr>
                                    <w:top w:val="none" w:sz="0" w:space="0" w:color="auto"/>
                                    <w:left w:val="none" w:sz="0" w:space="0" w:color="auto"/>
                                    <w:bottom w:val="none" w:sz="0" w:space="0" w:color="auto"/>
                                    <w:right w:val="none" w:sz="0" w:space="0" w:color="auto"/>
                                  </w:divBdr>
                                  <w:divsChild>
                                    <w:div w:id="1121609400">
                                      <w:marLeft w:val="0"/>
                                      <w:marRight w:val="0"/>
                                      <w:marTop w:val="0"/>
                                      <w:marBottom w:val="0"/>
                                      <w:divBdr>
                                        <w:top w:val="none" w:sz="0" w:space="0" w:color="auto"/>
                                        <w:left w:val="none" w:sz="0" w:space="0" w:color="auto"/>
                                        <w:bottom w:val="none" w:sz="0" w:space="0" w:color="auto"/>
                                        <w:right w:val="none" w:sz="0" w:space="0" w:color="auto"/>
                                      </w:divBdr>
                                      <w:divsChild>
                                        <w:div w:id="1530528860">
                                          <w:marLeft w:val="0"/>
                                          <w:marRight w:val="0"/>
                                          <w:marTop w:val="0"/>
                                          <w:marBottom w:val="0"/>
                                          <w:divBdr>
                                            <w:top w:val="none" w:sz="0" w:space="0" w:color="auto"/>
                                            <w:left w:val="none" w:sz="0" w:space="0" w:color="auto"/>
                                            <w:bottom w:val="none" w:sz="0" w:space="0" w:color="auto"/>
                                            <w:right w:val="none" w:sz="0" w:space="0" w:color="auto"/>
                                          </w:divBdr>
                                          <w:divsChild>
                                            <w:div w:id="876627822">
                                              <w:marLeft w:val="0"/>
                                              <w:marRight w:val="0"/>
                                              <w:marTop w:val="0"/>
                                              <w:marBottom w:val="0"/>
                                              <w:divBdr>
                                                <w:top w:val="none" w:sz="0" w:space="0" w:color="auto"/>
                                                <w:left w:val="none" w:sz="0" w:space="0" w:color="auto"/>
                                                <w:bottom w:val="none" w:sz="0" w:space="0" w:color="auto"/>
                                                <w:right w:val="none" w:sz="0" w:space="0" w:color="auto"/>
                                              </w:divBdr>
                                              <w:divsChild>
                                                <w:div w:id="725179063">
                                                  <w:marLeft w:val="0"/>
                                                  <w:marRight w:val="0"/>
                                                  <w:marTop w:val="0"/>
                                                  <w:marBottom w:val="0"/>
                                                  <w:divBdr>
                                                    <w:top w:val="none" w:sz="0" w:space="0" w:color="auto"/>
                                                    <w:left w:val="none" w:sz="0" w:space="0" w:color="auto"/>
                                                    <w:bottom w:val="none" w:sz="0" w:space="0" w:color="auto"/>
                                                    <w:right w:val="none" w:sz="0" w:space="0" w:color="auto"/>
                                                  </w:divBdr>
                                                  <w:divsChild>
                                                    <w:div w:id="523520840">
                                                      <w:marLeft w:val="0"/>
                                                      <w:marRight w:val="0"/>
                                                      <w:marTop w:val="0"/>
                                                      <w:marBottom w:val="0"/>
                                                      <w:divBdr>
                                                        <w:top w:val="none" w:sz="0" w:space="0" w:color="auto"/>
                                                        <w:left w:val="none" w:sz="0" w:space="0" w:color="auto"/>
                                                        <w:bottom w:val="none" w:sz="0" w:space="0" w:color="auto"/>
                                                        <w:right w:val="none" w:sz="0" w:space="0" w:color="auto"/>
                                                      </w:divBdr>
                                                      <w:divsChild>
                                                        <w:div w:id="1441949711">
                                                          <w:marLeft w:val="0"/>
                                                          <w:marRight w:val="0"/>
                                                          <w:marTop w:val="0"/>
                                                          <w:marBottom w:val="0"/>
                                                          <w:divBdr>
                                                            <w:top w:val="none" w:sz="0" w:space="0" w:color="auto"/>
                                                            <w:left w:val="none" w:sz="0" w:space="0" w:color="auto"/>
                                                            <w:bottom w:val="none" w:sz="0" w:space="0" w:color="auto"/>
                                                            <w:right w:val="none" w:sz="0" w:space="0" w:color="auto"/>
                                                          </w:divBdr>
                                                          <w:divsChild>
                                                            <w:div w:id="1691377146">
                                                              <w:marLeft w:val="0"/>
                                                              <w:marRight w:val="0"/>
                                                              <w:marTop w:val="0"/>
                                                              <w:marBottom w:val="0"/>
                                                              <w:divBdr>
                                                                <w:top w:val="none" w:sz="0" w:space="0" w:color="auto"/>
                                                                <w:left w:val="none" w:sz="0" w:space="0" w:color="auto"/>
                                                                <w:bottom w:val="none" w:sz="0" w:space="0" w:color="auto"/>
                                                                <w:right w:val="none" w:sz="0" w:space="0" w:color="auto"/>
                                                              </w:divBdr>
                                                              <w:divsChild>
                                                                <w:div w:id="717125623">
                                                                  <w:marLeft w:val="0"/>
                                                                  <w:marRight w:val="0"/>
                                                                  <w:marTop w:val="0"/>
                                                                  <w:marBottom w:val="0"/>
                                                                  <w:divBdr>
                                                                    <w:top w:val="none" w:sz="0" w:space="0" w:color="auto"/>
                                                                    <w:left w:val="none" w:sz="0" w:space="0" w:color="auto"/>
                                                                    <w:bottom w:val="none" w:sz="0" w:space="0" w:color="auto"/>
                                                                    <w:right w:val="none" w:sz="0" w:space="0" w:color="auto"/>
                                                                  </w:divBdr>
                                                                  <w:divsChild>
                                                                    <w:div w:id="201475962">
                                                                      <w:marLeft w:val="0"/>
                                                                      <w:marRight w:val="0"/>
                                                                      <w:marTop w:val="0"/>
                                                                      <w:marBottom w:val="0"/>
                                                                      <w:divBdr>
                                                                        <w:top w:val="none" w:sz="0" w:space="0" w:color="auto"/>
                                                                        <w:left w:val="none" w:sz="0" w:space="0" w:color="auto"/>
                                                                        <w:bottom w:val="none" w:sz="0" w:space="0" w:color="auto"/>
                                                                        <w:right w:val="none" w:sz="0" w:space="0" w:color="auto"/>
                                                                      </w:divBdr>
                                                                      <w:divsChild>
                                                                        <w:div w:id="1894653377">
                                                                          <w:marLeft w:val="250"/>
                                                                          <w:marRight w:val="0"/>
                                                                          <w:marTop w:val="0"/>
                                                                          <w:marBottom w:val="0"/>
                                                                          <w:divBdr>
                                                                            <w:top w:val="none" w:sz="0" w:space="0" w:color="auto"/>
                                                                            <w:left w:val="none" w:sz="0" w:space="0" w:color="auto"/>
                                                                            <w:bottom w:val="none" w:sz="0" w:space="0" w:color="auto"/>
                                                                            <w:right w:val="none" w:sz="0" w:space="0" w:color="auto"/>
                                                                          </w:divBdr>
                                                                          <w:divsChild>
                                                                            <w:div w:id="1743483371">
                                                                              <w:marLeft w:val="0"/>
                                                                              <w:marRight w:val="0"/>
                                                                              <w:marTop w:val="0"/>
                                                                              <w:marBottom w:val="0"/>
                                                                              <w:divBdr>
                                                                                <w:top w:val="none" w:sz="0" w:space="0" w:color="auto"/>
                                                                                <w:left w:val="none" w:sz="0" w:space="0" w:color="auto"/>
                                                                                <w:bottom w:val="none" w:sz="0" w:space="0" w:color="auto"/>
                                                                                <w:right w:val="none" w:sz="0" w:space="0" w:color="auto"/>
                                                                              </w:divBdr>
                                                                              <w:divsChild>
                                                                                <w:div w:id="58006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B49672-6AD7-4337-A3B7-F7300FBC5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1131</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7514</CharactersWithSpaces>
  <SharedDoc>false</SharedDoc>
  <HLinks>
    <vt:vector size="6" baseType="variant">
      <vt:variant>
        <vt:i4>3276905</vt:i4>
      </vt:variant>
      <vt:variant>
        <vt:i4>0</vt:i4>
      </vt:variant>
      <vt:variant>
        <vt:i4>0</vt:i4>
      </vt:variant>
      <vt:variant>
        <vt:i4>5</vt:i4>
      </vt:variant>
      <vt:variant>
        <vt:lpwstr>http://public.dep.state.ma.us/SearchableSites2/Search.aspx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TPotter</dc:creator>
  <cp:lastModifiedBy>DOER</cp:lastModifiedBy>
  <cp:revision>3</cp:revision>
  <cp:lastPrinted>2015-02-05T18:05:00Z</cp:lastPrinted>
  <dcterms:created xsi:type="dcterms:W3CDTF">2017-12-12T14:53:00Z</dcterms:created>
  <dcterms:modified xsi:type="dcterms:W3CDTF">2017-12-12T14:53:00Z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