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4D" w:rsidRPr="0007334D" w:rsidRDefault="0007334D" w:rsidP="0007334D">
      <w:pPr>
        <w:autoSpaceDE w:val="0"/>
        <w:autoSpaceDN w:val="0"/>
        <w:adjustRightInd w:val="0"/>
        <w:jc w:val="center"/>
        <w:rPr>
          <w:color w:val="000000"/>
        </w:rPr>
      </w:pPr>
      <w:bookmarkStart w:id="0" w:name="_GoBack"/>
      <w:bookmarkEnd w:id="0"/>
      <w:r w:rsidRPr="0007334D">
        <w:rPr>
          <w:b/>
          <w:bCs/>
          <w:color w:val="000000"/>
        </w:rPr>
        <w:t>Commonwealth of Massachusetts</w:t>
      </w:r>
    </w:p>
    <w:p w:rsidR="00092B95" w:rsidRPr="0007334D" w:rsidRDefault="00092B95" w:rsidP="00092B95">
      <w:pPr>
        <w:pStyle w:val="Heading1"/>
        <w:rPr>
          <w:sz w:val="24"/>
        </w:rPr>
      </w:pPr>
      <w:r w:rsidRPr="0007334D">
        <w:rPr>
          <w:sz w:val="24"/>
        </w:rPr>
        <w:t>Executive Office of Energy and Environmental Affairs</w:t>
      </w:r>
    </w:p>
    <w:p w:rsidR="00B606F0" w:rsidRPr="0007334D" w:rsidRDefault="0007334D" w:rsidP="00B606F0">
      <w:pPr>
        <w:jc w:val="center"/>
        <w:rPr>
          <w:b/>
        </w:rPr>
      </w:pPr>
      <w:r w:rsidRPr="0007334D">
        <w:rPr>
          <w:b/>
        </w:rPr>
        <w:t>DEPARTMENT OF ENERGY RESOURCES</w:t>
      </w:r>
    </w:p>
    <w:p w:rsidR="00A82ADC" w:rsidRPr="0007334D" w:rsidRDefault="0007334D" w:rsidP="00B606F0">
      <w:pPr>
        <w:jc w:val="center"/>
        <w:rPr>
          <w:b/>
        </w:rPr>
      </w:pPr>
      <w:r w:rsidRPr="0007334D">
        <w:rPr>
          <w:b/>
        </w:rPr>
        <w:t>DEPARTMENT OF ENVIRONMENTAL PROTECTION</w:t>
      </w:r>
    </w:p>
    <w:p w:rsidR="00092B95" w:rsidRDefault="00092B95" w:rsidP="00092B95">
      <w:pPr>
        <w:pStyle w:val="Default"/>
        <w:jc w:val="center"/>
        <w:rPr>
          <w:rFonts w:ascii="Calibri" w:hAnsi="Calibri" w:cs="Calibri"/>
          <w:sz w:val="22"/>
          <w:szCs w:val="22"/>
        </w:rPr>
      </w:pPr>
    </w:p>
    <w:p w:rsidR="00DD235B" w:rsidRPr="00DD235B" w:rsidRDefault="00DD235B" w:rsidP="00DD235B">
      <w:pPr>
        <w:pStyle w:val="CM24"/>
        <w:jc w:val="center"/>
        <w:rPr>
          <w:b/>
          <w:color w:val="000000"/>
          <w:sz w:val="28"/>
          <w:szCs w:val="28"/>
        </w:rPr>
      </w:pPr>
      <w:r w:rsidRPr="00DD235B">
        <w:rPr>
          <w:b/>
          <w:color w:val="000000"/>
          <w:sz w:val="28"/>
          <w:szCs w:val="28"/>
        </w:rPr>
        <w:t>SOLAR MASSACHUSETTS RENEWABLE TARGET (SMART) PROGRAM</w:t>
      </w:r>
    </w:p>
    <w:p w:rsidR="00DD235B" w:rsidRPr="00DD235B" w:rsidRDefault="00DD235B" w:rsidP="00DD235B">
      <w:pPr>
        <w:pStyle w:val="Default"/>
        <w:jc w:val="center"/>
        <w:rPr>
          <w:b/>
          <w:sz w:val="28"/>
          <w:szCs w:val="28"/>
        </w:rPr>
      </w:pPr>
      <w:r w:rsidRPr="00DD235B">
        <w:rPr>
          <w:b/>
          <w:sz w:val="28"/>
          <w:szCs w:val="28"/>
        </w:rPr>
        <w:t xml:space="preserve">(225 CMR </w:t>
      </w:r>
      <w:r w:rsidR="001740D2">
        <w:rPr>
          <w:b/>
          <w:sz w:val="28"/>
          <w:szCs w:val="28"/>
        </w:rPr>
        <w:t>20</w:t>
      </w:r>
      <w:r w:rsidRPr="00DD235B">
        <w:rPr>
          <w:b/>
          <w:sz w:val="28"/>
          <w:szCs w:val="28"/>
        </w:rPr>
        <w:t>.00)</w:t>
      </w:r>
    </w:p>
    <w:p w:rsidR="00DD235B" w:rsidRPr="00DD235B" w:rsidRDefault="00DD235B" w:rsidP="00DD235B">
      <w:pPr>
        <w:pStyle w:val="Default"/>
      </w:pPr>
    </w:p>
    <w:p w:rsidR="0007334D" w:rsidRPr="0007334D" w:rsidRDefault="0007334D" w:rsidP="0007334D">
      <w:pPr>
        <w:spacing w:after="60"/>
        <w:jc w:val="center"/>
        <w:rPr>
          <w:rFonts w:eastAsia="Times"/>
          <w:b/>
          <w:sz w:val="30"/>
          <w:szCs w:val="30"/>
        </w:rPr>
      </w:pPr>
      <w:r w:rsidRPr="0007334D">
        <w:rPr>
          <w:rFonts w:eastAsia="Times"/>
          <w:b/>
          <w:sz w:val="28"/>
          <w:szCs w:val="28"/>
        </w:rPr>
        <w:t>GUIDELINE</w:t>
      </w:r>
    </w:p>
    <w:p w:rsidR="0007334D" w:rsidRDefault="0007334D" w:rsidP="00092B95">
      <w:pPr>
        <w:pStyle w:val="Default"/>
        <w:jc w:val="center"/>
        <w:rPr>
          <w:rFonts w:ascii="Calibri" w:hAnsi="Calibri" w:cs="Calibri"/>
          <w:sz w:val="22"/>
          <w:szCs w:val="22"/>
        </w:rPr>
      </w:pPr>
    </w:p>
    <w:p w:rsidR="00092B95" w:rsidRPr="0007334D" w:rsidRDefault="005E4ECB" w:rsidP="00092B95">
      <w:pPr>
        <w:pStyle w:val="Default"/>
        <w:jc w:val="center"/>
        <w:rPr>
          <w:b/>
          <w:sz w:val="26"/>
          <w:szCs w:val="26"/>
          <w:u w:val="single"/>
        </w:rPr>
      </w:pPr>
      <w:r w:rsidRPr="0007334D">
        <w:rPr>
          <w:b/>
          <w:sz w:val="26"/>
          <w:szCs w:val="26"/>
          <w:u w:val="single"/>
        </w:rPr>
        <w:t xml:space="preserve">Guideline </w:t>
      </w:r>
      <w:r w:rsidR="00092B95" w:rsidRPr="0007334D">
        <w:rPr>
          <w:b/>
          <w:sz w:val="26"/>
          <w:szCs w:val="26"/>
          <w:u w:val="single"/>
        </w:rPr>
        <w:t xml:space="preserve">Regarding the Definition of </w:t>
      </w:r>
      <w:r w:rsidR="007B549F" w:rsidRPr="0007334D">
        <w:rPr>
          <w:b/>
          <w:sz w:val="26"/>
          <w:szCs w:val="26"/>
          <w:u w:val="single"/>
        </w:rPr>
        <w:t xml:space="preserve">“Brownfield” </w:t>
      </w:r>
    </w:p>
    <w:p w:rsidR="00A82ADC" w:rsidRDefault="00A82ADC" w:rsidP="00092B95">
      <w:pPr>
        <w:pStyle w:val="Default"/>
        <w:jc w:val="center"/>
        <w:rPr>
          <w:rFonts w:ascii="Calibri" w:hAnsi="Calibri" w:cs="Calibri"/>
          <w:sz w:val="22"/>
          <w:szCs w:val="22"/>
        </w:rPr>
      </w:pPr>
    </w:p>
    <w:p w:rsidR="00CA40BE" w:rsidRPr="0007334D" w:rsidRDefault="005E4ECB" w:rsidP="00AD4FBD">
      <w:pPr>
        <w:pStyle w:val="Default"/>
        <w:jc w:val="center"/>
        <w:rPr>
          <w:b/>
        </w:rPr>
      </w:pPr>
      <w:r w:rsidRPr="0007334D">
        <w:rPr>
          <w:b/>
        </w:rPr>
        <w:t xml:space="preserve">Effective Date: </w:t>
      </w:r>
      <w:r w:rsidR="00300AC0" w:rsidRPr="0007334D">
        <w:rPr>
          <w:b/>
          <w:color w:val="FF0000"/>
        </w:rPr>
        <w:t>TBD</w:t>
      </w:r>
      <w:r w:rsidR="00092B95" w:rsidRPr="0007334D">
        <w:rPr>
          <w:b/>
        </w:rPr>
        <w:br/>
      </w:r>
    </w:p>
    <w:p w:rsidR="008516D1" w:rsidRPr="00CC3743" w:rsidRDefault="00CA40BE" w:rsidP="00E70964">
      <w:pPr>
        <w:ind w:firstLine="360"/>
        <w:rPr>
          <w:rFonts w:ascii="Calibri" w:hAnsi="Calibri" w:cs="Calibri"/>
          <w:sz w:val="22"/>
          <w:szCs w:val="22"/>
        </w:rPr>
      </w:pPr>
      <w:r w:rsidRPr="00CC3743">
        <w:rPr>
          <w:rFonts w:ascii="Calibri" w:hAnsi="Calibri" w:cs="Calibri"/>
          <w:sz w:val="22"/>
          <w:szCs w:val="22"/>
        </w:rPr>
        <w:t xml:space="preserve">This </w:t>
      </w:r>
      <w:r w:rsidR="002C3F50">
        <w:rPr>
          <w:rFonts w:ascii="Calibri" w:hAnsi="Calibri" w:cs="Calibri"/>
          <w:sz w:val="22"/>
          <w:szCs w:val="22"/>
        </w:rPr>
        <w:t>document</w:t>
      </w:r>
      <w:r w:rsidR="002C3F50" w:rsidRPr="00CC3743">
        <w:rPr>
          <w:rFonts w:ascii="Calibri" w:hAnsi="Calibri" w:cs="Calibri"/>
          <w:sz w:val="22"/>
          <w:szCs w:val="22"/>
        </w:rPr>
        <w:t xml:space="preserve"> </w:t>
      </w:r>
      <w:r w:rsidR="00B95035" w:rsidRPr="00CC3743">
        <w:rPr>
          <w:rFonts w:ascii="Calibri" w:hAnsi="Calibri" w:cs="Calibri"/>
          <w:sz w:val="22"/>
          <w:szCs w:val="22"/>
        </w:rPr>
        <w:t xml:space="preserve">provides guidance </w:t>
      </w:r>
      <w:r w:rsidR="002C3F50">
        <w:rPr>
          <w:rFonts w:ascii="Calibri" w:hAnsi="Calibri" w:cs="Calibri"/>
          <w:sz w:val="22"/>
          <w:szCs w:val="22"/>
        </w:rPr>
        <w:t>regarding the manner in which</w:t>
      </w:r>
      <w:r w:rsidR="00E70964">
        <w:rPr>
          <w:rFonts w:ascii="Calibri" w:hAnsi="Calibri" w:cs="Calibri"/>
          <w:sz w:val="22"/>
          <w:szCs w:val="22"/>
        </w:rPr>
        <w:t xml:space="preserve"> a</w:t>
      </w:r>
      <w:r w:rsidR="00325577">
        <w:rPr>
          <w:rFonts w:ascii="Calibri" w:hAnsi="Calibri" w:cs="Calibri"/>
          <w:sz w:val="22"/>
          <w:szCs w:val="22"/>
        </w:rPr>
        <w:t xml:space="preserve"> propert</w:t>
      </w:r>
      <w:r w:rsidR="00E70964">
        <w:rPr>
          <w:rFonts w:ascii="Calibri" w:hAnsi="Calibri" w:cs="Calibri"/>
          <w:sz w:val="22"/>
          <w:szCs w:val="22"/>
        </w:rPr>
        <w:t>y</w:t>
      </w:r>
      <w:r w:rsidR="00325577">
        <w:rPr>
          <w:rFonts w:ascii="Calibri" w:hAnsi="Calibri" w:cs="Calibri"/>
          <w:sz w:val="22"/>
          <w:szCs w:val="22"/>
        </w:rPr>
        <w:t xml:space="preserve"> </w:t>
      </w:r>
      <w:r w:rsidR="00B2769E">
        <w:rPr>
          <w:rFonts w:ascii="Calibri" w:hAnsi="Calibri" w:cs="Calibri"/>
          <w:sz w:val="22"/>
          <w:szCs w:val="22"/>
        </w:rPr>
        <w:t xml:space="preserve">may qualify </w:t>
      </w:r>
      <w:r w:rsidR="002C3F50">
        <w:rPr>
          <w:rFonts w:ascii="Calibri" w:hAnsi="Calibri" w:cs="Calibri"/>
          <w:sz w:val="22"/>
          <w:szCs w:val="22"/>
        </w:rPr>
        <w:t xml:space="preserve">as a “Brownfield” under the </w:t>
      </w:r>
      <w:r w:rsidR="007B549F" w:rsidRPr="00CC3743">
        <w:rPr>
          <w:rFonts w:ascii="Calibri" w:hAnsi="Calibri" w:cs="Calibri"/>
          <w:sz w:val="22"/>
          <w:szCs w:val="22"/>
        </w:rPr>
        <w:t>Department of Energy Resource</w:t>
      </w:r>
      <w:r w:rsidR="008516D1" w:rsidRPr="00CC3743">
        <w:rPr>
          <w:rFonts w:ascii="Calibri" w:hAnsi="Calibri" w:cs="Calibri"/>
          <w:sz w:val="22"/>
          <w:szCs w:val="22"/>
        </w:rPr>
        <w:t>’</w:t>
      </w:r>
      <w:r w:rsidR="007B549F" w:rsidRPr="00CC3743">
        <w:rPr>
          <w:rFonts w:ascii="Calibri" w:hAnsi="Calibri" w:cs="Calibri"/>
          <w:sz w:val="22"/>
          <w:szCs w:val="22"/>
        </w:rPr>
        <w:t xml:space="preserve">s </w:t>
      </w:r>
      <w:r w:rsidR="008516D1" w:rsidRPr="00CC3743">
        <w:rPr>
          <w:rFonts w:ascii="Calibri" w:hAnsi="Calibri" w:cs="Calibri"/>
          <w:sz w:val="22"/>
          <w:szCs w:val="22"/>
        </w:rPr>
        <w:t>(</w:t>
      </w:r>
      <w:r w:rsidR="00E70964">
        <w:rPr>
          <w:rFonts w:ascii="Calibri" w:hAnsi="Calibri" w:cs="Calibri"/>
          <w:sz w:val="22"/>
          <w:szCs w:val="22"/>
        </w:rPr>
        <w:t>Department</w:t>
      </w:r>
      <w:r w:rsidR="008516D1" w:rsidRPr="00CC3743">
        <w:rPr>
          <w:rFonts w:ascii="Calibri" w:hAnsi="Calibri" w:cs="Calibri"/>
          <w:sz w:val="22"/>
          <w:szCs w:val="22"/>
        </w:rPr>
        <w:t xml:space="preserve">) </w:t>
      </w:r>
      <w:r w:rsidR="002B293A">
        <w:rPr>
          <w:rFonts w:ascii="Calibri" w:hAnsi="Calibri" w:cs="Calibri"/>
          <w:sz w:val="22"/>
          <w:szCs w:val="22"/>
        </w:rPr>
        <w:t>Solar</w:t>
      </w:r>
      <w:r w:rsidR="00E93EEE">
        <w:rPr>
          <w:rFonts w:ascii="Calibri" w:hAnsi="Calibri" w:cs="Calibri"/>
          <w:sz w:val="22"/>
          <w:szCs w:val="22"/>
        </w:rPr>
        <w:t xml:space="preserve"> Massachusetts Renewable Target </w:t>
      </w:r>
      <w:r w:rsidR="002B293A">
        <w:rPr>
          <w:rFonts w:ascii="Calibri" w:hAnsi="Calibri" w:cs="Calibri"/>
          <w:sz w:val="22"/>
          <w:szCs w:val="22"/>
        </w:rPr>
        <w:t xml:space="preserve">Program  at 225 CMR </w:t>
      </w:r>
      <w:r w:rsidR="001740D2">
        <w:rPr>
          <w:rFonts w:ascii="Calibri" w:hAnsi="Calibri" w:cs="Calibri"/>
          <w:sz w:val="22"/>
          <w:szCs w:val="22"/>
        </w:rPr>
        <w:t>20</w:t>
      </w:r>
      <w:r w:rsidR="002B293A">
        <w:rPr>
          <w:rFonts w:ascii="Calibri" w:hAnsi="Calibri" w:cs="Calibri"/>
          <w:sz w:val="22"/>
          <w:szCs w:val="22"/>
        </w:rPr>
        <w:t>.00</w:t>
      </w:r>
      <w:r w:rsidR="00E93EEE">
        <w:rPr>
          <w:rFonts w:ascii="Calibri" w:hAnsi="Calibri" w:cs="Calibri"/>
          <w:sz w:val="22"/>
          <w:szCs w:val="22"/>
        </w:rPr>
        <w:t>.</w:t>
      </w:r>
    </w:p>
    <w:p w:rsidR="00DB3D98" w:rsidRPr="00CC3743" w:rsidRDefault="00DB3D98">
      <w:pPr>
        <w:rPr>
          <w:rFonts w:ascii="Calibri" w:hAnsi="Calibri" w:cs="Calibri"/>
          <w:sz w:val="22"/>
          <w:szCs w:val="22"/>
        </w:rPr>
      </w:pPr>
    </w:p>
    <w:p w:rsidR="00DE2C93" w:rsidRPr="00CC3743" w:rsidRDefault="00DE2C93" w:rsidP="00DE2C93">
      <w:pPr>
        <w:pStyle w:val="Heading2"/>
        <w:rPr>
          <w:rFonts w:ascii="Calibri" w:hAnsi="Calibri" w:cs="Calibri"/>
          <w:sz w:val="22"/>
          <w:szCs w:val="22"/>
        </w:rPr>
      </w:pPr>
      <w:r w:rsidRPr="00CC3743">
        <w:rPr>
          <w:rFonts w:ascii="Calibri" w:hAnsi="Calibri" w:cs="Calibri"/>
          <w:sz w:val="22"/>
          <w:szCs w:val="22"/>
        </w:rPr>
        <w:t>BACKGROUND</w:t>
      </w:r>
    </w:p>
    <w:p w:rsidR="00DE2C93" w:rsidRPr="00CC3743" w:rsidRDefault="00DE2C93">
      <w:pPr>
        <w:autoSpaceDE w:val="0"/>
        <w:autoSpaceDN w:val="0"/>
        <w:adjustRightInd w:val="0"/>
        <w:rPr>
          <w:rFonts w:ascii="Calibri" w:hAnsi="Calibri" w:cs="Calibri"/>
          <w:bCs/>
          <w:sz w:val="22"/>
          <w:szCs w:val="22"/>
        </w:rPr>
      </w:pPr>
    </w:p>
    <w:p w:rsidR="00B96403" w:rsidRDefault="002B293A" w:rsidP="00E70964">
      <w:pPr>
        <w:pStyle w:val="NormalWeb"/>
        <w:spacing w:before="2" w:after="2"/>
        <w:ind w:firstLine="360"/>
        <w:rPr>
          <w:rFonts w:ascii="Calibri" w:hAnsi="Calibri" w:cs="Calibri"/>
          <w:sz w:val="22"/>
          <w:szCs w:val="22"/>
        </w:rPr>
      </w:pPr>
      <w:r>
        <w:rPr>
          <w:rFonts w:ascii="Calibri" w:hAnsi="Calibri" w:cs="Calibri"/>
          <w:sz w:val="22"/>
          <w:szCs w:val="22"/>
        </w:rPr>
        <w:t xml:space="preserve">On April 11, 2016 Governor Baker signed Chapter 75 of the Acts of 2016 into law. The newly passed Act directed the </w:t>
      </w:r>
      <w:r w:rsidR="00E70964">
        <w:rPr>
          <w:rFonts w:ascii="Calibri" w:hAnsi="Calibri" w:cs="Calibri"/>
          <w:sz w:val="22"/>
          <w:szCs w:val="22"/>
        </w:rPr>
        <w:t>Department</w:t>
      </w:r>
      <w:r>
        <w:rPr>
          <w:rFonts w:ascii="Calibri" w:hAnsi="Calibri" w:cs="Calibri"/>
          <w:sz w:val="22"/>
          <w:szCs w:val="22"/>
        </w:rPr>
        <w:t xml:space="preserve"> to create a long-term sustainable solar incentive program to promote cost-effective solar in the Commonwealth. </w:t>
      </w:r>
      <w:r w:rsidR="00E70964">
        <w:rPr>
          <w:rFonts w:ascii="Calibri" w:hAnsi="Calibri" w:cs="Calibri"/>
          <w:sz w:val="22"/>
          <w:szCs w:val="22"/>
        </w:rPr>
        <w:t>The Department</w:t>
      </w:r>
      <w:r>
        <w:rPr>
          <w:rFonts w:ascii="Calibri" w:hAnsi="Calibri" w:cs="Calibri"/>
          <w:sz w:val="22"/>
          <w:szCs w:val="22"/>
        </w:rPr>
        <w:t xml:space="preserve"> created the Solar Massachusetts Renewable Tariff (SMART) Program to support the installation of 1</w:t>
      </w:r>
      <w:r w:rsidR="00E70964">
        <w:rPr>
          <w:rFonts w:ascii="Calibri" w:hAnsi="Calibri" w:cs="Calibri"/>
          <w:sz w:val="22"/>
          <w:szCs w:val="22"/>
        </w:rPr>
        <w:t>,</w:t>
      </w:r>
      <w:r>
        <w:rPr>
          <w:rFonts w:ascii="Calibri" w:hAnsi="Calibri" w:cs="Calibri"/>
          <w:sz w:val="22"/>
          <w:szCs w:val="22"/>
        </w:rPr>
        <w:t>600</w:t>
      </w:r>
      <w:r w:rsidR="00E70964">
        <w:rPr>
          <w:rFonts w:ascii="Calibri" w:hAnsi="Calibri" w:cs="Calibri"/>
          <w:sz w:val="22"/>
          <w:szCs w:val="22"/>
        </w:rPr>
        <w:t xml:space="preserve"> </w:t>
      </w:r>
      <w:r>
        <w:rPr>
          <w:rFonts w:ascii="Calibri" w:hAnsi="Calibri" w:cs="Calibri"/>
          <w:sz w:val="22"/>
          <w:szCs w:val="22"/>
        </w:rPr>
        <w:t>MW of</w:t>
      </w:r>
      <w:r w:rsidR="00E70964">
        <w:rPr>
          <w:rFonts w:ascii="Calibri" w:hAnsi="Calibri" w:cs="Calibri"/>
          <w:sz w:val="22"/>
          <w:szCs w:val="22"/>
        </w:rPr>
        <w:t xml:space="preserve"> new distributed</w:t>
      </w:r>
      <w:r>
        <w:rPr>
          <w:rFonts w:ascii="Calibri" w:hAnsi="Calibri" w:cs="Calibri"/>
          <w:sz w:val="22"/>
          <w:szCs w:val="22"/>
        </w:rPr>
        <w:t xml:space="preserve"> solar</w:t>
      </w:r>
      <w:r w:rsidR="00E70964">
        <w:rPr>
          <w:rFonts w:ascii="Calibri" w:hAnsi="Calibri" w:cs="Calibri"/>
          <w:sz w:val="22"/>
          <w:szCs w:val="22"/>
        </w:rPr>
        <w:t xml:space="preserve"> photovoltaic facilities</w:t>
      </w:r>
      <w:r>
        <w:rPr>
          <w:rFonts w:ascii="Calibri" w:hAnsi="Calibri" w:cs="Calibri"/>
          <w:sz w:val="22"/>
          <w:szCs w:val="22"/>
        </w:rPr>
        <w:t xml:space="preserve">. A </w:t>
      </w:r>
      <w:r w:rsidR="00E70964">
        <w:rPr>
          <w:rFonts w:ascii="Calibri" w:hAnsi="Calibri" w:cs="Calibri"/>
          <w:sz w:val="22"/>
          <w:szCs w:val="22"/>
        </w:rPr>
        <w:t>primary</w:t>
      </w:r>
      <w:r>
        <w:rPr>
          <w:rFonts w:ascii="Calibri" w:hAnsi="Calibri" w:cs="Calibri"/>
          <w:sz w:val="22"/>
          <w:szCs w:val="22"/>
        </w:rPr>
        <w:t xml:space="preserve"> focus of the SMART program is to promote </w:t>
      </w:r>
      <w:r w:rsidR="00E70964">
        <w:rPr>
          <w:rFonts w:ascii="Calibri" w:hAnsi="Calibri" w:cs="Calibri"/>
          <w:sz w:val="22"/>
          <w:szCs w:val="22"/>
        </w:rPr>
        <w:t>optimal</w:t>
      </w:r>
      <w:r>
        <w:rPr>
          <w:rFonts w:ascii="Calibri" w:hAnsi="Calibri" w:cs="Calibri"/>
          <w:sz w:val="22"/>
          <w:szCs w:val="22"/>
        </w:rPr>
        <w:t xml:space="preserve"> siting of solar, away from greenfield and open space development. Under the SREC II program</w:t>
      </w:r>
      <w:r w:rsidR="00E70964">
        <w:rPr>
          <w:rFonts w:ascii="Calibri" w:hAnsi="Calibri" w:cs="Calibri"/>
          <w:sz w:val="22"/>
          <w:szCs w:val="22"/>
        </w:rPr>
        <w:t>, the Department, in consultation with the Massachusetts Department of Environmental Protection (MassDEP),</w:t>
      </w:r>
      <w:r>
        <w:rPr>
          <w:rFonts w:ascii="Calibri" w:hAnsi="Calibri" w:cs="Calibri"/>
          <w:sz w:val="22"/>
          <w:szCs w:val="22"/>
        </w:rPr>
        <w:t xml:space="preserve"> </w:t>
      </w:r>
      <w:r w:rsidR="00E70964">
        <w:rPr>
          <w:rFonts w:ascii="Calibri" w:hAnsi="Calibri" w:cs="Calibri"/>
          <w:sz w:val="22"/>
          <w:szCs w:val="22"/>
        </w:rPr>
        <w:t>established</w:t>
      </w:r>
      <w:r>
        <w:rPr>
          <w:rFonts w:ascii="Calibri" w:hAnsi="Calibri" w:cs="Calibri"/>
          <w:sz w:val="22"/>
          <w:szCs w:val="22"/>
        </w:rPr>
        <w:t xml:space="preserve"> a defin</w:t>
      </w:r>
      <w:r w:rsidR="00E70964">
        <w:rPr>
          <w:rFonts w:ascii="Calibri" w:hAnsi="Calibri" w:cs="Calibri"/>
          <w:sz w:val="22"/>
          <w:szCs w:val="22"/>
        </w:rPr>
        <w:t>ition of Brownfields.</w:t>
      </w:r>
      <w:r>
        <w:rPr>
          <w:rFonts w:ascii="Calibri" w:hAnsi="Calibri" w:cs="Calibri"/>
          <w:sz w:val="22"/>
          <w:szCs w:val="22"/>
        </w:rPr>
        <w:t xml:space="preserve"> </w:t>
      </w:r>
      <w:r w:rsidR="00E70964">
        <w:rPr>
          <w:rFonts w:ascii="Calibri" w:hAnsi="Calibri" w:cs="Calibri"/>
          <w:sz w:val="22"/>
          <w:szCs w:val="22"/>
        </w:rPr>
        <w:t>T</w:t>
      </w:r>
      <w:r>
        <w:rPr>
          <w:rFonts w:ascii="Calibri" w:hAnsi="Calibri" w:cs="Calibri"/>
          <w:sz w:val="22"/>
          <w:szCs w:val="22"/>
        </w:rPr>
        <w:t>he SMART program will continue to utilize that definition.</w:t>
      </w:r>
    </w:p>
    <w:p w:rsidR="00DB3D98" w:rsidRDefault="00DB3D98" w:rsidP="00B96403">
      <w:pPr>
        <w:pStyle w:val="NormalWeb"/>
        <w:spacing w:before="2" w:after="2"/>
        <w:rPr>
          <w:rFonts w:ascii="Calibri" w:hAnsi="Calibri" w:cs="Calibri"/>
          <w:bCs/>
          <w:sz w:val="22"/>
          <w:szCs w:val="22"/>
        </w:rPr>
      </w:pPr>
    </w:p>
    <w:p w:rsidR="00CC3743" w:rsidRPr="00723BA7" w:rsidRDefault="00723BA7" w:rsidP="008477FA">
      <w:pPr>
        <w:rPr>
          <w:rFonts w:ascii="Calibri" w:hAnsi="Calibri" w:cs="Calibri"/>
          <w:b/>
          <w:i/>
          <w:sz w:val="22"/>
          <w:szCs w:val="22"/>
          <w:u w:val="single"/>
        </w:rPr>
      </w:pPr>
      <w:r w:rsidRPr="00723BA7">
        <w:rPr>
          <w:rFonts w:ascii="Calibri" w:hAnsi="Calibri" w:cs="Calibri"/>
          <w:b/>
          <w:i/>
          <w:sz w:val="22"/>
          <w:szCs w:val="22"/>
          <w:u w:val="single"/>
        </w:rPr>
        <w:t xml:space="preserve">WHAT IS A BROWNFIELD UNDER </w:t>
      </w:r>
      <w:r w:rsidR="005E4ECB">
        <w:rPr>
          <w:rFonts w:ascii="Calibri" w:hAnsi="Calibri" w:cs="Calibri"/>
          <w:b/>
          <w:i/>
          <w:sz w:val="22"/>
          <w:szCs w:val="22"/>
          <w:u w:val="single"/>
        </w:rPr>
        <w:t xml:space="preserve">THE </w:t>
      </w:r>
      <w:r w:rsidR="00E70964">
        <w:rPr>
          <w:rFonts w:ascii="Calibri" w:hAnsi="Calibri" w:cs="Calibri"/>
          <w:b/>
          <w:i/>
          <w:sz w:val="22"/>
          <w:szCs w:val="22"/>
          <w:u w:val="single"/>
        </w:rPr>
        <w:t>SMART PROGRAM</w:t>
      </w:r>
      <w:r w:rsidR="005E4ECB" w:rsidRPr="00723BA7">
        <w:rPr>
          <w:rFonts w:ascii="Calibri" w:hAnsi="Calibri" w:cs="Calibri"/>
          <w:b/>
          <w:i/>
          <w:sz w:val="22"/>
          <w:szCs w:val="22"/>
          <w:u w:val="single"/>
        </w:rPr>
        <w:t xml:space="preserve"> </w:t>
      </w:r>
      <w:r w:rsidRPr="00723BA7">
        <w:rPr>
          <w:rFonts w:ascii="Calibri" w:hAnsi="Calibri" w:cs="Calibri"/>
          <w:b/>
          <w:i/>
          <w:sz w:val="22"/>
          <w:szCs w:val="22"/>
          <w:u w:val="single"/>
        </w:rPr>
        <w:t>REGULATION?</w:t>
      </w:r>
    </w:p>
    <w:p w:rsidR="00CC3743" w:rsidRDefault="00CC3743" w:rsidP="008477FA">
      <w:pPr>
        <w:rPr>
          <w:rFonts w:ascii="Calibri" w:hAnsi="Calibri" w:cs="Calibri"/>
          <w:sz w:val="22"/>
          <w:szCs w:val="22"/>
        </w:rPr>
      </w:pPr>
    </w:p>
    <w:p w:rsidR="008477FA" w:rsidRPr="00E70964" w:rsidRDefault="00E70964" w:rsidP="00AD4FBD">
      <w:pPr>
        <w:rPr>
          <w:rFonts w:asciiTheme="minorHAnsi" w:hAnsiTheme="minorHAnsi" w:cstheme="minorHAnsi"/>
          <w:sz w:val="22"/>
          <w:szCs w:val="22"/>
        </w:rPr>
      </w:pPr>
      <w:r>
        <w:rPr>
          <w:rFonts w:asciiTheme="minorHAnsi" w:hAnsiTheme="minorHAnsi" w:cstheme="minorHAnsi"/>
          <w:sz w:val="22"/>
          <w:szCs w:val="22"/>
        </w:rPr>
        <w:t xml:space="preserve">225 CMR </w:t>
      </w:r>
      <w:r w:rsidR="001740D2">
        <w:rPr>
          <w:rFonts w:asciiTheme="minorHAnsi" w:hAnsiTheme="minorHAnsi" w:cstheme="minorHAnsi"/>
          <w:sz w:val="22"/>
          <w:szCs w:val="22"/>
        </w:rPr>
        <w:t>20</w:t>
      </w:r>
      <w:r>
        <w:rPr>
          <w:rFonts w:asciiTheme="minorHAnsi" w:hAnsiTheme="minorHAnsi" w:cstheme="minorHAnsi"/>
          <w:sz w:val="22"/>
          <w:szCs w:val="22"/>
        </w:rPr>
        <w:t>.02</w:t>
      </w:r>
      <w:r w:rsidR="00DB3D98" w:rsidRPr="00260C28">
        <w:rPr>
          <w:rFonts w:asciiTheme="minorHAnsi" w:hAnsiTheme="minorHAnsi" w:cstheme="minorHAnsi"/>
          <w:sz w:val="22"/>
          <w:szCs w:val="22"/>
        </w:rPr>
        <w:t>:</w:t>
      </w:r>
      <w:r>
        <w:rPr>
          <w:rFonts w:asciiTheme="minorHAnsi" w:hAnsiTheme="minorHAnsi" w:cstheme="minorHAnsi"/>
          <w:sz w:val="22"/>
          <w:szCs w:val="22"/>
        </w:rPr>
        <w:t xml:space="preserve"> </w:t>
      </w:r>
      <w:r w:rsidRPr="00E70964">
        <w:rPr>
          <w:rFonts w:asciiTheme="minorHAnsi" w:hAnsiTheme="minorHAnsi" w:cstheme="minorHAnsi"/>
          <w:i/>
          <w:sz w:val="22"/>
          <w:szCs w:val="22"/>
          <w:u w:val="single"/>
        </w:rPr>
        <w:t>Definitions</w:t>
      </w:r>
      <w:r w:rsidRPr="00E70964">
        <w:rPr>
          <w:rFonts w:asciiTheme="minorHAnsi" w:hAnsiTheme="minorHAnsi" w:cstheme="minorHAnsi"/>
          <w:sz w:val="22"/>
          <w:szCs w:val="22"/>
          <w:u w:val="single"/>
        </w:rPr>
        <w:t xml:space="preserve"> </w:t>
      </w:r>
      <w:r>
        <w:rPr>
          <w:rFonts w:asciiTheme="minorHAnsi" w:hAnsiTheme="minorHAnsi" w:cstheme="minorHAnsi"/>
          <w:sz w:val="22"/>
          <w:szCs w:val="22"/>
        </w:rPr>
        <w:t>defines Brownfield as follows:</w:t>
      </w:r>
    </w:p>
    <w:p w:rsidR="005D0EDB" w:rsidRPr="00260C28" w:rsidRDefault="005D0EDB" w:rsidP="008477FA">
      <w:pPr>
        <w:rPr>
          <w:rFonts w:asciiTheme="minorHAnsi" w:hAnsiTheme="minorHAnsi" w:cstheme="minorHAnsi"/>
          <w:sz w:val="22"/>
          <w:szCs w:val="22"/>
        </w:rPr>
      </w:pPr>
    </w:p>
    <w:p w:rsidR="003D4058" w:rsidRPr="00260C28" w:rsidRDefault="00260C28" w:rsidP="00DB3D98">
      <w:pPr>
        <w:pStyle w:val="Default"/>
        <w:ind w:left="360" w:right="360"/>
        <w:rPr>
          <w:rFonts w:asciiTheme="minorHAnsi" w:hAnsiTheme="minorHAnsi" w:cstheme="minorHAnsi"/>
          <w:i/>
          <w:color w:val="auto"/>
          <w:sz w:val="22"/>
          <w:szCs w:val="22"/>
        </w:rPr>
      </w:pPr>
      <w:r w:rsidRPr="00260C28">
        <w:rPr>
          <w:rFonts w:asciiTheme="minorHAnsi" w:hAnsiTheme="minorHAnsi" w:cstheme="minorHAnsi"/>
          <w:i/>
          <w:sz w:val="22"/>
          <w:szCs w:val="22"/>
        </w:rPr>
        <w:t xml:space="preserve">A disposal site that has received a release tracking number from MassDEP pursuant to 310 CMR 40.0000: </w:t>
      </w:r>
      <w:r w:rsidRPr="00260C28">
        <w:rPr>
          <w:rFonts w:asciiTheme="minorHAnsi" w:hAnsiTheme="minorHAnsi" w:cstheme="minorHAnsi"/>
          <w:i/>
          <w:iCs/>
          <w:sz w:val="22"/>
          <w:szCs w:val="22"/>
        </w:rPr>
        <w:t>Massachusetts Contingency Plan</w:t>
      </w:r>
      <w:r w:rsidRPr="00260C28">
        <w:rPr>
          <w:rFonts w:asciiTheme="minorHAnsi" w:hAnsiTheme="minorHAnsi" w:cstheme="minorHAnsi"/>
          <w:i/>
          <w:sz w:val="22"/>
          <w:szCs w:val="22"/>
        </w:rPr>
        <w:t xml:space="preserve">, the redevelopment or reuse of which is hindered by the presence of oil or hazardous materials, as determined by the Department, in consultation with MassDEP. For the purposes of this definition, the terms “disposal site,” “release tracking number,” “oil,” and “hazardous materials” shall have the meanings giving to such terms in 310 CMR 40.0006: </w:t>
      </w:r>
      <w:r w:rsidRPr="00260C28">
        <w:rPr>
          <w:rFonts w:asciiTheme="minorHAnsi" w:hAnsiTheme="minorHAnsi" w:cstheme="minorHAnsi"/>
          <w:i/>
          <w:iCs/>
          <w:sz w:val="22"/>
          <w:szCs w:val="22"/>
        </w:rPr>
        <w:t>Terminology, Definitions and Acronyms</w:t>
      </w:r>
      <w:r w:rsidRPr="00260C28">
        <w:rPr>
          <w:rFonts w:asciiTheme="minorHAnsi" w:hAnsiTheme="minorHAnsi" w:cstheme="minorHAnsi"/>
          <w:i/>
          <w:sz w:val="22"/>
          <w:szCs w:val="22"/>
        </w:rPr>
        <w:t>. No disposal site that otherwise meets the requirements of 225 CMR 14.02: Brownfield shall be excluded from consideration as a Brownfield because its cleanup is also regulated by the Comprehensive Environmental Response, Compensation and Liability Act, 42 U.S.C. §§ 9601-9675, the Resource Conservation and Recovery Act, 42 U.S.C. §§ 6921 – 6939g, or any other federal program.</w:t>
      </w:r>
    </w:p>
    <w:p w:rsidR="00DB3D98" w:rsidRPr="00260C28" w:rsidRDefault="00DB3D98" w:rsidP="00DB3D98">
      <w:pPr>
        <w:pStyle w:val="Default"/>
        <w:ind w:left="360" w:right="360"/>
        <w:rPr>
          <w:rFonts w:asciiTheme="minorHAnsi" w:hAnsiTheme="minorHAnsi" w:cstheme="minorHAnsi"/>
          <w:i/>
          <w:color w:val="auto"/>
          <w:sz w:val="22"/>
          <w:szCs w:val="22"/>
        </w:rPr>
      </w:pPr>
    </w:p>
    <w:p w:rsidR="00880B01" w:rsidRPr="00DB3D98" w:rsidRDefault="00DB3D98" w:rsidP="00DB3D98">
      <w:pPr>
        <w:ind w:firstLine="360"/>
        <w:rPr>
          <w:rFonts w:ascii="Calibri" w:hAnsi="Calibri" w:cs="Calibri"/>
          <w:sz w:val="22"/>
          <w:szCs w:val="22"/>
        </w:rPr>
      </w:pPr>
      <w:r>
        <w:rPr>
          <w:rFonts w:ascii="Calibri" w:hAnsi="Calibri" w:cs="Calibri"/>
          <w:sz w:val="22"/>
          <w:szCs w:val="22"/>
        </w:rPr>
        <w:lastRenderedPageBreak/>
        <w:t>The regulatory definition has two major components:  (1) the presence of a disposal site that has been assigned a</w:t>
      </w:r>
      <w:r w:rsidR="00723BA7">
        <w:rPr>
          <w:rFonts w:ascii="Calibri" w:hAnsi="Calibri" w:cs="Calibri"/>
          <w:sz w:val="22"/>
          <w:szCs w:val="22"/>
        </w:rPr>
        <w:t xml:space="preserve"> release tracking number</w:t>
      </w:r>
      <w:r w:rsidR="005E4ECB">
        <w:rPr>
          <w:rFonts w:ascii="Calibri" w:hAnsi="Calibri" w:cs="Calibri"/>
          <w:sz w:val="22"/>
          <w:szCs w:val="22"/>
        </w:rPr>
        <w:t xml:space="preserve"> (RTN)</w:t>
      </w:r>
      <w:r w:rsidR="00723BA7">
        <w:rPr>
          <w:rFonts w:ascii="Calibri" w:hAnsi="Calibri" w:cs="Calibri"/>
          <w:sz w:val="22"/>
          <w:szCs w:val="22"/>
        </w:rPr>
        <w:t xml:space="preserve"> </w:t>
      </w:r>
      <w:r w:rsidR="00E70964">
        <w:rPr>
          <w:rFonts w:ascii="Calibri" w:hAnsi="Calibri" w:cs="Calibri"/>
          <w:sz w:val="22"/>
          <w:szCs w:val="22"/>
        </w:rPr>
        <w:t>by MassDEP</w:t>
      </w:r>
      <w:r>
        <w:rPr>
          <w:rFonts w:ascii="Calibri" w:hAnsi="Calibri" w:cs="Calibri"/>
          <w:sz w:val="22"/>
          <w:szCs w:val="22"/>
        </w:rPr>
        <w:t xml:space="preserve">, and (2) </w:t>
      </w:r>
      <w:r w:rsidR="00701966">
        <w:rPr>
          <w:rFonts w:ascii="Calibri" w:hAnsi="Calibri" w:cs="Calibri"/>
          <w:sz w:val="22"/>
          <w:szCs w:val="22"/>
        </w:rPr>
        <w:t xml:space="preserve">the presence of oil or hazardous materials that hinder redevelopment.  Each component is </w:t>
      </w:r>
      <w:r w:rsidR="0051512C">
        <w:rPr>
          <w:rFonts w:ascii="Calibri" w:hAnsi="Calibri" w:cs="Calibri"/>
          <w:sz w:val="22"/>
          <w:szCs w:val="22"/>
        </w:rPr>
        <w:t>discussed</w:t>
      </w:r>
      <w:r w:rsidR="007A6A9C">
        <w:rPr>
          <w:rFonts w:ascii="Calibri" w:hAnsi="Calibri" w:cs="Calibri"/>
          <w:sz w:val="22"/>
          <w:szCs w:val="22"/>
        </w:rPr>
        <w:t>,</w:t>
      </w:r>
      <w:r w:rsidR="00701966">
        <w:rPr>
          <w:rFonts w:ascii="Calibri" w:hAnsi="Calibri" w:cs="Calibri"/>
          <w:sz w:val="22"/>
          <w:szCs w:val="22"/>
        </w:rPr>
        <w:t xml:space="preserve"> </w:t>
      </w:r>
      <w:r w:rsidR="0051512C">
        <w:rPr>
          <w:rFonts w:ascii="Calibri" w:hAnsi="Calibri" w:cs="Calibri"/>
          <w:sz w:val="22"/>
          <w:szCs w:val="22"/>
        </w:rPr>
        <w:t>in turn</w:t>
      </w:r>
      <w:r w:rsidR="00701966">
        <w:rPr>
          <w:rFonts w:ascii="Calibri" w:hAnsi="Calibri" w:cs="Calibri"/>
          <w:sz w:val="22"/>
          <w:szCs w:val="22"/>
        </w:rPr>
        <w:t>, below:</w:t>
      </w:r>
    </w:p>
    <w:p w:rsidR="00880B01" w:rsidRPr="00880B01" w:rsidRDefault="00880B01" w:rsidP="008477FA">
      <w:pPr>
        <w:rPr>
          <w:rFonts w:ascii="Calibri" w:hAnsi="Calibri" w:cs="Calibri"/>
          <w:sz w:val="22"/>
          <w:szCs w:val="22"/>
        </w:rPr>
      </w:pPr>
    </w:p>
    <w:p w:rsidR="00880B01" w:rsidRPr="00880B01" w:rsidRDefault="00880B01" w:rsidP="00701966">
      <w:pPr>
        <w:numPr>
          <w:ilvl w:val="0"/>
          <w:numId w:val="17"/>
        </w:numPr>
        <w:rPr>
          <w:rFonts w:ascii="Calibri" w:hAnsi="Calibri" w:cs="Calibri"/>
          <w:b/>
          <w:sz w:val="22"/>
          <w:szCs w:val="22"/>
        </w:rPr>
      </w:pPr>
      <w:r w:rsidRPr="00880B01">
        <w:rPr>
          <w:rFonts w:ascii="Calibri" w:hAnsi="Calibri" w:cs="Calibri"/>
          <w:b/>
          <w:sz w:val="22"/>
          <w:szCs w:val="22"/>
        </w:rPr>
        <w:t xml:space="preserve">A disposal site that has received a RTN from MassDEP pursuant to 310 CMR 40.0000. </w:t>
      </w:r>
    </w:p>
    <w:p w:rsidR="00880B01" w:rsidRDefault="00880B01" w:rsidP="003B67A3">
      <w:pPr>
        <w:ind w:left="360"/>
        <w:rPr>
          <w:rFonts w:ascii="Calibri" w:hAnsi="Calibri" w:cs="Calibri"/>
          <w:sz w:val="22"/>
          <w:szCs w:val="22"/>
        </w:rPr>
      </w:pPr>
    </w:p>
    <w:p w:rsidR="00B606F0" w:rsidRDefault="00880B01" w:rsidP="00701966">
      <w:pPr>
        <w:ind w:firstLine="360"/>
        <w:rPr>
          <w:rFonts w:ascii="Calibri" w:hAnsi="Calibri" w:cs="Calibri"/>
          <w:sz w:val="22"/>
          <w:szCs w:val="22"/>
        </w:rPr>
      </w:pPr>
      <w:r>
        <w:rPr>
          <w:rFonts w:ascii="Calibri" w:hAnsi="Calibri" w:cs="Calibri"/>
          <w:sz w:val="22"/>
          <w:szCs w:val="22"/>
        </w:rPr>
        <w:t xml:space="preserve">MassDEP maintains a database of </w:t>
      </w:r>
      <w:r w:rsidR="00701966">
        <w:rPr>
          <w:rFonts w:ascii="Calibri" w:hAnsi="Calibri" w:cs="Calibri"/>
          <w:sz w:val="22"/>
          <w:szCs w:val="22"/>
        </w:rPr>
        <w:t xml:space="preserve">approximately </w:t>
      </w:r>
      <w:r>
        <w:rPr>
          <w:rFonts w:ascii="Calibri" w:hAnsi="Calibri" w:cs="Calibri"/>
          <w:sz w:val="22"/>
          <w:szCs w:val="22"/>
        </w:rPr>
        <w:t>44,000 release</w:t>
      </w:r>
      <w:r w:rsidR="00701966">
        <w:rPr>
          <w:rFonts w:ascii="Calibri" w:hAnsi="Calibri" w:cs="Calibri"/>
          <w:sz w:val="22"/>
          <w:szCs w:val="22"/>
        </w:rPr>
        <w:t>s</w:t>
      </w:r>
      <w:r>
        <w:rPr>
          <w:rFonts w:ascii="Calibri" w:hAnsi="Calibri" w:cs="Calibri"/>
          <w:sz w:val="22"/>
          <w:szCs w:val="22"/>
        </w:rPr>
        <w:t xml:space="preserve"> </w:t>
      </w:r>
      <w:r w:rsidR="00701966">
        <w:rPr>
          <w:rFonts w:ascii="Calibri" w:hAnsi="Calibri" w:cs="Calibri"/>
          <w:sz w:val="22"/>
          <w:szCs w:val="22"/>
        </w:rPr>
        <w:t xml:space="preserve">of oil or hazardous materials </w:t>
      </w:r>
      <w:r>
        <w:rPr>
          <w:rFonts w:ascii="Calibri" w:hAnsi="Calibri" w:cs="Calibri"/>
          <w:sz w:val="22"/>
          <w:szCs w:val="22"/>
        </w:rPr>
        <w:t xml:space="preserve">that have </w:t>
      </w:r>
      <w:r w:rsidR="00B606F0">
        <w:rPr>
          <w:rFonts w:ascii="Calibri" w:hAnsi="Calibri" w:cs="Calibri"/>
          <w:sz w:val="22"/>
          <w:szCs w:val="22"/>
        </w:rPr>
        <w:t>been assigned a</w:t>
      </w:r>
      <w:r>
        <w:rPr>
          <w:rFonts w:ascii="Calibri" w:hAnsi="Calibri" w:cs="Calibri"/>
          <w:sz w:val="22"/>
          <w:szCs w:val="22"/>
        </w:rPr>
        <w:t xml:space="preserve"> RTN.  </w:t>
      </w:r>
      <w:r w:rsidR="00701966">
        <w:rPr>
          <w:rFonts w:ascii="Calibri" w:hAnsi="Calibri" w:cs="Calibri"/>
          <w:sz w:val="22"/>
          <w:szCs w:val="22"/>
        </w:rPr>
        <w:t xml:space="preserve">Typically, MassDEP will assign a </w:t>
      </w:r>
      <w:r w:rsidR="000E4341">
        <w:rPr>
          <w:rFonts w:ascii="Calibri" w:hAnsi="Calibri" w:cs="Calibri"/>
          <w:sz w:val="22"/>
          <w:szCs w:val="22"/>
        </w:rPr>
        <w:t>RTN</w:t>
      </w:r>
      <w:r w:rsidR="00701966">
        <w:rPr>
          <w:rFonts w:ascii="Calibri" w:hAnsi="Calibri" w:cs="Calibri"/>
          <w:sz w:val="22"/>
          <w:szCs w:val="22"/>
        </w:rPr>
        <w:t xml:space="preserve"> </w:t>
      </w:r>
      <w:r w:rsidR="00723BA7">
        <w:rPr>
          <w:rFonts w:ascii="Calibri" w:hAnsi="Calibri" w:cs="Calibri"/>
          <w:sz w:val="22"/>
          <w:szCs w:val="22"/>
        </w:rPr>
        <w:t xml:space="preserve">to a disposal site </w:t>
      </w:r>
      <w:r w:rsidR="00701966">
        <w:rPr>
          <w:rFonts w:ascii="Calibri" w:hAnsi="Calibri" w:cs="Calibri"/>
          <w:sz w:val="22"/>
          <w:szCs w:val="22"/>
        </w:rPr>
        <w:t>when someone with kno</w:t>
      </w:r>
      <w:r w:rsidR="00B606F0">
        <w:rPr>
          <w:rFonts w:ascii="Calibri" w:hAnsi="Calibri" w:cs="Calibri"/>
          <w:sz w:val="22"/>
          <w:szCs w:val="22"/>
        </w:rPr>
        <w:t xml:space="preserve">wledge of the release reports </w:t>
      </w:r>
      <w:r w:rsidR="00A82ADC">
        <w:rPr>
          <w:rFonts w:ascii="Calibri" w:hAnsi="Calibri" w:cs="Calibri"/>
          <w:sz w:val="22"/>
          <w:szCs w:val="22"/>
        </w:rPr>
        <w:t xml:space="preserve">it </w:t>
      </w:r>
      <w:r w:rsidR="00B606F0">
        <w:rPr>
          <w:rFonts w:ascii="Calibri" w:hAnsi="Calibri" w:cs="Calibri"/>
          <w:sz w:val="22"/>
          <w:szCs w:val="22"/>
        </w:rPr>
        <w:t xml:space="preserve">to </w:t>
      </w:r>
      <w:r w:rsidR="00A82ADC">
        <w:rPr>
          <w:rFonts w:ascii="Calibri" w:hAnsi="Calibri" w:cs="Calibri"/>
          <w:sz w:val="22"/>
          <w:szCs w:val="22"/>
        </w:rPr>
        <w:t>MassDEP</w:t>
      </w:r>
      <w:r w:rsidR="00B606F0">
        <w:rPr>
          <w:rFonts w:ascii="Calibri" w:hAnsi="Calibri" w:cs="Calibri"/>
          <w:sz w:val="22"/>
          <w:szCs w:val="22"/>
        </w:rPr>
        <w:t>, or if</w:t>
      </w:r>
      <w:r w:rsidR="00701966">
        <w:rPr>
          <w:rFonts w:ascii="Calibri" w:hAnsi="Calibri" w:cs="Calibri"/>
          <w:sz w:val="22"/>
          <w:szCs w:val="22"/>
        </w:rPr>
        <w:t xml:space="preserve"> MassDEP discover</w:t>
      </w:r>
      <w:r w:rsidR="00B606F0">
        <w:rPr>
          <w:rFonts w:ascii="Calibri" w:hAnsi="Calibri" w:cs="Calibri"/>
          <w:sz w:val="22"/>
          <w:szCs w:val="22"/>
        </w:rPr>
        <w:t>s</w:t>
      </w:r>
      <w:r w:rsidR="00701966">
        <w:rPr>
          <w:rFonts w:ascii="Calibri" w:hAnsi="Calibri" w:cs="Calibri"/>
          <w:sz w:val="22"/>
          <w:szCs w:val="22"/>
        </w:rPr>
        <w:t xml:space="preserve"> </w:t>
      </w:r>
      <w:r w:rsidR="00723BA7">
        <w:rPr>
          <w:rFonts w:ascii="Calibri" w:hAnsi="Calibri" w:cs="Calibri"/>
          <w:sz w:val="22"/>
          <w:szCs w:val="22"/>
        </w:rPr>
        <w:t>the release</w:t>
      </w:r>
      <w:r w:rsidR="00701966">
        <w:rPr>
          <w:rFonts w:ascii="Calibri" w:hAnsi="Calibri" w:cs="Calibri"/>
          <w:sz w:val="22"/>
          <w:szCs w:val="22"/>
        </w:rPr>
        <w:t xml:space="preserve"> through its own investigations.  </w:t>
      </w:r>
      <w:r w:rsidR="00B606F0">
        <w:rPr>
          <w:rFonts w:ascii="Calibri" w:hAnsi="Calibri" w:cs="Calibri"/>
          <w:sz w:val="22"/>
          <w:szCs w:val="22"/>
        </w:rPr>
        <w:t xml:space="preserve">Generally, the contamination must reach a reportable threshold before MassDEP will assign </w:t>
      </w:r>
      <w:r w:rsidR="00A82ADC">
        <w:rPr>
          <w:rFonts w:ascii="Calibri" w:hAnsi="Calibri" w:cs="Calibri"/>
          <w:sz w:val="22"/>
          <w:szCs w:val="22"/>
        </w:rPr>
        <w:t xml:space="preserve">a </w:t>
      </w:r>
      <w:r w:rsidR="000E4341">
        <w:rPr>
          <w:rFonts w:ascii="Calibri" w:hAnsi="Calibri" w:cs="Calibri"/>
          <w:sz w:val="22"/>
          <w:szCs w:val="22"/>
        </w:rPr>
        <w:t>RTN</w:t>
      </w:r>
      <w:r w:rsidR="00B606F0">
        <w:rPr>
          <w:rFonts w:ascii="Calibri" w:hAnsi="Calibri" w:cs="Calibri"/>
          <w:sz w:val="22"/>
          <w:szCs w:val="22"/>
        </w:rPr>
        <w:t>.</w:t>
      </w:r>
    </w:p>
    <w:p w:rsidR="00B606F0" w:rsidRDefault="00B606F0" w:rsidP="00701966">
      <w:pPr>
        <w:ind w:firstLine="360"/>
        <w:rPr>
          <w:rFonts w:ascii="Calibri" w:hAnsi="Calibri" w:cs="Calibri"/>
          <w:sz w:val="22"/>
          <w:szCs w:val="22"/>
        </w:rPr>
      </w:pPr>
    </w:p>
    <w:p w:rsidR="00C30D65" w:rsidRDefault="00701966" w:rsidP="00C30D65">
      <w:pPr>
        <w:shd w:val="clear" w:color="auto" w:fill="FFFFFF"/>
        <w:ind w:firstLine="360"/>
        <w:rPr>
          <w:rFonts w:ascii="Calibri" w:hAnsi="Calibri" w:cs="Calibri"/>
          <w:sz w:val="22"/>
          <w:szCs w:val="22"/>
        </w:rPr>
      </w:pPr>
      <w:r>
        <w:rPr>
          <w:rFonts w:ascii="Calibri" w:hAnsi="Calibri" w:cs="Calibri"/>
          <w:sz w:val="22"/>
          <w:szCs w:val="22"/>
        </w:rPr>
        <w:t xml:space="preserve">The cleanup of these sites is regulated by MassDEP under M.G.L. c. 21E and the Massachusetts Contingency Plan </w:t>
      </w:r>
      <w:r w:rsidR="000E4341">
        <w:rPr>
          <w:rFonts w:ascii="Calibri" w:hAnsi="Calibri" w:cs="Calibri"/>
          <w:sz w:val="22"/>
          <w:szCs w:val="22"/>
        </w:rPr>
        <w:t xml:space="preserve">(MCP) </w:t>
      </w:r>
      <w:r>
        <w:rPr>
          <w:rFonts w:ascii="Calibri" w:hAnsi="Calibri" w:cs="Calibri"/>
          <w:sz w:val="22"/>
          <w:szCs w:val="22"/>
        </w:rPr>
        <w:t xml:space="preserve">at 310 CMR 40.0000.  </w:t>
      </w:r>
      <w:r w:rsidR="0093473A" w:rsidRPr="0093473A">
        <w:rPr>
          <w:rFonts w:ascii="Calibri" w:hAnsi="Calibri" w:cs="Calibri"/>
          <w:sz w:val="22"/>
          <w:szCs w:val="22"/>
        </w:rPr>
        <w:t>A complete inventory of disposal sites with RTNs is available online and can be searched by</w:t>
      </w:r>
      <w:r w:rsidR="00325577">
        <w:rPr>
          <w:rFonts w:ascii="Calibri" w:hAnsi="Calibri" w:cs="Calibri"/>
          <w:sz w:val="22"/>
          <w:szCs w:val="22"/>
        </w:rPr>
        <w:t xml:space="preserve"> </w:t>
      </w:r>
      <w:r w:rsidR="000E4341">
        <w:rPr>
          <w:rFonts w:ascii="Calibri" w:hAnsi="Calibri" w:cs="Calibri"/>
          <w:sz w:val="22"/>
          <w:szCs w:val="22"/>
        </w:rPr>
        <w:t>RTN</w:t>
      </w:r>
      <w:r w:rsidR="0093473A" w:rsidRPr="0093473A">
        <w:rPr>
          <w:rFonts w:ascii="Calibri" w:hAnsi="Calibri" w:cs="Calibri"/>
          <w:sz w:val="22"/>
          <w:szCs w:val="22"/>
        </w:rPr>
        <w:t xml:space="preserve">, </w:t>
      </w:r>
      <w:r w:rsidR="000E4341">
        <w:rPr>
          <w:rFonts w:ascii="Calibri" w:hAnsi="Calibri" w:cs="Calibri"/>
          <w:sz w:val="22"/>
          <w:szCs w:val="22"/>
        </w:rPr>
        <w:t xml:space="preserve">disposal </w:t>
      </w:r>
      <w:r w:rsidR="0093473A" w:rsidRPr="0093473A">
        <w:rPr>
          <w:rFonts w:ascii="Calibri" w:hAnsi="Calibri" w:cs="Calibri"/>
          <w:sz w:val="22"/>
          <w:szCs w:val="22"/>
        </w:rPr>
        <w:t xml:space="preserve">site name, address, status, and/or chemical type. </w:t>
      </w:r>
      <w:r w:rsidR="0093473A">
        <w:rPr>
          <w:rFonts w:ascii="Calibri" w:hAnsi="Calibri" w:cs="Calibri"/>
          <w:sz w:val="22"/>
          <w:szCs w:val="22"/>
        </w:rPr>
        <w:t xml:space="preserve"> </w:t>
      </w:r>
      <w:r w:rsidR="0093473A" w:rsidRPr="0093473A">
        <w:rPr>
          <w:rFonts w:ascii="Calibri" w:hAnsi="Calibri" w:cs="Calibri"/>
          <w:sz w:val="22"/>
          <w:szCs w:val="22"/>
        </w:rPr>
        <w:t>Results include lists of site actions, maps, and links to both electronically submitted and scanned documents.</w:t>
      </w:r>
      <w:r w:rsidR="0093473A">
        <w:rPr>
          <w:rFonts w:ascii="Calibri" w:hAnsi="Calibri" w:cs="Calibri"/>
          <w:sz w:val="22"/>
          <w:szCs w:val="22"/>
        </w:rPr>
        <w:t xml:space="preserve">  The list is found here: </w:t>
      </w:r>
      <w:hyperlink r:id="rId9" w:history="1">
        <w:r w:rsidR="0093473A" w:rsidRPr="00C263A7">
          <w:rPr>
            <w:rStyle w:val="Hyperlink"/>
            <w:rFonts w:ascii="Calibri" w:hAnsi="Calibri" w:cs="Calibri"/>
            <w:sz w:val="22"/>
            <w:szCs w:val="22"/>
          </w:rPr>
          <w:t>http://public.dep.state.ma.us/SearchableSites2/Search.aspx</w:t>
        </w:r>
      </w:hyperlink>
      <w:r w:rsidR="00AD694C">
        <w:t>.</w:t>
      </w:r>
      <w:r w:rsidR="0093473A">
        <w:rPr>
          <w:rFonts w:ascii="Calibri" w:hAnsi="Calibri" w:cs="Calibri"/>
          <w:sz w:val="22"/>
          <w:szCs w:val="22"/>
        </w:rPr>
        <w:t xml:space="preserve"> </w:t>
      </w:r>
    </w:p>
    <w:p w:rsidR="00701966" w:rsidRDefault="00701966" w:rsidP="00701966">
      <w:pPr>
        <w:ind w:firstLine="360"/>
        <w:rPr>
          <w:rFonts w:ascii="Calibri" w:hAnsi="Calibri" w:cs="Calibri"/>
          <w:sz w:val="22"/>
          <w:szCs w:val="22"/>
        </w:rPr>
      </w:pPr>
    </w:p>
    <w:p w:rsidR="00C30D65" w:rsidRDefault="00701966" w:rsidP="00C30D65">
      <w:pPr>
        <w:ind w:firstLine="360"/>
        <w:rPr>
          <w:rFonts w:ascii="Calibri" w:hAnsi="Calibri" w:cs="Calibri"/>
          <w:sz w:val="22"/>
          <w:szCs w:val="22"/>
        </w:rPr>
      </w:pPr>
      <w:r>
        <w:rPr>
          <w:rFonts w:ascii="Calibri" w:hAnsi="Calibri" w:cs="Calibri"/>
          <w:sz w:val="22"/>
          <w:szCs w:val="22"/>
        </w:rPr>
        <w:t>Of the releases that have received an RTN</w:t>
      </w:r>
      <w:r w:rsidR="002D6B26">
        <w:rPr>
          <w:rFonts w:ascii="Calibri" w:hAnsi="Calibri" w:cs="Calibri"/>
          <w:sz w:val="22"/>
          <w:szCs w:val="22"/>
        </w:rPr>
        <w:t xml:space="preserve"> (as of 06/30/13)</w:t>
      </w:r>
      <w:r>
        <w:rPr>
          <w:rFonts w:ascii="Calibri" w:hAnsi="Calibri" w:cs="Calibri"/>
          <w:sz w:val="22"/>
          <w:szCs w:val="22"/>
        </w:rPr>
        <w:t>:</w:t>
      </w:r>
    </w:p>
    <w:p w:rsidR="00701966" w:rsidRPr="001335A1" w:rsidRDefault="00701966" w:rsidP="00701966">
      <w:pPr>
        <w:ind w:firstLine="360"/>
        <w:rPr>
          <w:rFonts w:ascii="Calibri" w:hAnsi="Calibri" w:cs="Calibri"/>
          <w:sz w:val="22"/>
          <w:szCs w:val="22"/>
        </w:rPr>
      </w:pPr>
    </w:p>
    <w:p w:rsidR="00880B01" w:rsidRDefault="00880B01" w:rsidP="001335A1">
      <w:pPr>
        <w:numPr>
          <w:ilvl w:val="0"/>
          <w:numId w:val="14"/>
        </w:numPr>
        <w:ind w:left="1440"/>
        <w:rPr>
          <w:rFonts w:ascii="Calibri" w:hAnsi="Calibri" w:cs="Calibri"/>
          <w:sz w:val="22"/>
          <w:szCs w:val="22"/>
        </w:rPr>
      </w:pPr>
      <w:r>
        <w:rPr>
          <w:rFonts w:ascii="Calibri" w:hAnsi="Calibri" w:cs="Calibri"/>
          <w:sz w:val="22"/>
          <w:szCs w:val="22"/>
        </w:rPr>
        <w:t xml:space="preserve">7% </w:t>
      </w:r>
      <w:r w:rsidR="00701966">
        <w:rPr>
          <w:rFonts w:ascii="Calibri" w:hAnsi="Calibri" w:cs="Calibri"/>
          <w:sz w:val="22"/>
          <w:szCs w:val="22"/>
        </w:rPr>
        <w:t xml:space="preserve">(~2,900) </w:t>
      </w:r>
      <w:r>
        <w:rPr>
          <w:rFonts w:ascii="Calibri" w:hAnsi="Calibri" w:cs="Calibri"/>
          <w:sz w:val="22"/>
          <w:szCs w:val="22"/>
        </w:rPr>
        <w:t>are “open” and undergoing cleanup</w:t>
      </w:r>
      <w:r w:rsidR="00701966">
        <w:rPr>
          <w:rFonts w:ascii="Calibri" w:hAnsi="Calibri" w:cs="Calibri"/>
          <w:sz w:val="22"/>
          <w:szCs w:val="22"/>
        </w:rPr>
        <w:t>;</w:t>
      </w:r>
      <w:r>
        <w:rPr>
          <w:rFonts w:ascii="Calibri" w:hAnsi="Calibri" w:cs="Calibri"/>
          <w:sz w:val="22"/>
          <w:szCs w:val="22"/>
        </w:rPr>
        <w:t xml:space="preserve"> </w:t>
      </w:r>
    </w:p>
    <w:p w:rsidR="00880B01" w:rsidRDefault="00880B01" w:rsidP="001335A1">
      <w:pPr>
        <w:numPr>
          <w:ilvl w:val="0"/>
          <w:numId w:val="14"/>
        </w:numPr>
        <w:ind w:left="1440"/>
        <w:rPr>
          <w:rFonts w:ascii="Calibri" w:hAnsi="Calibri" w:cs="Calibri"/>
          <w:sz w:val="22"/>
          <w:szCs w:val="22"/>
        </w:rPr>
      </w:pPr>
      <w:r>
        <w:rPr>
          <w:rFonts w:ascii="Calibri" w:hAnsi="Calibri" w:cs="Calibri"/>
          <w:sz w:val="22"/>
          <w:szCs w:val="22"/>
        </w:rPr>
        <w:t xml:space="preserve">83% </w:t>
      </w:r>
      <w:r w:rsidR="00701966">
        <w:rPr>
          <w:rFonts w:ascii="Calibri" w:hAnsi="Calibri" w:cs="Calibri"/>
          <w:sz w:val="22"/>
          <w:szCs w:val="22"/>
        </w:rPr>
        <w:t xml:space="preserve">(~41,000) </w:t>
      </w:r>
      <w:r w:rsidR="00B079D8">
        <w:rPr>
          <w:rFonts w:ascii="Calibri" w:hAnsi="Calibri" w:cs="Calibri"/>
          <w:sz w:val="22"/>
          <w:szCs w:val="22"/>
        </w:rPr>
        <w:t>have reached regulatory closure</w:t>
      </w:r>
      <w:r w:rsidR="00701966">
        <w:rPr>
          <w:rFonts w:ascii="Calibri" w:hAnsi="Calibri" w:cs="Calibri"/>
          <w:sz w:val="22"/>
          <w:szCs w:val="22"/>
        </w:rPr>
        <w:t xml:space="preserve"> with a permanent solution</w:t>
      </w:r>
      <w:r w:rsidR="00B079D8">
        <w:rPr>
          <w:rFonts w:ascii="Calibri" w:hAnsi="Calibri" w:cs="Calibri"/>
          <w:sz w:val="22"/>
          <w:szCs w:val="22"/>
        </w:rPr>
        <w:t xml:space="preserve"> under the MCP. </w:t>
      </w:r>
      <w:r w:rsidR="00E75547">
        <w:rPr>
          <w:rFonts w:ascii="Calibri" w:hAnsi="Calibri" w:cs="Calibri"/>
          <w:sz w:val="22"/>
          <w:szCs w:val="22"/>
        </w:rPr>
        <w:t xml:space="preserve"> </w:t>
      </w:r>
      <w:r w:rsidR="00701966">
        <w:rPr>
          <w:rFonts w:ascii="Calibri" w:hAnsi="Calibri" w:cs="Calibri"/>
          <w:sz w:val="22"/>
          <w:szCs w:val="22"/>
        </w:rPr>
        <w:t>Of these:</w:t>
      </w:r>
    </w:p>
    <w:p w:rsidR="00880B01" w:rsidRPr="00336A09" w:rsidRDefault="00880B01" w:rsidP="001335A1">
      <w:pPr>
        <w:numPr>
          <w:ilvl w:val="1"/>
          <w:numId w:val="14"/>
        </w:numPr>
        <w:ind w:left="2160"/>
        <w:rPr>
          <w:rFonts w:ascii="Calibri" w:hAnsi="Calibri" w:cs="Calibri"/>
          <w:sz w:val="22"/>
          <w:szCs w:val="22"/>
        </w:rPr>
      </w:pPr>
      <w:r>
        <w:rPr>
          <w:rFonts w:ascii="Calibri" w:hAnsi="Calibri" w:cs="Calibri"/>
          <w:sz w:val="22"/>
          <w:szCs w:val="22"/>
        </w:rPr>
        <w:t>3</w:t>
      </w:r>
      <w:r w:rsidR="00457CEA">
        <w:rPr>
          <w:rFonts w:ascii="Calibri" w:hAnsi="Calibri" w:cs="Calibri"/>
          <w:sz w:val="22"/>
          <w:szCs w:val="22"/>
        </w:rPr>
        <w:t>2</w:t>
      </w:r>
      <w:r>
        <w:rPr>
          <w:rFonts w:ascii="Calibri" w:hAnsi="Calibri" w:cs="Calibri"/>
          <w:sz w:val="22"/>
          <w:szCs w:val="22"/>
        </w:rPr>
        <w:t xml:space="preserve">% </w:t>
      </w:r>
      <w:r w:rsidR="00EB7A34">
        <w:rPr>
          <w:rFonts w:ascii="Calibri" w:hAnsi="Calibri" w:cs="Calibri"/>
          <w:sz w:val="22"/>
          <w:szCs w:val="22"/>
        </w:rPr>
        <w:t xml:space="preserve">have been cleaned up to </w:t>
      </w:r>
      <w:r w:rsidR="00701966">
        <w:rPr>
          <w:rFonts w:ascii="Calibri" w:hAnsi="Calibri" w:cs="Calibri"/>
          <w:sz w:val="22"/>
          <w:szCs w:val="22"/>
        </w:rPr>
        <w:t>levels which would have existed in</w:t>
      </w:r>
      <w:r w:rsidR="00B079D8">
        <w:rPr>
          <w:rFonts w:ascii="Calibri" w:hAnsi="Calibri" w:cs="Calibri"/>
          <w:sz w:val="22"/>
          <w:szCs w:val="22"/>
        </w:rPr>
        <w:t xml:space="preserve"> the absence of a release, or “B</w:t>
      </w:r>
      <w:r>
        <w:rPr>
          <w:rFonts w:ascii="Calibri" w:hAnsi="Calibri" w:cs="Calibri"/>
          <w:sz w:val="22"/>
          <w:szCs w:val="22"/>
        </w:rPr>
        <w:t>ackground</w:t>
      </w:r>
      <w:r w:rsidR="00701966">
        <w:rPr>
          <w:rFonts w:ascii="Calibri" w:hAnsi="Calibri" w:cs="Calibri"/>
          <w:sz w:val="22"/>
          <w:szCs w:val="22"/>
        </w:rPr>
        <w:t>;”</w:t>
      </w:r>
      <w:r>
        <w:rPr>
          <w:rFonts w:ascii="Calibri" w:hAnsi="Calibri" w:cs="Calibri"/>
          <w:sz w:val="22"/>
          <w:szCs w:val="22"/>
        </w:rPr>
        <w:t xml:space="preserve"> </w:t>
      </w:r>
    </w:p>
    <w:p w:rsidR="00880B01" w:rsidRDefault="00457CEA" w:rsidP="001335A1">
      <w:pPr>
        <w:numPr>
          <w:ilvl w:val="1"/>
          <w:numId w:val="14"/>
        </w:numPr>
        <w:ind w:left="2160"/>
        <w:rPr>
          <w:rFonts w:ascii="Calibri" w:hAnsi="Calibri" w:cs="Calibri"/>
          <w:sz w:val="22"/>
          <w:szCs w:val="22"/>
        </w:rPr>
      </w:pPr>
      <w:r>
        <w:rPr>
          <w:rFonts w:ascii="Calibri" w:hAnsi="Calibri" w:cs="Calibri"/>
          <w:sz w:val="22"/>
          <w:szCs w:val="22"/>
        </w:rPr>
        <w:t>60</w:t>
      </w:r>
      <w:r w:rsidR="00880B01">
        <w:rPr>
          <w:rFonts w:ascii="Calibri" w:hAnsi="Calibri" w:cs="Calibri"/>
          <w:sz w:val="22"/>
          <w:szCs w:val="22"/>
        </w:rPr>
        <w:t>% have</w:t>
      </w:r>
      <w:r w:rsidR="00B079D8">
        <w:rPr>
          <w:rFonts w:ascii="Calibri" w:hAnsi="Calibri" w:cs="Calibri"/>
          <w:sz w:val="22"/>
          <w:szCs w:val="22"/>
        </w:rPr>
        <w:t xml:space="preserve"> not reached Background, but have</w:t>
      </w:r>
      <w:r w:rsidR="00880B01">
        <w:rPr>
          <w:rFonts w:ascii="Calibri" w:hAnsi="Calibri" w:cs="Calibri"/>
          <w:sz w:val="22"/>
          <w:szCs w:val="22"/>
        </w:rPr>
        <w:t xml:space="preserve"> been clean</w:t>
      </w:r>
      <w:r w:rsidR="00701966">
        <w:rPr>
          <w:rFonts w:ascii="Calibri" w:hAnsi="Calibri" w:cs="Calibri"/>
          <w:sz w:val="22"/>
          <w:szCs w:val="22"/>
        </w:rPr>
        <w:t xml:space="preserve">ed </w:t>
      </w:r>
      <w:r w:rsidR="00880B01">
        <w:rPr>
          <w:rFonts w:ascii="Calibri" w:hAnsi="Calibri" w:cs="Calibri"/>
          <w:sz w:val="22"/>
          <w:szCs w:val="22"/>
        </w:rPr>
        <w:t>up for unrestricted use</w:t>
      </w:r>
      <w:r w:rsidR="00701966">
        <w:rPr>
          <w:rFonts w:ascii="Calibri" w:hAnsi="Calibri" w:cs="Calibri"/>
          <w:sz w:val="22"/>
          <w:szCs w:val="22"/>
        </w:rPr>
        <w:t>;</w:t>
      </w:r>
    </w:p>
    <w:p w:rsidR="00880B01" w:rsidRPr="00A445BB" w:rsidRDefault="00457CEA" w:rsidP="001335A1">
      <w:pPr>
        <w:numPr>
          <w:ilvl w:val="1"/>
          <w:numId w:val="14"/>
        </w:numPr>
        <w:ind w:left="2160"/>
        <w:rPr>
          <w:rStyle w:val="Emphasis"/>
          <w:rFonts w:ascii="Calibri" w:hAnsi="Calibri" w:cs="Calibri"/>
          <w:i w:val="0"/>
          <w:iCs w:val="0"/>
          <w:sz w:val="22"/>
          <w:szCs w:val="22"/>
        </w:rPr>
      </w:pPr>
      <w:r>
        <w:rPr>
          <w:rStyle w:val="Emphasis"/>
          <w:rFonts w:ascii="Calibri" w:hAnsi="Calibri" w:cs="Calibri"/>
          <w:i w:val="0"/>
          <w:sz w:val="22"/>
          <w:szCs w:val="22"/>
        </w:rPr>
        <w:t>8</w:t>
      </w:r>
      <w:r w:rsidR="00880B01" w:rsidRPr="00A445BB">
        <w:rPr>
          <w:rStyle w:val="Emphasis"/>
          <w:rFonts w:ascii="Calibri" w:hAnsi="Calibri" w:cs="Calibri"/>
          <w:i w:val="0"/>
          <w:sz w:val="22"/>
          <w:szCs w:val="22"/>
        </w:rPr>
        <w:t>% require deed notices or use restrictions as part of the remedy</w:t>
      </w:r>
      <w:r w:rsidR="00880B01">
        <w:rPr>
          <w:rStyle w:val="Emphasis"/>
          <w:rFonts w:ascii="Calibri" w:hAnsi="Calibri" w:cs="Calibri"/>
          <w:i w:val="0"/>
          <w:sz w:val="22"/>
          <w:szCs w:val="22"/>
        </w:rPr>
        <w:t xml:space="preserve">, and </w:t>
      </w:r>
    </w:p>
    <w:p w:rsidR="00880B01" w:rsidRPr="00457CEA" w:rsidRDefault="00880B01" w:rsidP="00B079D8">
      <w:pPr>
        <w:numPr>
          <w:ilvl w:val="0"/>
          <w:numId w:val="14"/>
        </w:numPr>
        <w:ind w:left="1440"/>
        <w:rPr>
          <w:rStyle w:val="Emphasis"/>
          <w:rFonts w:ascii="Calibri" w:hAnsi="Calibri" w:cs="Calibri"/>
          <w:i w:val="0"/>
          <w:iCs w:val="0"/>
          <w:sz w:val="22"/>
          <w:szCs w:val="22"/>
        </w:rPr>
      </w:pPr>
      <w:r w:rsidRPr="00A445BB">
        <w:rPr>
          <w:rStyle w:val="Emphasis"/>
          <w:rFonts w:ascii="Calibri" w:hAnsi="Calibri" w:cs="Calibri"/>
          <w:i w:val="0"/>
          <w:sz w:val="22"/>
          <w:szCs w:val="22"/>
        </w:rPr>
        <w:t xml:space="preserve">3% </w:t>
      </w:r>
      <w:r>
        <w:rPr>
          <w:rStyle w:val="Emphasis"/>
          <w:rFonts w:ascii="Calibri" w:hAnsi="Calibri" w:cs="Calibri"/>
          <w:i w:val="0"/>
          <w:sz w:val="22"/>
          <w:szCs w:val="22"/>
        </w:rPr>
        <w:t xml:space="preserve">of </w:t>
      </w:r>
      <w:r w:rsidRPr="00A445BB">
        <w:rPr>
          <w:rStyle w:val="Emphasis"/>
          <w:rFonts w:ascii="Calibri" w:hAnsi="Calibri" w:cs="Calibri"/>
          <w:i w:val="0"/>
          <w:sz w:val="22"/>
          <w:szCs w:val="22"/>
        </w:rPr>
        <w:t>sites have a</w:t>
      </w:r>
      <w:r w:rsidR="00E75547">
        <w:rPr>
          <w:rStyle w:val="Emphasis"/>
          <w:rFonts w:ascii="Calibri" w:hAnsi="Calibri" w:cs="Calibri"/>
          <w:i w:val="0"/>
          <w:sz w:val="22"/>
          <w:szCs w:val="22"/>
        </w:rPr>
        <w:t xml:space="preserve">chieved </w:t>
      </w:r>
      <w:r w:rsidR="00B079D8">
        <w:rPr>
          <w:rStyle w:val="Emphasis"/>
          <w:rFonts w:ascii="Calibri" w:hAnsi="Calibri" w:cs="Calibri"/>
          <w:i w:val="0"/>
          <w:sz w:val="22"/>
          <w:szCs w:val="22"/>
        </w:rPr>
        <w:t xml:space="preserve">a Temporary Solution.    </w:t>
      </w:r>
    </w:p>
    <w:p w:rsidR="00457CEA" w:rsidRPr="00A445BB" w:rsidRDefault="00457CEA" w:rsidP="00B079D8">
      <w:pPr>
        <w:numPr>
          <w:ilvl w:val="0"/>
          <w:numId w:val="14"/>
        </w:numPr>
        <w:ind w:left="1440"/>
        <w:rPr>
          <w:rStyle w:val="Emphasis"/>
          <w:rFonts w:ascii="Calibri" w:hAnsi="Calibri" w:cs="Calibri"/>
          <w:i w:val="0"/>
          <w:iCs w:val="0"/>
          <w:sz w:val="22"/>
          <w:szCs w:val="22"/>
        </w:rPr>
      </w:pPr>
      <w:r>
        <w:rPr>
          <w:rStyle w:val="Emphasis"/>
          <w:rFonts w:ascii="Calibri" w:hAnsi="Calibri" w:cs="Calibri"/>
          <w:i w:val="0"/>
          <w:sz w:val="22"/>
          <w:szCs w:val="22"/>
        </w:rPr>
        <w:t xml:space="preserve">7% of sites fall into other site categories.  </w:t>
      </w:r>
    </w:p>
    <w:p w:rsidR="00B079D8" w:rsidRDefault="00B079D8" w:rsidP="003B67A3">
      <w:pPr>
        <w:ind w:left="360"/>
        <w:rPr>
          <w:rStyle w:val="Emphasis"/>
          <w:rFonts w:ascii="Calibri" w:hAnsi="Calibri" w:cs="Calibri"/>
          <w:i w:val="0"/>
          <w:sz w:val="22"/>
          <w:szCs w:val="22"/>
        </w:rPr>
      </w:pPr>
    </w:p>
    <w:p w:rsidR="00723BA7" w:rsidRDefault="00B606F0" w:rsidP="00723BA7">
      <w:pPr>
        <w:ind w:firstLine="360"/>
        <w:rPr>
          <w:rStyle w:val="Emphasis"/>
          <w:rFonts w:ascii="Calibri" w:hAnsi="Calibri" w:cs="Calibri"/>
          <w:i w:val="0"/>
          <w:iCs w:val="0"/>
          <w:sz w:val="22"/>
          <w:szCs w:val="22"/>
        </w:rPr>
      </w:pPr>
      <w:r>
        <w:rPr>
          <w:rStyle w:val="Emphasis"/>
          <w:rFonts w:ascii="Calibri" w:hAnsi="Calibri" w:cs="Calibri"/>
          <w:i w:val="0"/>
          <w:sz w:val="22"/>
          <w:szCs w:val="22"/>
        </w:rPr>
        <w:t xml:space="preserve">Some </w:t>
      </w:r>
      <w:r w:rsidR="00723BA7">
        <w:rPr>
          <w:rStyle w:val="Emphasis"/>
          <w:rFonts w:ascii="Calibri" w:hAnsi="Calibri" w:cs="Calibri"/>
          <w:i w:val="0"/>
          <w:sz w:val="22"/>
          <w:szCs w:val="22"/>
        </w:rPr>
        <w:t>disposal sites</w:t>
      </w:r>
      <w:r>
        <w:rPr>
          <w:rStyle w:val="Emphasis"/>
          <w:rFonts w:ascii="Calibri" w:hAnsi="Calibri" w:cs="Calibri"/>
          <w:i w:val="0"/>
          <w:sz w:val="22"/>
          <w:szCs w:val="22"/>
        </w:rPr>
        <w:t xml:space="preserve"> with RTNs are </w:t>
      </w:r>
      <w:r w:rsidR="00723BA7">
        <w:rPr>
          <w:rStyle w:val="Emphasis"/>
          <w:rFonts w:ascii="Calibri" w:hAnsi="Calibri" w:cs="Calibri"/>
          <w:i w:val="0"/>
          <w:sz w:val="22"/>
          <w:szCs w:val="22"/>
        </w:rPr>
        <w:t xml:space="preserve">also regulated under </w:t>
      </w:r>
      <w:r w:rsidR="00723BA7" w:rsidRPr="00723BA7">
        <w:rPr>
          <w:rFonts w:ascii="Calibri" w:hAnsi="Calibri" w:cs="Calibri"/>
          <w:sz w:val="22"/>
          <w:szCs w:val="22"/>
        </w:rPr>
        <w:t>the Comprehensive Environmental Response, Compensation and Liability Act, 42 U.S.C. §§ 9601-9675</w:t>
      </w:r>
      <w:r w:rsidR="00723BA7">
        <w:rPr>
          <w:rFonts w:ascii="Calibri" w:hAnsi="Calibri" w:cs="Calibri"/>
          <w:sz w:val="22"/>
          <w:szCs w:val="22"/>
        </w:rPr>
        <w:t xml:space="preserve"> (CERCLA)</w:t>
      </w:r>
      <w:r w:rsidR="00723BA7" w:rsidRPr="00723BA7">
        <w:rPr>
          <w:rFonts w:ascii="Calibri" w:hAnsi="Calibri" w:cs="Calibri"/>
          <w:sz w:val="22"/>
          <w:szCs w:val="22"/>
        </w:rPr>
        <w:t>, the Resource Conservation and Recovery Act, 42 U.S.C. §§ 6921 – 6939g</w:t>
      </w:r>
      <w:r w:rsidR="00723BA7">
        <w:rPr>
          <w:rFonts w:ascii="Calibri" w:hAnsi="Calibri" w:cs="Calibri"/>
          <w:sz w:val="22"/>
          <w:szCs w:val="22"/>
        </w:rPr>
        <w:t xml:space="preserve"> (RCRA)</w:t>
      </w:r>
      <w:r w:rsidR="00723BA7" w:rsidRPr="00723BA7">
        <w:rPr>
          <w:rFonts w:ascii="Calibri" w:hAnsi="Calibri" w:cs="Calibri"/>
          <w:sz w:val="22"/>
          <w:szCs w:val="22"/>
        </w:rPr>
        <w:t xml:space="preserve">, or </w:t>
      </w:r>
      <w:r w:rsidR="00723BA7">
        <w:rPr>
          <w:rFonts w:ascii="Calibri" w:hAnsi="Calibri" w:cs="Calibri"/>
          <w:sz w:val="22"/>
          <w:szCs w:val="22"/>
        </w:rPr>
        <w:t>some</w:t>
      </w:r>
      <w:r w:rsidR="00723BA7" w:rsidRPr="00723BA7">
        <w:rPr>
          <w:rFonts w:ascii="Calibri" w:hAnsi="Calibri" w:cs="Calibri"/>
          <w:sz w:val="22"/>
          <w:szCs w:val="22"/>
        </w:rPr>
        <w:t xml:space="preserve"> other federal program</w:t>
      </w:r>
      <w:r w:rsidR="00723BA7">
        <w:rPr>
          <w:rStyle w:val="Emphasis"/>
          <w:rFonts w:ascii="Calibri" w:hAnsi="Calibri" w:cs="Calibri"/>
          <w:i w:val="0"/>
          <w:sz w:val="22"/>
          <w:szCs w:val="22"/>
        </w:rPr>
        <w:t xml:space="preserve">.  The regulation of such sites under a federal program does not automatically exclude it from consideration as a potential Brownfield under </w:t>
      </w:r>
      <w:r w:rsidR="00E70964">
        <w:rPr>
          <w:rStyle w:val="Emphasis"/>
          <w:rFonts w:ascii="Calibri" w:hAnsi="Calibri" w:cs="Calibri"/>
          <w:i w:val="0"/>
          <w:sz w:val="22"/>
          <w:szCs w:val="22"/>
        </w:rPr>
        <w:t>the Department’s</w:t>
      </w:r>
      <w:r w:rsidR="00723BA7">
        <w:rPr>
          <w:rStyle w:val="Emphasis"/>
          <w:rFonts w:ascii="Calibri" w:hAnsi="Calibri" w:cs="Calibri"/>
          <w:i w:val="0"/>
          <w:sz w:val="22"/>
          <w:szCs w:val="22"/>
        </w:rPr>
        <w:t xml:space="preserve"> regulation.  In Massachusetts, there are 36 </w:t>
      </w:r>
      <w:r w:rsidR="000E4341">
        <w:rPr>
          <w:rStyle w:val="Emphasis"/>
          <w:rFonts w:ascii="Calibri" w:hAnsi="Calibri" w:cs="Calibri"/>
          <w:i w:val="0"/>
          <w:sz w:val="22"/>
          <w:szCs w:val="22"/>
        </w:rPr>
        <w:t xml:space="preserve">CERCLA </w:t>
      </w:r>
      <w:r w:rsidR="00723BA7">
        <w:rPr>
          <w:rStyle w:val="Emphasis"/>
          <w:rFonts w:ascii="Calibri" w:hAnsi="Calibri" w:cs="Calibri"/>
          <w:i w:val="0"/>
          <w:sz w:val="22"/>
          <w:szCs w:val="22"/>
        </w:rPr>
        <w:t>site</w:t>
      </w:r>
      <w:r w:rsidR="00A82ADC">
        <w:rPr>
          <w:rStyle w:val="Emphasis"/>
          <w:rFonts w:ascii="Calibri" w:hAnsi="Calibri" w:cs="Calibri"/>
          <w:i w:val="0"/>
          <w:sz w:val="22"/>
          <w:szCs w:val="22"/>
        </w:rPr>
        <w:t>s</w:t>
      </w:r>
      <w:r w:rsidR="00723BA7">
        <w:rPr>
          <w:rStyle w:val="Emphasis"/>
          <w:rFonts w:ascii="Calibri" w:hAnsi="Calibri" w:cs="Calibri"/>
          <w:i w:val="0"/>
          <w:sz w:val="22"/>
          <w:szCs w:val="22"/>
        </w:rPr>
        <w:t xml:space="preserve"> listed under the National Priorities List and 46 RCRA sites</w:t>
      </w:r>
      <w:r w:rsidR="0093473A">
        <w:rPr>
          <w:rStyle w:val="Emphasis"/>
          <w:rFonts w:ascii="Calibri" w:hAnsi="Calibri" w:cs="Calibri"/>
          <w:i w:val="0"/>
          <w:sz w:val="22"/>
          <w:szCs w:val="22"/>
        </w:rPr>
        <w:t>.</w:t>
      </w:r>
      <w:r w:rsidR="00A82ADC">
        <w:rPr>
          <w:rStyle w:val="Emphasis"/>
          <w:rFonts w:ascii="Calibri" w:hAnsi="Calibri" w:cs="Calibri"/>
          <w:i w:val="0"/>
          <w:sz w:val="22"/>
          <w:szCs w:val="22"/>
        </w:rPr>
        <w:t xml:space="preserve">  </w:t>
      </w:r>
    </w:p>
    <w:p w:rsidR="00EB7A34" w:rsidRPr="001335A1" w:rsidRDefault="00EB7A34" w:rsidP="00EB7A34">
      <w:pPr>
        <w:ind w:left="360"/>
        <w:rPr>
          <w:rStyle w:val="Emphasis"/>
          <w:rFonts w:ascii="Calibri" w:hAnsi="Calibri" w:cs="Calibri"/>
          <w:i w:val="0"/>
          <w:iCs w:val="0"/>
          <w:sz w:val="22"/>
          <w:szCs w:val="22"/>
        </w:rPr>
      </w:pPr>
    </w:p>
    <w:p w:rsidR="001335A1" w:rsidRPr="001335A1" w:rsidRDefault="001335A1" w:rsidP="001335A1">
      <w:pPr>
        <w:numPr>
          <w:ilvl w:val="0"/>
          <w:numId w:val="17"/>
        </w:numPr>
        <w:rPr>
          <w:rFonts w:ascii="Calibri" w:hAnsi="Calibri" w:cs="Calibri"/>
          <w:b/>
          <w:sz w:val="22"/>
          <w:szCs w:val="22"/>
        </w:rPr>
      </w:pPr>
      <w:r w:rsidRPr="001335A1">
        <w:rPr>
          <w:rFonts w:ascii="Calibri" w:hAnsi="Calibri" w:cs="Calibri"/>
          <w:b/>
          <w:sz w:val="22"/>
          <w:szCs w:val="22"/>
        </w:rPr>
        <w:t xml:space="preserve">The redevelopment or reuse of </w:t>
      </w:r>
      <w:r w:rsidR="000E4341">
        <w:rPr>
          <w:rFonts w:ascii="Calibri" w:hAnsi="Calibri" w:cs="Calibri"/>
          <w:b/>
          <w:sz w:val="22"/>
          <w:szCs w:val="22"/>
        </w:rPr>
        <w:t>property</w:t>
      </w:r>
      <w:r w:rsidR="000E4341" w:rsidRPr="001335A1">
        <w:rPr>
          <w:rFonts w:ascii="Calibri" w:hAnsi="Calibri" w:cs="Calibri"/>
          <w:b/>
          <w:sz w:val="22"/>
          <w:szCs w:val="22"/>
        </w:rPr>
        <w:t xml:space="preserve"> </w:t>
      </w:r>
      <w:r w:rsidRPr="001335A1">
        <w:rPr>
          <w:rFonts w:ascii="Calibri" w:hAnsi="Calibri" w:cs="Calibri"/>
          <w:b/>
          <w:sz w:val="22"/>
          <w:szCs w:val="22"/>
        </w:rPr>
        <w:t xml:space="preserve">is hindered by the presence of oil or hazardous materials, as determined by </w:t>
      </w:r>
      <w:r w:rsidR="00E70964">
        <w:rPr>
          <w:rFonts w:ascii="Calibri" w:hAnsi="Calibri" w:cs="Calibri"/>
          <w:b/>
          <w:sz w:val="22"/>
          <w:szCs w:val="22"/>
        </w:rPr>
        <w:t>the Department</w:t>
      </w:r>
      <w:r w:rsidRPr="001335A1">
        <w:rPr>
          <w:rFonts w:ascii="Calibri" w:hAnsi="Calibri" w:cs="Calibri"/>
          <w:b/>
          <w:sz w:val="22"/>
          <w:szCs w:val="22"/>
        </w:rPr>
        <w:t xml:space="preserve">, in consultation with MassDEP.  </w:t>
      </w:r>
    </w:p>
    <w:p w:rsidR="001335A1" w:rsidRDefault="001335A1" w:rsidP="001335A1">
      <w:pPr>
        <w:rPr>
          <w:rStyle w:val="Emphasis"/>
          <w:rFonts w:ascii="Calibri" w:hAnsi="Calibri" w:cs="Calibri"/>
          <w:i w:val="0"/>
          <w:sz w:val="22"/>
          <w:szCs w:val="22"/>
        </w:rPr>
      </w:pPr>
    </w:p>
    <w:p w:rsidR="001335A1" w:rsidRDefault="00E7493A" w:rsidP="00723BA7">
      <w:pPr>
        <w:ind w:firstLine="360"/>
        <w:rPr>
          <w:rStyle w:val="Emphasis"/>
          <w:rFonts w:ascii="Calibri" w:hAnsi="Calibri" w:cs="Calibri"/>
          <w:i w:val="0"/>
          <w:sz w:val="22"/>
          <w:szCs w:val="22"/>
        </w:rPr>
      </w:pPr>
      <w:r>
        <w:rPr>
          <w:rStyle w:val="Emphasis"/>
          <w:rFonts w:ascii="Calibri" w:hAnsi="Calibri" w:cs="Calibri"/>
          <w:i w:val="0"/>
          <w:sz w:val="22"/>
          <w:szCs w:val="22"/>
        </w:rPr>
        <w:t xml:space="preserve">The presence of oil or hazardous materials that </w:t>
      </w:r>
      <w:r w:rsidR="0051512C" w:rsidRPr="0051512C">
        <w:rPr>
          <w:rStyle w:val="Emphasis"/>
          <w:rFonts w:ascii="Calibri" w:hAnsi="Calibri" w:cs="Calibri"/>
          <w:sz w:val="22"/>
          <w:szCs w:val="22"/>
        </w:rPr>
        <w:t>hinders</w:t>
      </w:r>
      <w:r w:rsidR="0051512C">
        <w:rPr>
          <w:rStyle w:val="Emphasis"/>
          <w:rFonts w:ascii="Calibri" w:hAnsi="Calibri" w:cs="Calibri"/>
          <w:i w:val="0"/>
          <w:sz w:val="22"/>
          <w:szCs w:val="22"/>
        </w:rPr>
        <w:t xml:space="preserve"> </w:t>
      </w:r>
      <w:r>
        <w:rPr>
          <w:rStyle w:val="Emphasis"/>
          <w:rFonts w:ascii="Calibri" w:hAnsi="Calibri" w:cs="Calibri"/>
          <w:i w:val="0"/>
          <w:sz w:val="22"/>
          <w:szCs w:val="22"/>
        </w:rPr>
        <w:t>redevelopment or reuse of property</w:t>
      </w:r>
      <w:r w:rsidR="001335A1">
        <w:rPr>
          <w:rStyle w:val="Emphasis"/>
          <w:rFonts w:ascii="Calibri" w:hAnsi="Calibri" w:cs="Calibri"/>
          <w:i w:val="0"/>
          <w:sz w:val="22"/>
          <w:szCs w:val="22"/>
        </w:rPr>
        <w:t xml:space="preserve"> was inherent to the crafting of the </w:t>
      </w:r>
      <w:r w:rsidR="00E70964">
        <w:rPr>
          <w:rStyle w:val="Emphasis"/>
          <w:rFonts w:ascii="Calibri" w:hAnsi="Calibri" w:cs="Calibri"/>
          <w:i w:val="0"/>
          <w:sz w:val="22"/>
          <w:szCs w:val="22"/>
        </w:rPr>
        <w:t>Department’s</w:t>
      </w:r>
      <w:r w:rsidR="00723BA7">
        <w:rPr>
          <w:rStyle w:val="Emphasis"/>
          <w:rFonts w:ascii="Calibri" w:hAnsi="Calibri" w:cs="Calibri"/>
          <w:i w:val="0"/>
          <w:sz w:val="22"/>
          <w:szCs w:val="22"/>
        </w:rPr>
        <w:t xml:space="preserve"> definition of Brownfield</w:t>
      </w:r>
      <w:r w:rsidR="0051512C">
        <w:rPr>
          <w:rStyle w:val="Emphasis"/>
          <w:rFonts w:ascii="Calibri" w:hAnsi="Calibri" w:cs="Calibri"/>
          <w:i w:val="0"/>
          <w:sz w:val="22"/>
          <w:szCs w:val="22"/>
        </w:rPr>
        <w:t xml:space="preserve"> and the associated higher level</w:t>
      </w:r>
      <w:r w:rsidR="00E70964">
        <w:rPr>
          <w:rStyle w:val="Emphasis"/>
          <w:rFonts w:ascii="Calibri" w:hAnsi="Calibri" w:cs="Calibri"/>
          <w:i w:val="0"/>
          <w:sz w:val="22"/>
          <w:szCs w:val="22"/>
        </w:rPr>
        <w:t xml:space="preserve"> of incentive</w:t>
      </w:r>
      <w:r w:rsidR="001335A1">
        <w:rPr>
          <w:rStyle w:val="Emphasis"/>
          <w:rFonts w:ascii="Calibri" w:hAnsi="Calibri" w:cs="Calibri"/>
          <w:i w:val="0"/>
          <w:sz w:val="22"/>
          <w:szCs w:val="22"/>
        </w:rPr>
        <w:t xml:space="preserve">.  </w:t>
      </w:r>
      <w:r w:rsidR="0051512C">
        <w:rPr>
          <w:rStyle w:val="Emphasis"/>
          <w:rFonts w:ascii="Calibri" w:hAnsi="Calibri" w:cs="Calibri"/>
          <w:i w:val="0"/>
          <w:sz w:val="22"/>
          <w:szCs w:val="22"/>
        </w:rPr>
        <w:t>The incentives are</w:t>
      </w:r>
      <w:r w:rsidR="001335A1">
        <w:rPr>
          <w:rStyle w:val="Emphasis"/>
          <w:rFonts w:ascii="Calibri" w:hAnsi="Calibri" w:cs="Calibri"/>
          <w:i w:val="0"/>
          <w:sz w:val="22"/>
          <w:szCs w:val="22"/>
        </w:rPr>
        <w:t xml:space="preserve"> intended to </w:t>
      </w:r>
      <w:r w:rsidR="0051512C">
        <w:rPr>
          <w:rStyle w:val="Emphasis"/>
          <w:rFonts w:ascii="Calibri" w:hAnsi="Calibri" w:cs="Calibri"/>
          <w:i w:val="0"/>
          <w:sz w:val="22"/>
          <w:szCs w:val="22"/>
        </w:rPr>
        <w:t>recognize</w:t>
      </w:r>
      <w:r w:rsidR="00A82ADC">
        <w:rPr>
          <w:rStyle w:val="Emphasis"/>
          <w:rFonts w:ascii="Calibri" w:hAnsi="Calibri" w:cs="Calibri"/>
          <w:i w:val="0"/>
          <w:sz w:val="22"/>
          <w:szCs w:val="22"/>
        </w:rPr>
        <w:t>, and help overcome,</w:t>
      </w:r>
      <w:r w:rsidR="00723BA7">
        <w:rPr>
          <w:rStyle w:val="Emphasis"/>
          <w:rFonts w:ascii="Calibri" w:hAnsi="Calibri" w:cs="Calibri"/>
          <w:i w:val="0"/>
          <w:sz w:val="22"/>
          <w:szCs w:val="22"/>
        </w:rPr>
        <w:t xml:space="preserve"> </w:t>
      </w:r>
      <w:r w:rsidR="00A82ADC">
        <w:rPr>
          <w:rStyle w:val="Emphasis"/>
          <w:rFonts w:ascii="Calibri" w:hAnsi="Calibri" w:cs="Calibri"/>
          <w:i w:val="0"/>
          <w:sz w:val="22"/>
          <w:szCs w:val="22"/>
        </w:rPr>
        <w:t>the disincentives to appropriate reuse or redevelopment</w:t>
      </w:r>
      <w:r w:rsidR="001335A1">
        <w:rPr>
          <w:rStyle w:val="Emphasis"/>
          <w:rFonts w:ascii="Calibri" w:hAnsi="Calibri" w:cs="Calibri"/>
          <w:i w:val="0"/>
          <w:sz w:val="22"/>
          <w:szCs w:val="22"/>
        </w:rPr>
        <w:t xml:space="preserve"> </w:t>
      </w:r>
      <w:r w:rsidR="00A82ADC">
        <w:rPr>
          <w:rStyle w:val="Emphasis"/>
          <w:rFonts w:ascii="Calibri" w:hAnsi="Calibri" w:cs="Calibri"/>
          <w:i w:val="0"/>
          <w:sz w:val="22"/>
          <w:szCs w:val="22"/>
        </w:rPr>
        <w:t xml:space="preserve">that may result from the </w:t>
      </w:r>
      <w:r w:rsidR="001335A1">
        <w:rPr>
          <w:rStyle w:val="Emphasis"/>
          <w:rFonts w:ascii="Calibri" w:hAnsi="Calibri" w:cs="Calibri"/>
          <w:i w:val="0"/>
          <w:sz w:val="22"/>
          <w:szCs w:val="22"/>
        </w:rPr>
        <w:t xml:space="preserve">presence of oil </w:t>
      </w:r>
      <w:r w:rsidR="00723BA7">
        <w:rPr>
          <w:rStyle w:val="Emphasis"/>
          <w:rFonts w:ascii="Calibri" w:hAnsi="Calibri" w:cs="Calibri"/>
          <w:i w:val="0"/>
          <w:sz w:val="22"/>
          <w:szCs w:val="22"/>
        </w:rPr>
        <w:t>or</w:t>
      </w:r>
      <w:r w:rsidR="001335A1">
        <w:rPr>
          <w:rStyle w:val="Emphasis"/>
          <w:rFonts w:ascii="Calibri" w:hAnsi="Calibri" w:cs="Calibri"/>
          <w:i w:val="0"/>
          <w:sz w:val="22"/>
          <w:szCs w:val="22"/>
        </w:rPr>
        <w:t xml:space="preserve"> hazardous materials in environmental media</w:t>
      </w:r>
      <w:r w:rsidR="00BD4C42">
        <w:rPr>
          <w:rStyle w:val="Emphasis"/>
          <w:rFonts w:ascii="Calibri" w:hAnsi="Calibri" w:cs="Calibri"/>
          <w:i w:val="0"/>
          <w:sz w:val="22"/>
          <w:szCs w:val="22"/>
        </w:rPr>
        <w:t>.</w:t>
      </w:r>
      <w:r w:rsidR="001335A1">
        <w:rPr>
          <w:rStyle w:val="Emphasis"/>
          <w:rFonts w:ascii="Calibri" w:hAnsi="Calibri" w:cs="Calibri"/>
          <w:i w:val="0"/>
          <w:sz w:val="22"/>
          <w:szCs w:val="22"/>
        </w:rPr>
        <w:t xml:space="preserve">  </w:t>
      </w:r>
    </w:p>
    <w:p w:rsidR="0051512C" w:rsidRDefault="0051512C" w:rsidP="00723BA7">
      <w:pPr>
        <w:ind w:firstLine="360"/>
        <w:rPr>
          <w:rStyle w:val="Emphasis"/>
          <w:rFonts w:ascii="Calibri" w:hAnsi="Calibri" w:cs="Calibri"/>
          <w:i w:val="0"/>
          <w:sz w:val="22"/>
          <w:szCs w:val="22"/>
        </w:rPr>
      </w:pPr>
    </w:p>
    <w:p w:rsidR="0051512C" w:rsidRDefault="0051512C" w:rsidP="0051512C">
      <w:pPr>
        <w:pStyle w:val="NormalWeb"/>
        <w:spacing w:before="2" w:after="2"/>
        <w:ind w:firstLine="360"/>
        <w:rPr>
          <w:rFonts w:ascii="Calibri" w:hAnsi="Calibri" w:cs="Calibri"/>
          <w:bCs/>
          <w:sz w:val="22"/>
          <w:szCs w:val="22"/>
        </w:rPr>
      </w:pPr>
      <w:r>
        <w:rPr>
          <w:rFonts w:ascii="Calibri" w:hAnsi="Calibri" w:cs="Calibri"/>
          <w:sz w:val="22"/>
          <w:szCs w:val="22"/>
        </w:rPr>
        <w:lastRenderedPageBreak/>
        <w:t xml:space="preserve">The following are common activities or expenses </w:t>
      </w:r>
      <w:r w:rsidR="00BD4C42">
        <w:rPr>
          <w:rFonts w:ascii="Calibri" w:hAnsi="Calibri" w:cs="Calibri"/>
          <w:sz w:val="22"/>
          <w:szCs w:val="22"/>
        </w:rPr>
        <w:t>that could hinder redevelopment or reuse of</w:t>
      </w:r>
      <w:r w:rsidR="003B67A3">
        <w:rPr>
          <w:rFonts w:ascii="Calibri" w:hAnsi="Calibri" w:cs="Calibri"/>
          <w:sz w:val="22"/>
          <w:szCs w:val="22"/>
        </w:rPr>
        <w:t xml:space="preserve"> </w:t>
      </w:r>
      <w:r>
        <w:rPr>
          <w:rFonts w:ascii="Calibri" w:hAnsi="Calibri" w:cs="Calibri"/>
          <w:sz w:val="22"/>
          <w:szCs w:val="22"/>
        </w:rPr>
        <w:t xml:space="preserve">properties </w:t>
      </w:r>
      <w:r w:rsidR="00BD4C42">
        <w:rPr>
          <w:rFonts w:ascii="Calibri" w:hAnsi="Calibri" w:cs="Calibri"/>
          <w:sz w:val="22"/>
          <w:szCs w:val="22"/>
        </w:rPr>
        <w:t>at which oil or hazardous materials are present</w:t>
      </w:r>
      <w:r w:rsidR="00863868">
        <w:rPr>
          <w:rFonts w:ascii="Calibri" w:hAnsi="Calibri" w:cs="Calibri"/>
          <w:sz w:val="22"/>
          <w:szCs w:val="22"/>
        </w:rPr>
        <w:t>.  These activities and expenses could arise predevelopment, or during the development phase</w:t>
      </w:r>
      <w:r w:rsidR="00BD4C42">
        <w:rPr>
          <w:rFonts w:ascii="Calibri" w:hAnsi="Calibri" w:cs="Calibri"/>
          <w:sz w:val="22"/>
          <w:szCs w:val="22"/>
        </w:rPr>
        <w:t>.  The following list i</w:t>
      </w:r>
      <w:r w:rsidR="00E70964">
        <w:rPr>
          <w:rFonts w:ascii="Calibri" w:hAnsi="Calibri" w:cs="Calibri"/>
          <w:sz w:val="22"/>
          <w:szCs w:val="22"/>
        </w:rPr>
        <w:t>s not intended to be exhaustive:</w:t>
      </w:r>
    </w:p>
    <w:p w:rsidR="0051512C" w:rsidRDefault="0051512C" w:rsidP="0051512C">
      <w:pPr>
        <w:rPr>
          <w:rFonts w:ascii="Calibri" w:hAnsi="Calibri" w:cs="Calibri"/>
          <w:color w:val="000000"/>
          <w:sz w:val="22"/>
          <w:szCs w:val="22"/>
        </w:rPr>
      </w:pPr>
    </w:p>
    <w:p w:rsidR="00863868" w:rsidRDefault="0051512C" w:rsidP="0051512C">
      <w:pPr>
        <w:numPr>
          <w:ilvl w:val="0"/>
          <w:numId w:val="12"/>
        </w:numPr>
        <w:rPr>
          <w:rFonts w:ascii="Calibri" w:hAnsi="Calibri" w:cs="Calibri"/>
          <w:color w:val="000000"/>
          <w:sz w:val="22"/>
          <w:szCs w:val="22"/>
        </w:rPr>
      </w:pPr>
      <w:r w:rsidRPr="00AC1085">
        <w:rPr>
          <w:rFonts w:ascii="Calibri" w:hAnsi="Calibri" w:cs="Calibri"/>
          <w:b/>
          <w:color w:val="000000"/>
          <w:sz w:val="22"/>
          <w:szCs w:val="22"/>
        </w:rPr>
        <w:t>Pre</w:t>
      </w:r>
      <w:r>
        <w:rPr>
          <w:rFonts w:ascii="Calibri" w:hAnsi="Calibri" w:cs="Calibri"/>
          <w:b/>
          <w:color w:val="000000"/>
          <w:sz w:val="22"/>
          <w:szCs w:val="22"/>
        </w:rPr>
        <w:t>de</w:t>
      </w:r>
      <w:r w:rsidRPr="00AC1085">
        <w:rPr>
          <w:rFonts w:ascii="Calibri" w:hAnsi="Calibri" w:cs="Calibri"/>
          <w:b/>
          <w:color w:val="000000"/>
          <w:sz w:val="22"/>
          <w:szCs w:val="22"/>
        </w:rPr>
        <w:t>velopment:</w:t>
      </w:r>
      <w:r w:rsidRPr="00CC3743">
        <w:rPr>
          <w:rFonts w:ascii="Calibri" w:hAnsi="Calibri" w:cs="Calibri"/>
          <w:color w:val="000000"/>
          <w:sz w:val="22"/>
          <w:szCs w:val="22"/>
        </w:rPr>
        <w:t xml:space="preserve"> </w:t>
      </w:r>
    </w:p>
    <w:p w:rsidR="0051512C" w:rsidRPr="00CC3743" w:rsidRDefault="0051512C" w:rsidP="00863868">
      <w:pPr>
        <w:numPr>
          <w:ilvl w:val="1"/>
          <w:numId w:val="12"/>
        </w:numPr>
        <w:rPr>
          <w:rFonts w:ascii="Calibri" w:hAnsi="Calibri" w:cs="Calibri"/>
          <w:color w:val="000000"/>
          <w:sz w:val="22"/>
          <w:szCs w:val="22"/>
        </w:rPr>
      </w:pPr>
      <w:r>
        <w:rPr>
          <w:rFonts w:ascii="Calibri" w:hAnsi="Calibri" w:cs="Calibri"/>
          <w:color w:val="000000"/>
          <w:sz w:val="22"/>
          <w:szCs w:val="22"/>
        </w:rPr>
        <w:t>Agreements to manage liability, and other risk management</w:t>
      </w:r>
      <w:r w:rsidR="00BD4C42">
        <w:rPr>
          <w:rFonts w:ascii="Calibri" w:hAnsi="Calibri" w:cs="Calibri"/>
          <w:color w:val="000000"/>
          <w:sz w:val="22"/>
          <w:szCs w:val="22"/>
        </w:rPr>
        <w:t xml:space="preserve"> activities;</w:t>
      </w:r>
    </w:p>
    <w:p w:rsidR="00863868" w:rsidRDefault="00863868" w:rsidP="00863868">
      <w:pPr>
        <w:numPr>
          <w:ilvl w:val="1"/>
          <w:numId w:val="12"/>
        </w:numPr>
        <w:rPr>
          <w:rFonts w:ascii="Calibri" w:hAnsi="Calibri" w:cs="Calibri"/>
          <w:color w:val="000000"/>
          <w:sz w:val="22"/>
          <w:szCs w:val="22"/>
        </w:rPr>
      </w:pPr>
      <w:r>
        <w:rPr>
          <w:rFonts w:ascii="Calibri" w:hAnsi="Calibri" w:cs="Calibri"/>
          <w:color w:val="000000"/>
          <w:sz w:val="22"/>
          <w:szCs w:val="22"/>
        </w:rPr>
        <w:t xml:space="preserve">Review of </w:t>
      </w:r>
      <w:r w:rsidR="003951CA">
        <w:rPr>
          <w:rFonts w:ascii="Calibri" w:hAnsi="Calibri" w:cs="Calibri"/>
          <w:color w:val="000000"/>
          <w:sz w:val="22"/>
          <w:szCs w:val="22"/>
        </w:rPr>
        <w:t xml:space="preserve">status of </w:t>
      </w:r>
      <w:r>
        <w:rPr>
          <w:rFonts w:ascii="Calibri" w:hAnsi="Calibri" w:cs="Calibri"/>
          <w:color w:val="000000"/>
          <w:sz w:val="22"/>
          <w:szCs w:val="22"/>
        </w:rPr>
        <w:t>contamination</w:t>
      </w:r>
      <w:r w:rsidR="00BD4C42">
        <w:rPr>
          <w:rFonts w:ascii="Calibri" w:hAnsi="Calibri" w:cs="Calibri"/>
          <w:color w:val="000000"/>
          <w:sz w:val="22"/>
          <w:szCs w:val="22"/>
        </w:rPr>
        <w:t>;</w:t>
      </w:r>
      <w:r w:rsidR="0051512C" w:rsidRPr="00CC3743">
        <w:rPr>
          <w:rFonts w:ascii="Calibri" w:hAnsi="Calibri" w:cs="Calibri"/>
          <w:color w:val="000000"/>
          <w:sz w:val="22"/>
          <w:szCs w:val="22"/>
        </w:rPr>
        <w:t xml:space="preserve">  </w:t>
      </w:r>
    </w:p>
    <w:p w:rsidR="00BD4C42" w:rsidRDefault="00863868" w:rsidP="00863868">
      <w:pPr>
        <w:numPr>
          <w:ilvl w:val="1"/>
          <w:numId w:val="12"/>
        </w:numPr>
        <w:rPr>
          <w:rFonts w:ascii="Calibri" w:hAnsi="Calibri" w:cs="Calibri"/>
          <w:color w:val="000000"/>
          <w:sz w:val="22"/>
          <w:szCs w:val="22"/>
        </w:rPr>
      </w:pPr>
      <w:r>
        <w:rPr>
          <w:rFonts w:ascii="Calibri" w:hAnsi="Calibri" w:cs="Calibri"/>
          <w:color w:val="000000"/>
          <w:sz w:val="22"/>
          <w:szCs w:val="22"/>
        </w:rPr>
        <w:t>Review of</w:t>
      </w:r>
      <w:r w:rsidR="0051512C">
        <w:rPr>
          <w:rFonts w:ascii="Calibri" w:hAnsi="Calibri" w:cs="Calibri"/>
          <w:color w:val="000000"/>
          <w:sz w:val="22"/>
          <w:szCs w:val="22"/>
        </w:rPr>
        <w:t xml:space="preserve"> environmental restrictions</w:t>
      </w:r>
      <w:r w:rsidR="00BD4C42">
        <w:rPr>
          <w:rFonts w:ascii="Calibri" w:hAnsi="Calibri" w:cs="Calibri"/>
          <w:color w:val="000000"/>
          <w:sz w:val="22"/>
          <w:szCs w:val="22"/>
        </w:rPr>
        <w:t>;</w:t>
      </w:r>
      <w:r w:rsidR="00AD694C">
        <w:rPr>
          <w:rFonts w:ascii="Calibri" w:hAnsi="Calibri" w:cs="Calibri"/>
          <w:color w:val="000000"/>
          <w:sz w:val="22"/>
          <w:szCs w:val="22"/>
        </w:rPr>
        <w:t xml:space="preserve"> and</w:t>
      </w:r>
    </w:p>
    <w:p w:rsidR="0051512C" w:rsidRDefault="00BD4C42" w:rsidP="00863868">
      <w:pPr>
        <w:numPr>
          <w:ilvl w:val="1"/>
          <w:numId w:val="12"/>
        </w:numPr>
        <w:rPr>
          <w:rFonts w:ascii="Calibri" w:hAnsi="Calibri" w:cs="Calibri"/>
          <w:color w:val="000000"/>
          <w:sz w:val="22"/>
          <w:szCs w:val="22"/>
        </w:rPr>
      </w:pPr>
      <w:r>
        <w:rPr>
          <w:rFonts w:ascii="Calibri" w:hAnsi="Calibri" w:cs="Calibri"/>
          <w:color w:val="000000"/>
          <w:sz w:val="22"/>
          <w:szCs w:val="22"/>
        </w:rPr>
        <w:t>Other environmental due diligence.</w:t>
      </w:r>
      <w:r w:rsidR="0051512C">
        <w:rPr>
          <w:rFonts w:ascii="Calibri" w:hAnsi="Calibri" w:cs="Calibri"/>
          <w:color w:val="000000"/>
          <w:sz w:val="22"/>
          <w:szCs w:val="22"/>
        </w:rPr>
        <w:t xml:space="preserve">  </w:t>
      </w:r>
    </w:p>
    <w:p w:rsidR="00863868" w:rsidRPr="00CC3743" w:rsidRDefault="00863868" w:rsidP="00863868">
      <w:pPr>
        <w:ind w:left="1440"/>
        <w:rPr>
          <w:rFonts w:ascii="Calibri" w:hAnsi="Calibri" w:cs="Calibri"/>
          <w:color w:val="000000"/>
          <w:sz w:val="22"/>
          <w:szCs w:val="22"/>
        </w:rPr>
      </w:pPr>
    </w:p>
    <w:p w:rsidR="00863868" w:rsidRDefault="0051512C" w:rsidP="0051512C">
      <w:pPr>
        <w:numPr>
          <w:ilvl w:val="0"/>
          <w:numId w:val="12"/>
        </w:numPr>
        <w:rPr>
          <w:rFonts w:ascii="Calibri" w:hAnsi="Calibri" w:cs="Calibri"/>
          <w:color w:val="000000"/>
          <w:sz w:val="22"/>
          <w:szCs w:val="22"/>
        </w:rPr>
      </w:pPr>
      <w:r w:rsidRPr="00AC1085">
        <w:rPr>
          <w:rFonts w:ascii="Calibri" w:hAnsi="Calibri" w:cs="Calibri"/>
          <w:b/>
          <w:color w:val="000000"/>
          <w:sz w:val="22"/>
          <w:szCs w:val="22"/>
        </w:rPr>
        <w:t>Development:</w:t>
      </w:r>
      <w:r w:rsidRPr="00CC3743">
        <w:rPr>
          <w:rFonts w:ascii="Calibri" w:hAnsi="Calibri" w:cs="Calibri"/>
          <w:color w:val="000000"/>
          <w:sz w:val="22"/>
          <w:szCs w:val="22"/>
        </w:rPr>
        <w:t xml:space="preserve"> </w:t>
      </w:r>
    </w:p>
    <w:p w:rsidR="00863868" w:rsidRDefault="00863868" w:rsidP="00863868">
      <w:pPr>
        <w:numPr>
          <w:ilvl w:val="1"/>
          <w:numId w:val="12"/>
        </w:numPr>
        <w:rPr>
          <w:rFonts w:ascii="Calibri" w:hAnsi="Calibri" w:cs="Calibri"/>
          <w:color w:val="000000"/>
          <w:sz w:val="22"/>
          <w:szCs w:val="22"/>
        </w:rPr>
      </w:pPr>
      <w:r>
        <w:rPr>
          <w:rFonts w:ascii="Calibri" w:hAnsi="Calibri" w:cs="Calibri"/>
          <w:color w:val="000000"/>
          <w:sz w:val="22"/>
          <w:szCs w:val="22"/>
        </w:rPr>
        <w:t>Cleanup costs</w:t>
      </w:r>
      <w:r w:rsidR="00BD4C42">
        <w:rPr>
          <w:rFonts w:ascii="Calibri" w:hAnsi="Calibri" w:cs="Calibri"/>
          <w:color w:val="000000"/>
          <w:sz w:val="22"/>
          <w:szCs w:val="22"/>
        </w:rPr>
        <w:t>;</w:t>
      </w:r>
    </w:p>
    <w:p w:rsidR="0051512C" w:rsidRDefault="00863868" w:rsidP="00863868">
      <w:pPr>
        <w:numPr>
          <w:ilvl w:val="1"/>
          <w:numId w:val="12"/>
        </w:numPr>
        <w:rPr>
          <w:rFonts w:ascii="Calibri" w:hAnsi="Calibri" w:cs="Calibri"/>
          <w:color w:val="000000"/>
          <w:sz w:val="22"/>
          <w:szCs w:val="22"/>
        </w:rPr>
      </w:pPr>
      <w:r>
        <w:rPr>
          <w:rFonts w:ascii="Calibri" w:hAnsi="Calibri" w:cs="Calibri"/>
          <w:color w:val="000000"/>
          <w:sz w:val="22"/>
          <w:szCs w:val="22"/>
        </w:rPr>
        <w:t>Costs associate</w:t>
      </w:r>
      <w:r w:rsidR="00325577">
        <w:rPr>
          <w:rFonts w:ascii="Calibri" w:hAnsi="Calibri" w:cs="Calibri"/>
          <w:color w:val="000000"/>
          <w:sz w:val="22"/>
          <w:szCs w:val="22"/>
        </w:rPr>
        <w:t>d</w:t>
      </w:r>
      <w:r>
        <w:rPr>
          <w:rFonts w:ascii="Calibri" w:hAnsi="Calibri" w:cs="Calibri"/>
          <w:color w:val="000000"/>
          <w:sz w:val="22"/>
          <w:szCs w:val="22"/>
        </w:rPr>
        <w:t xml:space="preserve"> with compliance with environmental restrictions, such as i</w:t>
      </w:r>
      <w:r w:rsidR="0051512C" w:rsidRPr="00CC3743">
        <w:rPr>
          <w:rFonts w:ascii="Calibri" w:hAnsi="Calibri" w:cs="Calibri"/>
          <w:color w:val="000000"/>
          <w:sz w:val="22"/>
          <w:szCs w:val="22"/>
        </w:rPr>
        <w:t>nstallation of ballasted systems and raised conduits (to avoid digging)</w:t>
      </w:r>
      <w:r w:rsidR="00BD4C42">
        <w:rPr>
          <w:rFonts w:ascii="Calibri" w:hAnsi="Calibri" w:cs="Calibri"/>
          <w:color w:val="000000"/>
          <w:sz w:val="22"/>
          <w:szCs w:val="22"/>
        </w:rPr>
        <w:t>;</w:t>
      </w:r>
      <w:r w:rsidR="00AD694C">
        <w:rPr>
          <w:rFonts w:ascii="Calibri" w:hAnsi="Calibri" w:cs="Calibri"/>
          <w:color w:val="000000"/>
          <w:sz w:val="22"/>
          <w:szCs w:val="22"/>
        </w:rPr>
        <w:t xml:space="preserve"> and</w:t>
      </w:r>
      <w:r w:rsidR="0051512C" w:rsidRPr="00CC3743">
        <w:rPr>
          <w:rFonts w:ascii="Calibri" w:hAnsi="Calibri" w:cs="Calibri"/>
          <w:color w:val="000000"/>
          <w:sz w:val="22"/>
          <w:szCs w:val="22"/>
        </w:rPr>
        <w:t xml:space="preserve">  </w:t>
      </w:r>
    </w:p>
    <w:p w:rsidR="00863868" w:rsidRDefault="00863868" w:rsidP="00863868">
      <w:pPr>
        <w:numPr>
          <w:ilvl w:val="1"/>
          <w:numId w:val="12"/>
        </w:numPr>
        <w:rPr>
          <w:rFonts w:ascii="Calibri" w:hAnsi="Calibri" w:cs="Calibri"/>
          <w:color w:val="000000"/>
          <w:sz w:val="22"/>
          <w:szCs w:val="22"/>
        </w:rPr>
      </w:pPr>
      <w:r>
        <w:rPr>
          <w:rFonts w:ascii="Calibri" w:hAnsi="Calibri" w:cs="Calibri"/>
          <w:color w:val="000000"/>
          <w:sz w:val="22"/>
          <w:szCs w:val="22"/>
        </w:rPr>
        <w:t>Soil management.</w:t>
      </w:r>
    </w:p>
    <w:p w:rsidR="00863868" w:rsidRDefault="00863868" w:rsidP="00863868">
      <w:pPr>
        <w:ind w:firstLine="360"/>
        <w:rPr>
          <w:rFonts w:ascii="Calibri" w:hAnsi="Calibri" w:cs="Calibri"/>
          <w:color w:val="000000"/>
          <w:sz w:val="22"/>
          <w:szCs w:val="22"/>
        </w:rPr>
      </w:pPr>
    </w:p>
    <w:p w:rsidR="003B2A40" w:rsidRDefault="00E70964" w:rsidP="00AD4FBD">
      <w:pPr>
        <w:ind w:firstLine="360"/>
        <w:rPr>
          <w:rStyle w:val="Emphasis"/>
          <w:rFonts w:ascii="Calibri" w:hAnsi="Calibri" w:cs="Calibri"/>
          <w:i w:val="0"/>
          <w:sz w:val="22"/>
          <w:szCs w:val="22"/>
        </w:rPr>
      </w:pPr>
      <w:r>
        <w:rPr>
          <w:rFonts w:ascii="Calibri" w:hAnsi="Calibri" w:cs="Calibri"/>
          <w:iCs/>
          <w:sz w:val="22"/>
          <w:szCs w:val="22"/>
        </w:rPr>
        <w:t>The Department</w:t>
      </w:r>
      <w:r w:rsidR="001C4B30">
        <w:rPr>
          <w:rFonts w:ascii="Calibri" w:hAnsi="Calibri" w:cs="Calibri"/>
          <w:iCs/>
          <w:sz w:val="22"/>
          <w:szCs w:val="22"/>
        </w:rPr>
        <w:t xml:space="preserve">, in consultation with MassDEP, reads the definition of Brownfield broadly to recognize a wide array of costs and other disincentives associated with the presence of oil or hazardous materials.  </w:t>
      </w:r>
      <w:r w:rsidR="003B2A40">
        <w:rPr>
          <w:rStyle w:val="Emphasis"/>
          <w:rFonts w:ascii="Calibri" w:hAnsi="Calibri" w:cs="Calibri"/>
          <w:i w:val="0"/>
          <w:sz w:val="22"/>
          <w:szCs w:val="22"/>
        </w:rPr>
        <w:t xml:space="preserve">Generally, “open” sites, or sites that have not reached a permanent solution under the MCP, </w:t>
      </w:r>
      <w:r w:rsidR="003B2A40" w:rsidRPr="00C169DE">
        <w:rPr>
          <w:rStyle w:val="Emphasis"/>
          <w:rFonts w:ascii="Calibri" w:hAnsi="Calibri" w:cs="Calibri"/>
          <w:i w:val="0"/>
          <w:sz w:val="22"/>
          <w:szCs w:val="22"/>
        </w:rPr>
        <w:t xml:space="preserve">are </w:t>
      </w:r>
      <w:r w:rsidR="003B2A40">
        <w:rPr>
          <w:rStyle w:val="Emphasis"/>
          <w:rFonts w:ascii="Calibri" w:hAnsi="Calibri" w:cs="Calibri"/>
          <w:i w:val="0"/>
          <w:sz w:val="22"/>
          <w:szCs w:val="22"/>
        </w:rPr>
        <w:t xml:space="preserve">eligible for consideration as a Brownfield, assuming cleanup costs and other issues arising out of the presence of oil or hazardous materials are a real hindrance to reuse or redevelopment. “Closed” sites may, in some circumstances, be considered Brownfields.  For example, environmental restrictions or activity and use limitations (AULs) may hinder numerous forms of development, making the property a good candidate for </w:t>
      </w:r>
      <w:r w:rsidR="004F1AE0">
        <w:rPr>
          <w:rStyle w:val="Emphasis"/>
          <w:rFonts w:ascii="Calibri" w:hAnsi="Calibri" w:cs="Calibri"/>
          <w:i w:val="0"/>
          <w:sz w:val="22"/>
          <w:szCs w:val="22"/>
        </w:rPr>
        <w:t>solar development</w:t>
      </w:r>
      <w:r w:rsidR="003B2A40">
        <w:rPr>
          <w:rStyle w:val="Emphasis"/>
          <w:rFonts w:ascii="Calibri" w:hAnsi="Calibri" w:cs="Calibri"/>
          <w:i w:val="0"/>
          <w:sz w:val="22"/>
          <w:szCs w:val="22"/>
        </w:rPr>
        <w:t>.  Even sites without AULs, but cleaned up to a level of no significant risk and/or for unrestricted use, may in some circumstances be burdened with material soil management or other material disincentives that hinder future development.</w:t>
      </w:r>
    </w:p>
    <w:p w:rsidR="003B2A40" w:rsidRDefault="003B2A40" w:rsidP="00AD4FBD">
      <w:pPr>
        <w:ind w:firstLine="360"/>
        <w:rPr>
          <w:rStyle w:val="Emphasis"/>
          <w:rFonts w:ascii="Calibri" w:hAnsi="Calibri" w:cs="Calibri"/>
          <w:i w:val="0"/>
          <w:sz w:val="22"/>
          <w:szCs w:val="22"/>
        </w:rPr>
      </w:pPr>
    </w:p>
    <w:p w:rsidR="001C4B30" w:rsidRDefault="001C4B30" w:rsidP="00AD4FBD">
      <w:pPr>
        <w:ind w:firstLine="360"/>
        <w:rPr>
          <w:rFonts w:ascii="Calibri" w:hAnsi="Calibri" w:cs="Calibri"/>
          <w:iCs/>
          <w:sz w:val="22"/>
          <w:szCs w:val="22"/>
        </w:rPr>
      </w:pPr>
      <w:r>
        <w:rPr>
          <w:rFonts w:ascii="Calibri" w:hAnsi="Calibri" w:cs="Calibri"/>
          <w:iCs/>
          <w:sz w:val="22"/>
          <w:szCs w:val="22"/>
        </w:rPr>
        <w:t xml:space="preserve">However, sites may not qualify where the presence of contamination, or the costs and other disincentives associated that contamination, are merely speculative or are </w:t>
      </w:r>
      <w:r>
        <w:rPr>
          <w:rFonts w:ascii="Calibri" w:hAnsi="Calibri" w:cs="Calibri"/>
          <w:i/>
          <w:iCs/>
          <w:sz w:val="22"/>
          <w:szCs w:val="22"/>
        </w:rPr>
        <w:t>de minimis</w:t>
      </w:r>
      <w:r>
        <w:rPr>
          <w:rFonts w:ascii="Calibri" w:hAnsi="Calibri" w:cs="Calibri"/>
          <w:iCs/>
          <w:sz w:val="22"/>
          <w:szCs w:val="22"/>
        </w:rPr>
        <w:t xml:space="preserve"> in comparison to the overall development project, or where the presence of oil or hazardous materials does not otherwise reasonably hinder reuse or redevelopment.</w:t>
      </w:r>
      <w:r w:rsidR="003B2A40">
        <w:rPr>
          <w:rStyle w:val="Emphasis"/>
          <w:rFonts w:ascii="Calibri" w:hAnsi="Calibri" w:cs="Calibri"/>
          <w:i w:val="0"/>
          <w:sz w:val="22"/>
          <w:szCs w:val="22"/>
        </w:rPr>
        <w:t xml:space="preserve"> Sites cleaned up to background are unlikely to be considered a Brownfield.</w:t>
      </w:r>
    </w:p>
    <w:p w:rsidR="002F393E" w:rsidRPr="00B2769E" w:rsidRDefault="002F393E" w:rsidP="00B2769E">
      <w:pPr>
        <w:rPr>
          <w:rFonts w:ascii="Calibri" w:hAnsi="Calibri" w:cs="Calibri"/>
          <w:iCs/>
          <w:sz w:val="22"/>
          <w:szCs w:val="22"/>
        </w:rPr>
      </w:pPr>
    </w:p>
    <w:p w:rsidR="00695111" w:rsidRPr="002032BD" w:rsidRDefault="00863868" w:rsidP="002F393E">
      <w:pPr>
        <w:rPr>
          <w:rFonts w:ascii="Calibri" w:hAnsi="Calibri" w:cs="Calibri"/>
          <w:i/>
          <w:iCs/>
          <w:sz w:val="22"/>
          <w:szCs w:val="22"/>
          <w:u w:val="single"/>
        </w:rPr>
      </w:pPr>
      <w:r>
        <w:rPr>
          <w:rFonts w:ascii="Calibri" w:hAnsi="Calibri" w:cs="Calibri"/>
          <w:b/>
          <w:i/>
          <w:iCs/>
          <w:sz w:val="22"/>
          <w:szCs w:val="22"/>
          <w:u w:val="single"/>
        </w:rPr>
        <w:t xml:space="preserve">HOW DO I OBTAIN </w:t>
      </w:r>
      <w:r w:rsidR="004F1AE0">
        <w:rPr>
          <w:rFonts w:ascii="Calibri" w:hAnsi="Calibri" w:cs="Calibri"/>
          <w:b/>
          <w:i/>
          <w:iCs/>
          <w:sz w:val="22"/>
          <w:szCs w:val="22"/>
          <w:u w:val="single"/>
        </w:rPr>
        <w:t xml:space="preserve">A DETERMINATION </w:t>
      </w:r>
      <w:r w:rsidR="003951CA">
        <w:rPr>
          <w:rFonts w:ascii="Calibri" w:hAnsi="Calibri" w:cs="Calibri"/>
          <w:b/>
          <w:i/>
          <w:iCs/>
          <w:sz w:val="22"/>
          <w:szCs w:val="22"/>
          <w:u w:val="single"/>
        </w:rPr>
        <w:t>THAT MY</w:t>
      </w:r>
      <w:r>
        <w:rPr>
          <w:rFonts w:ascii="Calibri" w:hAnsi="Calibri" w:cs="Calibri"/>
          <w:b/>
          <w:i/>
          <w:iCs/>
          <w:sz w:val="22"/>
          <w:szCs w:val="22"/>
          <w:u w:val="single"/>
        </w:rPr>
        <w:t xml:space="preserve"> PROPERTY IS A BROWNFIELD?</w:t>
      </w:r>
    </w:p>
    <w:p w:rsidR="00695111" w:rsidRDefault="00695111" w:rsidP="00A445BB">
      <w:pPr>
        <w:rPr>
          <w:rFonts w:ascii="Calibri" w:hAnsi="Calibri" w:cs="Calibri"/>
          <w:iCs/>
          <w:sz w:val="22"/>
          <w:szCs w:val="22"/>
        </w:rPr>
      </w:pPr>
    </w:p>
    <w:p w:rsidR="00500E41" w:rsidRDefault="004F1AE0" w:rsidP="004F1AE0">
      <w:pPr>
        <w:ind w:firstLine="360"/>
        <w:rPr>
          <w:rFonts w:ascii="Calibri" w:hAnsi="Calibri" w:cs="Calibri"/>
          <w:sz w:val="22"/>
          <w:szCs w:val="22"/>
        </w:rPr>
      </w:pPr>
      <w:r>
        <w:rPr>
          <w:rFonts w:ascii="Calibri" w:hAnsi="Calibri" w:cs="Calibri"/>
          <w:sz w:val="22"/>
          <w:szCs w:val="22"/>
        </w:rPr>
        <w:t>The Department’s</w:t>
      </w:r>
      <w:r w:rsidR="003951CA">
        <w:rPr>
          <w:rFonts w:ascii="Calibri" w:hAnsi="Calibri" w:cs="Calibri"/>
          <w:sz w:val="22"/>
          <w:szCs w:val="22"/>
        </w:rPr>
        <w:t xml:space="preserve"> </w:t>
      </w:r>
      <w:r w:rsidR="00500E41">
        <w:rPr>
          <w:rFonts w:ascii="Calibri" w:hAnsi="Calibri" w:cs="Calibri"/>
          <w:sz w:val="22"/>
          <w:szCs w:val="22"/>
        </w:rPr>
        <w:t>regulation</w:t>
      </w:r>
      <w:r w:rsidR="003951CA">
        <w:rPr>
          <w:rFonts w:ascii="Calibri" w:hAnsi="Calibri" w:cs="Calibri"/>
          <w:sz w:val="22"/>
          <w:szCs w:val="22"/>
        </w:rPr>
        <w:t xml:space="preserve"> provide</w:t>
      </w:r>
      <w:r>
        <w:rPr>
          <w:rFonts w:ascii="Calibri" w:hAnsi="Calibri" w:cs="Calibri"/>
          <w:sz w:val="22"/>
          <w:szCs w:val="22"/>
        </w:rPr>
        <w:t>s</w:t>
      </w:r>
      <w:r w:rsidR="003951CA">
        <w:rPr>
          <w:rFonts w:ascii="Calibri" w:hAnsi="Calibri" w:cs="Calibri"/>
          <w:sz w:val="22"/>
          <w:szCs w:val="22"/>
        </w:rPr>
        <w:t xml:space="preserve"> that a determination </w:t>
      </w:r>
      <w:r w:rsidR="00BD4C42">
        <w:rPr>
          <w:rFonts w:ascii="Calibri" w:hAnsi="Calibri" w:cs="Calibri"/>
          <w:sz w:val="22"/>
          <w:szCs w:val="22"/>
        </w:rPr>
        <w:t>as to whether a project is located on a Brownfield is</w:t>
      </w:r>
      <w:r>
        <w:rPr>
          <w:rFonts w:ascii="Calibri" w:hAnsi="Calibri" w:cs="Calibri"/>
          <w:sz w:val="22"/>
          <w:szCs w:val="22"/>
        </w:rPr>
        <w:t xml:space="preserve"> made by the Department</w:t>
      </w:r>
      <w:r w:rsidR="003951CA">
        <w:rPr>
          <w:rFonts w:ascii="Calibri" w:hAnsi="Calibri" w:cs="Calibri"/>
          <w:sz w:val="22"/>
          <w:szCs w:val="22"/>
        </w:rPr>
        <w:t>, in consultation with MassDEP.</w:t>
      </w:r>
      <w:r w:rsidR="00203F98">
        <w:rPr>
          <w:rFonts w:ascii="Calibri" w:hAnsi="Calibri" w:cs="Calibri"/>
          <w:sz w:val="22"/>
          <w:szCs w:val="22"/>
        </w:rPr>
        <w:t xml:space="preserve"> </w:t>
      </w:r>
      <w:r w:rsidR="003951CA" w:rsidRPr="00CC3743">
        <w:rPr>
          <w:rFonts w:ascii="Calibri" w:hAnsi="Calibri" w:cs="Calibri"/>
          <w:i/>
          <w:sz w:val="22"/>
          <w:szCs w:val="22"/>
        </w:rPr>
        <w:t xml:space="preserve"> </w:t>
      </w:r>
      <w:r w:rsidR="00500E41">
        <w:rPr>
          <w:rFonts w:ascii="Calibri" w:hAnsi="Calibri" w:cs="Calibri"/>
          <w:sz w:val="22"/>
          <w:szCs w:val="22"/>
        </w:rPr>
        <w:t>The final determination as to whether the regulatory definition</w:t>
      </w:r>
      <w:r w:rsidR="00F67588">
        <w:rPr>
          <w:rFonts w:ascii="Calibri" w:hAnsi="Calibri" w:cs="Calibri"/>
          <w:sz w:val="22"/>
          <w:szCs w:val="22"/>
        </w:rPr>
        <w:t xml:space="preserve"> of Brownfield</w:t>
      </w:r>
      <w:r w:rsidR="00500E41">
        <w:rPr>
          <w:rFonts w:ascii="Calibri" w:hAnsi="Calibri" w:cs="Calibri"/>
          <w:sz w:val="22"/>
          <w:szCs w:val="22"/>
        </w:rPr>
        <w:t xml:space="preserve"> is satisfied is made in the Statement of Qualification</w:t>
      </w:r>
      <w:r w:rsidR="003B2A40">
        <w:rPr>
          <w:rFonts w:ascii="Calibri" w:hAnsi="Calibri" w:cs="Calibri"/>
          <w:sz w:val="22"/>
          <w:szCs w:val="22"/>
        </w:rPr>
        <w:t xml:space="preserve"> Application process</w:t>
      </w:r>
      <w:r w:rsidR="00500E41">
        <w:rPr>
          <w:rFonts w:ascii="Calibri" w:hAnsi="Calibri" w:cs="Calibri"/>
          <w:sz w:val="22"/>
          <w:szCs w:val="22"/>
        </w:rPr>
        <w:t xml:space="preserve"> </w:t>
      </w:r>
      <w:r w:rsidR="0044461C">
        <w:rPr>
          <w:rFonts w:ascii="Calibri" w:hAnsi="Calibri" w:cs="Calibri"/>
          <w:sz w:val="22"/>
          <w:szCs w:val="22"/>
        </w:rPr>
        <w:t xml:space="preserve">pursuant to 225 CMR </w:t>
      </w:r>
      <w:r w:rsidR="001740D2">
        <w:rPr>
          <w:rFonts w:ascii="Calibri" w:hAnsi="Calibri" w:cs="Calibri"/>
          <w:sz w:val="22"/>
          <w:szCs w:val="22"/>
        </w:rPr>
        <w:t>20</w:t>
      </w:r>
      <w:r w:rsidR="002B293A">
        <w:rPr>
          <w:rFonts w:ascii="Calibri" w:hAnsi="Calibri" w:cs="Calibri"/>
          <w:sz w:val="22"/>
          <w:szCs w:val="22"/>
        </w:rPr>
        <w:t>.00</w:t>
      </w:r>
      <w:r>
        <w:rPr>
          <w:rFonts w:ascii="Calibri" w:hAnsi="Calibri" w:cs="Calibri"/>
          <w:sz w:val="22"/>
          <w:szCs w:val="22"/>
        </w:rPr>
        <w:t>.</w:t>
      </w:r>
    </w:p>
    <w:p w:rsidR="004F1AE0" w:rsidRDefault="004F1AE0" w:rsidP="00863868">
      <w:pPr>
        <w:ind w:firstLine="720"/>
        <w:rPr>
          <w:rFonts w:ascii="Calibri" w:hAnsi="Calibri" w:cs="Calibri"/>
          <w:sz w:val="22"/>
          <w:szCs w:val="22"/>
        </w:rPr>
      </w:pPr>
    </w:p>
    <w:p w:rsidR="00500E41" w:rsidRDefault="00500E41" w:rsidP="004F1AE0">
      <w:pPr>
        <w:ind w:firstLine="360"/>
        <w:rPr>
          <w:rFonts w:ascii="Calibri" w:hAnsi="Calibri" w:cs="Calibri"/>
          <w:sz w:val="22"/>
          <w:szCs w:val="22"/>
        </w:rPr>
      </w:pPr>
      <w:r>
        <w:rPr>
          <w:rFonts w:ascii="Calibri" w:hAnsi="Calibri" w:cs="Calibri"/>
          <w:sz w:val="22"/>
          <w:szCs w:val="22"/>
        </w:rPr>
        <w:t xml:space="preserve">In some circumstances, an entity </w:t>
      </w:r>
      <w:r w:rsidR="0044461C">
        <w:rPr>
          <w:rFonts w:ascii="Calibri" w:hAnsi="Calibri" w:cs="Calibri"/>
          <w:sz w:val="22"/>
          <w:szCs w:val="22"/>
        </w:rPr>
        <w:t>planning to submit</w:t>
      </w:r>
      <w:r>
        <w:rPr>
          <w:rFonts w:ascii="Calibri" w:hAnsi="Calibri" w:cs="Calibri"/>
          <w:sz w:val="22"/>
          <w:szCs w:val="22"/>
        </w:rPr>
        <w:t xml:space="preserve"> a Statement of Qualification</w:t>
      </w:r>
      <w:r w:rsidR="0044461C">
        <w:rPr>
          <w:rFonts w:ascii="Calibri" w:hAnsi="Calibri" w:cs="Calibri"/>
          <w:sz w:val="22"/>
          <w:szCs w:val="22"/>
        </w:rPr>
        <w:t xml:space="preserve"> Application </w:t>
      </w:r>
      <w:r w:rsidR="00F67588">
        <w:rPr>
          <w:rFonts w:ascii="Calibri" w:hAnsi="Calibri" w:cs="Calibri"/>
          <w:sz w:val="22"/>
          <w:szCs w:val="22"/>
        </w:rPr>
        <w:t xml:space="preserve">under 225 CMR </w:t>
      </w:r>
      <w:r w:rsidR="001740D2">
        <w:rPr>
          <w:rFonts w:ascii="Calibri" w:hAnsi="Calibri" w:cs="Calibri"/>
          <w:sz w:val="22"/>
          <w:szCs w:val="22"/>
        </w:rPr>
        <w:t>20</w:t>
      </w:r>
      <w:r w:rsidR="002B293A">
        <w:rPr>
          <w:rFonts w:ascii="Calibri" w:hAnsi="Calibri" w:cs="Calibri"/>
          <w:sz w:val="22"/>
          <w:szCs w:val="22"/>
        </w:rPr>
        <w:t>.0</w:t>
      </w:r>
      <w:r w:rsidR="00DD235B">
        <w:rPr>
          <w:rFonts w:ascii="Calibri" w:hAnsi="Calibri" w:cs="Calibri"/>
          <w:sz w:val="22"/>
          <w:szCs w:val="22"/>
        </w:rPr>
        <w:t>5(2)(a)</w:t>
      </w:r>
      <w:r w:rsidR="00F67588">
        <w:rPr>
          <w:rFonts w:ascii="Calibri" w:hAnsi="Calibri" w:cs="Calibri"/>
          <w:sz w:val="22"/>
          <w:szCs w:val="22"/>
        </w:rPr>
        <w:t xml:space="preserve"> </w:t>
      </w:r>
      <w:r w:rsidR="0044461C">
        <w:rPr>
          <w:rFonts w:ascii="Calibri" w:hAnsi="Calibri" w:cs="Calibri"/>
          <w:sz w:val="22"/>
          <w:szCs w:val="22"/>
        </w:rPr>
        <w:t xml:space="preserve">may wish to obtain guidance from </w:t>
      </w:r>
      <w:r w:rsidR="004F1AE0">
        <w:rPr>
          <w:rFonts w:ascii="Calibri" w:hAnsi="Calibri" w:cs="Calibri"/>
          <w:sz w:val="22"/>
          <w:szCs w:val="22"/>
        </w:rPr>
        <w:t>the Department</w:t>
      </w:r>
      <w:r w:rsidR="0044461C">
        <w:rPr>
          <w:rFonts w:ascii="Calibri" w:hAnsi="Calibri" w:cs="Calibri"/>
          <w:sz w:val="22"/>
          <w:szCs w:val="22"/>
        </w:rPr>
        <w:t xml:space="preserve"> as to whether </w:t>
      </w:r>
      <w:r w:rsidR="00F67588">
        <w:rPr>
          <w:rFonts w:ascii="Calibri" w:hAnsi="Calibri" w:cs="Calibri"/>
          <w:sz w:val="22"/>
          <w:szCs w:val="22"/>
        </w:rPr>
        <w:t xml:space="preserve">its </w:t>
      </w:r>
      <w:r w:rsidR="0044461C">
        <w:rPr>
          <w:rFonts w:ascii="Calibri" w:hAnsi="Calibri" w:cs="Calibri"/>
          <w:sz w:val="22"/>
          <w:szCs w:val="22"/>
        </w:rPr>
        <w:t xml:space="preserve">project is likely to qualify </w:t>
      </w:r>
      <w:r w:rsidR="00F67588">
        <w:rPr>
          <w:rFonts w:ascii="Calibri" w:hAnsi="Calibri" w:cs="Calibri"/>
          <w:sz w:val="22"/>
          <w:szCs w:val="22"/>
        </w:rPr>
        <w:t>as</w:t>
      </w:r>
      <w:r w:rsidR="00325577">
        <w:rPr>
          <w:rFonts w:ascii="Calibri" w:hAnsi="Calibri" w:cs="Calibri"/>
          <w:sz w:val="22"/>
          <w:szCs w:val="22"/>
        </w:rPr>
        <w:t xml:space="preserve"> being </w:t>
      </w:r>
      <w:r w:rsidR="004F1AE0">
        <w:rPr>
          <w:rFonts w:ascii="Calibri" w:hAnsi="Calibri" w:cs="Calibri"/>
          <w:sz w:val="22"/>
          <w:szCs w:val="22"/>
        </w:rPr>
        <w:t xml:space="preserve">located </w:t>
      </w:r>
      <w:r w:rsidR="00325577">
        <w:rPr>
          <w:rFonts w:ascii="Calibri" w:hAnsi="Calibri" w:cs="Calibri"/>
          <w:sz w:val="22"/>
          <w:szCs w:val="22"/>
        </w:rPr>
        <w:t>on</w:t>
      </w:r>
      <w:r w:rsidR="00F67588">
        <w:rPr>
          <w:rFonts w:ascii="Calibri" w:hAnsi="Calibri" w:cs="Calibri"/>
          <w:sz w:val="22"/>
          <w:szCs w:val="22"/>
        </w:rPr>
        <w:t xml:space="preserve"> a</w:t>
      </w:r>
      <w:r w:rsidR="0044461C">
        <w:rPr>
          <w:rFonts w:ascii="Calibri" w:hAnsi="Calibri" w:cs="Calibri"/>
          <w:sz w:val="22"/>
          <w:szCs w:val="22"/>
        </w:rPr>
        <w:t xml:space="preserve"> Brownfield</w:t>
      </w:r>
      <w:r w:rsidR="004F1AE0">
        <w:rPr>
          <w:rFonts w:ascii="Calibri" w:hAnsi="Calibri" w:cs="Calibri"/>
          <w:sz w:val="22"/>
          <w:szCs w:val="22"/>
        </w:rPr>
        <w:t xml:space="preserve"> that meets the definition in 225 CMR </w:t>
      </w:r>
      <w:r w:rsidR="001740D2">
        <w:rPr>
          <w:rFonts w:ascii="Calibri" w:hAnsi="Calibri" w:cs="Calibri"/>
          <w:sz w:val="22"/>
          <w:szCs w:val="22"/>
        </w:rPr>
        <w:t>20</w:t>
      </w:r>
      <w:r w:rsidR="004F1AE0">
        <w:rPr>
          <w:rFonts w:ascii="Calibri" w:hAnsi="Calibri" w:cs="Calibri"/>
          <w:sz w:val="22"/>
          <w:szCs w:val="22"/>
        </w:rPr>
        <w:t>.02</w:t>
      </w:r>
      <w:r w:rsidR="0044461C">
        <w:rPr>
          <w:rFonts w:ascii="Calibri" w:hAnsi="Calibri" w:cs="Calibri"/>
          <w:sz w:val="22"/>
          <w:szCs w:val="22"/>
        </w:rPr>
        <w:t xml:space="preserve">.  To facilitate PV development on Brownfields, </w:t>
      </w:r>
      <w:r w:rsidR="004F1AE0">
        <w:rPr>
          <w:rFonts w:ascii="Calibri" w:hAnsi="Calibri" w:cs="Calibri"/>
          <w:sz w:val="22"/>
          <w:szCs w:val="22"/>
        </w:rPr>
        <w:t>the Department</w:t>
      </w:r>
      <w:r w:rsidR="0044461C">
        <w:rPr>
          <w:rFonts w:ascii="Calibri" w:hAnsi="Calibri" w:cs="Calibri"/>
          <w:sz w:val="22"/>
          <w:szCs w:val="22"/>
        </w:rPr>
        <w:t xml:space="preserve"> will provide </w:t>
      </w:r>
      <w:r w:rsidR="00F67588">
        <w:rPr>
          <w:rFonts w:ascii="Calibri" w:hAnsi="Calibri" w:cs="Calibri"/>
          <w:sz w:val="22"/>
          <w:szCs w:val="22"/>
        </w:rPr>
        <w:t>such guidance pursuant to a written</w:t>
      </w:r>
      <w:r w:rsidR="0044461C">
        <w:rPr>
          <w:rFonts w:ascii="Calibri" w:hAnsi="Calibri" w:cs="Calibri"/>
          <w:sz w:val="22"/>
          <w:szCs w:val="22"/>
        </w:rPr>
        <w:t xml:space="preserve"> “Brownfield Pre-Determination Letter</w:t>
      </w:r>
      <w:r w:rsidR="00F67588">
        <w:rPr>
          <w:rFonts w:ascii="Calibri" w:hAnsi="Calibri" w:cs="Calibri"/>
          <w:sz w:val="22"/>
          <w:szCs w:val="22"/>
        </w:rPr>
        <w:t>.</w:t>
      </w:r>
      <w:r w:rsidR="004F1AE0">
        <w:rPr>
          <w:rFonts w:ascii="Calibri" w:hAnsi="Calibri" w:cs="Calibri"/>
          <w:sz w:val="22"/>
          <w:szCs w:val="22"/>
        </w:rPr>
        <w:t>”</w:t>
      </w:r>
    </w:p>
    <w:p w:rsidR="004F1AE0" w:rsidRDefault="004F1AE0" w:rsidP="004F1AE0">
      <w:pPr>
        <w:ind w:firstLine="360"/>
        <w:rPr>
          <w:rFonts w:ascii="Calibri" w:hAnsi="Calibri" w:cs="Calibri"/>
          <w:sz w:val="22"/>
          <w:szCs w:val="22"/>
        </w:rPr>
      </w:pPr>
    </w:p>
    <w:p w:rsidR="00940EF4" w:rsidRDefault="0044461C" w:rsidP="004F1AE0">
      <w:pPr>
        <w:pStyle w:val="ListParagraph"/>
        <w:ind w:left="0" w:firstLine="360"/>
        <w:rPr>
          <w:rFonts w:ascii="Calibri" w:hAnsi="Calibri" w:cs="Calibri"/>
          <w:sz w:val="22"/>
          <w:szCs w:val="22"/>
        </w:rPr>
      </w:pPr>
      <w:r>
        <w:rPr>
          <w:rFonts w:ascii="Calibri" w:hAnsi="Calibri" w:cs="Calibri"/>
          <w:sz w:val="22"/>
          <w:szCs w:val="22"/>
        </w:rPr>
        <w:t xml:space="preserve">To obtain a Brownfield Pre-Determination Letter, </w:t>
      </w:r>
      <w:r w:rsidR="00F67588">
        <w:rPr>
          <w:rFonts w:ascii="Calibri" w:hAnsi="Calibri" w:cs="Calibri"/>
          <w:sz w:val="22"/>
          <w:szCs w:val="22"/>
        </w:rPr>
        <w:t xml:space="preserve">applicants must </w:t>
      </w:r>
      <w:r>
        <w:rPr>
          <w:rFonts w:ascii="Calibri" w:hAnsi="Calibri" w:cs="Calibri"/>
          <w:sz w:val="22"/>
          <w:szCs w:val="22"/>
        </w:rPr>
        <w:t xml:space="preserve">submit to </w:t>
      </w:r>
      <w:r w:rsidR="004F1AE0">
        <w:rPr>
          <w:rFonts w:ascii="Calibri" w:hAnsi="Calibri" w:cs="Calibri"/>
          <w:sz w:val="22"/>
          <w:szCs w:val="22"/>
        </w:rPr>
        <w:t>the Department</w:t>
      </w:r>
      <w:r>
        <w:rPr>
          <w:rFonts w:ascii="Calibri" w:hAnsi="Calibri" w:cs="Calibri"/>
          <w:sz w:val="22"/>
          <w:szCs w:val="22"/>
        </w:rPr>
        <w:t xml:space="preserve"> </w:t>
      </w:r>
      <w:r w:rsidR="005A6D3C">
        <w:rPr>
          <w:rFonts w:ascii="Calibri" w:hAnsi="Calibri" w:cs="Calibri"/>
          <w:sz w:val="22"/>
          <w:szCs w:val="22"/>
        </w:rPr>
        <w:t>a</w:t>
      </w:r>
      <w:r w:rsidR="00203F98">
        <w:rPr>
          <w:rFonts w:ascii="Calibri" w:hAnsi="Calibri" w:cs="Calibri"/>
          <w:sz w:val="22"/>
          <w:szCs w:val="22"/>
        </w:rPr>
        <w:t xml:space="preserve"> “Brownfield Pre-Determination Request Form</w:t>
      </w:r>
      <w:r w:rsidR="00F67588">
        <w:rPr>
          <w:rFonts w:ascii="Calibri" w:hAnsi="Calibri" w:cs="Calibri"/>
          <w:sz w:val="22"/>
          <w:szCs w:val="22"/>
        </w:rPr>
        <w:t>,</w:t>
      </w:r>
      <w:r w:rsidR="000E4341">
        <w:rPr>
          <w:rFonts w:ascii="Calibri" w:hAnsi="Calibri" w:cs="Calibri"/>
          <w:sz w:val="22"/>
          <w:szCs w:val="22"/>
        </w:rPr>
        <w:t>”</w:t>
      </w:r>
      <w:r w:rsidR="00F67588">
        <w:rPr>
          <w:rFonts w:ascii="Calibri" w:hAnsi="Calibri" w:cs="Calibri"/>
          <w:sz w:val="22"/>
          <w:szCs w:val="22"/>
        </w:rPr>
        <w:t xml:space="preserve"> with supporting documents, containing specific reasons </w:t>
      </w:r>
      <w:r w:rsidR="00F67588">
        <w:rPr>
          <w:rFonts w:ascii="Calibri" w:hAnsi="Calibri" w:cs="Calibri"/>
          <w:sz w:val="22"/>
          <w:szCs w:val="22"/>
        </w:rPr>
        <w:lastRenderedPageBreak/>
        <w:t xml:space="preserve">as to why </w:t>
      </w:r>
      <w:r w:rsidR="000E4341">
        <w:rPr>
          <w:rFonts w:ascii="Calibri" w:hAnsi="Calibri" w:cs="Calibri"/>
          <w:sz w:val="22"/>
          <w:szCs w:val="22"/>
        </w:rPr>
        <w:t xml:space="preserve">the applicant </w:t>
      </w:r>
      <w:r w:rsidR="00F67588">
        <w:rPr>
          <w:rFonts w:ascii="Calibri" w:hAnsi="Calibri" w:cs="Calibri"/>
          <w:sz w:val="22"/>
          <w:szCs w:val="22"/>
        </w:rPr>
        <w:t xml:space="preserve">believes that its project would </w:t>
      </w:r>
      <w:r w:rsidR="000E4341">
        <w:rPr>
          <w:rFonts w:ascii="Calibri" w:hAnsi="Calibri" w:cs="Calibri"/>
          <w:sz w:val="22"/>
          <w:szCs w:val="22"/>
        </w:rPr>
        <w:t>meet the definition of a</w:t>
      </w:r>
      <w:r w:rsidR="00F67588">
        <w:rPr>
          <w:rFonts w:ascii="Calibri" w:hAnsi="Calibri" w:cs="Calibri"/>
          <w:sz w:val="22"/>
          <w:szCs w:val="22"/>
        </w:rPr>
        <w:t xml:space="preserve"> Brownfield.  </w:t>
      </w:r>
      <w:r w:rsidR="00043845">
        <w:rPr>
          <w:rFonts w:ascii="Calibri" w:hAnsi="Calibri" w:cs="Calibri"/>
          <w:sz w:val="22"/>
          <w:szCs w:val="22"/>
        </w:rPr>
        <w:t xml:space="preserve">A copy of the Brownfield Pre-Determination Request Form is included as </w:t>
      </w:r>
      <w:r w:rsidR="000E4341">
        <w:rPr>
          <w:rFonts w:ascii="Calibri" w:hAnsi="Calibri" w:cs="Calibri"/>
          <w:sz w:val="22"/>
          <w:szCs w:val="22"/>
        </w:rPr>
        <w:t xml:space="preserve">Attachment A </w:t>
      </w:r>
      <w:r w:rsidR="00043845">
        <w:rPr>
          <w:rFonts w:ascii="Calibri" w:hAnsi="Calibri" w:cs="Calibri"/>
          <w:sz w:val="22"/>
          <w:szCs w:val="22"/>
        </w:rPr>
        <w:t xml:space="preserve">to this </w:t>
      </w:r>
      <w:r w:rsidR="000E4341">
        <w:rPr>
          <w:rFonts w:ascii="Calibri" w:hAnsi="Calibri" w:cs="Calibri"/>
          <w:sz w:val="22"/>
          <w:szCs w:val="22"/>
        </w:rPr>
        <w:t>Guideline</w:t>
      </w:r>
      <w:r w:rsidR="00043845">
        <w:rPr>
          <w:rFonts w:ascii="Calibri" w:hAnsi="Calibri" w:cs="Calibri"/>
          <w:sz w:val="22"/>
          <w:szCs w:val="22"/>
        </w:rPr>
        <w:t xml:space="preserve">.  </w:t>
      </w:r>
    </w:p>
    <w:p w:rsidR="00043845" w:rsidRDefault="00043845" w:rsidP="00863868">
      <w:pPr>
        <w:ind w:firstLine="720"/>
        <w:rPr>
          <w:rFonts w:ascii="Calibri" w:hAnsi="Calibri" w:cs="Calibri"/>
          <w:sz w:val="22"/>
          <w:szCs w:val="22"/>
        </w:rPr>
      </w:pPr>
    </w:p>
    <w:p w:rsidR="0044461C" w:rsidRDefault="00043845" w:rsidP="00863868">
      <w:pPr>
        <w:ind w:firstLine="720"/>
        <w:rPr>
          <w:rFonts w:ascii="Calibri" w:hAnsi="Calibri" w:cs="Calibri"/>
          <w:i/>
          <w:sz w:val="22"/>
          <w:szCs w:val="22"/>
        </w:rPr>
      </w:pPr>
      <w:r>
        <w:rPr>
          <w:rFonts w:ascii="Calibri" w:hAnsi="Calibri" w:cs="Calibri"/>
          <w:sz w:val="22"/>
          <w:szCs w:val="22"/>
        </w:rPr>
        <w:t xml:space="preserve">The </w:t>
      </w:r>
      <w:r w:rsidR="008005FE">
        <w:rPr>
          <w:rFonts w:ascii="Calibri" w:hAnsi="Calibri" w:cs="Calibri"/>
          <w:sz w:val="22"/>
          <w:szCs w:val="22"/>
        </w:rPr>
        <w:t xml:space="preserve">Pre-Determination Request </w:t>
      </w:r>
      <w:r w:rsidR="00203F98">
        <w:rPr>
          <w:rFonts w:ascii="Calibri" w:hAnsi="Calibri" w:cs="Calibri"/>
          <w:sz w:val="22"/>
          <w:szCs w:val="22"/>
        </w:rPr>
        <w:t xml:space="preserve">Form </w:t>
      </w:r>
      <w:r>
        <w:rPr>
          <w:rFonts w:ascii="Calibri" w:hAnsi="Calibri" w:cs="Calibri"/>
          <w:sz w:val="22"/>
          <w:szCs w:val="22"/>
        </w:rPr>
        <w:t>require</w:t>
      </w:r>
      <w:r w:rsidR="000E4341">
        <w:rPr>
          <w:rFonts w:ascii="Calibri" w:hAnsi="Calibri" w:cs="Calibri"/>
          <w:sz w:val="22"/>
          <w:szCs w:val="22"/>
        </w:rPr>
        <w:t>s</w:t>
      </w:r>
      <w:r>
        <w:rPr>
          <w:rFonts w:ascii="Calibri" w:hAnsi="Calibri" w:cs="Calibri"/>
          <w:sz w:val="22"/>
          <w:szCs w:val="22"/>
        </w:rPr>
        <w:t xml:space="preserve"> the applicant to provide</w:t>
      </w:r>
      <w:r w:rsidR="000E4341">
        <w:rPr>
          <w:rFonts w:ascii="Calibri" w:hAnsi="Calibri" w:cs="Calibri"/>
          <w:sz w:val="22"/>
          <w:szCs w:val="22"/>
        </w:rPr>
        <w:t xml:space="preserve"> the following</w:t>
      </w:r>
      <w:r w:rsidR="008005FE">
        <w:rPr>
          <w:rFonts w:ascii="Calibri" w:hAnsi="Calibri" w:cs="Calibri"/>
          <w:sz w:val="22"/>
          <w:szCs w:val="22"/>
        </w:rPr>
        <w:t>:</w:t>
      </w:r>
    </w:p>
    <w:p w:rsidR="0044461C" w:rsidRDefault="0044461C" w:rsidP="00863868">
      <w:pPr>
        <w:ind w:firstLine="720"/>
        <w:rPr>
          <w:rFonts w:ascii="Calibri" w:hAnsi="Calibri" w:cs="Calibri"/>
          <w:sz w:val="22"/>
          <w:szCs w:val="22"/>
        </w:rPr>
      </w:pPr>
    </w:p>
    <w:p w:rsidR="00463EC6" w:rsidRDefault="00463EC6" w:rsidP="00A84702">
      <w:pPr>
        <w:pStyle w:val="ListParagraph"/>
        <w:numPr>
          <w:ilvl w:val="1"/>
          <w:numId w:val="24"/>
        </w:numPr>
        <w:rPr>
          <w:rFonts w:ascii="Calibri" w:hAnsi="Calibri" w:cs="Calibri"/>
          <w:sz w:val="22"/>
          <w:szCs w:val="22"/>
        </w:rPr>
      </w:pPr>
      <w:r>
        <w:rPr>
          <w:rFonts w:asciiTheme="minorHAnsi" w:hAnsiTheme="minorHAnsi" w:cstheme="minorHAnsi"/>
          <w:sz w:val="22"/>
          <w:szCs w:val="22"/>
        </w:rPr>
        <w:t xml:space="preserve">Documentation of the </w:t>
      </w:r>
      <w:r w:rsidRPr="00726DC0">
        <w:rPr>
          <w:rFonts w:asciiTheme="minorHAnsi" w:hAnsiTheme="minorHAnsi" w:cstheme="minorHAnsi"/>
          <w:sz w:val="22"/>
          <w:szCs w:val="22"/>
        </w:rPr>
        <w:t xml:space="preserve">Name of Entity that will Apply For Statement of Qualifications under 225 CMR </w:t>
      </w:r>
      <w:r w:rsidR="001740D2">
        <w:rPr>
          <w:rFonts w:asciiTheme="minorHAnsi" w:hAnsiTheme="minorHAnsi" w:cstheme="minorHAnsi"/>
          <w:sz w:val="22"/>
          <w:szCs w:val="22"/>
        </w:rPr>
        <w:t>20</w:t>
      </w:r>
      <w:r w:rsidR="002B293A">
        <w:rPr>
          <w:rFonts w:asciiTheme="minorHAnsi" w:hAnsiTheme="minorHAnsi" w:cstheme="minorHAnsi"/>
          <w:sz w:val="22"/>
          <w:szCs w:val="22"/>
        </w:rPr>
        <w:t>.00.</w:t>
      </w:r>
    </w:p>
    <w:p w:rsidR="00203F98" w:rsidRDefault="00203F98" w:rsidP="00A84702">
      <w:pPr>
        <w:pStyle w:val="ListParagraph"/>
        <w:numPr>
          <w:ilvl w:val="1"/>
          <w:numId w:val="24"/>
        </w:numPr>
        <w:rPr>
          <w:rFonts w:ascii="Calibri" w:hAnsi="Calibri" w:cs="Calibri"/>
          <w:sz w:val="22"/>
          <w:szCs w:val="22"/>
        </w:rPr>
      </w:pPr>
      <w:r>
        <w:rPr>
          <w:rFonts w:ascii="Calibri" w:hAnsi="Calibri" w:cs="Calibri"/>
          <w:sz w:val="22"/>
          <w:szCs w:val="22"/>
        </w:rPr>
        <w:t xml:space="preserve">Documentation of </w:t>
      </w:r>
      <w:r w:rsidR="00463EC6">
        <w:rPr>
          <w:rFonts w:ascii="Calibri" w:hAnsi="Calibri" w:cs="Calibri"/>
          <w:sz w:val="22"/>
          <w:szCs w:val="22"/>
        </w:rPr>
        <w:t xml:space="preserve">the </w:t>
      </w:r>
      <w:r>
        <w:rPr>
          <w:rFonts w:ascii="Calibri" w:hAnsi="Calibri" w:cs="Calibri"/>
          <w:sz w:val="22"/>
          <w:szCs w:val="22"/>
        </w:rPr>
        <w:t>receipt</w:t>
      </w:r>
      <w:r w:rsidR="00463EC6">
        <w:rPr>
          <w:rFonts w:ascii="Calibri" w:hAnsi="Calibri" w:cs="Calibri"/>
          <w:sz w:val="22"/>
          <w:szCs w:val="22"/>
        </w:rPr>
        <w:t>/assignment</w:t>
      </w:r>
      <w:r>
        <w:rPr>
          <w:rFonts w:ascii="Calibri" w:hAnsi="Calibri" w:cs="Calibri"/>
          <w:sz w:val="22"/>
          <w:szCs w:val="22"/>
        </w:rPr>
        <w:t xml:space="preserve"> of a RTN.  </w:t>
      </w:r>
    </w:p>
    <w:p w:rsidR="00463EC6" w:rsidRDefault="00463EC6" w:rsidP="00A84702">
      <w:pPr>
        <w:pStyle w:val="ListParagraph"/>
        <w:numPr>
          <w:ilvl w:val="1"/>
          <w:numId w:val="24"/>
        </w:numPr>
        <w:rPr>
          <w:rFonts w:ascii="Calibri" w:hAnsi="Calibri" w:cs="Calibri"/>
          <w:sz w:val="22"/>
          <w:szCs w:val="22"/>
        </w:rPr>
      </w:pPr>
      <w:r>
        <w:rPr>
          <w:rFonts w:ascii="Calibri" w:hAnsi="Calibri" w:cs="Calibri"/>
          <w:sz w:val="22"/>
          <w:szCs w:val="22"/>
        </w:rPr>
        <w:t xml:space="preserve">Documentation </w:t>
      </w:r>
      <w:r w:rsidR="00FF3E38">
        <w:rPr>
          <w:rFonts w:ascii="Calibri" w:hAnsi="Calibri" w:cs="Calibri"/>
          <w:sz w:val="22"/>
          <w:szCs w:val="22"/>
        </w:rPr>
        <w:t xml:space="preserve">showing that </w:t>
      </w:r>
      <w:r>
        <w:rPr>
          <w:rFonts w:ascii="Calibri" w:hAnsi="Calibri" w:cs="Calibri"/>
          <w:sz w:val="22"/>
          <w:szCs w:val="22"/>
        </w:rPr>
        <w:t xml:space="preserve">the redevelopment and/or reuse </w:t>
      </w:r>
      <w:r w:rsidR="000E4341">
        <w:rPr>
          <w:rFonts w:ascii="Calibri" w:hAnsi="Calibri" w:cs="Calibri"/>
          <w:sz w:val="22"/>
          <w:szCs w:val="22"/>
        </w:rPr>
        <w:t xml:space="preserve">of the property is </w:t>
      </w:r>
      <w:r>
        <w:rPr>
          <w:rFonts w:ascii="Calibri" w:hAnsi="Calibri" w:cs="Calibri"/>
          <w:sz w:val="22"/>
          <w:szCs w:val="22"/>
        </w:rPr>
        <w:t xml:space="preserve">hindered by the presence </w:t>
      </w:r>
      <w:r w:rsidR="00EA7403">
        <w:rPr>
          <w:rFonts w:ascii="Calibri" w:hAnsi="Calibri" w:cs="Calibri"/>
          <w:sz w:val="22"/>
          <w:szCs w:val="22"/>
        </w:rPr>
        <w:t>of oil or hazardous materials</w:t>
      </w:r>
      <w:r w:rsidR="00FF3E38">
        <w:rPr>
          <w:rFonts w:ascii="Calibri" w:hAnsi="Calibri" w:cs="Calibri"/>
          <w:sz w:val="22"/>
          <w:szCs w:val="22"/>
        </w:rPr>
        <w:t>,</w:t>
      </w:r>
      <w:r w:rsidR="00EA7403">
        <w:rPr>
          <w:rFonts w:ascii="Calibri" w:hAnsi="Calibri" w:cs="Calibri"/>
          <w:sz w:val="22"/>
          <w:szCs w:val="22"/>
        </w:rPr>
        <w:t xml:space="preserve"> including: </w:t>
      </w:r>
    </w:p>
    <w:p w:rsidR="00A84702" w:rsidRPr="00EA7403" w:rsidRDefault="00A84702" w:rsidP="00EA7403">
      <w:pPr>
        <w:pStyle w:val="ListParagraph"/>
        <w:numPr>
          <w:ilvl w:val="2"/>
          <w:numId w:val="17"/>
        </w:numPr>
        <w:rPr>
          <w:rFonts w:ascii="Calibri" w:hAnsi="Calibri" w:cs="Calibri"/>
          <w:sz w:val="22"/>
          <w:szCs w:val="22"/>
        </w:rPr>
      </w:pPr>
      <w:r w:rsidRPr="00EA7403">
        <w:rPr>
          <w:rFonts w:ascii="Calibri" w:hAnsi="Calibri" w:cs="Calibri"/>
          <w:sz w:val="22"/>
          <w:szCs w:val="22"/>
        </w:rPr>
        <w:t>E</w:t>
      </w:r>
      <w:r w:rsidR="00EA7403">
        <w:rPr>
          <w:rFonts w:ascii="Calibri" w:hAnsi="Calibri" w:cs="Calibri"/>
          <w:sz w:val="22"/>
          <w:szCs w:val="22"/>
        </w:rPr>
        <w:t xml:space="preserve">stimate(s) of past, present and/or future cleanup costs </w:t>
      </w:r>
      <w:r w:rsidRPr="00EA7403">
        <w:rPr>
          <w:rFonts w:ascii="Calibri" w:hAnsi="Calibri" w:cs="Calibri"/>
          <w:sz w:val="22"/>
          <w:szCs w:val="22"/>
        </w:rPr>
        <w:t xml:space="preserve">from </w:t>
      </w:r>
      <w:r w:rsidR="00924EED" w:rsidRPr="00EA7403">
        <w:rPr>
          <w:rFonts w:ascii="Calibri" w:hAnsi="Calibri" w:cs="Calibri"/>
          <w:sz w:val="22"/>
          <w:szCs w:val="22"/>
        </w:rPr>
        <w:t>one or more</w:t>
      </w:r>
      <w:r w:rsidR="00284FBC" w:rsidRPr="00EA7403">
        <w:rPr>
          <w:rFonts w:ascii="Calibri" w:hAnsi="Calibri" w:cs="Calibri"/>
          <w:sz w:val="22"/>
          <w:szCs w:val="22"/>
        </w:rPr>
        <w:t xml:space="preserve"> </w:t>
      </w:r>
      <w:r w:rsidRPr="00EA7403">
        <w:rPr>
          <w:rFonts w:ascii="Calibri" w:hAnsi="Calibri" w:cs="Calibri"/>
          <w:sz w:val="22"/>
          <w:szCs w:val="22"/>
        </w:rPr>
        <w:t>Licensed Site Professional</w:t>
      </w:r>
      <w:r w:rsidR="00924EED" w:rsidRPr="00EA7403">
        <w:rPr>
          <w:rFonts w:ascii="Calibri" w:hAnsi="Calibri" w:cs="Calibri"/>
          <w:sz w:val="22"/>
          <w:szCs w:val="22"/>
        </w:rPr>
        <w:t>s</w:t>
      </w:r>
      <w:r w:rsidRPr="00EA7403">
        <w:rPr>
          <w:rFonts w:ascii="Calibri" w:hAnsi="Calibri" w:cs="Calibri"/>
          <w:sz w:val="22"/>
          <w:szCs w:val="22"/>
        </w:rPr>
        <w:t xml:space="preserve"> (LSP</w:t>
      </w:r>
      <w:r w:rsidR="00924EED" w:rsidRPr="00EA7403">
        <w:rPr>
          <w:rFonts w:ascii="Calibri" w:hAnsi="Calibri" w:cs="Calibri"/>
          <w:sz w:val="22"/>
          <w:szCs w:val="22"/>
        </w:rPr>
        <w:t>s</w:t>
      </w:r>
      <w:r w:rsidRPr="00EA7403">
        <w:rPr>
          <w:rFonts w:ascii="Calibri" w:hAnsi="Calibri" w:cs="Calibri"/>
          <w:sz w:val="22"/>
          <w:szCs w:val="22"/>
        </w:rPr>
        <w:t xml:space="preserve">) as to how much </w:t>
      </w:r>
      <w:r w:rsidR="008005FE" w:rsidRPr="00EA7403">
        <w:rPr>
          <w:rFonts w:ascii="Calibri" w:hAnsi="Calibri" w:cs="Calibri"/>
          <w:sz w:val="22"/>
          <w:szCs w:val="22"/>
        </w:rPr>
        <w:t xml:space="preserve">any </w:t>
      </w:r>
      <w:r w:rsidRPr="00EA7403">
        <w:rPr>
          <w:rFonts w:ascii="Calibri" w:hAnsi="Calibri" w:cs="Calibri"/>
          <w:sz w:val="22"/>
          <w:szCs w:val="22"/>
        </w:rPr>
        <w:t>remaining cleanup will cost, or other credible and specific evidence of future cleanup costs, as well as documentation as to how cleanup will be achieved</w:t>
      </w:r>
      <w:r w:rsidR="00EA7403" w:rsidRPr="00726DC0">
        <w:rPr>
          <w:rFonts w:asciiTheme="minorHAnsi" w:hAnsiTheme="minorHAnsi" w:cstheme="minorHAnsi"/>
          <w:sz w:val="22"/>
          <w:szCs w:val="22"/>
        </w:rPr>
        <w:t>(Required if cleanup obligations remain.)</w:t>
      </w:r>
      <w:r w:rsidR="00EA7403">
        <w:rPr>
          <w:rFonts w:ascii="Calibri" w:hAnsi="Calibri" w:cs="Calibri"/>
          <w:sz w:val="22"/>
          <w:szCs w:val="22"/>
        </w:rPr>
        <w:t xml:space="preserve"> </w:t>
      </w:r>
      <w:r w:rsidRPr="00EA7403">
        <w:rPr>
          <w:rFonts w:ascii="Calibri" w:hAnsi="Calibri" w:cs="Calibri"/>
          <w:sz w:val="22"/>
          <w:szCs w:val="22"/>
        </w:rPr>
        <w:t>;</w:t>
      </w:r>
    </w:p>
    <w:p w:rsidR="00325577" w:rsidRPr="00EA7403" w:rsidRDefault="00DF478D" w:rsidP="00EA7403">
      <w:pPr>
        <w:pStyle w:val="ListParagraph"/>
        <w:numPr>
          <w:ilvl w:val="2"/>
          <w:numId w:val="17"/>
        </w:numPr>
        <w:rPr>
          <w:rFonts w:ascii="Calibri" w:hAnsi="Calibri" w:cs="Calibri"/>
          <w:sz w:val="22"/>
          <w:szCs w:val="22"/>
        </w:rPr>
      </w:pPr>
      <w:r w:rsidRPr="00EA7403">
        <w:rPr>
          <w:rFonts w:ascii="Calibri" w:hAnsi="Calibri" w:cs="Calibri"/>
          <w:sz w:val="22"/>
          <w:szCs w:val="22"/>
        </w:rPr>
        <w:t xml:space="preserve">Evidence </w:t>
      </w:r>
      <w:r w:rsidR="00A84702" w:rsidRPr="00EA7403">
        <w:rPr>
          <w:rFonts w:ascii="Calibri" w:hAnsi="Calibri" w:cs="Calibri"/>
          <w:sz w:val="22"/>
          <w:szCs w:val="22"/>
        </w:rPr>
        <w:t xml:space="preserve">showing that the </w:t>
      </w:r>
      <w:r w:rsidR="00325577" w:rsidRPr="00EA7403">
        <w:rPr>
          <w:rFonts w:ascii="Calibri" w:hAnsi="Calibri" w:cs="Calibri"/>
          <w:sz w:val="22"/>
          <w:szCs w:val="22"/>
        </w:rPr>
        <w:t xml:space="preserve">marketability or development of the </w:t>
      </w:r>
      <w:r w:rsidRPr="00EA7403">
        <w:rPr>
          <w:rFonts w:ascii="Calibri" w:hAnsi="Calibri" w:cs="Calibri"/>
          <w:sz w:val="22"/>
          <w:szCs w:val="22"/>
        </w:rPr>
        <w:t xml:space="preserve">site </w:t>
      </w:r>
      <w:r w:rsidR="00A84702" w:rsidRPr="00EA7403">
        <w:rPr>
          <w:rFonts w:ascii="Calibri" w:hAnsi="Calibri" w:cs="Calibri"/>
          <w:sz w:val="22"/>
          <w:szCs w:val="22"/>
        </w:rPr>
        <w:t xml:space="preserve">has been </w:t>
      </w:r>
      <w:r w:rsidR="00325577" w:rsidRPr="00EA7403">
        <w:rPr>
          <w:rFonts w:ascii="Calibri" w:hAnsi="Calibri" w:cs="Calibri"/>
          <w:sz w:val="22"/>
          <w:szCs w:val="22"/>
        </w:rPr>
        <w:t>hindered</w:t>
      </w:r>
      <w:r w:rsidR="00924EED" w:rsidRPr="00EA7403">
        <w:rPr>
          <w:rFonts w:ascii="Calibri" w:hAnsi="Calibri" w:cs="Calibri"/>
          <w:sz w:val="22"/>
          <w:szCs w:val="22"/>
        </w:rPr>
        <w:t xml:space="preserve"> by the presence of oil or hazardous materials</w:t>
      </w:r>
      <w:r w:rsidR="00325577" w:rsidRPr="00EA7403">
        <w:rPr>
          <w:rFonts w:ascii="Calibri" w:hAnsi="Calibri" w:cs="Calibri"/>
          <w:sz w:val="22"/>
          <w:szCs w:val="22"/>
        </w:rPr>
        <w:t xml:space="preserve">, including, for example and if applicable, </w:t>
      </w:r>
    </w:p>
    <w:p w:rsidR="00E5549C" w:rsidRDefault="00325577" w:rsidP="00EA7403">
      <w:pPr>
        <w:pStyle w:val="ListParagraph"/>
        <w:numPr>
          <w:ilvl w:val="3"/>
          <w:numId w:val="30"/>
        </w:numPr>
        <w:rPr>
          <w:rFonts w:ascii="Calibri" w:hAnsi="Calibri" w:cs="Calibri"/>
          <w:sz w:val="22"/>
          <w:szCs w:val="22"/>
        </w:rPr>
      </w:pPr>
      <w:r>
        <w:rPr>
          <w:rFonts w:ascii="Calibri" w:hAnsi="Calibri" w:cs="Calibri"/>
          <w:sz w:val="22"/>
          <w:szCs w:val="22"/>
        </w:rPr>
        <w:t xml:space="preserve">Evidence that the </w:t>
      </w:r>
      <w:r w:rsidR="00924EED">
        <w:rPr>
          <w:rFonts w:ascii="Calibri" w:hAnsi="Calibri" w:cs="Calibri"/>
          <w:sz w:val="22"/>
          <w:szCs w:val="22"/>
        </w:rPr>
        <w:t xml:space="preserve">property containing the disposal </w:t>
      </w:r>
      <w:r>
        <w:rPr>
          <w:rFonts w:ascii="Calibri" w:hAnsi="Calibri" w:cs="Calibri"/>
          <w:sz w:val="22"/>
          <w:szCs w:val="22"/>
        </w:rPr>
        <w:t xml:space="preserve">site has been </w:t>
      </w:r>
      <w:r w:rsidR="00DF478D" w:rsidRPr="00E7493A">
        <w:rPr>
          <w:rFonts w:ascii="Calibri" w:hAnsi="Calibri" w:cs="Calibri"/>
          <w:sz w:val="22"/>
          <w:szCs w:val="22"/>
        </w:rPr>
        <w:t xml:space="preserve">on the market at fair market value but </w:t>
      </w:r>
      <w:r w:rsidR="00A84702">
        <w:rPr>
          <w:rFonts w:ascii="Calibri" w:hAnsi="Calibri" w:cs="Calibri"/>
          <w:sz w:val="22"/>
          <w:szCs w:val="22"/>
        </w:rPr>
        <w:t>remains</w:t>
      </w:r>
      <w:r w:rsidR="00A84702" w:rsidRPr="00E7493A">
        <w:rPr>
          <w:rFonts w:ascii="Calibri" w:hAnsi="Calibri" w:cs="Calibri"/>
          <w:sz w:val="22"/>
          <w:szCs w:val="22"/>
        </w:rPr>
        <w:t xml:space="preserve"> </w:t>
      </w:r>
      <w:r w:rsidR="00DF478D" w:rsidRPr="00E7493A">
        <w:rPr>
          <w:rFonts w:ascii="Calibri" w:hAnsi="Calibri" w:cs="Calibri"/>
          <w:sz w:val="22"/>
          <w:szCs w:val="22"/>
        </w:rPr>
        <w:t>unsold</w:t>
      </w:r>
      <w:r w:rsidR="00A84702">
        <w:rPr>
          <w:rFonts w:ascii="Calibri" w:hAnsi="Calibri" w:cs="Calibri"/>
          <w:sz w:val="22"/>
          <w:szCs w:val="22"/>
        </w:rPr>
        <w:t>, due to costs</w:t>
      </w:r>
      <w:r w:rsidR="008005FE">
        <w:rPr>
          <w:rFonts w:ascii="Calibri" w:hAnsi="Calibri" w:cs="Calibri"/>
          <w:sz w:val="22"/>
          <w:szCs w:val="22"/>
        </w:rPr>
        <w:t xml:space="preserve"> and other issues</w:t>
      </w:r>
      <w:r w:rsidR="00A84702">
        <w:rPr>
          <w:rFonts w:ascii="Calibri" w:hAnsi="Calibri" w:cs="Calibri"/>
          <w:sz w:val="22"/>
          <w:szCs w:val="22"/>
        </w:rPr>
        <w:t xml:space="preserve"> associated with </w:t>
      </w:r>
      <w:r w:rsidR="00924EED">
        <w:rPr>
          <w:rFonts w:ascii="Calibri" w:hAnsi="Calibri" w:cs="Calibri"/>
          <w:sz w:val="22"/>
          <w:szCs w:val="22"/>
        </w:rPr>
        <w:t>oil or hazardous materials</w:t>
      </w:r>
      <w:r w:rsidR="00924EED" w:rsidDel="00924EED">
        <w:rPr>
          <w:rFonts w:ascii="Calibri" w:hAnsi="Calibri" w:cs="Calibri"/>
          <w:sz w:val="22"/>
          <w:szCs w:val="22"/>
        </w:rPr>
        <w:t xml:space="preserve"> </w:t>
      </w:r>
      <w:r w:rsidR="008005FE">
        <w:rPr>
          <w:rFonts w:ascii="Calibri" w:hAnsi="Calibri" w:cs="Calibri"/>
          <w:sz w:val="22"/>
          <w:szCs w:val="22"/>
        </w:rPr>
        <w:t>present at the site</w:t>
      </w:r>
      <w:r w:rsidR="00DF478D" w:rsidRPr="00E7493A">
        <w:rPr>
          <w:rFonts w:ascii="Calibri" w:hAnsi="Calibri" w:cs="Calibri"/>
          <w:sz w:val="22"/>
          <w:szCs w:val="22"/>
        </w:rPr>
        <w:t>;</w:t>
      </w:r>
      <w:r w:rsidR="00A84702" w:rsidRPr="00A84702">
        <w:rPr>
          <w:rFonts w:ascii="Calibri" w:hAnsi="Calibri" w:cs="Calibri"/>
          <w:sz w:val="22"/>
          <w:szCs w:val="22"/>
        </w:rPr>
        <w:t xml:space="preserve"> </w:t>
      </w:r>
    </w:p>
    <w:p w:rsidR="00E5549C" w:rsidRDefault="00A84702" w:rsidP="00EA7403">
      <w:pPr>
        <w:pStyle w:val="ListParagraph"/>
        <w:numPr>
          <w:ilvl w:val="3"/>
          <w:numId w:val="30"/>
        </w:numPr>
        <w:rPr>
          <w:rFonts w:ascii="Calibri" w:hAnsi="Calibri" w:cs="Calibri"/>
          <w:sz w:val="22"/>
          <w:szCs w:val="22"/>
        </w:rPr>
      </w:pPr>
      <w:r w:rsidRPr="00E7493A">
        <w:rPr>
          <w:rFonts w:ascii="Calibri" w:hAnsi="Calibri" w:cs="Calibri"/>
          <w:sz w:val="22"/>
          <w:szCs w:val="22"/>
        </w:rPr>
        <w:t xml:space="preserve">Evidence </w:t>
      </w:r>
      <w:r>
        <w:rPr>
          <w:rFonts w:ascii="Calibri" w:hAnsi="Calibri" w:cs="Calibri"/>
          <w:sz w:val="22"/>
          <w:szCs w:val="22"/>
        </w:rPr>
        <w:t xml:space="preserve">showing that the owner of the </w:t>
      </w:r>
      <w:r w:rsidR="00924EED">
        <w:rPr>
          <w:rFonts w:ascii="Calibri" w:hAnsi="Calibri" w:cs="Calibri"/>
          <w:sz w:val="22"/>
          <w:szCs w:val="22"/>
        </w:rPr>
        <w:t xml:space="preserve">property containing the disposal </w:t>
      </w:r>
      <w:r>
        <w:rPr>
          <w:rFonts w:ascii="Calibri" w:hAnsi="Calibri" w:cs="Calibri"/>
          <w:sz w:val="22"/>
          <w:szCs w:val="22"/>
        </w:rPr>
        <w:t xml:space="preserve">site has been unable to obtain financing </w:t>
      </w:r>
      <w:r w:rsidR="008005FE">
        <w:rPr>
          <w:rFonts w:ascii="Calibri" w:hAnsi="Calibri" w:cs="Calibri"/>
          <w:sz w:val="22"/>
          <w:szCs w:val="22"/>
        </w:rPr>
        <w:t xml:space="preserve">due to costs and other issues associated with </w:t>
      </w:r>
      <w:r w:rsidR="00924EED">
        <w:rPr>
          <w:rFonts w:ascii="Calibri" w:hAnsi="Calibri" w:cs="Calibri"/>
          <w:sz w:val="22"/>
          <w:szCs w:val="22"/>
        </w:rPr>
        <w:t>oil or hazardous materials</w:t>
      </w:r>
      <w:r w:rsidR="00924EED" w:rsidDel="00924EED">
        <w:rPr>
          <w:rFonts w:ascii="Calibri" w:hAnsi="Calibri" w:cs="Calibri"/>
          <w:sz w:val="22"/>
          <w:szCs w:val="22"/>
        </w:rPr>
        <w:t xml:space="preserve"> </w:t>
      </w:r>
      <w:r w:rsidR="008005FE">
        <w:rPr>
          <w:rFonts w:ascii="Calibri" w:hAnsi="Calibri" w:cs="Calibri"/>
          <w:sz w:val="22"/>
          <w:szCs w:val="22"/>
        </w:rPr>
        <w:t>present at the site</w:t>
      </w:r>
      <w:r w:rsidRPr="00E7493A">
        <w:rPr>
          <w:rFonts w:ascii="Calibri" w:hAnsi="Calibri" w:cs="Calibri"/>
          <w:sz w:val="22"/>
          <w:szCs w:val="22"/>
        </w:rPr>
        <w:t>;</w:t>
      </w:r>
    </w:p>
    <w:p w:rsidR="00E5549C" w:rsidRDefault="00A84702" w:rsidP="00EA7403">
      <w:pPr>
        <w:pStyle w:val="ListParagraph"/>
        <w:numPr>
          <w:ilvl w:val="3"/>
          <w:numId w:val="30"/>
        </w:numPr>
        <w:rPr>
          <w:rFonts w:ascii="Calibri" w:hAnsi="Calibri" w:cs="Calibri"/>
          <w:sz w:val="22"/>
          <w:szCs w:val="22"/>
        </w:rPr>
      </w:pPr>
      <w:r>
        <w:rPr>
          <w:rFonts w:ascii="Calibri" w:hAnsi="Calibri" w:cs="Calibri"/>
          <w:sz w:val="22"/>
          <w:szCs w:val="22"/>
        </w:rPr>
        <w:t>Evidence showing that environmental restrictions or AULs materially hinder redevelopment and reuse of the property;</w:t>
      </w:r>
    </w:p>
    <w:p w:rsidR="00EA7403" w:rsidRDefault="0093473A" w:rsidP="00EA7403">
      <w:pPr>
        <w:pStyle w:val="ListParagraph"/>
        <w:numPr>
          <w:ilvl w:val="3"/>
          <w:numId w:val="30"/>
        </w:numPr>
        <w:rPr>
          <w:rFonts w:ascii="Calibri" w:hAnsi="Calibri" w:cs="Calibri"/>
          <w:sz w:val="22"/>
          <w:szCs w:val="22"/>
        </w:rPr>
      </w:pPr>
      <w:r w:rsidRPr="00E7493A">
        <w:rPr>
          <w:rFonts w:ascii="Calibri" w:hAnsi="Calibri" w:cs="Calibri"/>
          <w:sz w:val="22"/>
          <w:szCs w:val="22"/>
        </w:rPr>
        <w:t>Evidence of the site being abandoned by the current or recent owners</w:t>
      </w:r>
      <w:r>
        <w:rPr>
          <w:rFonts w:ascii="Calibri" w:hAnsi="Calibri" w:cs="Calibri"/>
          <w:sz w:val="22"/>
          <w:szCs w:val="22"/>
        </w:rPr>
        <w:t xml:space="preserve"> due to the presence of </w:t>
      </w:r>
      <w:r w:rsidR="00924EED" w:rsidRPr="00924EED">
        <w:rPr>
          <w:rFonts w:ascii="Calibri" w:hAnsi="Calibri" w:cs="Calibri"/>
          <w:sz w:val="22"/>
          <w:szCs w:val="22"/>
        </w:rPr>
        <w:t xml:space="preserve"> </w:t>
      </w:r>
      <w:r w:rsidR="00924EED">
        <w:rPr>
          <w:rFonts w:ascii="Calibri" w:hAnsi="Calibri" w:cs="Calibri"/>
          <w:sz w:val="22"/>
          <w:szCs w:val="22"/>
        </w:rPr>
        <w:t>oil or hazardous materials</w:t>
      </w:r>
      <w:r>
        <w:rPr>
          <w:rFonts w:ascii="Calibri" w:hAnsi="Calibri" w:cs="Calibri"/>
          <w:sz w:val="22"/>
          <w:szCs w:val="22"/>
        </w:rPr>
        <w:t>;</w:t>
      </w:r>
      <w:r w:rsidR="00325577">
        <w:rPr>
          <w:rFonts w:ascii="Calibri" w:hAnsi="Calibri" w:cs="Calibri"/>
          <w:sz w:val="22"/>
          <w:szCs w:val="22"/>
        </w:rPr>
        <w:t xml:space="preserve"> or</w:t>
      </w:r>
    </w:p>
    <w:p w:rsidR="00EA7403" w:rsidRPr="00EA7403" w:rsidRDefault="00325577" w:rsidP="00EA7403">
      <w:pPr>
        <w:pStyle w:val="ListParagraph"/>
        <w:numPr>
          <w:ilvl w:val="3"/>
          <w:numId w:val="30"/>
        </w:numPr>
        <w:rPr>
          <w:rFonts w:ascii="Calibri" w:hAnsi="Calibri" w:cs="Calibri"/>
          <w:sz w:val="22"/>
          <w:szCs w:val="22"/>
        </w:rPr>
      </w:pPr>
      <w:r w:rsidRPr="00EA7403">
        <w:rPr>
          <w:rFonts w:ascii="Calibri" w:hAnsi="Calibri" w:cs="Calibri"/>
          <w:sz w:val="22"/>
          <w:szCs w:val="22"/>
        </w:rPr>
        <w:t>Any other evidence</w:t>
      </w:r>
    </w:p>
    <w:p w:rsidR="00E5549C" w:rsidRPr="00EA7403" w:rsidRDefault="00EA7403" w:rsidP="00EA7403">
      <w:pPr>
        <w:pStyle w:val="ListParagraph"/>
        <w:numPr>
          <w:ilvl w:val="0"/>
          <w:numId w:val="33"/>
        </w:numPr>
        <w:rPr>
          <w:rFonts w:ascii="Calibri" w:hAnsi="Calibri" w:cs="Calibri"/>
          <w:sz w:val="22"/>
          <w:szCs w:val="22"/>
        </w:rPr>
      </w:pPr>
      <w:r w:rsidRPr="00EA7403">
        <w:rPr>
          <w:rFonts w:ascii="Calibri" w:hAnsi="Calibri" w:cs="Calibri"/>
          <w:sz w:val="22"/>
          <w:szCs w:val="22"/>
        </w:rPr>
        <w:t xml:space="preserve">Evidence showing </w:t>
      </w:r>
      <w:r>
        <w:rPr>
          <w:rFonts w:ascii="Calibri" w:hAnsi="Calibri" w:cs="Calibri"/>
          <w:sz w:val="22"/>
          <w:szCs w:val="22"/>
        </w:rPr>
        <w:t>i</w:t>
      </w:r>
      <w:r w:rsidR="00DF478D" w:rsidRPr="00EA7403">
        <w:rPr>
          <w:rFonts w:ascii="Calibri" w:hAnsi="Calibri" w:cs="Calibri"/>
          <w:sz w:val="22"/>
          <w:szCs w:val="22"/>
        </w:rPr>
        <w:t>f the site is largely undeveloped, evidence as to why the most appropriate reuse of the site is not for it to remain undeveloped, given its natural resource values</w:t>
      </w:r>
      <w:r w:rsidR="0093473A" w:rsidRPr="00EA7403">
        <w:rPr>
          <w:rFonts w:ascii="Calibri" w:hAnsi="Calibri" w:cs="Calibri"/>
          <w:sz w:val="22"/>
          <w:szCs w:val="22"/>
        </w:rPr>
        <w:t xml:space="preserve">. </w:t>
      </w:r>
    </w:p>
    <w:p w:rsidR="0080633B" w:rsidRPr="001C4B30" w:rsidRDefault="0080633B" w:rsidP="001C4B30">
      <w:pPr>
        <w:rPr>
          <w:rFonts w:ascii="Calibri" w:hAnsi="Calibri" w:cs="Calibri"/>
          <w:iCs/>
          <w:sz w:val="22"/>
          <w:szCs w:val="22"/>
        </w:rPr>
      </w:pPr>
    </w:p>
    <w:p w:rsidR="0008208F" w:rsidRPr="00B2769E" w:rsidRDefault="008005FE" w:rsidP="004F1AE0">
      <w:pPr>
        <w:pStyle w:val="ListParagraph"/>
        <w:ind w:left="0" w:firstLine="360"/>
        <w:rPr>
          <w:rFonts w:ascii="Calibri" w:hAnsi="Calibri" w:cs="Calibri"/>
          <w:iCs/>
          <w:sz w:val="22"/>
          <w:szCs w:val="22"/>
        </w:rPr>
      </w:pPr>
      <w:r>
        <w:rPr>
          <w:rFonts w:ascii="Calibri" w:hAnsi="Calibri" w:cs="Calibri"/>
          <w:sz w:val="22"/>
          <w:szCs w:val="22"/>
        </w:rPr>
        <w:t xml:space="preserve">A Pre-Determination Request </w:t>
      </w:r>
      <w:r w:rsidR="001C4B30">
        <w:rPr>
          <w:rFonts w:ascii="Calibri" w:hAnsi="Calibri" w:cs="Calibri"/>
          <w:sz w:val="22"/>
          <w:szCs w:val="22"/>
        </w:rPr>
        <w:t xml:space="preserve">Form and accompanying documentation </w:t>
      </w:r>
      <w:r>
        <w:rPr>
          <w:rFonts w:ascii="Calibri" w:hAnsi="Calibri" w:cs="Calibri"/>
          <w:sz w:val="22"/>
          <w:szCs w:val="22"/>
        </w:rPr>
        <w:t>must be submitted</w:t>
      </w:r>
      <w:r w:rsidR="001F5F34">
        <w:rPr>
          <w:rFonts w:ascii="Calibri" w:hAnsi="Calibri" w:cs="Calibri"/>
          <w:sz w:val="22"/>
          <w:szCs w:val="22"/>
        </w:rPr>
        <w:t xml:space="preserve"> electronically</w:t>
      </w:r>
      <w:r>
        <w:rPr>
          <w:rFonts w:ascii="Calibri" w:hAnsi="Calibri" w:cs="Calibri"/>
          <w:sz w:val="22"/>
          <w:szCs w:val="22"/>
        </w:rPr>
        <w:t xml:space="preserve"> to</w:t>
      </w:r>
      <w:r w:rsidR="0080633B">
        <w:rPr>
          <w:rFonts w:ascii="Calibri" w:hAnsi="Calibri" w:cs="Calibri"/>
          <w:iCs/>
          <w:sz w:val="22"/>
          <w:szCs w:val="22"/>
        </w:rPr>
        <w:t>:</w:t>
      </w:r>
      <w:r w:rsidR="00B2769E">
        <w:rPr>
          <w:rFonts w:ascii="Calibri" w:hAnsi="Calibri" w:cs="Calibri"/>
          <w:iCs/>
          <w:sz w:val="22"/>
          <w:szCs w:val="22"/>
        </w:rPr>
        <w:t xml:space="preserve"> </w:t>
      </w:r>
      <w:r w:rsidR="002B293A">
        <w:rPr>
          <w:rFonts w:ascii="Calibri" w:hAnsi="Calibri" w:cs="Calibri"/>
          <w:iCs/>
          <w:sz w:val="22"/>
          <w:szCs w:val="22"/>
        </w:rPr>
        <w:t>[new email address]</w:t>
      </w:r>
    </w:p>
    <w:p w:rsidR="0080633B" w:rsidRDefault="0080633B" w:rsidP="00A84702">
      <w:pPr>
        <w:pStyle w:val="ListParagraph"/>
        <w:ind w:left="0" w:firstLine="720"/>
        <w:rPr>
          <w:rFonts w:ascii="Calibri" w:hAnsi="Calibri" w:cs="Calibri"/>
          <w:iCs/>
          <w:sz w:val="22"/>
          <w:szCs w:val="22"/>
        </w:rPr>
      </w:pPr>
    </w:p>
    <w:p w:rsidR="00F20AC3" w:rsidRDefault="004F1AE0" w:rsidP="004F1AE0">
      <w:pPr>
        <w:pStyle w:val="ListParagraph"/>
        <w:ind w:left="0" w:firstLine="360"/>
        <w:rPr>
          <w:rFonts w:ascii="Calibri" w:hAnsi="Calibri" w:cs="Calibri"/>
          <w:iCs/>
          <w:sz w:val="22"/>
          <w:szCs w:val="22"/>
        </w:rPr>
      </w:pPr>
      <w:r>
        <w:rPr>
          <w:rFonts w:ascii="Calibri" w:hAnsi="Calibri" w:cs="Calibri"/>
          <w:iCs/>
          <w:sz w:val="22"/>
          <w:szCs w:val="22"/>
        </w:rPr>
        <w:t>The Department</w:t>
      </w:r>
      <w:r w:rsidR="0080633B">
        <w:rPr>
          <w:rFonts w:ascii="Calibri" w:hAnsi="Calibri" w:cs="Calibri"/>
          <w:iCs/>
          <w:sz w:val="22"/>
          <w:szCs w:val="22"/>
        </w:rPr>
        <w:t xml:space="preserve"> will respond to a </w:t>
      </w:r>
      <w:r w:rsidR="006A59EF">
        <w:rPr>
          <w:rFonts w:ascii="Calibri" w:hAnsi="Calibri" w:cs="Calibri"/>
          <w:sz w:val="22"/>
          <w:szCs w:val="22"/>
        </w:rPr>
        <w:t xml:space="preserve">Pre-Determination Request </w:t>
      </w:r>
      <w:r w:rsidR="001C4B30">
        <w:rPr>
          <w:rFonts w:ascii="Calibri" w:hAnsi="Calibri" w:cs="Calibri"/>
          <w:sz w:val="22"/>
          <w:szCs w:val="22"/>
        </w:rPr>
        <w:t xml:space="preserve">Form </w:t>
      </w:r>
      <w:r w:rsidR="0080633B">
        <w:rPr>
          <w:rFonts w:ascii="Calibri" w:hAnsi="Calibri" w:cs="Calibri"/>
          <w:iCs/>
          <w:sz w:val="22"/>
          <w:szCs w:val="22"/>
        </w:rPr>
        <w:t xml:space="preserve">either with a request for additional information, or the issuance of a Brownfield Pre-Determination </w:t>
      </w:r>
      <w:r w:rsidR="008005FE">
        <w:rPr>
          <w:rFonts w:ascii="Calibri" w:hAnsi="Calibri" w:cs="Calibri"/>
          <w:iCs/>
          <w:sz w:val="22"/>
          <w:szCs w:val="22"/>
        </w:rPr>
        <w:t>L</w:t>
      </w:r>
      <w:r w:rsidR="0080633B">
        <w:rPr>
          <w:rFonts w:ascii="Calibri" w:hAnsi="Calibri" w:cs="Calibri"/>
          <w:iCs/>
          <w:sz w:val="22"/>
          <w:szCs w:val="22"/>
        </w:rPr>
        <w:t xml:space="preserve">etter.  </w:t>
      </w:r>
      <w:r w:rsidR="001C4B30">
        <w:rPr>
          <w:rFonts w:ascii="Calibri" w:hAnsi="Calibri" w:cs="Calibri"/>
          <w:iCs/>
          <w:sz w:val="22"/>
          <w:szCs w:val="22"/>
        </w:rPr>
        <w:t xml:space="preserve">Prior to the issuance of a Brownfield Pre-Determination Letter, </w:t>
      </w:r>
      <w:r>
        <w:rPr>
          <w:rFonts w:ascii="Calibri" w:hAnsi="Calibri" w:cs="Calibri"/>
          <w:iCs/>
          <w:sz w:val="22"/>
          <w:szCs w:val="22"/>
        </w:rPr>
        <w:t>the Department</w:t>
      </w:r>
      <w:r w:rsidR="001C4B30">
        <w:rPr>
          <w:rFonts w:ascii="Calibri" w:hAnsi="Calibri" w:cs="Calibri"/>
          <w:iCs/>
          <w:sz w:val="22"/>
          <w:szCs w:val="22"/>
        </w:rPr>
        <w:t xml:space="preserve"> will consult with MassDEP.  </w:t>
      </w:r>
      <w:r w:rsidR="008005FE">
        <w:rPr>
          <w:rFonts w:ascii="Calibri" w:hAnsi="Calibri" w:cs="Calibri"/>
          <w:iCs/>
          <w:sz w:val="22"/>
          <w:szCs w:val="22"/>
        </w:rPr>
        <w:t xml:space="preserve">Generally, </w:t>
      </w:r>
      <w:r>
        <w:rPr>
          <w:rFonts w:ascii="Calibri" w:hAnsi="Calibri" w:cs="Calibri"/>
          <w:iCs/>
          <w:sz w:val="22"/>
          <w:szCs w:val="22"/>
        </w:rPr>
        <w:t>the Department</w:t>
      </w:r>
      <w:r w:rsidR="008005FE">
        <w:rPr>
          <w:rFonts w:ascii="Calibri" w:hAnsi="Calibri" w:cs="Calibri"/>
          <w:iCs/>
          <w:sz w:val="22"/>
          <w:szCs w:val="22"/>
        </w:rPr>
        <w:t xml:space="preserve"> will provide the Brownfield Pre-Determination</w:t>
      </w:r>
      <w:r w:rsidR="006A59EF">
        <w:rPr>
          <w:rFonts w:ascii="Calibri" w:hAnsi="Calibri" w:cs="Calibri"/>
          <w:iCs/>
          <w:sz w:val="22"/>
          <w:szCs w:val="22"/>
        </w:rPr>
        <w:t xml:space="preserve"> Letter</w:t>
      </w:r>
      <w:r w:rsidR="008005FE">
        <w:rPr>
          <w:rFonts w:ascii="Calibri" w:hAnsi="Calibri" w:cs="Calibri"/>
          <w:iCs/>
          <w:sz w:val="22"/>
          <w:szCs w:val="22"/>
        </w:rPr>
        <w:t xml:space="preserve"> within thirty (30) days after receiving a complete </w:t>
      </w:r>
      <w:r w:rsidR="006A59EF">
        <w:rPr>
          <w:rFonts w:ascii="Calibri" w:hAnsi="Calibri" w:cs="Calibri"/>
          <w:sz w:val="22"/>
          <w:szCs w:val="22"/>
        </w:rPr>
        <w:t xml:space="preserve">Pre-Determination Request </w:t>
      </w:r>
      <w:r w:rsidR="001C4B30">
        <w:rPr>
          <w:rFonts w:ascii="Calibri" w:hAnsi="Calibri" w:cs="Calibri"/>
          <w:sz w:val="22"/>
          <w:szCs w:val="22"/>
        </w:rPr>
        <w:t>Form</w:t>
      </w:r>
      <w:r w:rsidR="006A59EF">
        <w:rPr>
          <w:rFonts w:ascii="Calibri" w:hAnsi="Calibri" w:cs="Calibri"/>
          <w:sz w:val="22"/>
          <w:szCs w:val="22"/>
        </w:rPr>
        <w:t xml:space="preserve">, or within thirty (30) days after receiving a complete response to any request by </w:t>
      </w:r>
      <w:r>
        <w:rPr>
          <w:rFonts w:ascii="Calibri" w:hAnsi="Calibri" w:cs="Calibri"/>
          <w:sz w:val="22"/>
          <w:szCs w:val="22"/>
        </w:rPr>
        <w:t>the Department</w:t>
      </w:r>
      <w:r w:rsidR="006A59EF">
        <w:rPr>
          <w:rFonts w:ascii="Calibri" w:hAnsi="Calibri" w:cs="Calibri"/>
          <w:sz w:val="22"/>
          <w:szCs w:val="22"/>
        </w:rPr>
        <w:t xml:space="preserve"> for additional information, whichever is later.  </w:t>
      </w:r>
      <w:r>
        <w:rPr>
          <w:rFonts w:ascii="Calibri" w:hAnsi="Calibri" w:cs="Calibri"/>
          <w:iCs/>
          <w:sz w:val="22"/>
          <w:szCs w:val="22"/>
        </w:rPr>
        <w:t>The Department’s</w:t>
      </w:r>
      <w:r w:rsidR="006A59EF">
        <w:rPr>
          <w:rFonts w:ascii="Calibri" w:hAnsi="Calibri" w:cs="Calibri"/>
          <w:iCs/>
          <w:sz w:val="22"/>
          <w:szCs w:val="22"/>
        </w:rPr>
        <w:t xml:space="preserve"> </w:t>
      </w:r>
      <w:r w:rsidR="006A59EF">
        <w:rPr>
          <w:rFonts w:ascii="Calibri" w:hAnsi="Calibri" w:cs="Calibri"/>
          <w:sz w:val="22"/>
          <w:szCs w:val="22"/>
        </w:rPr>
        <w:t>Brownfield Pre-Determination Letter</w:t>
      </w:r>
      <w:r w:rsidR="006A59EF" w:rsidDel="006A59EF">
        <w:rPr>
          <w:rFonts w:ascii="Calibri" w:hAnsi="Calibri" w:cs="Calibri"/>
          <w:iCs/>
          <w:sz w:val="22"/>
          <w:szCs w:val="22"/>
        </w:rPr>
        <w:t xml:space="preserve"> </w:t>
      </w:r>
      <w:r w:rsidR="0080633B">
        <w:rPr>
          <w:rFonts w:ascii="Calibri" w:hAnsi="Calibri" w:cs="Calibri"/>
          <w:iCs/>
          <w:sz w:val="22"/>
          <w:szCs w:val="22"/>
        </w:rPr>
        <w:t xml:space="preserve">is not a final agency decision, and is not binding on </w:t>
      </w:r>
      <w:r>
        <w:rPr>
          <w:rFonts w:ascii="Calibri" w:hAnsi="Calibri" w:cs="Calibri"/>
          <w:iCs/>
          <w:sz w:val="22"/>
          <w:szCs w:val="22"/>
        </w:rPr>
        <w:t>the Department</w:t>
      </w:r>
      <w:r w:rsidR="0080633B">
        <w:rPr>
          <w:rFonts w:ascii="Calibri" w:hAnsi="Calibri" w:cs="Calibri"/>
          <w:iCs/>
          <w:sz w:val="22"/>
          <w:szCs w:val="22"/>
        </w:rPr>
        <w:t xml:space="preserve"> or MassDEP, and does not give rise to any appeal right under M.G.L. c. 30A, or any other law.  The </w:t>
      </w:r>
      <w:r w:rsidR="008005FE">
        <w:rPr>
          <w:rFonts w:ascii="Calibri" w:hAnsi="Calibri" w:cs="Calibri"/>
          <w:iCs/>
          <w:sz w:val="22"/>
          <w:szCs w:val="22"/>
        </w:rPr>
        <w:t>Brownfield Pre-Determination Letter</w:t>
      </w:r>
      <w:r w:rsidR="0080633B">
        <w:rPr>
          <w:rFonts w:ascii="Calibri" w:hAnsi="Calibri" w:cs="Calibri"/>
          <w:iCs/>
          <w:sz w:val="22"/>
          <w:szCs w:val="22"/>
        </w:rPr>
        <w:t xml:space="preserve"> is based on the information provided to </w:t>
      </w:r>
      <w:r>
        <w:rPr>
          <w:rFonts w:ascii="Calibri" w:hAnsi="Calibri" w:cs="Calibri"/>
          <w:iCs/>
          <w:sz w:val="22"/>
          <w:szCs w:val="22"/>
        </w:rPr>
        <w:t>the Department</w:t>
      </w:r>
      <w:r w:rsidR="0080633B">
        <w:rPr>
          <w:rFonts w:ascii="Calibri" w:hAnsi="Calibri" w:cs="Calibri"/>
          <w:iCs/>
          <w:sz w:val="22"/>
          <w:szCs w:val="22"/>
        </w:rPr>
        <w:t xml:space="preserve"> </w:t>
      </w:r>
      <w:r w:rsidR="008005FE">
        <w:rPr>
          <w:rFonts w:ascii="Calibri" w:hAnsi="Calibri" w:cs="Calibri"/>
          <w:iCs/>
          <w:sz w:val="22"/>
          <w:szCs w:val="22"/>
        </w:rPr>
        <w:t xml:space="preserve">consistent with this </w:t>
      </w:r>
      <w:r w:rsidR="001C4B30">
        <w:rPr>
          <w:rFonts w:ascii="Calibri" w:hAnsi="Calibri" w:cs="Calibri"/>
          <w:iCs/>
          <w:sz w:val="22"/>
          <w:szCs w:val="22"/>
        </w:rPr>
        <w:t>Guideline</w:t>
      </w:r>
      <w:r w:rsidR="0080633B">
        <w:rPr>
          <w:rFonts w:ascii="Calibri" w:hAnsi="Calibri" w:cs="Calibri"/>
          <w:iCs/>
          <w:sz w:val="22"/>
          <w:szCs w:val="22"/>
        </w:rPr>
        <w:t xml:space="preserve">, and </w:t>
      </w:r>
      <w:r>
        <w:rPr>
          <w:rFonts w:ascii="Calibri" w:hAnsi="Calibri" w:cs="Calibri"/>
          <w:iCs/>
          <w:sz w:val="22"/>
          <w:szCs w:val="22"/>
        </w:rPr>
        <w:t>the Department</w:t>
      </w:r>
      <w:r w:rsidR="0080633B">
        <w:rPr>
          <w:rFonts w:ascii="Calibri" w:hAnsi="Calibri" w:cs="Calibri"/>
          <w:iCs/>
          <w:sz w:val="22"/>
          <w:szCs w:val="22"/>
        </w:rPr>
        <w:t xml:space="preserve"> reserves the right to make a different determination in its Statement of Qualification</w:t>
      </w:r>
      <w:r w:rsidR="00A565AD">
        <w:rPr>
          <w:rFonts w:ascii="Calibri" w:hAnsi="Calibri" w:cs="Calibri"/>
          <w:iCs/>
          <w:sz w:val="22"/>
          <w:szCs w:val="22"/>
        </w:rPr>
        <w:t xml:space="preserve"> should information provided to </w:t>
      </w:r>
      <w:r>
        <w:rPr>
          <w:rFonts w:ascii="Calibri" w:hAnsi="Calibri" w:cs="Calibri"/>
          <w:iCs/>
          <w:sz w:val="22"/>
          <w:szCs w:val="22"/>
        </w:rPr>
        <w:t>the Department</w:t>
      </w:r>
      <w:r w:rsidR="00A565AD">
        <w:rPr>
          <w:rFonts w:ascii="Calibri" w:hAnsi="Calibri" w:cs="Calibri"/>
          <w:iCs/>
          <w:sz w:val="22"/>
          <w:szCs w:val="22"/>
        </w:rPr>
        <w:t xml:space="preserve"> in connection with a Pre-Determination Request prove to be materially inaccurate or incomplete</w:t>
      </w:r>
      <w:r w:rsidR="0080633B">
        <w:rPr>
          <w:rFonts w:ascii="Calibri" w:hAnsi="Calibri" w:cs="Calibri"/>
          <w:iCs/>
          <w:sz w:val="22"/>
          <w:szCs w:val="22"/>
        </w:rPr>
        <w:t>.</w:t>
      </w:r>
      <w:r w:rsidR="00300AC0">
        <w:rPr>
          <w:rFonts w:ascii="Calibri" w:hAnsi="Calibri" w:cs="Calibri"/>
          <w:iCs/>
          <w:sz w:val="22"/>
          <w:szCs w:val="22"/>
        </w:rPr>
        <w:t xml:space="preserve"> A sample Pre-Determination Letter can be found in Attachment B.</w:t>
      </w:r>
    </w:p>
    <w:p w:rsidR="00B102EE" w:rsidRPr="00B102EE" w:rsidRDefault="00B102EE" w:rsidP="00B102EE">
      <w:pPr>
        <w:rPr>
          <w:rFonts w:ascii="Calibri" w:hAnsi="Calibri" w:cs="Calibri"/>
          <w:iCs/>
          <w:sz w:val="22"/>
          <w:szCs w:val="22"/>
        </w:rPr>
        <w:sectPr w:rsidR="00B102EE" w:rsidRPr="00B102EE" w:rsidSect="005064C8">
          <w:footerReference w:type="even" r:id="rId10"/>
          <w:footerReference w:type="default" r:id="rId11"/>
          <w:pgSz w:w="12240" w:h="15840" w:code="1"/>
          <w:pgMar w:top="1440" w:right="1440" w:bottom="1440" w:left="1440" w:header="72" w:footer="288" w:gutter="0"/>
          <w:pgNumType w:start="1"/>
          <w:cols w:space="720"/>
          <w:docGrid w:linePitch="326"/>
        </w:sectPr>
      </w:pPr>
    </w:p>
    <w:p w:rsidR="00B102EE" w:rsidRPr="00B102EE" w:rsidRDefault="00B102EE" w:rsidP="00B102EE">
      <w:pPr>
        <w:rPr>
          <w:rFonts w:ascii="Calibri" w:hAnsi="Calibri" w:cs="Calibri"/>
          <w:iCs/>
          <w:sz w:val="22"/>
          <w:szCs w:val="22"/>
        </w:rPr>
      </w:pPr>
    </w:p>
    <w:p w:rsidR="00E340D7" w:rsidRPr="005064C8" w:rsidRDefault="001C4B30" w:rsidP="00B102EE">
      <w:pPr>
        <w:pStyle w:val="ListParagraph"/>
        <w:ind w:left="0" w:firstLine="720"/>
        <w:jc w:val="center"/>
        <w:rPr>
          <w:rFonts w:ascii="Calibri" w:hAnsi="Calibri" w:cs="Calibri"/>
          <w:b/>
          <w:iCs/>
        </w:rPr>
      </w:pPr>
      <w:r w:rsidRPr="005064C8">
        <w:rPr>
          <w:rFonts w:ascii="Calibri" w:hAnsi="Calibri" w:cs="Calibri"/>
          <w:b/>
          <w:iCs/>
        </w:rPr>
        <w:t>ATTACHMENT A</w:t>
      </w:r>
      <w:r w:rsidR="00F20AC3" w:rsidRPr="005064C8">
        <w:rPr>
          <w:rFonts w:ascii="Calibri" w:hAnsi="Calibri" w:cs="Calibri"/>
          <w:b/>
          <w:iCs/>
        </w:rPr>
        <w:t>: Pre-Determination Request Form</w:t>
      </w:r>
    </w:p>
    <w:tbl>
      <w:tblPr>
        <w:tblW w:w="10620" w:type="dxa"/>
        <w:tblInd w:w="-540" w:type="dxa"/>
        <w:tblLayout w:type="fixed"/>
        <w:tblCellMar>
          <w:left w:w="0" w:type="dxa"/>
          <w:right w:w="0" w:type="dxa"/>
        </w:tblCellMar>
        <w:tblLook w:val="0000" w:firstRow="0" w:lastRow="0" w:firstColumn="0" w:lastColumn="0" w:noHBand="0" w:noVBand="0"/>
      </w:tblPr>
      <w:tblGrid>
        <w:gridCol w:w="1080"/>
        <w:gridCol w:w="360"/>
        <w:gridCol w:w="1530"/>
        <w:gridCol w:w="540"/>
        <w:gridCol w:w="630"/>
        <w:gridCol w:w="324"/>
        <w:gridCol w:w="1746"/>
        <w:gridCol w:w="540"/>
        <w:gridCol w:w="90"/>
        <w:gridCol w:w="540"/>
        <w:gridCol w:w="1080"/>
        <w:gridCol w:w="630"/>
        <w:gridCol w:w="90"/>
        <w:gridCol w:w="1440"/>
      </w:tblGrid>
      <w:tr w:rsidR="0023792B" w:rsidRPr="00D40267" w:rsidTr="00741B6C">
        <w:trPr>
          <w:cantSplit/>
          <w:trHeight w:val="963"/>
          <w:tblHeader/>
        </w:trPr>
        <w:tc>
          <w:tcPr>
            <w:tcW w:w="1440" w:type="dxa"/>
            <w:gridSpan w:val="2"/>
            <w:tcBorders>
              <w:bottom w:val="single" w:sz="4" w:space="0" w:color="auto"/>
            </w:tcBorders>
          </w:tcPr>
          <w:p w:rsidR="0023792B" w:rsidRDefault="00B32E31" w:rsidP="00043845">
            <w:pPr>
              <w:pStyle w:val="text"/>
            </w:pPr>
            <w:r>
              <w:rPr>
                <w:noProof/>
              </w:rPr>
              <w:drawing>
                <wp:inline distT="0" distB="0" distL="0" distR="0">
                  <wp:extent cx="755334" cy="572770"/>
                  <wp:effectExtent l="0" t="0" r="6666" b="0"/>
                  <wp:docPr id="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2" cstate="print"/>
                          <a:srcRect/>
                          <a:stretch>
                            <a:fillRect/>
                          </a:stretch>
                        </pic:blipFill>
                        <pic:spPr bwMode="auto">
                          <a:xfrm>
                            <a:off x="0" y="0"/>
                            <a:ext cx="755334" cy="572770"/>
                          </a:xfrm>
                          <a:prstGeom prst="roundRect">
                            <a:avLst/>
                          </a:prstGeom>
                          <a:noFill/>
                          <a:ln w="9525">
                            <a:noFill/>
                            <a:miter lim="800000"/>
                            <a:headEnd/>
                            <a:tailEnd/>
                          </a:ln>
                        </pic:spPr>
                      </pic:pic>
                    </a:graphicData>
                  </a:graphic>
                </wp:inline>
              </w:drawing>
            </w:r>
          </w:p>
        </w:tc>
        <w:tc>
          <w:tcPr>
            <w:tcW w:w="7740" w:type="dxa"/>
            <w:gridSpan w:val="11"/>
            <w:tcBorders>
              <w:bottom w:val="single" w:sz="4" w:space="0" w:color="auto"/>
            </w:tcBorders>
            <w:vAlign w:val="center"/>
          </w:tcPr>
          <w:p w:rsidR="0023792B" w:rsidRPr="00D40267" w:rsidRDefault="0023792B" w:rsidP="00043845">
            <w:pPr>
              <w:pStyle w:val="head2upd"/>
              <w:rPr>
                <w:szCs w:val="24"/>
              </w:rPr>
            </w:pPr>
            <w:r w:rsidRPr="00D40267">
              <w:rPr>
                <w:szCs w:val="24"/>
              </w:rPr>
              <w:t>Massachusetts Departm</w:t>
            </w:r>
            <w:r>
              <w:rPr>
                <w:szCs w:val="24"/>
              </w:rPr>
              <w:t>ent of Energy Resources (DOER) and Massachusetts Department of Environmental Protection (MassDEP)</w:t>
            </w:r>
          </w:p>
          <w:p w:rsidR="00940EF4" w:rsidRPr="00726DC0" w:rsidRDefault="0023792B" w:rsidP="00D5113E">
            <w:pPr>
              <w:pStyle w:val="head2upd"/>
              <w:rPr>
                <w:b w:val="0"/>
                <w:szCs w:val="24"/>
              </w:rPr>
            </w:pPr>
            <w:r w:rsidRPr="00726DC0">
              <w:rPr>
                <w:b w:val="0"/>
                <w:szCs w:val="24"/>
              </w:rPr>
              <w:t>“Brownfield Pre-Determination Request Form</w:t>
            </w:r>
            <w:r w:rsidR="001C4B30">
              <w:rPr>
                <w:b w:val="0"/>
                <w:szCs w:val="24"/>
              </w:rPr>
              <w:t>”</w:t>
            </w:r>
            <w:r w:rsidRPr="00726DC0">
              <w:rPr>
                <w:b w:val="0"/>
                <w:szCs w:val="24"/>
              </w:rPr>
              <w:t xml:space="preserve"> (225 CMR </w:t>
            </w:r>
            <w:r w:rsidR="001740D2">
              <w:rPr>
                <w:b w:val="0"/>
                <w:szCs w:val="24"/>
              </w:rPr>
              <w:t>20</w:t>
            </w:r>
            <w:r w:rsidRPr="00726DC0">
              <w:rPr>
                <w:b w:val="0"/>
                <w:szCs w:val="24"/>
              </w:rPr>
              <w:t>.</w:t>
            </w:r>
            <w:r w:rsidR="00D5113E" w:rsidRPr="00726DC0">
              <w:rPr>
                <w:b w:val="0"/>
                <w:szCs w:val="24"/>
              </w:rPr>
              <w:t>0</w:t>
            </w:r>
            <w:r w:rsidR="00D5113E">
              <w:rPr>
                <w:b w:val="0"/>
                <w:szCs w:val="24"/>
              </w:rPr>
              <w:t>0</w:t>
            </w:r>
            <w:r w:rsidRPr="00726DC0">
              <w:rPr>
                <w:b w:val="0"/>
                <w:szCs w:val="24"/>
              </w:rPr>
              <w:t>)</w:t>
            </w:r>
          </w:p>
        </w:tc>
        <w:bookmarkStart w:id="1" w:name="_MON_1057575422"/>
        <w:bookmarkStart w:id="2" w:name="_MON_1001748746"/>
        <w:bookmarkStart w:id="3" w:name="_MON_1011269749"/>
        <w:bookmarkStart w:id="4" w:name="_MON_1043561361"/>
        <w:bookmarkStart w:id="5" w:name="_MON_1043561615"/>
        <w:bookmarkEnd w:id="1"/>
        <w:bookmarkEnd w:id="2"/>
        <w:bookmarkEnd w:id="3"/>
        <w:bookmarkEnd w:id="4"/>
        <w:bookmarkEnd w:id="5"/>
        <w:bookmarkStart w:id="6" w:name="_MON_1053161128"/>
        <w:bookmarkEnd w:id="6"/>
        <w:tc>
          <w:tcPr>
            <w:tcW w:w="1440" w:type="dxa"/>
            <w:tcBorders>
              <w:bottom w:val="single" w:sz="4" w:space="0" w:color="auto"/>
            </w:tcBorders>
          </w:tcPr>
          <w:p w:rsidR="0023792B" w:rsidRPr="00D40267" w:rsidRDefault="0023792B" w:rsidP="00043845">
            <w:pPr>
              <w:jc w:val="right"/>
            </w:pPr>
            <w: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pt" o:ole="" fillcolor="window">
                  <v:imagedata r:id="rId13" o:title=""/>
                </v:shape>
                <o:OLEObject Type="Embed" ProgID="Word.Picture.8" ShapeID="_x0000_i1025" DrawAspect="Content" ObjectID="_1577032883" r:id="rId14"/>
              </w:object>
            </w:r>
          </w:p>
        </w:tc>
      </w:tr>
      <w:tr w:rsidR="0023792B" w:rsidRPr="00726DC0" w:rsidTr="00741B6C">
        <w:trPr>
          <w:cantSplit/>
          <w:trHeight w:hRule="exact" w:val="324"/>
        </w:trPr>
        <w:tc>
          <w:tcPr>
            <w:tcW w:w="10620" w:type="dxa"/>
            <w:gridSpan w:val="14"/>
            <w:tcBorders>
              <w:top w:val="single" w:sz="4" w:space="0" w:color="auto"/>
            </w:tcBorders>
            <w:shd w:val="clear" w:color="auto" w:fill="C0C0C0"/>
            <w:vAlign w:val="center"/>
          </w:tcPr>
          <w:p w:rsidR="00940EF4" w:rsidRPr="00726DC0" w:rsidRDefault="0023792B">
            <w:pPr>
              <w:pStyle w:val="head2"/>
              <w:rPr>
                <w:rFonts w:asciiTheme="minorHAnsi" w:hAnsiTheme="minorHAnsi" w:cstheme="minorHAnsi"/>
                <w:sz w:val="22"/>
                <w:szCs w:val="22"/>
              </w:rPr>
            </w:pPr>
            <w:r w:rsidRPr="00726DC0">
              <w:rPr>
                <w:rFonts w:asciiTheme="minorHAnsi" w:hAnsiTheme="minorHAnsi" w:cstheme="minorHAnsi"/>
                <w:sz w:val="22"/>
                <w:szCs w:val="22"/>
              </w:rPr>
              <w:t xml:space="preserve">A. </w:t>
            </w:r>
            <w:r w:rsidR="00043845" w:rsidRPr="00726DC0">
              <w:rPr>
                <w:rFonts w:asciiTheme="minorHAnsi" w:hAnsiTheme="minorHAnsi" w:cstheme="minorHAnsi"/>
                <w:sz w:val="22"/>
                <w:szCs w:val="22"/>
              </w:rPr>
              <w:t xml:space="preserve">Name of Entity that will Apply For Statement of Qualifications under </w:t>
            </w:r>
            <w:r w:rsidRPr="00726DC0">
              <w:rPr>
                <w:rFonts w:asciiTheme="minorHAnsi" w:hAnsiTheme="minorHAnsi" w:cstheme="minorHAnsi"/>
                <w:sz w:val="22"/>
                <w:szCs w:val="22"/>
              </w:rPr>
              <w:t>225 CMR 14.06(</w:t>
            </w:r>
            <w:r w:rsidR="00043845" w:rsidRPr="00726DC0">
              <w:rPr>
                <w:rFonts w:asciiTheme="minorHAnsi" w:hAnsiTheme="minorHAnsi" w:cstheme="minorHAnsi"/>
                <w:sz w:val="22"/>
                <w:szCs w:val="22"/>
              </w:rPr>
              <w:t>1</w:t>
            </w:r>
            <w:r w:rsidRPr="00726DC0">
              <w:rPr>
                <w:rFonts w:asciiTheme="minorHAnsi" w:hAnsiTheme="minorHAnsi" w:cstheme="minorHAnsi"/>
                <w:sz w:val="22"/>
                <w:szCs w:val="22"/>
              </w:rPr>
              <w:t xml:space="preserve">) </w:t>
            </w:r>
            <w:r w:rsidRPr="00726DC0">
              <w:rPr>
                <w:rFonts w:asciiTheme="minorHAnsi" w:hAnsiTheme="minorHAnsi" w:cstheme="minorHAnsi"/>
                <w:b w:val="0"/>
                <w:sz w:val="22"/>
                <w:szCs w:val="22"/>
              </w:rPr>
              <w:t>(please print)</w:t>
            </w:r>
          </w:p>
        </w:tc>
      </w:tr>
      <w:tr w:rsidR="0023792B" w:rsidTr="00043845">
        <w:trPr>
          <w:cantSplit/>
          <w:trHeight w:hRule="exact" w:val="480"/>
        </w:trPr>
        <w:tc>
          <w:tcPr>
            <w:tcW w:w="10620" w:type="dxa"/>
            <w:gridSpan w:val="14"/>
          </w:tcPr>
          <w:p w:rsidR="0023792B" w:rsidRPr="00B102EE" w:rsidRDefault="0023792B" w:rsidP="00043845">
            <w:pPr>
              <w:pStyle w:val="texthang"/>
              <w:rPr>
                <w:rFonts w:asciiTheme="minorHAnsi" w:hAnsiTheme="minorHAnsi" w:cstheme="minorHAnsi"/>
              </w:rPr>
            </w:pPr>
            <w:r w:rsidRPr="00B102EE">
              <w:rPr>
                <w:rFonts w:asciiTheme="minorHAnsi" w:hAnsiTheme="minorHAnsi" w:cstheme="minorHAnsi"/>
              </w:rPr>
              <w:tab/>
            </w:r>
          </w:p>
          <w:p w:rsidR="0023792B" w:rsidRPr="00B102EE" w:rsidRDefault="00726DC0" w:rsidP="00043845">
            <w:pPr>
              <w:pStyle w:val="bars24"/>
              <w:rPr>
                <w:rFonts w:asciiTheme="minorHAnsi" w:hAnsiTheme="minorHAnsi" w:cstheme="minorHAnsi"/>
                <w:sz w:val="20"/>
              </w:rPr>
            </w:pPr>
            <w:r w:rsidRPr="00B102EE">
              <w:rPr>
                <w:rFonts w:asciiTheme="minorHAnsi" w:hAnsiTheme="minorHAnsi" w:cstheme="minorHAnsi"/>
                <w:sz w:val="20"/>
              </w:rPr>
              <w:t>Name of Applicant</w:t>
            </w:r>
          </w:p>
        </w:tc>
      </w:tr>
      <w:tr w:rsidR="00463EC6" w:rsidTr="00701AB3">
        <w:trPr>
          <w:cantSplit/>
          <w:trHeight w:hRule="exact" w:val="549"/>
        </w:trPr>
        <w:tc>
          <w:tcPr>
            <w:tcW w:w="10620" w:type="dxa"/>
            <w:gridSpan w:val="14"/>
          </w:tcPr>
          <w:p w:rsidR="00463EC6" w:rsidRPr="00B102EE" w:rsidRDefault="00463EC6" w:rsidP="00323B81">
            <w:pPr>
              <w:pStyle w:val="texthang"/>
              <w:rPr>
                <w:rFonts w:asciiTheme="minorHAnsi" w:hAnsiTheme="minorHAnsi" w:cstheme="minorHAnsi"/>
              </w:rPr>
            </w:pPr>
            <w:r w:rsidRPr="00B102EE">
              <w:rPr>
                <w:rFonts w:asciiTheme="minorHAnsi" w:hAnsiTheme="minorHAnsi" w:cstheme="minorHAnsi"/>
              </w:rPr>
              <w:tab/>
            </w:r>
          </w:p>
          <w:p w:rsidR="00463EC6" w:rsidRPr="00B102EE" w:rsidRDefault="00463EC6" w:rsidP="00323B81">
            <w:pPr>
              <w:pStyle w:val="bars24"/>
              <w:rPr>
                <w:rFonts w:asciiTheme="minorHAnsi" w:hAnsiTheme="minorHAnsi" w:cstheme="minorHAnsi"/>
                <w:sz w:val="20"/>
              </w:rPr>
            </w:pPr>
            <w:r w:rsidRPr="00B102EE">
              <w:rPr>
                <w:rFonts w:asciiTheme="minorHAnsi" w:hAnsiTheme="minorHAnsi" w:cstheme="minorHAnsi"/>
                <w:sz w:val="20"/>
              </w:rPr>
              <w:t xml:space="preserve">Company Name (if applicable) </w:t>
            </w:r>
          </w:p>
        </w:tc>
      </w:tr>
      <w:tr w:rsidR="00463EC6" w:rsidTr="001468F3">
        <w:trPr>
          <w:cantSplit/>
          <w:trHeight w:hRule="exact" w:val="513"/>
        </w:trPr>
        <w:tc>
          <w:tcPr>
            <w:tcW w:w="10620" w:type="dxa"/>
            <w:gridSpan w:val="14"/>
            <w:vAlign w:val="bottom"/>
          </w:tcPr>
          <w:p w:rsidR="00B102EE" w:rsidRPr="00B102EE" w:rsidRDefault="00463EC6" w:rsidP="00B102EE">
            <w:pPr>
              <w:pStyle w:val="texthang"/>
              <w:rPr>
                <w:rFonts w:asciiTheme="minorHAnsi" w:hAnsiTheme="minorHAnsi" w:cstheme="minorHAnsi"/>
              </w:rPr>
            </w:pPr>
            <w:r w:rsidRPr="00B102EE">
              <w:rPr>
                <w:rFonts w:asciiTheme="minorHAnsi" w:hAnsiTheme="minorHAnsi" w:cstheme="minorHAnsi"/>
              </w:rPr>
              <w:tab/>
              <w:t>Type of Entity:</w:t>
            </w:r>
          </w:p>
          <w:p w:rsidR="00463EC6" w:rsidRPr="00B102EE" w:rsidRDefault="001A615D" w:rsidP="001468F3">
            <w:pPr>
              <w:pStyle w:val="bars24"/>
              <w:rPr>
                <w:rFonts w:asciiTheme="minorHAnsi" w:hAnsiTheme="minorHAnsi" w:cstheme="minorHAnsi"/>
                <w:sz w:val="18"/>
                <w:szCs w:val="18"/>
              </w:rPr>
            </w:pPr>
            <w:r w:rsidRPr="00B102EE">
              <w:rPr>
                <w:rFonts w:asciiTheme="minorHAnsi" w:hAnsiTheme="minorHAnsi" w:cstheme="minorHAnsi"/>
                <w:sz w:val="18"/>
                <w:szCs w:val="18"/>
              </w:rPr>
              <w:fldChar w:fldCharType="begin">
                <w:ffData>
                  <w:name w:val="Check5"/>
                  <w:enabled/>
                  <w:calcOnExit w:val="0"/>
                  <w:checkBox>
                    <w:sizeAuto/>
                    <w:default w:val="0"/>
                  </w:checkBox>
                </w:ffData>
              </w:fldChar>
            </w:r>
            <w:bookmarkStart w:id="7" w:name="Check5"/>
            <w:r w:rsidR="00C77025"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bookmarkEnd w:id="7"/>
            <w:r w:rsidR="00463EC6" w:rsidRPr="00B102EE">
              <w:rPr>
                <w:rFonts w:asciiTheme="minorHAnsi" w:hAnsiTheme="minorHAnsi" w:cstheme="minorHAnsi"/>
                <w:sz w:val="18"/>
                <w:szCs w:val="18"/>
              </w:rPr>
              <w:t xml:space="preserve"> Corp. </w:t>
            </w:r>
            <w:r w:rsidRPr="00B102EE">
              <w:rPr>
                <w:rFonts w:asciiTheme="minorHAnsi" w:hAnsiTheme="minorHAnsi" w:cstheme="minorHAnsi"/>
                <w:sz w:val="18"/>
                <w:szCs w:val="18"/>
              </w:rPr>
              <w:fldChar w:fldCharType="begin">
                <w:ffData>
                  <w:name w:val="Check5"/>
                  <w:enabled/>
                  <w:calcOnExit w:val="0"/>
                  <w:checkBox>
                    <w:sizeAuto/>
                    <w:default w:val="0"/>
                  </w:checkBox>
                </w:ffData>
              </w:fldChar>
            </w:r>
            <w:r w:rsidR="00463EC6"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r w:rsidR="00463EC6" w:rsidRPr="00B102EE">
              <w:rPr>
                <w:rFonts w:asciiTheme="minorHAnsi" w:hAnsiTheme="minorHAnsi" w:cstheme="minorHAnsi"/>
                <w:sz w:val="18"/>
                <w:szCs w:val="18"/>
              </w:rPr>
              <w:t xml:space="preserve"> Trust </w:t>
            </w:r>
            <w:r w:rsidRPr="00B102EE">
              <w:rPr>
                <w:rFonts w:asciiTheme="minorHAnsi" w:hAnsiTheme="minorHAnsi" w:cstheme="minorHAnsi"/>
                <w:sz w:val="18"/>
                <w:szCs w:val="18"/>
              </w:rPr>
              <w:fldChar w:fldCharType="begin">
                <w:ffData>
                  <w:name w:val="Check5"/>
                  <w:enabled/>
                  <w:calcOnExit w:val="0"/>
                  <w:checkBox>
                    <w:sizeAuto/>
                    <w:default w:val="0"/>
                  </w:checkBox>
                </w:ffData>
              </w:fldChar>
            </w:r>
            <w:r w:rsidR="00463EC6"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r w:rsidR="00463EC6" w:rsidRPr="00B102EE">
              <w:rPr>
                <w:rFonts w:asciiTheme="minorHAnsi" w:hAnsiTheme="minorHAnsi" w:cstheme="minorHAnsi"/>
                <w:sz w:val="18"/>
                <w:szCs w:val="18"/>
              </w:rPr>
              <w:t xml:space="preserve"> Partnership </w:t>
            </w:r>
            <w:r w:rsidRPr="00B102EE">
              <w:rPr>
                <w:rFonts w:asciiTheme="minorHAnsi" w:hAnsiTheme="minorHAnsi" w:cstheme="minorHAnsi"/>
                <w:sz w:val="18"/>
                <w:szCs w:val="18"/>
              </w:rPr>
              <w:fldChar w:fldCharType="begin">
                <w:ffData>
                  <w:name w:val="Check5"/>
                  <w:enabled/>
                  <w:calcOnExit w:val="0"/>
                  <w:checkBox>
                    <w:sizeAuto/>
                    <w:default w:val="0"/>
                  </w:checkBox>
                </w:ffData>
              </w:fldChar>
            </w:r>
            <w:r w:rsidR="00463EC6"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r w:rsidR="00463EC6" w:rsidRPr="00B102EE">
              <w:rPr>
                <w:rFonts w:asciiTheme="minorHAnsi" w:hAnsiTheme="minorHAnsi" w:cstheme="minorHAnsi"/>
                <w:sz w:val="18"/>
                <w:szCs w:val="18"/>
              </w:rPr>
              <w:t xml:space="preserve"> LLC </w:t>
            </w:r>
            <w:r w:rsidRPr="00B102EE">
              <w:rPr>
                <w:rFonts w:asciiTheme="minorHAnsi" w:hAnsiTheme="minorHAnsi" w:cstheme="minorHAnsi"/>
                <w:sz w:val="18"/>
                <w:szCs w:val="18"/>
              </w:rPr>
              <w:fldChar w:fldCharType="begin">
                <w:ffData>
                  <w:name w:val="Check5"/>
                  <w:enabled/>
                  <w:calcOnExit w:val="0"/>
                  <w:checkBox>
                    <w:sizeAuto/>
                    <w:default w:val="0"/>
                  </w:checkBox>
                </w:ffData>
              </w:fldChar>
            </w:r>
            <w:r w:rsidR="00463EC6"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r w:rsidR="00463EC6" w:rsidRPr="00B102EE">
              <w:rPr>
                <w:rFonts w:asciiTheme="minorHAnsi" w:hAnsiTheme="minorHAnsi" w:cstheme="minorHAnsi"/>
                <w:sz w:val="18"/>
                <w:szCs w:val="18"/>
              </w:rPr>
              <w:t xml:space="preserve"> Nonprofit </w:t>
            </w:r>
            <w:r w:rsidRPr="00B102EE">
              <w:rPr>
                <w:rFonts w:asciiTheme="minorHAnsi" w:hAnsiTheme="minorHAnsi" w:cstheme="minorHAnsi"/>
                <w:sz w:val="18"/>
                <w:szCs w:val="18"/>
              </w:rPr>
              <w:fldChar w:fldCharType="begin">
                <w:ffData>
                  <w:name w:val="Check5"/>
                  <w:enabled/>
                  <w:calcOnExit w:val="0"/>
                  <w:checkBox>
                    <w:sizeAuto/>
                    <w:default w:val="0"/>
                  </w:checkBox>
                </w:ffData>
              </w:fldChar>
            </w:r>
            <w:r w:rsidR="00701AB3" w:rsidRPr="00B102EE">
              <w:rPr>
                <w:rFonts w:asciiTheme="minorHAnsi" w:hAnsiTheme="minorHAnsi" w:cstheme="minorHAnsi"/>
                <w:sz w:val="18"/>
                <w:szCs w:val="18"/>
              </w:rPr>
              <w:instrText xml:space="preserve"> FORMCHECKBOX </w:instrText>
            </w:r>
            <w:r w:rsidR="00111D82">
              <w:rPr>
                <w:rFonts w:asciiTheme="minorHAnsi" w:hAnsiTheme="minorHAnsi" w:cstheme="minorHAnsi"/>
                <w:sz w:val="18"/>
                <w:szCs w:val="18"/>
              </w:rPr>
            </w:r>
            <w:r w:rsidR="00111D82">
              <w:rPr>
                <w:rFonts w:asciiTheme="minorHAnsi" w:hAnsiTheme="minorHAnsi" w:cstheme="minorHAnsi"/>
                <w:sz w:val="18"/>
                <w:szCs w:val="18"/>
              </w:rPr>
              <w:fldChar w:fldCharType="separate"/>
            </w:r>
            <w:r w:rsidRPr="00B102EE">
              <w:rPr>
                <w:rFonts w:asciiTheme="minorHAnsi" w:hAnsiTheme="minorHAnsi" w:cstheme="minorHAnsi"/>
                <w:sz w:val="18"/>
                <w:szCs w:val="18"/>
              </w:rPr>
              <w:fldChar w:fldCharType="end"/>
            </w:r>
            <w:r w:rsidR="00463EC6" w:rsidRPr="00B102EE">
              <w:rPr>
                <w:rFonts w:asciiTheme="minorHAnsi" w:hAnsiTheme="minorHAnsi" w:cstheme="minorHAnsi"/>
                <w:sz w:val="18"/>
                <w:szCs w:val="18"/>
              </w:rPr>
              <w:t xml:space="preserve"> Other: </w:t>
            </w:r>
          </w:p>
          <w:p w:rsidR="00463EC6" w:rsidRPr="00B102EE" w:rsidRDefault="00463EC6" w:rsidP="001468F3">
            <w:pPr>
              <w:pStyle w:val="texthang"/>
              <w:rPr>
                <w:rFonts w:asciiTheme="minorHAnsi" w:hAnsiTheme="minorHAnsi" w:cstheme="minorHAnsi"/>
              </w:rPr>
            </w:pPr>
            <w:r w:rsidRPr="00B102EE">
              <w:rPr>
                <w:rFonts w:asciiTheme="minorHAnsi" w:hAnsiTheme="minorHAnsi" w:cstheme="minorHAnsi"/>
              </w:rPr>
              <w:t>Type of Entity</w:t>
            </w:r>
          </w:p>
          <w:p w:rsidR="00463EC6" w:rsidRPr="00B102EE" w:rsidRDefault="00463EC6" w:rsidP="001468F3">
            <w:pPr>
              <w:pStyle w:val="texthang"/>
              <w:rPr>
                <w:rFonts w:asciiTheme="minorHAnsi" w:hAnsiTheme="minorHAnsi" w:cstheme="minorHAnsi"/>
              </w:rPr>
            </w:pPr>
            <w:r w:rsidRPr="00B102EE">
              <w:rPr>
                <w:rFonts w:asciiTheme="minorHAnsi" w:hAnsiTheme="minorHAnsi" w:cstheme="minorHAnsi"/>
              </w:rPr>
              <w:t xml:space="preserve">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Corp.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Trust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Partnership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LLC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Nonprofit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OtherPartnership</w:t>
            </w:r>
          </w:p>
        </w:tc>
      </w:tr>
      <w:tr w:rsidR="00463EC6" w:rsidTr="00463EC6">
        <w:trPr>
          <w:cantSplit/>
          <w:trHeight w:hRule="exact" w:val="604"/>
        </w:trPr>
        <w:tc>
          <w:tcPr>
            <w:tcW w:w="4464" w:type="dxa"/>
            <w:gridSpan w:val="6"/>
          </w:tcPr>
          <w:p w:rsidR="00463EC6" w:rsidRPr="00B102EE" w:rsidRDefault="00463EC6" w:rsidP="00323B81">
            <w:pPr>
              <w:pStyle w:val="texthang"/>
              <w:rPr>
                <w:rFonts w:asciiTheme="minorHAnsi" w:hAnsiTheme="minorHAnsi" w:cstheme="minorHAnsi"/>
              </w:rPr>
            </w:pPr>
            <w:r w:rsidRPr="00B102EE">
              <w:rPr>
                <w:rFonts w:asciiTheme="minorHAnsi" w:hAnsiTheme="minorHAnsi" w:cstheme="minorHAnsi"/>
              </w:rPr>
              <w:tab/>
            </w:r>
          </w:p>
          <w:p w:rsidR="00463EC6" w:rsidRPr="00B102EE" w:rsidRDefault="00463EC6" w:rsidP="00323B81">
            <w:pPr>
              <w:pStyle w:val="bars24"/>
              <w:rPr>
                <w:rFonts w:asciiTheme="minorHAnsi" w:hAnsiTheme="minorHAnsi" w:cstheme="minorHAnsi"/>
                <w:sz w:val="20"/>
              </w:rPr>
            </w:pPr>
            <w:r w:rsidRPr="00B102EE">
              <w:rPr>
                <w:rFonts w:asciiTheme="minorHAnsi" w:hAnsiTheme="minorHAnsi" w:cstheme="minorHAnsi"/>
                <w:sz w:val="20"/>
              </w:rPr>
              <w:t>Mailing Address</w:t>
            </w:r>
          </w:p>
        </w:tc>
        <w:tc>
          <w:tcPr>
            <w:tcW w:w="2916" w:type="dxa"/>
            <w:gridSpan w:val="4"/>
          </w:tcPr>
          <w:p w:rsidR="00463EC6" w:rsidRPr="00B102EE" w:rsidRDefault="00463EC6" w:rsidP="00323B81">
            <w:pPr>
              <w:pStyle w:val="texthang"/>
              <w:rPr>
                <w:rFonts w:asciiTheme="minorHAnsi" w:hAnsiTheme="minorHAnsi" w:cstheme="minorHAnsi"/>
              </w:rPr>
            </w:pPr>
            <w:r w:rsidRPr="00B102EE">
              <w:rPr>
                <w:rFonts w:asciiTheme="minorHAnsi" w:hAnsiTheme="minorHAnsi" w:cstheme="minorHAnsi"/>
              </w:rPr>
              <w:tab/>
            </w:r>
          </w:p>
          <w:p w:rsidR="00463EC6" w:rsidRPr="00B102EE" w:rsidRDefault="00463EC6" w:rsidP="00323B81">
            <w:pPr>
              <w:pStyle w:val="bars24"/>
              <w:rPr>
                <w:rFonts w:asciiTheme="minorHAnsi" w:hAnsiTheme="minorHAnsi" w:cstheme="minorHAnsi"/>
                <w:sz w:val="20"/>
              </w:rPr>
            </w:pPr>
            <w:r w:rsidRPr="00B102EE">
              <w:rPr>
                <w:rFonts w:asciiTheme="minorHAnsi" w:hAnsiTheme="minorHAnsi" w:cstheme="minorHAnsi"/>
                <w:sz w:val="20"/>
              </w:rPr>
              <w:t>City/Town</w:t>
            </w:r>
          </w:p>
        </w:tc>
        <w:tc>
          <w:tcPr>
            <w:tcW w:w="3240" w:type="dxa"/>
            <w:gridSpan w:val="4"/>
          </w:tcPr>
          <w:p w:rsidR="00463EC6" w:rsidRPr="00B102EE" w:rsidRDefault="00463EC6" w:rsidP="00323B81">
            <w:pPr>
              <w:pStyle w:val="text"/>
              <w:rPr>
                <w:rFonts w:asciiTheme="minorHAnsi" w:hAnsiTheme="minorHAnsi" w:cstheme="minorHAnsi"/>
              </w:rPr>
            </w:pPr>
            <w:r w:rsidRPr="00B102EE">
              <w:rPr>
                <w:rFonts w:asciiTheme="minorHAnsi" w:hAnsiTheme="minorHAnsi" w:cstheme="minorHAnsi"/>
              </w:rPr>
              <w:tab/>
            </w:r>
          </w:p>
          <w:p w:rsidR="00463EC6" w:rsidRPr="00B102EE" w:rsidRDefault="00463EC6" w:rsidP="00323B81">
            <w:pPr>
              <w:pStyle w:val="bars24"/>
              <w:rPr>
                <w:rFonts w:asciiTheme="minorHAnsi" w:hAnsiTheme="minorHAnsi" w:cstheme="minorHAnsi"/>
                <w:sz w:val="20"/>
              </w:rPr>
            </w:pPr>
            <w:r w:rsidRPr="00B102EE">
              <w:rPr>
                <w:rFonts w:asciiTheme="minorHAnsi" w:hAnsiTheme="minorHAnsi" w:cstheme="minorHAnsi"/>
                <w:sz w:val="20"/>
              </w:rPr>
              <w:t>State/Zip</w:t>
            </w:r>
          </w:p>
        </w:tc>
      </w:tr>
      <w:tr w:rsidR="0023792B" w:rsidTr="00043845">
        <w:trPr>
          <w:cantSplit/>
          <w:trHeight w:hRule="exact" w:val="513"/>
        </w:trPr>
        <w:tc>
          <w:tcPr>
            <w:tcW w:w="4464" w:type="dxa"/>
            <w:gridSpan w:val="6"/>
            <w:tcBorders>
              <w:bottom w:val="single" w:sz="4" w:space="0" w:color="auto"/>
            </w:tcBorders>
          </w:tcPr>
          <w:p w:rsidR="0023792B" w:rsidRPr="00B102EE" w:rsidRDefault="0023792B" w:rsidP="00043845">
            <w:pPr>
              <w:pStyle w:val="texthang"/>
              <w:rPr>
                <w:rFonts w:asciiTheme="minorHAnsi" w:hAnsiTheme="minorHAnsi" w:cstheme="minorHAnsi"/>
              </w:rPr>
            </w:pPr>
            <w:r w:rsidRPr="00B102EE">
              <w:rPr>
                <w:rFonts w:asciiTheme="minorHAnsi" w:hAnsiTheme="minorHAnsi" w:cstheme="minorHAnsi"/>
              </w:rPr>
              <w:tab/>
            </w:r>
          </w:p>
          <w:p w:rsidR="0023792B" w:rsidRPr="00B102EE" w:rsidRDefault="0023792B" w:rsidP="00043845">
            <w:pPr>
              <w:pStyle w:val="bars24"/>
              <w:rPr>
                <w:rFonts w:asciiTheme="minorHAnsi" w:hAnsiTheme="minorHAnsi" w:cstheme="minorHAnsi"/>
                <w:sz w:val="20"/>
              </w:rPr>
            </w:pPr>
            <w:r w:rsidRPr="00B102EE">
              <w:rPr>
                <w:rFonts w:asciiTheme="minorHAnsi" w:hAnsiTheme="minorHAnsi" w:cstheme="minorHAnsi"/>
                <w:sz w:val="20"/>
              </w:rPr>
              <w:t>Email Address</w:t>
            </w:r>
          </w:p>
        </w:tc>
        <w:tc>
          <w:tcPr>
            <w:tcW w:w="2286" w:type="dxa"/>
            <w:gridSpan w:val="2"/>
            <w:tcBorders>
              <w:bottom w:val="single" w:sz="4" w:space="0" w:color="auto"/>
            </w:tcBorders>
          </w:tcPr>
          <w:p w:rsidR="0023792B" w:rsidRPr="00B102EE" w:rsidRDefault="0023792B" w:rsidP="00043845">
            <w:pPr>
              <w:pStyle w:val="texthang"/>
              <w:rPr>
                <w:rFonts w:asciiTheme="minorHAnsi" w:hAnsiTheme="minorHAnsi" w:cstheme="minorHAnsi"/>
              </w:rPr>
            </w:pPr>
            <w:r w:rsidRPr="00B102EE">
              <w:rPr>
                <w:rFonts w:asciiTheme="minorHAnsi" w:hAnsiTheme="minorHAnsi" w:cstheme="minorHAnsi"/>
              </w:rPr>
              <w:tab/>
            </w:r>
          </w:p>
          <w:p w:rsidR="0023792B" w:rsidRPr="00B102EE" w:rsidRDefault="00DF5A08" w:rsidP="00043845">
            <w:pPr>
              <w:pStyle w:val="bars24"/>
              <w:rPr>
                <w:rFonts w:asciiTheme="minorHAnsi" w:hAnsiTheme="minorHAnsi" w:cstheme="minorHAnsi"/>
                <w:sz w:val="20"/>
              </w:rPr>
            </w:pPr>
            <w:r w:rsidRPr="00B102EE">
              <w:rPr>
                <w:rFonts w:asciiTheme="minorHAnsi" w:hAnsiTheme="minorHAnsi" w:cstheme="minorHAnsi"/>
                <w:sz w:val="20"/>
              </w:rPr>
              <w:t>Telephone Number</w:t>
            </w:r>
          </w:p>
        </w:tc>
        <w:tc>
          <w:tcPr>
            <w:tcW w:w="3870" w:type="dxa"/>
            <w:gridSpan w:val="6"/>
            <w:tcBorders>
              <w:bottom w:val="single" w:sz="4" w:space="0" w:color="auto"/>
            </w:tcBorders>
            <w:vAlign w:val="center"/>
          </w:tcPr>
          <w:p w:rsidR="0023792B" w:rsidRPr="00B102EE" w:rsidRDefault="0023792B" w:rsidP="00701AB3">
            <w:pPr>
              <w:pStyle w:val="texthang"/>
              <w:rPr>
                <w:rFonts w:asciiTheme="minorHAnsi" w:hAnsiTheme="minorHAnsi" w:cstheme="minorHAnsi"/>
              </w:rPr>
            </w:pPr>
            <w:r w:rsidRPr="00B102EE">
              <w:rPr>
                <w:rFonts w:asciiTheme="minorHAnsi" w:hAnsiTheme="minorHAnsi" w:cstheme="minorHAnsi"/>
              </w:rPr>
              <w:t xml:space="preserve">  Cell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Home </w:t>
            </w:r>
            <w:r w:rsidR="001A615D" w:rsidRPr="00B102EE">
              <w:rPr>
                <w:rFonts w:asciiTheme="minorHAnsi" w:hAnsiTheme="minorHAnsi" w:cstheme="minorHAnsi"/>
              </w:rPr>
              <w:fldChar w:fldCharType="begin">
                <w:ffData>
                  <w:name w:val="Check5"/>
                  <w:enabled/>
                  <w:calcOnExit w:val="0"/>
                  <w:checkBox>
                    <w:sizeAuto/>
                    <w:default w:val="0"/>
                  </w:checkBox>
                </w:ffData>
              </w:fldChar>
            </w:r>
            <w:r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r w:rsidRPr="00B102EE">
              <w:rPr>
                <w:rFonts w:asciiTheme="minorHAnsi" w:hAnsiTheme="minorHAnsi" w:cstheme="minorHAnsi"/>
              </w:rPr>
              <w:t xml:space="preserve"> Office</w:t>
            </w:r>
            <w:r w:rsidR="00701AB3" w:rsidRPr="00B102EE">
              <w:rPr>
                <w:rFonts w:asciiTheme="minorHAnsi" w:hAnsiTheme="minorHAnsi" w:cstheme="minorHAnsi"/>
              </w:rPr>
              <w:t xml:space="preserve"> </w:t>
            </w:r>
            <w:r w:rsidR="001A615D" w:rsidRPr="00B102EE">
              <w:rPr>
                <w:rFonts w:asciiTheme="minorHAnsi" w:hAnsiTheme="minorHAnsi" w:cstheme="minorHAnsi"/>
              </w:rPr>
              <w:fldChar w:fldCharType="begin">
                <w:ffData>
                  <w:name w:val="Check5"/>
                  <w:enabled/>
                  <w:calcOnExit w:val="0"/>
                  <w:checkBox>
                    <w:sizeAuto/>
                    <w:default w:val="0"/>
                  </w:checkBox>
                </w:ffData>
              </w:fldChar>
            </w:r>
            <w:r w:rsidR="00701AB3" w:rsidRPr="00B102EE">
              <w:rPr>
                <w:rFonts w:asciiTheme="minorHAnsi" w:hAnsiTheme="minorHAnsi" w:cstheme="minorHAnsi"/>
              </w:rPr>
              <w:instrText xml:space="preserve"> FORMCHECKBOX </w:instrText>
            </w:r>
            <w:r w:rsidR="00111D82">
              <w:rPr>
                <w:rFonts w:asciiTheme="minorHAnsi" w:hAnsiTheme="minorHAnsi" w:cstheme="minorHAnsi"/>
              </w:rPr>
            </w:r>
            <w:r w:rsidR="00111D82">
              <w:rPr>
                <w:rFonts w:asciiTheme="minorHAnsi" w:hAnsiTheme="minorHAnsi" w:cstheme="minorHAnsi"/>
              </w:rPr>
              <w:fldChar w:fldCharType="separate"/>
            </w:r>
            <w:r w:rsidR="001A615D" w:rsidRPr="00B102EE">
              <w:rPr>
                <w:rFonts w:asciiTheme="minorHAnsi" w:hAnsiTheme="minorHAnsi" w:cstheme="minorHAnsi"/>
              </w:rPr>
              <w:fldChar w:fldCharType="end"/>
            </w:r>
          </w:p>
        </w:tc>
      </w:tr>
      <w:tr w:rsidR="0023792B" w:rsidTr="00726DC0">
        <w:trPr>
          <w:cantSplit/>
          <w:trHeight w:hRule="exact" w:val="271"/>
        </w:trPr>
        <w:tc>
          <w:tcPr>
            <w:tcW w:w="10620" w:type="dxa"/>
            <w:gridSpan w:val="14"/>
            <w:tcBorders>
              <w:top w:val="single" w:sz="4" w:space="0" w:color="auto"/>
            </w:tcBorders>
            <w:shd w:val="clear" w:color="auto" w:fill="C0C0C0"/>
          </w:tcPr>
          <w:p w:rsidR="0023792B" w:rsidRPr="00B102EE" w:rsidRDefault="0023792B" w:rsidP="00043845">
            <w:pPr>
              <w:pStyle w:val="texthang"/>
              <w:rPr>
                <w:rFonts w:asciiTheme="minorHAnsi" w:hAnsiTheme="minorHAnsi" w:cstheme="minorHAnsi"/>
                <w:b/>
              </w:rPr>
            </w:pPr>
            <w:r w:rsidRPr="00B102EE">
              <w:rPr>
                <w:rFonts w:asciiTheme="minorHAnsi" w:hAnsiTheme="minorHAnsi" w:cstheme="minorHAnsi"/>
                <w:b/>
              </w:rPr>
              <w:t>B.</w:t>
            </w:r>
            <w:r w:rsidRPr="00B102EE">
              <w:rPr>
                <w:rFonts w:asciiTheme="minorHAnsi" w:hAnsiTheme="minorHAnsi" w:cstheme="minorHAnsi"/>
                <w:b/>
              </w:rPr>
              <w:tab/>
            </w:r>
            <w:r w:rsidRPr="00B102EE">
              <w:rPr>
                <w:rFonts w:asciiTheme="minorHAnsi" w:hAnsiTheme="minorHAnsi" w:cstheme="minorHAnsi"/>
                <w:b/>
                <w:sz w:val="22"/>
                <w:szCs w:val="22"/>
              </w:rPr>
              <w:t>Assignment of a Release Tracking Number (RTN)</w:t>
            </w:r>
          </w:p>
        </w:tc>
      </w:tr>
      <w:tr w:rsidR="00B32E31" w:rsidTr="00B102EE">
        <w:trPr>
          <w:cantSplit/>
          <w:trHeight w:val="558"/>
        </w:trPr>
        <w:tc>
          <w:tcPr>
            <w:tcW w:w="6210" w:type="dxa"/>
            <w:gridSpan w:val="7"/>
            <w:vMerge w:val="restart"/>
          </w:tcPr>
          <w:p w:rsidR="00940EF4" w:rsidRPr="00B102EE" w:rsidRDefault="00DF5A08" w:rsidP="00EA7403">
            <w:pPr>
              <w:pStyle w:val="texthang"/>
              <w:ind w:left="0" w:firstLine="0"/>
              <w:rPr>
                <w:rFonts w:asciiTheme="minorHAnsi" w:hAnsiTheme="minorHAnsi" w:cstheme="minorHAnsi"/>
                <w:b/>
              </w:rPr>
            </w:pPr>
            <w:r w:rsidRPr="00B102EE">
              <w:rPr>
                <w:rFonts w:asciiTheme="minorHAnsi" w:hAnsiTheme="minorHAnsi" w:cstheme="minorHAnsi"/>
              </w:rPr>
              <w:t>Does the property on which the Generation Unit will be located contain a disposal site that has received a Release Tracking Number (RTN) in accordance with 310 CMR 40.0000?</w:t>
            </w:r>
            <w:r w:rsidR="00DA3061" w:rsidRPr="00B102EE">
              <w:rPr>
                <w:rFonts w:asciiTheme="minorHAnsi" w:hAnsiTheme="minorHAnsi" w:cstheme="minorHAnsi"/>
              </w:rPr>
              <w:t xml:space="preserve">  [Link to Site List: </w:t>
            </w:r>
            <w:hyperlink r:id="rId15" w:history="1">
              <w:r w:rsidR="00DA3061" w:rsidRPr="00B102EE">
                <w:rPr>
                  <w:rStyle w:val="Hyperlink"/>
                  <w:rFonts w:asciiTheme="minorHAnsi" w:hAnsiTheme="minorHAnsi" w:cstheme="minorHAnsi"/>
                </w:rPr>
                <w:t>Sites</w:t>
              </w:r>
            </w:hyperlink>
            <w:r w:rsidR="00DA3061" w:rsidRPr="00B102EE">
              <w:rPr>
                <w:rFonts w:asciiTheme="minorHAnsi" w:hAnsiTheme="minorHAnsi" w:cstheme="minorHAnsi"/>
              </w:rPr>
              <w:t>]</w:t>
            </w:r>
          </w:p>
        </w:tc>
        <w:tc>
          <w:tcPr>
            <w:tcW w:w="630" w:type="dxa"/>
            <w:gridSpan w:val="2"/>
            <w:vAlign w:val="center"/>
          </w:tcPr>
          <w:p w:rsidR="0023792B" w:rsidRPr="00B102EE" w:rsidRDefault="0023792B" w:rsidP="00043845">
            <w:pPr>
              <w:pStyle w:val="texthang"/>
              <w:jc w:val="center"/>
              <w:rPr>
                <w:rFonts w:asciiTheme="minorHAnsi" w:hAnsiTheme="minorHAnsi" w:cstheme="minorHAnsi"/>
              </w:rPr>
            </w:pPr>
            <w:r w:rsidRPr="00B102EE">
              <w:rPr>
                <w:rFonts w:asciiTheme="minorHAnsi" w:hAnsiTheme="minorHAnsi" w:cstheme="minorHAnsi"/>
              </w:rPr>
              <w:sym w:font="Wingdings" w:char="F06F"/>
            </w:r>
            <w:r w:rsidRPr="00B102EE">
              <w:rPr>
                <w:rFonts w:asciiTheme="minorHAnsi" w:hAnsiTheme="minorHAnsi" w:cstheme="minorHAnsi"/>
              </w:rPr>
              <w:t xml:space="preserve"> No</w:t>
            </w:r>
          </w:p>
        </w:tc>
        <w:tc>
          <w:tcPr>
            <w:tcW w:w="2250" w:type="dxa"/>
            <w:gridSpan w:val="3"/>
            <w:vMerge w:val="restart"/>
            <w:vAlign w:val="center"/>
          </w:tcPr>
          <w:p w:rsidR="0023792B" w:rsidRPr="00B102EE" w:rsidRDefault="0023792B" w:rsidP="00B102EE">
            <w:pPr>
              <w:pStyle w:val="texthang"/>
              <w:ind w:left="0" w:firstLine="0"/>
              <w:rPr>
                <w:rFonts w:asciiTheme="minorHAnsi" w:hAnsiTheme="minorHAnsi" w:cstheme="minorHAnsi"/>
              </w:rPr>
            </w:pPr>
          </w:p>
          <w:p w:rsidR="00B102EE" w:rsidRPr="00B102EE" w:rsidRDefault="00B102EE" w:rsidP="00B102EE">
            <w:pPr>
              <w:pStyle w:val="texthang"/>
              <w:ind w:left="0" w:firstLine="0"/>
              <w:rPr>
                <w:rFonts w:asciiTheme="minorHAnsi" w:hAnsiTheme="minorHAnsi" w:cstheme="minorHAnsi"/>
              </w:rPr>
            </w:pPr>
          </w:p>
          <w:p w:rsidR="0023792B" w:rsidRPr="00B102EE" w:rsidRDefault="00B32E31" w:rsidP="00B32E31">
            <w:pPr>
              <w:pStyle w:val="bars24"/>
              <w:ind w:left="0"/>
              <w:rPr>
                <w:rFonts w:asciiTheme="minorHAnsi" w:hAnsiTheme="minorHAnsi" w:cstheme="minorHAnsi"/>
                <w:sz w:val="20"/>
              </w:rPr>
            </w:pPr>
            <w:r w:rsidRPr="00B102EE">
              <w:rPr>
                <w:rFonts w:asciiTheme="minorHAnsi" w:hAnsiTheme="minorHAnsi" w:cstheme="minorHAnsi"/>
                <w:sz w:val="20"/>
              </w:rPr>
              <w:t>RTN</w:t>
            </w:r>
            <w:r w:rsidR="00B102EE" w:rsidRPr="00B102EE">
              <w:rPr>
                <w:rFonts w:asciiTheme="minorHAnsi" w:hAnsiTheme="minorHAnsi" w:cstheme="minorHAnsi"/>
                <w:sz w:val="20"/>
              </w:rPr>
              <w:t>(s)</w:t>
            </w:r>
          </w:p>
        </w:tc>
        <w:tc>
          <w:tcPr>
            <w:tcW w:w="1530" w:type="dxa"/>
            <w:gridSpan w:val="2"/>
            <w:vMerge w:val="restart"/>
            <w:vAlign w:val="center"/>
          </w:tcPr>
          <w:p w:rsidR="0023792B" w:rsidRPr="00B102EE" w:rsidRDefault="0023792B" w:rsidP="00043845">
            <w:pPr>
              <w:pStyle w:val="text"/>
              <w:rPr>
                <w:rFonts w:asciiTheme="minorHAnsi" w:hAnsiTheme="minorHAnsi" w:cstheme="minorHAnsi"/>
              </w:rPr>
            </w:pPr>
          </w:p>
          <w:p w:rsidR="00B102EE" w:rsidRPr="00B102EE" w:rsidRDefault="00B102EE" w:rsidP="00043845">
            <w:pPr>
              <w:pStyle w:val="text"/>
              <w:rPr>
                <w:rFonts w:asciiTheme="minorHAnsi" w:hAnsiTheme="minorHAnsi" w:cstheme="minorHAnsi"/>
              </w:rPr>
            </w:pPr>
          </w:p>
          <w:p w:rsidR="0023792B" w:rsidRPr="00B102EE" w:rsidRDefault="0023792B" w:rsidP="00043845">
            <w:pPr>
              <w:pStyle w:val="bars24"/>
              <w:ind w:left="0"/>
              <w:rPr>
                <w:rFonts w:asciiTheme="minorHAnsi" w:hAnsiTheme="minorHAnsi" w:cstheme="minorHAnsi"/>
                <w:sz w:val="20"/>
              </w:rPr>
            </w:pPr>
            <w:r w:rsidRPr="00B102EE">
              <w:rPr>
                <w:rFonts w:asciiTheme="minorHAnsi" w:hAnsiTheme="minorHAnsi" w:cstheme="minorHAnsi"/>
                <w:sz w:val="20"/>
              </w:rPr>
              <w:t>Notification Date</w:t>
            </w:r>
          </w:p>
        </w:tc>
      </w:tr>
      <w:tr w:rsidR="00B32E31" w:rsidTr="00B102EE">
        <w:trPr>
          <w:cantSplit/>
          <w:trHeight w:val="225"/>
        </w:trPr>
        <w:tc>
          <w:tcPr>
            <w:tcW w:w="6210" w:type="dxa"/>
            <w:gridSpan w:val="7"/>
            <w:vMerge/>
            <w:vAlign w:val="center"/>
          </w:tcPr>
          <w:p w:rsidR="0023792B" w:rsidRPr="00726DC0" w:rsidRDefault="0023792B" w:rsidP="00043845">
            <w:pPr>
              <w:pStyle w:val="texthang"/>
              <w:rPr>
                <w:rFonts w:asciiTheme="minorHAnsi" w:hAnsiTheme="minorHAnsi" w:cstheme="minorHAnsi"/>
                <w:sz w:val="22"/>
                <w:szCs w:val="22"/>
              </w:rPr>
            </w:pPr>
          </w:p>
        </w:tc>
        <w:tc>
          <w:tcPr>
            <w:tcW w:w="630" w:type="dxa"/>
            <w:gridSpan w:val="2"/>
            <w:vAlign w:val="center"/>
          </w:tcPr>
          <w:p w:rsidR="0023792B" w:rsidRPr="00B102EE" w:rsidRDefault="0023792B" w:rsidP="00043845">
            <w:pPr>
              <w:pStyle w:val="texthang"/>
              <w:jc w:val="center"/>
              <w:rPr>
                <w:rFonts w:asciiTheme="minorHAnsi" w:hAnsiTheme="minorHAnsi" w:cstheme="minorHAnsi"/>
              </w:rPr>
            </w:pPr>
            <w:r w:rsidRPr="00B102EE">
              <w:rPr>
                <w:rFonts w:asciiTheme="minorHAnsi" w:hAnsiTheme="minorHAnsi" w:cstheme="minorHAnsi"/>
              </w:rPr>
              <w:sym w:font="Wingdings" w:char="F06F"/>
            </w:r>
            <w:r w:rsidRPr="00B102EE">
              <w:rPr>
                <w:rFonts w:asciiTheme="minorHAnsi" w:hAnsiTheme="minorHAnsi" w:cstheme="minorHAnsi"/>
              </w:rPr>
              <w:t xml:space="preserve"> Yes</w:t>
            </w:r>
          </w:p>
        </w:tc>
        <w:tc>
          <w:tcPr>
            <w:tcW w:w="2250" w:type="dxa"/>
            <w:gridSpan w:val="3"/>
            <w:vMerge/>
            <w:vAlign w:val="bottom"/>
          </w:tcPr>
          <w:p w:rsidR="0023792B" w:rsidRPr="00726DC0" w:rsidRDefault="0023792B" w:rsidP="00043845">
            <w:pPr>
              <w:pStyle w:val="texthang"/>
              <w:rPr>
                <w:rFonts w:asciiTheme="minorHAnsi" w:hAnsiTheme="minorHAnsi" w:cstheme="minorHAnsi"/>
                <w:sz w:val="22"/>
                <w:szCs w:val="22"/>
              </w:rPr>
            </w:pPr>
          </w:p>
        </w:tc>
        <w:tc>
          <w:tcPr>
            <w:tcW w:w="1530" w:type="dxa"/>
            <w:gridSpan w:val="2"/>
            <w:vMerge/>
            <w:vAlign w:val="bottom"/>
          </w:tcPr>
          <w:p w:rsidR="0023792B" w:rsidRPr="00726DC0" w:rsidRDefault="0023792B" w:rsidP="00043845">
            <w:pPr>
              <w:pStyle w:val="text"/>
              <w:ind w:left="360"/>
              <w:rPr>
                <w:rFonts w:asciiTheme="minorHAnsi" w:hAnsiTheme="minorHAnsi" w:cstheme="minorHAnsi"/>
                <w:sz w:val="22"/>
                <w:szCs w:val="22"/>
              </w:rPr>
            </w:pPr>
          </w:p>
        </w:tc>
      </w:tr>
      <w:tr w:rsidR="00B32E31" w:rsidTr="00B102EE">
        <w:trPr>
          <w:cantSplit/>
          <w:trHeight w:hRule="exact" w:val="604"/>
        </w:trPr>
        <w:tc>
          <w:tcPr>
            <w:tcW w:w="3510" w:type="dxa"/>
            <w:gridSpan w:val="4"/>
          </w:tcPr>
          <w:p w:rsidR="00B32E31" w:rsidRPr="00B102EE" w:rsidRDefault="00B32E31" w:rsidP="00323B81">
            <w:pPr>
              <w:pStyle w:val="texthang"/>
              <w:rPr>
                <w:rFonts w:asciiTheme="minorHAnsi" w:hAnsiTheme="minorHAnsi" w:cstheme="minorHAnsi"/>
              </w:rPr>
            </w:pPr>
          </w:p>
          <w:p w:rsidR="00B32E31" w:rsidRPr="00B102EE" w:rsidRDefault="00B32E31" w:rsidP="00B32E31">
            <w:pPr>
              <w:pStyle w:val="bars24"/>
              <w:ind w:left="0"/>
              <w:rPr>
                <w:rFonts w:asciiTheme="minorHAnsi" w:hAnsiTheme="minorHAnsi" w:cstheme="minorHAnsi"/>
                <w:sz w:val="20"/>
              </w:rPr>
            </w:pPr>
            <w:r w:rsidRPr="00B102EE">
              <w:rPr>
                <w:rFonts w:asciiTheme="minorHAnsi" w:hAnsiTheme="minorHAnsi" w:cstheme="minorHAnsi"/>
                <w:sz w:val="20"/>
              </w:rPr>
              <w:t>City/Town of Disposal Site</w:t>
            </w:r>
          </w:p>
        </w:tc>
        <w:tc>
          <w:tcPr>
            <w:tcW w:w="2700" w:type="dxa"/>
            <w:gridSpan w:val="3"/>
          </w:tcPr>
          <w:p w:rsidR="00B32E31" w:rsidRPr="00B102EE" w:rsidRDefault="00B32E31" w:rsidP="00323B81">
            <w:pPr>
              <w:pStyle w:val="texthang"/>
              <w:rPr>
                <w:rFonts w:asciiTheme="minorHAnsi" w:hAnsiTheme="minorHAnsi" w:cstheme="minorHAnsi"/>
              </w:rPr>
            </w:pPr>
          </w:p>
          <w:p w:rsidR="00B32E31" w:rsidRPr="00B102EE" w:rsidRDefault="00B32E31" w:rsidP="00B102EE">
            <w:pPr>
              <w:pStyle w:val="bars24"/>
              <w:ind w:left="0"/>
              <w:rPr>
                <w:rFonts w:asciiTheme="minorHAnsi" w:hAnsiTheme="minorHAnsi" w:cstheme="minorHAnsi"/>
                <w:sz w:val="20"/>
              </w:rPr>
            </w:pPr>
            <w:r w:rsidRPr="00B102EE">
              <w:rPr>
                <w:rFonts w:asciiTheme="minorHAnsi" w:hAnsiTheme="minorHAnsi" w:cstheme="minorHAnsi"/>
                <w:sz w:val="20"/>
              </w:rPr>
              <w:t xml:space="preserve">Release Address </w:t>
            </w:r>
          </w:p>
        </w:tc>
        <w:tc>
          <w:tcPr>
            <w:tcW w:w="4410" w:type="dxa"/>
            <w:gridSpan w:val="7"/>
          </w:tcPr>
          <w:p w:rsidR="00B32E31" w:rsidRPr="00B102EE" w:rsidRDefault="00B32E31" w:rsidP="00323B81">
            <w:pPr>
              <w:pStyle w:val="text"/>
              <w:rPr>
                <w:rFonts w:asciiTheme="minorHAnsi" w:hAnsiTheme="minorHAnsi" w:cstheme="minorHAnsi"/>
              </w:rPr>
            </w:pPr>
          </w:p>
          <w:p w:rsidR="00B32E31" w:rsidRPr="00B102EE" w:rsidRDefault="00B32E31" w:rsidP="00B102EE">
            <w:pPr>
              <w:pStyle w:val="bars24"/>
              <w:ind w:left="0"/>
              <w:rPr>
                <w:rFonts w:asciiTheme="minorHAnsi" w:hAnsiTheme="minorHAnsi" w:cstheme="minorHAnsi"/>
                <w:sz w:val="20"/>
              </w:rPr>
            </w:pPr>
            <w:r w:rsidRPr="00B102EE">
              <w:rPr>
                <w:rFonts w:asciiTheme="minorHAnsi" w:hAnsiTheme="minorHAnsi" w:cstheme="minorHAnsi"/>
                <w:sz w:val="20"/>
              </w:rPr>
              <w:t>Site Name/Location Aid</w:t>
            </w:r>
          </w:p>
        </w:tc>
      </w:tr>
      <w:tr w:rsidR="0023792B" w:rsidRPr="00F32296" w:rsidTr="00043845">
        <w:trPr>
          <w:cantSplit/>
          <w:trHeight w:hRule="exact" w:val="540"/>
        </w:trPr>
        <w:tc>
          <w:tcPr>
            <w:tcW w:w="10620" w:type="dxa"/>
            <w:gridSpan w:val="14"/>
            <w:shd w:val="clear" w:color="auto" w:fill="BFBFBF"/>
            <w:vAlign w:val="center"/>
          </w:tcPr>
          <w:p w:rsidR="0023792B" w:rsidRPr="00726DC0" w:rsidRDefault="0023792B" w:rsidP="0023792B">
            <w:pPr>
              <w:pStyle w:val="text"/>
              <w:numPr>
                <w:ilvl w:val="0"/>
                <w:numId w:val="29"/>
              </w:numPr>
              <w:tabs>
                <w:tab w:val="clear" w:pos="360"/>
              </w:tabs>
              <w:rPr>
                <w:rFonts w:asciiTheme="minorHAnsi" w:hAnsiTheme="minorHAnsi" w:cstheme="minorHAnsi"/>
                <w:b/>
                <w:sz w:val="22"/>
                <w:szCs w:val="22"/>
              </w:rPr>
            </w:pPr>
            <w:r w:rsidRPr="00726DC0">
              <w:rPr>
                <w:rFonts w:asciiTheme="minorHAnsi" w:hAnsiTheme="minorHAnsi" w:cstheme="minorHAnsi"/>
                <w:b/>
                <w:sz w:val="22"/>
                <w:szCs w:val="22"/>
              </w:rPr>
              <w:t>Redevelopment Or Reuse Is Hindered By The Presence Of Oil Or Hazardous Materials</w:t>
            </w:r>
          </w:p>
          <w:p w:rsidR="0023792B" w:rsidRPr="00726DC0" w:rsidRDefault="0023792B" w:rsidP="00043845">
            <w:pPr>
              <w:pStyle w:val="text"/>
              <w:tabs>
                <w:tab w:val="clear" w:pos="360"/>
              </w:tabs>
              <w:ind w:left="360"/>
              <w:rPr>
                <w:rFonts w:asciiTheme="minorHAnsi" w:hAnsiTheme="minorHAnsi" w:cstheme="minorHAnsi"/>
                <w:sz w:val="22"/>
                <w:szCs w:val="22"/>
              </w:rPr>
            </w:pPr>
            <w:r w:rsidRPr="00726DC0">
              <w:rPr>
                <w:rFonts w:asciiTheme="minorHAnsi" w:hAnsiTheme="minorHAnsi" w:cstheme="minorHAnsi"/>
                <w:sz w:val="22"/>
                <w:szCs w:val="22"/>
              </w:rPr>
              <w:t>Provide the following supporting documents as applicable. [</w:t>
            </w:r>
            <w:r w:rsidR="005A6D3C" w:rsidRPr="00726DC0">
              <w:rPr>
                <w:rFonts w:asciiTheme="minorHAnsi" w:hAnsiTheme="minorHAnsi" w:cstheme="minorHAnsi"/>
                <w:sz w:val="22"/>
                <w:szCs w:val="22"/>
              </w:rPr>
              <w:t xml:space="preserve">check where </w:t>
            </w:r>
            <w:r w:rsidRPr="00726DC0">
              <w:rPr>
                <w:rFonts w:asciiTheme="minorHAnsi" w:hAnsiTheme="minorHAnsi" w:cstheme="minorHAnsi"/>
                <w:sz w:val="22"/>
                <w:szCs w:val="22"/>
              </w:rPr>
              <w:t>attachments</w:t>
            </w:r>
            <w:r w:rsidR="005A6D3C" w:rsidRPr="00726DC0">
              <w:rPr>
                <w:rFonts w:asciiTheme="minorHAnsi" w:hAnsiTheme="minorHAnsi" w:cstheme="minorHAnsi"/>
                <w:sz w:val="22"/>
                <w:szCs w:val="22"/>
              </w:rPr>
              <w:t xml:space="preserve"> provided</w:t>
            </w:r>
            <w:r w:rsidRPr="00726DC0">
              <w:rPr>
                <w:rFonts w:asciiTheme="minorHAnsi" w:hAnsiTheme="minorHAnsi" w:cstheme="minorHAnsi"/>
                <w:sz w:val="22"/>
                <w:szCs w:val="22"/>
              </w:rPr>
              <w:t>]</w:t>
            </w:r>
          </w:p>
          <w:p w:rsidR="0023792B" w:rsidRPr="00726DC0" w:rsidRDefault="0023792B" w:rsidP="00043845">
            <w:pPr>
              <w:pStyle w:val="text"/>
              <w:rPr>
                <w:rFonts w:asciiTheme="minorHAnsi" w:hAnsiTheme="minorHAnsi" w:cstheme="minorHAnsi"/>
                <w:sz w:val="22"/>
                <w:szCs w:val="22"/>
              </w:rPr>
            </w:pPr>
          </w:p>
          <w:p w:rsidR="0023792B" w:rsidRPr="00726DC0" w:rsidRDefault="0023792B" w:rsidP="00043845">
            <w:pPr>
              <w:pStyle w:val="text"/>
              <w:rPr>
                <w:rFonts w:asciiTheme="minorHAnsi" w:hAnsiTheme="minorHAnsi" w:cstheme="minorHAnsi"/>
                <w:sz w:val="22"/>
                <w:szCs w:val="22"/>
              </w:rPr>
            </w:pPr>
          </w:p>
        </w:tc>
      </w:tr>
      <w:tr w:rsidR="0023792B" w:rsidTr="00741B6C">
        <w:trPr>
          <w:cantSplit/>
          <w:trHeight w:hRule="exact" w:val="1053"/>
        </w:trPr>
        <w:tc>
          <w:tcPr>
            <w:tcW w:w="1080" w:type="dxa"/>
            <w:tcBorders>
              <w:bottom w:val="single" w:sz="4" w:space="0" w:color="auto"/>
            </w:tcBorders>
            <w:shd w:val="clear" w:color="auto" w:fill="auto"/>
            <w:vAlign w:val="center"/>
          </w:tcPr>
          <w:p w:rsidR="0023792B" w:rsidRPr="00B102EE" w:rsidRDefault="0023792B" w:rsidP="00701AB3">
            <w:pPr>
              <w:pStyle w:val="text"/>
              <w:jc w:val="center"/>
              <w:rPr>
                <w:rFonts w:asciiTheme="minorHAnsi" w:hAnsiTheme="minorHAnsi" w:cstheme="minorHAnsi"/>
              </w:rPr>
            </w:pPr>
            <w:r w:rsidRPr="00B102EE">
              <w:rPr>
                <w:rFonts w:asciiTheme="minorHAnsi" w:hAnsiTheme="minorHAnsi" w:cstheme="minorHAnsi"/>
              </w:rPr>
              <w:sym w:font="Wingdings" w:char="F06F"/>
            </w:r>
          </w:p>
        </w:tc>
        <w:tc>
          <w:tcPr>
            <w:tcW w:w="1890" w:type="dxa"/>
            <w:gridSpan w:val="2"/>
            <w:tcBorders>
              <w:bottom w:val="single" w:sz="4" w:space="0" w:color="auto"/>
            </w:tcBorders>
            <w:shd w:val="clear" w:color="auto" w:fill="auto"/>
            <w:vAlign w:val="center"/>
          </w:tcPr>
          <w:p w:rsidR="0023792B" w:rsidRPr="00B102EE" w:rsidRDefault="0023792B" w:rsidP="0023792B">
            <w:pPr>
              <w:pStyle w:val="text"/>
              <w:numPr>
                <w:ilvl w:val="0"/>
                <w:numId w:val="27"/>
              </w:numPr>
              <w:rPr>
                <w:rFonts w:asciiTheme="minorHAnsi" w:hAnsiTheme="minorHAnsi" w:cstheme="minorHAnsi"/>
                <w:b/>
              </w:rPr>
            </w:pPr>
            <w:r w:rsidRPr="00B102EE">
              <w:rPr>
                <w:rFonts w:asciiTheme="minorHAnsi" w:hAnsiTheme="minorHAnsi" w:cstheme="minorHAnsi"/>
                <w:b/>
              </w:rPr>
              <w:t>Estimate of Cleanup Costs</w:t>
            </w:r>
          </w:p>
        </w:tc>
        <w:tc>
          <w:tcPr>
            <w:tcW w:w="7650" w:type="dxa"/>
            <w:gridSpan w:val="11"/>
            <w:tcBorders>
              <w:bottom w:val="single" w:sz="4" w:space="0" w:color="auto"/>
            </w:tcBorders>
            <w:shd w:val="clear" w:color="auto" w:fill="auto"/>
          </w:tcPr>
          <w:p w:rsidR="00940EF4" w:rsidRPr="00B102EE" w:rsidRDefault="00EA7403">
            <w:pPr>
              <w:pStyle w:val="text"/>
              <w:rPr>
                <w:rFonts w:asciiTheme="minorHAnsi" w:hAnsiTheme="minorHAnsi" w:cstheme="minorHAnsi"/>
              </w:rPr>
            </w:pPr>
            <w:r w:rsidRPr="00B102EE">
              <w:rPr>
                <w:rFonts w:ascii="Calibri" w:hAnsi="Calibri" w:cs="Calibri"/>
              </w:rPr>
              <w:t xml:space="preserve">Estimate(s) of past, present and/or future cleanup costs </w:t>
            </w:r>
            <w:r w:rsidR="0023792B" w:rsidRPr="00B102EE">
              <w:rPr>
                <w:rFonts w:asciiTheme="minorHAnsi" w:hAnsiTheme="minorHAnsi" w:cstheme="minorHAnsi"/>
              </w:rPr>
              <w:t xml:space="preserve">from </w:t>
            </w:r>
            <w:r w:rsidR="00323B81" w:rsidRPr="00B102EE">
              <w:rPr>
                <w:rFonts w:asciiTheme="minorHAnsi" w:hAnsiTheme="minorHAnsi" w:cstheme="minorHAnsi"/>
              </w:rPr>
              <w:t xml:space="preserve">a </w:t>
            </w:r>
            <w:r w:rsidR="0023792B" w:rsidRPr="00B102EE">
              <w:rPr>
                <w:rFonts w:asciiTheme="minorHAnsi" w:hAnsiTheme="minorHAnsi" w:cstheme="minorHAnsi"/>
              </w:rPr>
              <w:t>Licensed Site Professionals (LSP</w:t>
            </w:r>
            <w:r w:rsidR="00924EED" w:rsidRPr="00B102EE">
              <w:rPr>
                <w:rFonts w:asciiTheme="minorHAnsi" w:hAnsiTheme="minorHAnsi" w:cstheme="minorHAnsi"/>
              </w:rPr>
              <w:t>s</w:t>
            </w:r>
            <w:r w:rsidR="0023792B" w:rsidRPr="00B102EE">
              <w:rPr>
                <w:rFonts w:asciiTheme="minorHAnsi" w:hAnsiTheme="minorHAnsi" w:cstheme="minorHAnsi"/>
              </w:rPr>
              <w:t xml:space="preserve">) as to how much any remaining cleanup will cost, or other credible and specific evidence of future cleanup costs, as well as documentation as to how cleanup will be achieved.  </w:t>
            </w:r>
            <w:r w:rsidR="00924EED" w:rsidRPr="00B102EE">
              <w:rPr>
                <w:rFonts w:asciiTheme="minorHAnsi" w:hAnsiTheme="minorHAnsi" w:cstheme="minorHAnsi"/>
              </w:rPr>
              <w:t>(Required if cleanup obligations remain.)</w:t>
            </w:r>
          </w:p>
        </w:tc>
      </w:tr>
      <w:tr w:rsidR="0023792B" w:rsidTr="005064C8">
        <w:trPr>
          <w:cantSplit/>
          <w:trHeight w:hRule="exact" w:val="775"/>
        </w:trPr>
        <w:tc>
          <w:tcPr>
            <w:tcW w:w="1080" w:type="dxa"/>
            <w:tcBorders>
              <w:top w:val="single" w:sz="4" w:space="0" w:color="auto"/>
            </w:tcBorders>
            <w:shd w:val="clear" w:color="auto" w:fill="auto"/>
            <w:vAlign w:val="center"/>
          </w:tcPr>
          <w:p w:rsidR="0023792B" w:rsidRPr="00B102EE" w:rsidRDefault="0023792B" w:rsidP="00701AB3">
            <w:pPr>
              <w:pStyle w:val="text"/>
              <w:jc w:val="center"/>
              <w:rPr>
                <w:rFonts w:asciiTheme="minorHAnsi" w:hAnsiTheme="minorHAnsi" w:cstheme="minorHAnsi"/>
              </w:rPr>
            </w:pPr>
            <w:r w:rsidRPr="00B102EE">
              <w:rPr>
                <w:rFonts w:asciiTheme="minorHAnsi" w:hAnsiTheme="minorHAnsi" w:cstheme="minorHAnsi"/>
              </w:rPr>
              <w:sym w:font="Wingdings" w:char="F06F"/>
            </w:r>
          </w:p>
        </w:tc>
        <w:tc>
          <w:tcPr>
            <w:tcW w:w="1890" w:type="dxa"/>
            <w:gridSpan w:val="2"/>
            <w:tcBorders>
              <w:top w:val="single" w:sz="4" w:space="0" w:color="auto"/>
            </w:tcBorders>
            <w:shd w:val="clear" w:color="auto" w:fill="auto"/>
            <w:vAlign w:val="center"/>
          </w:tcPr>
          <w:p w:rsidR="0023792B" w:rsidRPr="00B102EE" w:rsidRDefault="0023792B" w:rsidP="0023792B">
            <w:pPr>
              <w:pStyle w:val="text"/>
              <w:numPr>
                <w:ilvl w:val="0"/>
                <w:numId w:val="27"/>
              </w:numPr>
              <w:rPr>
                <w:rFonts w:asciiTheme="minorHAnsi" w:hAnsiTheme="minorHAnsi" w:cstheme="minorHAnsi"/>
                <w:b/>
              </w:rPr>
            </w:pPr>
            <w:r w:rsidRPr="00B102EE">
              <w:rPr>
                <w:rFonts w:asciiTheme="minorHAnsi" w:hAnsiTheme="minorHAnsi" w:cstheme="minorHAnsi"/>
                <w:b/>
              </w:rPr>
              <w:t>Evidence of Marketability</w:t>
            </w:r>
          </w:p>
        </w:tc>
        <w:tc>
          <w:tcPr>
            <w:tcW w:w="7650" w:type="dxa"/>
            <w:gridSpan w:val="11"/>
            <w:tcBorders>
              <w:top w:val="single" w:sz="4" w:space="0" w:color="auto"/>
            </w:tcBorders>
            <w:shd w:val="clear" w:color="auto" w:fill="auto"/>
          </w:tcPr>
          <w:p w:rsidR="00940EF4" w:rsidRPr="00B102EE" w:rsidRDefault="0023792B">
            <w:pPr>
              <w:pStyle w:val="text"/>
              <w:rPr>
                <w:rFonts w:asciiTheme="minorHAnsi" w:hAnsiTheme="minorHAnsi" w:cstheme="minorHAnsi"/>
              </w:rPr>
            </w:pPr>
            <w:r w:rsidRPr="00B102EE">
              <w:rPr>
                <w:rFonts w:asciiTheme="minorHAnsi" w:hAnsiTheme="minorHAnsi" w:cstheme="minorHAnsi"/>
              </w:rPr>
              <w:t>Evidence showing that the marketability or development of the site has been hindered</w:t>
            </w:r>
            <w:r w:rsidR="00924EED" w:rsidRPr="00B102EE">
              <w:rPr>
                <w:rFonts w:asciiTheme="minorHAnsi" w:hAnsiTheme="minorHAnsi" w:cstheme="minorHAnsi"/>
              </w:rPr>
              <w:t xml:space="preserve"> by the presence of oil or hazardous materials</w:t>
            </w:r>
            <w:r w:rsidRPr="00B102EE">
              <w:rPr>
                <w:rFonts w:asciiTheme="minorHAnsi" w:hAnsiTheme="minorHAnsi" w:cstheme="minorHAnsi"/>
              </w:rPr>
              <w:t>, including, for example and if applicable</w:t>
            </w:r>
            <w:r w:rsidR="00924EED" w:rsidRPr="00B102EE">
              <w:rPr>
                <w:rFonts w:asciiTheme="minorHAnsi" w:hAnsiTheme="minorHAnsi" w:cstheme="minorHAnsi"/>
              </w:rPr>
              <w:t>:</w:t>
            </w:r>
            <w:r w:rsidRPr="00B102EE">
              <w:rPr>
                <w:rFonts w:asciiTheme="minorHAnsi" w:hAnsiTheme="minorHAnsi" w:cstheme="minorHAnsi"/>
              </w:rPr>
              <w:t xml:space="preserve"> (</w:t>
            </w:r>
            <w:r w:rsidR="005A6D3C" w:rsidRPr="00B102EE">
              <w:rPr>
                <w:rFonts w:asciiTheme="minorHAnsi" w:hAnsiTheme="minorHAnsi" w:cstheme="minorHAnsi"/>
              </w:rPr>
              <w:t xml:space="preserve">check </w:t>
            </w:r>
            <w:r w:rsidRPr="00B102EE">
              <w:rPr>
                <w:rFonts w:asciiTheme="minorHAnsi" w:hAnsiTheme="minorHAnsi" w:cstheme="minorHAnsi"/>
              </w:rPr>
              <w:t xml:space="preserve">all that </w:t>
            </w:r>
            <w:r w:rsidR="00037607" w:rsidRPr="00B102EE">
              <w:rPr>
                <w:rFonts w:asciiTheme="minorHAnsi" w:hAnsiTheme="minorHAnsi" w:cstheme="minorHAnsi"/>
              </w:rPr>
              <w:t xml:space="preserve">may </w:t>
            </w:r>
            <w:r w:rsidRPr="00B102EE">
              <w:rPr>
                <w:rFonts w:asciiTheme="minorHAnsi" w:hAnsiTheme="minorHAnsi" w:cstheme="minorHAnsi"/>
              </w:rPr>
              <w:t>apply):</w:t>
            </w:r>
          </w:p>
        </w:tc>
      </w:tr>
      <w:tr w:rsidR="0023792B" w:rsidTr="005064C8">
        <w:trPr>
          <w:cantSplit/>
          <w:trHeight w:hRule="exact" w:val="702"/>
        </w:trPr>
        <w:tc>
          <w:tcPr>
            <w:tcW w:w="1080" w:type="dxa"/>
            <w:shd w:val="clear" w:color="auto" w:fill="auto"/>
          </w:tcPr>
          <w:p w:rsidR="0023792B" w:rsidRPr="00B102EE" w:rsidRDefault="0023792B" w:rsidP="00043845">
            <w:pPr>
              <w:pStyle w:val="text"/>
              <w:jc w:val="center"/>
              <w:rPr>
                <w:rFonts w:asciiTheme="minorHAnsi" w:hAnsiTheme="minorHAnsi" w:cstheme="minorHAnsi"/>
              </w:rPr>
            </w:pPr>
          </w:p>
        </w:tc>
        <w:tc>
          <w:tcPr>
            <w:tcW w:w="1890" w:type="dxa"/>
            <w:gridSpan w:val="2"/>
            <w:shd w:val="clear" w:color="auto" w:fill="auto"/>
          </w:tcPr>
          <w:p w:rsidR="0023792B" w:rsidRPr="00B102EE" w:rsidRDefault="0023792B" w:rsidP="001468F3">
            <w:pPr>
              <w:pStyle w:val="text"/>
              <w:ind w:left="360"/>
              <w:jc w:val="center"/>
              <w:rPr>
                <w:rFonts w:asciiTheme="minorHAnsi" w:hAnsiTheme="minorHAnsi" w:cstheme="minorHAnsi"/>
              </w:rPr>
            </w:pPr>
            <w:r w:rsidRPr="00B102EE">
              <w:rPr>
                <w:rFonts w:asciiTheme="minorHAnsi" w:hAnsiTheme="minorHAnsi" w:cstheme="minorHAnsi"/>
              </w:rPr>
              <w:sym w:font="Wingdings" w:char="F06F"/>
            </w:r>
          </w:p>
        </w:tc>
        <w:tc>
          <w:tcPr>
            <w:tcW w:w="7650" w:type="dxa"/>
            <w:gridSpan w:val="11"/>
            <w:shd w:val="clear" w:color="auto" w:fill="auto"/>
          </w:tcPr>
          <w:p w:rsidR="0023792B" w:rsidRPr="00B102EE" w:rsidRDefault="0023792B" w:rsidP="0023792B">
            <w:pPr>
              <w:pStyle w:val="text"/>
              <w:numPr>
                <w:ilvl w:val="0"/>
                <w:numId w:val="28"/>
              </w:numPr>
              <w:jc w:val="both"/>
              <w:rPr>
                <w:rFonts w:asciiTheme="minorHAnsi" w:hAnsiTheme="minorHAnsi" w:cstheme="minorHAnsi"/>
              </w:rPr>
            </w:pPr>
            <w:r w:rsidRPr="00B102EE">
              <w:rPr>
                <w:rFonts w:asciiTheme="minorHAnsi" w:hAnsiTheme="minorHAnsi" w:cstheme="minorHAnsi"/>
              </w:rPr>
              <w:t xml:space="preserve">Evidence that the </w:t>
            </w:r>
            <w:r w:rsidR="00924EED" w:rsidRPr="00B102EE">
              <w:rPr>
                <w:rFonts w:asciiTheme="minorHAnsi" w:hAnsiTheme="minorHAnsi" w:cstheme="minorHAnsi"/>
              </w:rPr>
              <w:t xml:space="preserve">property containing the disposal </w:t>
            </w:r>
            <w:r w:rsidRPr="00B102EE">
              <w:rPr>
                <w:rFonts w:asciiTheme="minorHAnsi" w:hAnsiTheme="minorHAnsi" w:cstheme="minorHAnsi"/>
              </w:rPr>
              <w:t xml:space="preserve">site has been on the market at fair market value but remains unsold, due to costs and other issues associated with </w:t>
            </w:r>
            <w:r w:rsidR="00924EED" w:rsidRPr="00B102EE">
              <w:rPr>
                <w:rFonts w:asciiTheme="minorHAnsi" w:hAnsiTheme="minorHAnsi" w:cstheme="minorHAnsi"/>
              </w:rPr>
              <w:t>oil or hazardous materials</w:t>
            </w:r>
            <w:r w:rsidRPr="00B102EE">
              <w:rPr>
                <w:rFonts w:asciiTheme="minorHAnsi" w:hAnsiTheme="minorHAnsi" w:cstheme="minorHAnsi"/>
              </w:rPr>
              <w:t xml:space="preserve"> present at the site.  </w:t>
            </w:r>
          </w:p>
        </w:tc>
      </w:tr>
      <w:tr w:rsidR="0023792B" w:rsidTr="005064C8">
        <w:trPr>
          <w:cantSplit/>
          <w:trHeight w:hRule="exact" w:val="720"/>
        </w:trPr>
        <w:tc>
          <w:tcPr>
            <w:tcW w:w="1080" w:type="dxa"/>
            <w:shd w:val="clear" w:color="auto" w:fill="auto"/>
          </w:tcPr>
          <w:p w:rsidR="0023792B" w:rsidRPr="00B102EE" w:rsidRDefault="0023792B" w:rsidP="00043845">
            <w:pPr>
              <w:pStyle w:val="text"/>
              <w:jc w:val="center"/>
              <w:rPr>
                <w:rFonts w:asciiTheme="minorHAnsi" w:hAnsiTheme="minorHAnsi" w:cstheme="minorHAnsi"/>
              </w:rPr>
            </w:pPr>
          </w:p>
        </w:tc>
        <w:tc>
          <w:tcPr>
            <w:tcW w:w="1890" w:type="dxa"/>
            <w:gridSpan w:val="2"/>
            <w:shd w:val="clear" w:color="auto" w:fill="auto"/>
          </w:tcPr>
          <w:p w:rsidR="0023792B" w:rsidRPr="00B102EE" w:rsidRDefault="0023792B" w:rsidP="001468F3">
            <w:pPr>
              <w:pStyle w:val="text"/>
              <w:ind w:left="360"/>
              <w:jc w:val="center"/>
              <w:rPr>
                <w:rFonts w:asciiTheme="minorHAnsi" w:hAnsiTheme="minorHAnsi" w:cstheme="minorHAnsi"/>
              </w:rPr>
            </w:pPr>
            <w:r w:rsidRPr="00B102EE">
              <w:rPr>
                <w:rFonts w:asciiTheme="minorHAnsi" w:hAnsiTheme="minorHAnsi" w:cstheme="minorHAnsi"/>
              </w:rPr>
              <w:sym w:font="Wingdings" w:char="F06F"/>
            </w:r>
          </w:p>
        </w:tc>
        <w:tc>
          <w:tcPr>
            <w:tcW w:w="7650" w:type="dxa"/>
            <w:gridSpan w:val="11"/>
            <w:shd w:val="clear" w:color="auto" w:fill="auto"/>
          </w:tcPr>
          <w:p w:rsidR="0023792B" w:rsidRPr="00B102EE" w:rsidRDefault="0023792B" w:rsidP="0023792B">
            <w:pPr>
              <w:pStyle w:val="text"/>
              <w:numPr>
                <w:ilvl w:val="0"/>
                <w:numId w:val="28"/>
              </w:numPr>
              <w:jc w:val="both"/>
              <w:rPr>
                <w:rFonts w:asciiTheme="minorHAnsi" w:hAnsiTheme="minorHAnsi" w:cstheme="minorHAnsi"/>
              </w:rPr>
            </w:pPr>
            <w:r w:rsidRPr="00B102EE">
              <w:rPr>
                <w:rFonts w:asciiTheme="minorHAnsi" w:hAnsiTheme="minorHAnsi" w:cstheme="minorHAnsi"/>
              </w:rPr>
              <w:t xml:space="preserve">Evidence showing that the owner of the </w:t>
            </w:r>
            <w:r w:rsidR="00924EED" w:rsidRPr="00B102EE">
              <w:rPr>
                <w:rFonts w:asciiTheme="minorHAnsi" w:hAnsiTheme="minorHAnsi" w:cstheme="minorHAnsi"/>
              </w:rPr>
              <w:t xml:space="preserve">property containing the disposal </w:t>
            </w:r>
            <w:r w:rsidRPr="00B102EE">
              <w:rPr>
                <w:rFonts w:asciiTheme="minorHAnsi" w:hAnsiTheme="minorHAnsi" w:cstheme="minorHAnsi"/>
              </w:rPr>
              <w:t xml:space="preserve">site has been unable to obtain financing due to costs and other issues associated with </w:t>
            </w:r>
            <w:r w:rsidR="00924EED" w:rsidRPr="00B102EE">
              <w:rPr>
                <w:rFonts w:asciiTheme="minorHAnsi" w:hAnsiTheme="minorHAnsi" w:cstheme="minorHAnsi"/>
              </w:rPr>
              <w:t>oil or hazardous materials</w:t>
            </w:r>
            <w:r w:rsidRPr="00B102EE">
              <w:rPr>
                <w:rFonts w:asciiTheme="minorHAnsi" w:hAnsiTheme="minorHAnsi" w:cstheme="minorHAnsi"/>
              </w:rPr>
              <w:t xml:space="preserve"> present at the site.  </w:t>
            </w:r>
          </w:p>
        </w:tc>
      </w:tr>
      <w:tr w:rsidR="0023792B" w:rsidTr="005064C8">
        <w:trPr>
          <w:cantSplit/>
          <w:trHeight w:hRule="exact" w:val="477"/>
        </w:trPr>
        <w:tc>
          <w:tcPr>
            <w:tcW w:w="1080" w:type="dxa"/>
            <w:shd w:val="clear" w:color="auto" w:fill="auto"/>
          </w:tcPr>
          <w:p w:rsidR="0023792B" w:rsidRPr="00B102EE" w:rsidRDefault="0023792B" w:rsidP="00043845">
            <w:pPr>
              <w:pStyle w:val="text"/>
              <w:jc w:val="center"/>
              <w:rPr>
                <w:rFonts w:asciiTheme="minorHAnsi" w:hAnsiTheme="minorHAnsi" w:cstheme="minorHAnsi"/>
              </w:rPr>
            </w:pPr>
          </w:p>
        </w:tc>
        <w:tc>
          <w:tcPr>
            <w:tcW w:w="1890" w:type="dxa"/>
            <w:gridSpan w:val="2"/>
            <w:shd w:val="clear" w:color="auto" w:fill="auto"/>
          </w:tcPr>
          <w:p w:rsidR="0023792B" w:rsidRPr="00B102EE" w:rsidRDefault="0023792B" w:rsidP="001468F3">
            <w:pPr>
              <w:pStyle w:val="text"/>
              <w:ind w:left="360"/>
              <w:jc w:val="center"/>
              <w:rPr>
                <w:rFonts w:asciiTheme="minorHAnsi" w:hAnsiTheme="minorHAnsi" w:cstheme="minorHAnsi"/>
              </w:rPr>
            </w:pPr>
            <w:r w:rsidRPr="00B102EE">
              <w:rPr>
                <w:rFonts w:asciiTheme="minorHAnsi" w:hAnsiTheme="minorHAnsi" w:cstheme="minorHAnsi"/>
              </w:rPr>
              <w:sym w:font="Wingdings" w:char="F06F"/>
            </w:r>
          </w:p>
        </w:tc>
        <w:tc>
          <w:tcPr>
            <w:tcW w:w="7650" w:type="dxa"/>
            <w:gridSpan w:val="11"/>
            <w:shd w:val="clear" w:color="auto" w:fill="auto"/>
          </w:tcPr>
          <w:p w:rsidR="0023792B" w:rsidRPr="00B102EE" w:rsidRDefault="0023792B" w:rsidP="0023792B">
            <w:pPr>
              <w:pStyle w:val="text"/>
              <w:numPr>
                <w:ilvl w:val="0"/>
                <w:numId w:val="28"/>
              </w:numPr>
              <w:jc w:val="both"/>
              <w:rPr>
                <w:rFonts w:asciiTheme="minorHAnsi" w:hAnsiTheme="minorHAnsi" w:cstheme="minorHAnsi"/>
              </w:rPr>
            </w:pPr>
            <w:r w:rsidRPr="00B102EE">
              <w:rPr>
                <w:rFonts w:asciiTheme="minorHAnsi" w:hAnsiTheme="minorHAnsi" w:cstheme="minorHAnsi"/>
              </w:rPr>
              <w:t xml:space="preserve">Evidence showing that environmental restrictions or AULs materially hinder redevelopment and reuse of the property.  </w:t>
            </w:r>
          </w:p>
        </w:tc>
      </w:tr>
      <w:tr w:rsidR="0023792B" w:rsidTr="001468F3">
        <w:trPr>
          <w:cantSplit/>
          <w:trHeight w:hRule="exact" w:val="495"/>
        </w:trPr>
        <w:tc>
          <w:tcPr>
            <w:tcW w:w="1080" w:type="dxa"/>
            <w:shd w:val="clear" w:color="auto" w:fill="auto"/>
          </w:tcPr>
          <w:p w:rsidR="0023792B" w:rsidRPr="00B102EE" w:rsidRDefault="0023792B" w:rsidP="00043845">
            <w:pPr>
              <w:pStyle w:val="text"/>
              <w:jc w:val="center"/>
              <w:rPr>
                <w:rFonts w:asciiTheme="minorHAnsi" w:hAnsiTheme="minorHAnsi" w:cstheme="minorHAnsi"/>
              </w:rPr>
            </w:pPr>
          </w:p>
        </w:tc>
        <w:tc>
          <w:tcPr>
            <w:tcW w:w="1890" w:type="dxa"/>
            <w:gridSpan w:val="2"/>
            <w:shd w:val="clear" w:color="auto" w:fill="auto"/>
          </w:tcPr>
          <w:p w:rsidR="0023792B" w:rsidRPr="00B102EE" w:rsidRDefault="0023792B" w:rsidP="001468F3">
            <w:pPr>
              <w:pStyle w:val="text"/>
              <w:ind w:left="360"/>
              <w:jc w:val="center"/>
              <w:rPr>
                <w:rFonts w:asciiTheme="minorHAnsi" w:hAnsiTheme="minorHAnsi" w:cstheme="minorHAnsi"/>
              </w:rPr>
            </w:pPr>
            <w:r w:rsidRPr="00B102EE">
              <w:rPr>
                <w:rFonts w:asciiTheme="minorHAnsi" w:hAnsiTheme="minorHAnsi" w:cstheme="minorHAnsi"/>
              </w:rPr>
              <w:sym w:font="Wingdings" w:char="F06F"/>
            </w:r>
          </w:p>
        </w:tc>
        <w:tc>
          <w:tcPr>
            <w:tcW w:w="7650" w:type="dxa"/>
            <w:gridSpan w:val="11"/>
            <w:shd w:val="clear" w:color="auto" w:fill="auto"/>
          </w:tcPr>
          <w:p w:rsidR="0023792B" w:rsidRPr="00B102EE" w:rsidRDefault="0023792B" w:rsidP="003B2A40">
            <w:pPr>
              <w:pStyle w:val="text"/>
              <w:numPr>
                <w:ilvl w:val="0"/>
                <w:numId w:val="28"/>
              </w:numPr>
              <w:jc w:val="both"/>
              <w:rPr>
                <w:rFonts w:asciiTheme="minorHAnsi" w:hAnsiTheme="minorHAnsi" w:cstheme="minorHAnsi"/>
              </w:rPr>
            </w:pPr>
            <w:r w:rsidRPr="00B102EE">
              <w:rPr>
                <w:rFonts w:asciiTheme="minorHAnsi" w:hAnsiTheme="minorHAnsi" w:cstheme="minorHAnsi"/>
              </w:rPr>
              <w:t>Evidence of the site being abandoned by the current or recent owners due to the presenc</w:t>
            </w:r>
            <w:r w:rsidR="00EA7403" w:rsidRPr="00B102EE">
              <w:rPr>
                <w:rFonts w:asciiTheme="minorHAnsi" w:hAnsiTheme="minorHAnsi" w:cstheme="minorHAnsi"/>
              </w:rPr>
              <w:t>e of oil or hazardous materials</w:t>
            </w:r>
            <w:r w:rsidR="003B2A40" w:rsidRPr="00B102EE">
              <w:rPr>
                <w:rFonts w:asciiTheme="minorHAnsi" w:hAnsiTheme="minorHAnsi" w:cstheme="minorHAnsi"/>
              </w:rPr>
              <w:t xml:space="preserve">.   </w:t>
            </w:r>
          </w:p>
        </w:tc>
      </w:tr>
      <w:tr w:rsidR="0023792B" w:rsidTr="00741B6C">
        <w:trPr>
          <w:cantSplit/>
          <w:trHeight w:hRule="exact" w:val="252"/>
        </w:trPr>
        <w:tc>
          <w:tcPr>
            <w:tcW w:w="1080" w:type="dxa"/>
            <w:tcBorders>
              <w:bottom w:val="single" w:sz="4" w:space="0" w:color="auto"/>
            </w:tcBorders>
            <w:shd w:val="clear" w:color="auto" w:fill="auto"/>
          </w:tcPr>
          <w:p w:rsidR="0023792B" w:rsidRPr="00B102EE" w:rsidRDefault="0023792B" w:rsidP="00043845">
            <w:pPr>
              <w:pStyle w:val="text"/>
              <w:jc w:val="center"/>
              <w:rPr>
                <w:rFonts w:asciiTheme="minorHAnsi" w:hAnsiTheme="minorHAnsi" w:cstheme="minorHAnsi"/>
              </w:rPr>
            </w:pPr>
          </w:p>
        </w:tc>
        <w:tc>
          <w:tcPr>
            <w:tcW w:w="1890" w:type="dxa"/>
            <w:gridSpan w:val="2"/>
            <w:tcBorders>
              <w:bottom w:val="single" w:sz="4" w:space="0" w:color="auto"/>
            </w:tcBorders>
            <w:shd w:val="clear" w:color="auto" w:fill="auto"/>
          </w:tcPr>
          <w:p w:rsidR="0023792B" w:rsidRPr="00B102EE" w:rsidRDefault="0023792B" w:rsidP="001468F3">
            <w:pPr>
              <w:pStyle w:val="text"/>
              <w:ind w:left="360"/>
              <w:jc w:val="center"/>
              <w:rPr>
                <w:rFonts w:asciiTheme="minorHAnsi" w:hAnsiTheme="minorHAnsi" w:cstheme="minorHAnsi"/>
              </w:rPr>
            </w:pPr>
            <w:r w:rsidRPr="00B102EE">
              <w:rPr>
                <w:rFonts w:asciiTheme="minorHAnsi" w:hAnsiTheme="minorHAnsi" w:cstheme="minorHAnsi"/>
              </w:rPr>
              <w:sym w:font="Wingdings" w:char="F06F"/>
            </w:r>
          </w:p>
        </w:tc>
        <w:tc>
          <w:tcPr>
            <w:tcW w:w="7650" w:type="dxa"/>
            <w:gridSpan w:val="11"/>
            <w:tcBorders>
              <w:bottom w:val="single" w:sz="4" w:space="0" w:color="auto"/>
            </w:tcBorders>
            <w:shd w:val="clear" w:color="auto" w:fill="auto"/>
          </w:tcPr>
          <w:p w:rsidR="0023792B" w:rsidRPr="00B102EE" w:rsidRDefault="00EA7403" w:rsidP="003B2A40">
            <w:pPr>
              <w:pStyle w:val="text"/>
              <w:numPr>
                <w:ilvl w:val="0"/>
                <w:numId w:val="28"/>
              </w:numPr>
              <w:jc w:val="both"/>
              <w:rPr>
                <w:rFonts w:asciiTheme="minorHAnsi" w:hAnsiTheme="minorHAnsi" w:cstheme="minorHAnsi"/>
              </w:rPr>
            </w:pPr>
            <w:r w:rsidRPr="00B102EE">
              <w:rPr>
                <w:rFonts w:asciiTheme="minorHAnsi" w:hAnsiTheme="minorHAnsi" w:cstheme="minorHAnsi"/>
              </w:rPr>
              <w:t>O</w:t>
            </w:r>
            <w:r w:rsidR="0023792B" w:rsidRPr="00B102EE">
              <w:rPr>
                <w:rFonts w:asciiTheme="minorHAnsi" w:hAnsiTheme="minorHAnsi" w:cstheme="minorHAnsi"/>
              </w:rPr>
              <w:t xml:space="preserve">ther evidence.  </w:t>
            </w:r>
          </w:p>
        </w:tc>
      </w:tr>
      <w:tr w:rsidR="0023792B" w:rsidRPr="005A6D3C" w:rsidTr="005064C8">
        <w:trPr>
          <w:cantSplit/>
          <w:trHeight w:hRule="exact" w:val="802"/>
        </w:trPr>
        <w:tc>
          <w:tcPr>
            <w:tcW w:w="1080" w:type="dxa"/>
            <w:tcBorders>
              <w:top w:val="single" w:sz="4" w:space="0" w:color="auto"/>
            </w:tcBorders>
            <w:shd w:val="clear" w:color="auto" w:fill="auto"/>
            <w:vAlign w:val="center"/>
          </w:tcPr>
          <w:p w:rsidR="0023792B" w:rsidRPr="00B102EE" w:rsidRDefault="0023792B" w:rsidP="00701AB3">
            <w:pPr>
              <w:pStyle w:val="text"/>
              <w:jc w:val="center"/>
              <w:rPr>
                <w:rFonts w:asciiTheme="minorHAnsi" w:hAnsiTheme="minorHAnsi" w:cstheme="minorHAnsi"/>
              </w:rPr>
            </w:pPr>
            <w:r w:rsidRPr="00B102EE">
              <w:rPr>
                <w:rFonts w:asciiTheme="minorHAnsi" w:hAnsiTheme="minorHAnsi" w:cstheme="minorHAnsi"/>
              </w:rPr>
              <w:sym w:font="Wingdings" w:char="F06F"/>
            </w:r>
          </w:p>
        </w:tc>
        <w:tc>
          <w:tcPr>
            <w:tcW w:w="1890" w:type="dxa"/>
            <w:gridSpan w:val="2"/>
            <w:tcBorders>
              <w:top w:val="single" w:sz="4" w:space="0" w:color="auto"/>
            </w:tcBorders>
            <w:shd w:val="clear" w:color="auto" w:fill="auto"/>
          </w:tcPr>
          <w:p w:rsidR="00940EF4" w:rsidRPr="00B102EE" w:rsidRDefault="0023792B" w:rsidP="005A6D3C">
            <w:pPr>
              <w:pStyle w:val="text"/>
              <w:numPr>
                <w:ilvl w:val="0"/>
                <w:numId w:val="27"/>
              </w:numPr>
              <w:rPr>
                <w:rFonts w:asciiTheme="minorHAnsi" w:hAnsiTheme="minorHAnsi" w:cstheme="minorHAnsi"/>
                <w:b/>
              </w:rPr>
            </w:pPr>
            <w:r w:rsidRPr="00B102EE">
              <w:rPr>
                <w:rFonts w:asciiTheme="minorHAnsi" w:hAnsiTheme="minorHAnsi" w:cstheme="minorHAnsi"/>
                <w:b/>
              </w:rPr>
              <w:t xml:space="preserve">Evidence </w:t>
            </w:r>
            <w:r w:rsidR="00924EED" w:rsidRPr="00B102EE">
              <w:rPr>
                <w:rFonts w:asciiTheme="minorHAnsi" w:hAnsiTheme="minorHAnsi" w:cstheme="minorHAnsi"/>
                <w:b/>
              </w:rPr>
              <w:t>as to Appropriate Reuse</w:t>
            </w:r>
          </w:p>
        </w:tc>
        <w:tc>
          <w:tcPr>
            <w:tcW w:w="7650" w:type="dxa"/>
            <w:gridSpan w:val="11"/>
            <w:tcBorders>
              <w:top w:val="single" w:sz="4" w:space="0" w:color="auto"/>
            </w:tcBorders>
            <w:shd w:val="clear" w:color="auto" w:fill="auto"/>
          </w:tcPr>
          <w:p w:rsidR="00940EF4" w:rsidRPr="00B102EE" w:rsidRDefault="0023792B">
            <w:pPr>
              <w:pStyle w:val="ListParagraph"/>
              <w:ind w:left="0"/>
              <w:rPr>
                <w:rFonts w:asciiTheme="minorHAnsi" w:hAnsiTheme="minorHAnsi" w:cstheme="minorHAnsi"/>
                <w:sz w:val="20"/>
                <w:szCs w:val="20"/>
              </w:rPr>
            </w:pPr>
            <w:r w:rsidRPr="00B102EE">
              <w:rPr>
                <w:rFonts w:asciiTheme="minorHAnsi" w:hAnsiTheme="minorHAnsi" w:cstheme="minorHAnsi"/>
                <w:sz w:val="20"/>
                <w:szCs w:val="20"/>
              </w:rPr>
              <w:t xml:space="preserve">If the </w:t>
            </w:r>
            <w:r w:rsidR="00924EED" w:rsidRPr="00B102EE">
              <w:rPr>
                <w:rFonts w:asciiTheme="minorHAnsi" w:hAnsiTheme="minorHAnsi" w:cstheme="minorHAnsi"/>
                <w:sz w:val="20"/>
                <w:szCs w:val="20"/>
              </w:rPr>
              <w:t>property containing the disposal site</w:t>
            </w:r>
            <w:r w:rsidRPr="00B102EE">
              <w:rPr>
                <w:rFonts w:asciiTheme="minorHAnsi" w:hAnsiTheme="minorHAnsi" w:cstheme="minorHAnsi"/>
                <w:sz w:val="20"/>
                <w:szCs w:val="20"/>
              </w:rPr>
              <w:t xml:space="preserve"> is largely undeveloped, evidence as to why the most appropriate reuse of the site is not for it to remain undeveloped, given its natural resource values.  </w:t>
            </w:r>
            <w:r w:rsidR="00924EED" w:rsidRPr="00B102EE">
              <w:rPr>
                <w:rFonts w:asciiTheme="minorHAnsi" w:hAnsiTheme="minorHAnsi" w:cstheme="minorHAnsi"/>
                <w:sz w:val="20"/>
                <w:szCs w:val="20"/>
              </w:rPr>
              <w:t>(Required if property is largely undeveloped.)</w:t>
            </w:r>
          </w:p>
        </w:tc>
      </w:tr>
      <w:tr w:rsidR="0023792B" w:rsidTr="005A6D3C">
        <w:trPr>
          <w:cantSplit/>
          <w:trHeight w:hRule="exact" w:val="595"/>
        </w:trPr>
        <w:tc>
          <w:tcPr>
            <w:tcW w:w="10620" w:type="dxa"/>
            <w:gridSpan w:val="14"/>
            <w:tcBorders>
              <w:top w:val="single" w:sz="4" w:space="0" w:color="auto"/>
            </w:tcBorders>
            <w:shd w:val="clear" w:color="auto" w:fill="C0C0C0"/>
            <w:vAlign w:val="center"/>
          </w:tcPr>
          <w:p w:rsidR="00940EF4" w:rsidRPr="00726DC0" w:rsidRDefault="0023792B">
            <w:pPr>
              <w:pStyle w:val="text"/>
              <w:ind w:right="24"/>
              <w:rPr>
                <w:rFonts w:asciiTheme="minorHAnsi" w:hAnsiTheme="minorHAnsi" w:cstheme="minorHAnsi"/>
                <w:b/>
                <w:sz w:val="22"/>
                <w:szCs w:val="22"/>
              </w:rPr>
            </w:pPr>
            <w:r w:rsidRPr="00726DC0">
              <w:rPr>
                <w:rFonts w:asciiTheme="minorHAnsi" w:hAnsiTheme="minorHAnsi" w:cstheme="minorHAnsi"/>
                <w:b/>
                <w:sz w:val="22"/>
                <w:szCs w:val="22"/>
              </w:rPr>
              <w:t>C.</w:t>
            </w:r>
            <w:r w:rsidRPr="00726DC0">
              <w:rPr>
                <w:rFonts w:asciiTheme="minorHAnsi" w:hAnsiTheme="minorHAnsi" w:cstheme="minorHAnsi"/>
                <w:b/>
                <w:sz w:val="22"/>
                <w:szCs w:val="22"/>
              </w:rPr>
              <w:tab/>
              <w:t>Signature Statement</w:t>
            </w:r>
            <w:r w:rsidR="00924EED" w:rsidRPr="00726DC0">
              <w:rPr>
                <w:rFonts w:asciiTheme="minorHAnsi" w:hAnsiTheme="minorHAnsi" w:cstheme="minorHAnsi"/>
                <w:b/>
                <w:sz w:val="22"/>
                <w:szCs w:val="22"/>
              </w:rPr>
              <w:t xml:space="preserve">.  </w:t>
            </w:r>
            <w:r w:rsidR="00DF5A08" w:rsidRPr="00726DC0">
              <w:rPr>
                <w:rFonts w:asciiTheme="minorHAnsi" w:hAnsiTheme="minorHAnsi" w:cstheme="minorHAnsi"/>
                <w:sz w:val="22"/>
                <w:szCs w:val="22"/>
              </w:rPr>
              <w:t>[to be signed by authorized representative of Owner or Operator of Potential Generation Unit, or Authorized Agent of Owner or Operator, as defined by 225 CMR 14.02]</w:t>
            </w:r>
          </w:p>
        </w:tc>
      </w:tr>
      <w:tr w:rsidR="005A6D3C" w:rsidRPr="0001175F" w:rsidTr="005A6D3C">
        <w:trPr>
          <w:cantSplit/>
          <w:trHeight w:val="657"/>
        </w:trPr>
        <w:tc>
          <w:tcPr>
            <w:tcW w:w="10620" w:type="dxa"/>
            <w:gridSpan w:val="14"/>
          </w:tcPr>
          <w:p w:rsidR="005A6D3C" w:rsidRPr="0001175F" w:rsidRDefault="00323B81" w:rsidP="00323B81">
            <w:pPr>
              <w:autoSpaceDE w:val="0"/>
              <w:autoSpaceDN w:val="0"/>
              <w:adjustRightInd w:val="0"/>
              <w:rPr>
                <w:rFonts w:ascii="Arial" w:hAnsi="Arial" w:cs="Arial"/>
                <w:sz w:val="16"/>
                <w:szCs w:val="16"/>
              </w:rPr>
            </w:pPr>
            <w:r w:rsidRPr="0001175F">
              <w:rPr>
                <w:rFonts w:ascii="Arial" w:hAnsi="Arial" w:cs="Arial"/>
                <w:sz w:val="16"/>
                <w:szCs w:val="16"/>
              </w:rPr>
              <w:t xml:space="preserve">I, _________________________________________, attest under the pains and penalties of perjury (i) that I have personally examined and am familiar with the information contained in this submittal, including any and all </w:t>
            </w:r>
            <w:r w:rsidR="00994F6D">
              <w:rPr>
                <w:rFonts w:ascii="Arial" w:hAnsi="Arial" w:cs="Arial"/>
                <w:sz w:val="16"/>
                <w:szCs w:val="16"/>
              </w:rPr>
              <w:t xml:space="preserve">supporting </w:t>
            </w:r>
            <w:r w:rsidRPr="0001175F">
              <w:rPr>
                <w:rFonts w:ascii="Arial" w:hAnsi="Arial" w:cs="Arial"/>
                <w:sz w:val="16"/>
                <w:szCs w:val="16"/>
              </w:rPr>
              <w:t>documents accompanying this form, (ii) that, based on my inquiry of those individuals immediately responsible for obtaining the information, the material information contained in this submittal is, to the best of my knowledge and belief, true, accurate and complete, and (iii) that I am fully authorized to make this attestation on behalf of the entity legally responsible for this submittal. I/the person or entity on whose behalf this submittal is made am/is aware that there are significant penalties, including, but not limited to, possible fines and imprisonment, for willfully submitting false, inaccurate, or incomplete information.</w:t>
            </w:r>
          </w:p>
        </w:tc>
      </w:tr>
      <w:tr w:rsidR="0023792B" w:rsidTr="005064C8">
        <w:trPr>
          <w:cantSplit/>
          <w:trHeight w:hRule="exact" w:val="774"/>
        </w:trPr>
        <w:tc>
          <w:tcPr>
            <w:tcW w:w="4140" w:type="dxa"/>
            <w:gridSpan w:val="5"/>
          </w:tcPr>
          <w:p w:rsidR="0023792B" w:rsidRPr="00B102EE" w:rsidRDefault="0023792B" w:rsidP="0001175F">
            <w:pPr>
              <w:pStyle w:val="texthang"/>
              <w:ind w:left="0" w:firstLine="0"/>
              <w:rPr>
                <w:rFonts w:asciiTheme="minorHAnsi" w:hAnsiTheme="minorHAnsi" w:cstheme="minorHAnsi"/>
              </w:rPr>
            </w:pPr>
          </w:p>
          <w:p w:rsidR="0001175F" w:rsidRPr="00B102EE" w:rsidRDefault="0001175F" w:rsidP="0001175F">
            <w:pPr>
              <w:pStyle w:val="texthang"/>
              <w:ind w:left="0" w:firstLine="0"/>
              <w:rPr>
                <w:rFonts w:asciiTheme="minorHAnsi" w:hAnsiTheme="minorHAnsi" w:cstheme="minorHAnsi"/>
              </w:rPr>
            </w:pPr>
          </w:p>
          <w:p w:rsidR="0023792B" w:rsidRPr="00B102EE" w:rsidRDefault="005064C8" w:rsidP="0001175F">
            <w:pPr>
              <w:pStyle w:val="bars24"/>
              <w:spacing w:line="240" w:lineRule="auto"/>
              <w:ind w:left="0"/>
              <w:rPr>
                <w:rFonts w:asciiTheme="minorHAnsi" w:hAnsiTheme="minorHAnsi" w:cstheme="minorHAnsi"/>
                <w:sz w:val="20"/>
              </w:rPr>
            </w:pPr>
            <w:r>
              <w:rPr>
                <w:rFonts w:asciiTheme="minorHAnsi" w:hAnsiTheme="minorHAnsi" w:cstheme="minorHAnsi"/>
                <w:sz w:val="20"/>
              </w:rPr>
              <w:t xml:space="preserve">Printed name </w:t>
            </w:r>
          </w:p>
        </w:tc>
        <w:tc>
          <w:tcPr>
            <w:tcW w:w="4320" w:type="dxa"/>
            <w:gridSpan w:val="6"/>
          </w:tcPr>
          <w:p w:rsidR="0023792B" w:rsidRPr="00B102EE" w:rsidRDefault="0023792B" w:rsidP="0001175F">
            <w:pPr>
              <w:pStyle w:val="text"/>
              <w:rPr>
                <w:rFonts w:asciiTheme="minorHAnsi" w:hAnsiTheme="minorHAnsi" w:cstheme="minorHAnsi"/>
              </w:rPr>
            </w:pPr>
          </w:p>
          <w:p w:rsidR="0001175F" w:rsidRPr="00B102EE" w:rsidRDefault="0001175F" w:rsidP="0001175F">
            <w:pPr>
              <w:pStyle w:val="text"/>
              <w:rPr>
                <w:rFonts w:asciiTheme="minorHAnsi" w:hAnsiTheme="minorHAnsi" w:cstheme="minorHAnsi"/>
              </w:rPr>
            </w:pPr>
          </w:p>
          <w:p w:rsidR="0023792B" w:rsidRPr="005064C8" w:rsidRDefault="0023792B" w:rsidP="005064C8">
            <w:pPr>
              <w:pStyle w:val="bars24"/>
              <w:spacing w:line="240" w:lineRule="auto"/>
              <w:ind w:left="0"/>
              <w:rPr>
                <w:rFonts w:asciiTheme="minorHAnsi" w:hAnsiTheme="minorHAnsi" w:cstheme="minorHAnsi"/>
                <w:sz w:val="20"/>
              </w:rPr>
            </w:pPr>
            <w:r w:rsidRPr="00B102EE">
              <w:rPr>
                <w:rFonts w:asciiTheme="minorHAnsi" w:hAnsiTheme="minorHAnsi" w:cstheme="minorHAnsi"/>
                <w:sz w:val="20"/>
              </w:rPr>
              <w:t>Signature</w:t>
            </w:r>
          </w:p>
        </w:tc>
        <w:tc>
          <w:tcPr>
            <w:tcW w:w="2160" w:type="dxa"/>
            <w:gridSpan w:val="3"/>
          </w:tcPr>
          <w:p w:rsidR="0023792B" w:rsidRPr="00B102EE" w:rsidRDefault="0023792B" w:rsidP="0001175F">
            <w:pPr>
              <w:pStyle w:val="text"/>
              <w:rPr>
                <w:rFonts w:asciiTheme="minorHAnsi" w:eastAsia="Times" w:hAnsiTheme="minorHAnsi" w:cstheme="minorHAnsi"/>
              </w:rPr>
            </w:pPr>
          </w:p>
          <w:p w:rsidR="0001175F" w:rsidRPr="00B102EE" w:rsidRDefault="0001175F" w:rsidP="0001175F">
            <w:pPr>
              <w:pStyle w:val="text"/>
              <w:rPr>
                <w:rFonts w:asciiTheme="minorHAnsi" w:eastAsia="Times" w:hAnsiTheme="minorHAnsi" w:cstheme="minorHAnsi"/>
              </w:rPr>
            </w:pPr>
          </w:p>
          <w:p w:rsidR="0023792B" w:rsidRPr="00B102EE" w:rsidRDefault="0023792B" w:rsidP="0001175F">
            <w:pPr>
              <w:pStyle w:val="bars24"/>
              <w:spacing w:line="240" w:lineRule="auto"/>
              <w:ind w:left="0"/>
              <w:rPr>
                <w:rFonts w:asciiTheme="minorHAnsi" w:hAnsiTheme="minorHAnsi" w:cstheme="minorHAnsi"/>
                <w:sz w:val="20"/>
              </w:rPr>
            </w:pPr>
            <w:r w:rsidRPr="00B102EE">
              <w:rPr>
                <w:rFonts w:asciiTheme="minorHAnsi" w:eastAsia="Times" w:hAnsiTheme="minorHAnsi" w:cstheme="minorHAnsi"/>
                <w:sz w:val="20"/>
              </w:rPr>
              <w:t>Date</w:t>
            </w:r>
          </w:p>
        </w:tc>
      </w:tr>
    </w:tbl>
    <w:p w:rsidR="001C4B30" w:rsidRDefault="001C4B30" w:rsidP="00323B81">
      <w:pPr>
        <w:rPr>
          <w:rFonts w:ascii="Calibri" w:hAnsi="Calibri" w:cs="Calibri"/>
          <w:iCs/>
          <w:sz w:val="22"/>
          <w:szCs w:val="22"/>
        </w:rPr>
      </w:pPr>
    </w:p>
    <w:p w:rsidR="00B102EE" w:rsidRDefault="00B102EE" w:rsidP="00323B81">
      <w:pPr>
        <w:rPr>
          <w:rFonts w:ascii="Calibri" w:hAnsi="Calibri" w:cs="Calibri"/>
          <w:iCs/>
          <w:sz w:val="22"/>
          <w:szCs w:val="22"/>
        </w:rPr>
      </w:pPr>
    </w:p>
    <w:p w:rsidR="00E340D7" w:rsidRPr="005064C8" w:rsidRDefault="004F5E7F" w:rsidP="00B102EE">
      <w:pPr>
        <w:jc w:val="center"/>
        <w:rPr>
          <w:rFonts w:ascii="Calibri" w:hAnsi="Calibri" w:cs="Calibri"/>
          <w:b/>
          <w:iCs/>
        </w:rPr>
      </w:pPr>
      <w:r w:rsidRPr="005064C8">
        <w:rPr>
          <w:rFonts w:ascii="Calibri" w:hAnsi="Calibri" w:cs="Calibri"/>
          <w:b/>
          <w:iCs/>
        </w:rPr>
        <w:t>ATTACHMENT B</w:t>
      </w:r>
      <w:r w:rsidR="00F20AC3" w:rsidRPr="005064C8">
        <w:rPr>
          <w:rFonts w:ascii="Calibri" w:hAnsi="Calibri" w:cs="Calibri"/>
          <w:b/>
          <w:iCs/>
        </w:rPr>
        <w:t>: Sample</w:t>
      </w:r>
      <w:r w:rsidR="001F5F34" w:rsidRPr="005064C8">
        <w:rPr>
          <w:rFonts w:ascii="Calibri" w:hAnsi="Calibri" w:cs="Calibri"/>
          <w:b/>
          <w:iCs/>
        </w:rPr>
        <w:t xml:space="preserve"> Pre-Determination</w:t>
      </w:r>
      <w:r w:rsidR="00F20AC3" w:rsidRPr="005064C8">
        <w:rPr>
          <w:rFonts w:ascii="Calibri" w:hAnsi="Calibri" w:cs="Calibri"/>
          <w:b/>
          <w:iCs/>
        </w:rPr>
        <w:t xml:space="preserve"> Letter</w:t>
      </w:r>
    </w:p>
    <w:p w:rsidR="001F5F34" w:rsidRDefault="001F5F34" w:rsidP="00F20AC3">
      <w:pPr>
        <w:jc w:val="center"/>
        <w:rPr>
          <w:sz w:val="20"/>
          <w:szCs w:val="20"/>
        </w:rPr>
      </w:pPr>
    </w:p>
    <w:p w:rsidR="001F5F34" w:rsidRDefault="001F5F34" w:rsidP="00F20AC3">
      <w:pPr>
        <w:jc w:val="center"/>
        <w:rPr>
          <w:sz w:val="20"/>
          <w:szCs w:val="20"/>
        </w:rPr>
      </w:pPr>
    </w:p>
    <w:p w:rsidR="00F20AC3" w:rsidRPr="001F5F34" w:rsidRDefault="00F20AC3" w:rsidP="00F20AC3">
      <w:pPr>
        <w:jc w:val="center"/>
        <w:rPr>
          <w:sz w:val="22"/>
          <w:szCs w:val="22"/>
        </w:rPr>
      </w:pPr>
      <w:r w:rsidRPr="001F5F34">
        <w:rPr>
          <w:sz w:val="22"/>
          <w:szCs w:val="22"/>
        </w:rPr>
        <w:t>DATE</w:t>
      </w:r>
    </w:p>
    <w:p w:rsidR="00F20AC3" w:rsidRPr="001F5F34" w:rsidRDefault="00F20AC3" w:rsidP="00F20AC3">
      <w:pPr>
        <w:rPr>
          <w:noProof/>
          <w:sz w:val="22"/>
          <w:szCs w:val="22"/>
        </w:rPr>
      </w:pPr>
      <w:r w:rsidRPr="001F5F34">
        <w:rPr>
          <w:noProof/>
          <w:sz w:val="22"/>
          <w:szCs w:val="22"/>
        </w:rPr>
        <w:t>[First Name], [Last Name]</w:t>
      </w:r>
    </w:p>
    <w:p w:rsidR="00F20AC3" w:rsidRPr="001F5F34" w:rsidRDefault="00F20AC3" w:rsidP="00F20AC3">
      <w:pPr>
        <w:rPr>
          <w:noProof/>
          <w:sz w:val="22"/>
          <w:szCs w:val="22"/>
        </w:rPr>
      </w:pPr>
      <w:r w:rsidRPr="001F5F34">
        <w:rPr>
          <w:noProof/>
          <w:sz w:val="22"/>
          <w:szCs w:val="22"/>
        </w:rPr>
        <w:t>[Title]</w:t>
      </w:r>
    </w:p>
    <w:p w:rsidR="00F20AC3" w:rsidRPr="001F5F34" w:rsidRDefault="00F20AC3" w:rsidP="00F20AC3">
      <w:pPr>
        <w:rPr>
          <w:noProof/>
          <w:sz w:val="22"/>
          <w:szCs w:val="22"/>
        </w:rPr>
      </w:pPr>
      <w:r w:rsidRPr="001F5F34">
        <w:rPr>
          <w:noProof/>
          <w:sz w:val="22"/>
          <w:szCs w:val="22"/>
        </w:rPr>
        <w:t>[Organization]</w:t>
      </w:r>
    </w:p>
    <w:p w:rsidR="00F20AC3" w:rsidRPr="001F5F34" w:rsidRDefault="00F20AC3" w:rsidP="00F20AC3">
      <w:pPr>
        <w:rPr>
          <w:noProof/>
          <w:sz w:val="22"/>
          <w:szCs w:val="22"/>
        </w:rPr>
      </w:pPr>
      <w:r w:rsidRPr="001F5F34">
        <w:rPr>
          <w:noProof/>
          <w:sz w:val="22"/>
          <w:szCs w:val="22"/>
        </w:rPr>
        <w:t>[Address]</w:t>
      </w:r>
    </w:p>
    <w:p w:rsidR="00F20AC3" w:rsidRPr="001F5F34" w:rsidRDefault="00F20AC3" w:rsidP="00F20AC3">
      <w:pPr>
        <w:rPr>
          <w:noProof/>
          <w:sz w:val="22"/>
          <w:szCs w:val="22"/>
        </w:rPr>
      </w:pPr>
      <w:r w:rsidRPr="001F5F34">
        <w:rPr>
          <w:noProof/>
          <w:sz w:val="22"/>
          <w:szCs w:val="22"/>
        </w:rPr>
        <w:t>[City], [State] [Zip Code]</w:t>
      </w:r>
    </w:p>
    <w:p w:rsidR="00F20AC3" w:rsidRPr="001F5F34" w:rsidRDefault="00F20AC3" w:rsidP="00F20AC3">
      <w:pPr>
        <w:rPr>
          <w:noProof/>
          <w:sz w:val="22"/>
          <w:szCs w:val="22"/>
        </w:rPr>
      </w:pPr>
    </w:p>
    <w:p w:rsidR="00F20AC3" w:rsidRPr="001F5F34" w:rsidRDefault="00F20AC3" w:rsidP="00F20AC3">
      <w:pPr>
        <w:spacing w:after="120"/>
        <w:rPr>
          <w:sz w:val="22"/>
          <w:szCs w:val="22"/>
        </w:rPr>
      </w:pPr>
      <w:r w:rsidRPr="001F5F34">
        <w:rPr>
          <w:sz w:val="22"/>
          <w:szCs w:val="22"/>
        </w:rPr>
        <w:t>Dear Mr./Ms. [Last Name],</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The purpose of this letter is to respond to [Organization’s] request dated [date], concerning the potential qualification of [Site Name] in [City], Massachusetts (“Site”), as a Brownfield under 225 CMR </w:t>
      </w:r>
      <w:r w:rsidR="001740D2">
        <w:rPr>
          <w:rFonts w:ascii="Times New Roman" w:hAnsi="Times New Roman"/>
          <w:color w:val="151515"/>
          <w:sz w:val="22"/>
          <w:szCs w:val="22"/>
        </w:rPr>
        <w:t>20</w:t>
      </w:r>
      <w:r w:rsidRPr="001F5F34">
        <w:rPr>
          <w:rFonts w:ascii="Times New Roman" w:hAnsi="Times New Roman"/>
          <w:color w:val="151515"/>
          <w:sz w:val="22"/>
          <w:szCs w:val="22"/>
        </w:rPr>
        <w:t>.00.  The Department of Energy Resources (“Department”), acting in consultation with the Department of Environmental Protection (“MassDEP”), have reviewed your request which explains [summarize factual details as submitted in request form].</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Under 225 CMR </w:t>
      </w:r>
      <w:r w:rsidR="001740D2">
        <w:rPr>
          <w:rFonts w:ascii="Times New Roman" w:hAnsi="Times New Roman"/>
          <w:color w:val="151515"/>
          <w:sz w:val="22"/>
          <w:szCs w:val="22"/>
        </w:rPr>
        <w:t>20</w:t>
      </w:r>
      <w:r w:rsidRPr="001F5F34">
        <w:rPr>
          <w:rFonts w:ascii="Times New Roman" w:hAnsi="Times New Roman"/>
          <w:color w:val="151515"/>
          <w:sz w:val="22"/>
          <w:szCs w:val="22"/>
        </w:rPr>
        <w:t>.02, a Brownfield is defined as follows:</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Default"/>
        <w:ind w:left="360" w:right="360"/>
        <w:rPr>
          <w:i/>
          <w:sz w:val="22"/>
          <w:szCs w:val="22"/>
        </w:rPr>
      </w:pPr>
      <w:r w:rsidRPr="001F5F34">
        <w:rPr>
          <w:i/>
          <w:sz w:val="22"/>
          <w:szCs w:val="22"/>
        </w:rPr>
        <w:t xml:space="preserve">A disposal site that has received a release tracking number from MassDEP pursuant to 310 CMR 40.0000: </w:t>
      </w:r>
      <w:r w:rsidRPr="001F5F34">
        <w:rPr>
          <w:i/>
          <w:iCs/>
          <w:sz w:val="22"/>
          <w:szCs w:val="22"/>
        </w:rPr>
        <w:t>Massachusetts Contingency Plan</w:t>
      </w:r>
      <w:r w:rsidRPr="001F5F34">
        <w:rPr>
          <w:i/>
          <w:sz w:val="22"/>
          <w:szCs w:val="22"/>
        </w:rPr>
        <w:t xml:space="preserve">, the redevelopment or reuse of which is hindered by the presence of oil or hazardous materials, as determined by the Department, in consultation with MassDEP. For the purposes of this definition, the terms “disposal site,” “release tracking number,” “oil,” and “hazardous materials” shall have the meanings giving to such terms in 310 CMR 40.0006: </w:t>
      </w:r>
      <w:r w:rsidRPr="001F5F34">
        <w:rPr>
          <w:i/>
          <w:iCs/>
          <w:sz w:val="22"/>
          <w:szCs w:val="22"/>
        </w:rPr>
        <w:t>Terminology, Definitions and Acronyms</w:t>
      </w:r>
      <w:r w:rsidRPr="001F5F34">
        <w:rPr>
          <w:i/>
          <w:sz w:val="22"/>
          <w:szCs w:val="22"/>
        </w:rPr>
        <w:t>. No disposal site that otherwise meets the requirements of 225 CMR 14.02: Brownfield shall be excluded from consideration as a Brownfield because its cleanup is also regulated by the Comprehensive Environmental Response, Compensation and Liability Act, 42 U.S.C. §§ 9601-9675, the Resource Conservation and Recovery Act, 42 U.S.C. §§ 6921 – 6939g, or any other federal program.</w:t>
      </w:r>
    </w:p>
    <w:p w:rsidR="00F20AC3" w:rsidRPr="001F5F34" w:rsidRDefault="00F20AC3" w:rsidP="00F20AC3">
      <w:pPr>
        <w:pStyle w:val="Default"/>
        <w:ind w:left="360" w:right="360"/>
        <w:rPr>
          <w:i/>
          <w:color w:val="auto"/>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The Department and MassDEP have issued guidance to govern the pre-determination of Brownfield eligibility process.  </w:t>
      </w:r>
      <w:r w:rsidRPr="001F5F34">
        <w:rPr>
          <w:rFonts w:ascii="Times New Roman" w:hAnsi="Times New Roman"/>
          <w:i/>
          <w:color w:val="151515"/>
          <w:sz w:val="22"/>
          <w:szCs w:val="22"/>
        </w:rPr>
        <w:t xml:space="preserve">Guideline Regarding the Definition of “Brownfield” Under the </w:t>
      </w:r>
      <w:r w:rsidR="00D5113E">
        <w:rPr>
          <w:rFonts w:ascii="Times New Roman" w:hAnsi="Times New Roman"/>
          <w:i/>
          <w:color w:val="151515"/>
          <w:sz w:val="22"/>
          <w:szCs w:val="22"/>
        </w:rPr>
        <w:t>SMART Program</w:t>
      </w:r>
      <w:r w:rsidRPr="001F5F34">
        <w:rPr>
          <w:rFonts w:ascii="Times New Roman" w:hAnsi="Times New Roman"/>
          <w:color w:val="151515"/>
          <w:sz w:val="22"/>
          <w:szCs w:val="22"/>
        </w:rPr>
        <w:t xml:space="preserve">[Insert link](“Guidance”).  Acting in accordance with 225 CMR </w:t>
      </w:r>
      <w:r w:rsidR="001740D2">
        <w:rPr>
          <w:rFonts w:ascii="Times New Roman" w:hAnsi="Times New Roman"/>
          <w:color w:val="151515"/>
          <w:sz w:val="22"/>
          <w:szCs w:val="22"/>
        </w:rPr>
        <w:t>20</w:t>
      </w:r>
      <w:r w:rsidR="00D5113E">
        <w:rPr>
          <w:rFonts w:ascii="Times New Roman" w:hAnsi="Times New Roman"/>
          <w:color w:val="151515"/>
          <w:sz w:val="22"/>
          <w:szCs w:val="22"/>
        </w:rPr>
        <w:t>.00</w:t>
      </w:r>
      <w:r w:rsidR="00D5113E" w:rsidRPr="001F5F34">
        <w:rPr>
          <w:rFonts w:ascii="Times New Roman" w:hAnsi="Times New Roman"/>
          <w:color w:val="151515"/>
          <w:sz w:val="22"/>
          <w:szCs w:val="22"/>
        </w:rPr>
        <w:t xml:space="preserve"> </w:t>
      </w:r>
      <w:r w:rsidRPr="001F5F34">
        <w:rPr>
          <w:rFonts w:ascii="Times New Roman" w:hAnsi="Times New Roman"/>
          <w:color w:val="151515"/>
          <w:sz w:val="22"/>
          <w:szCs w:val="22"/>
        </w:rPr>
        <w:t xml:space="preserve">and applicable Guidance, the Department, in consultation with MassDEP, has reached the conclusion that the Site </w:t>
      </w:r>
      <w:r w:rsidR="002336A9">
        <w:rPr>
          <w:rFonts w:ascii="Times New Roman" w:hAnsi="Times New Roman"/>
          <w:color w:val="151515"/>
          <w:sz w:val="22"/>
          <w:szCs w:val="22"/>
        </w:rPr>
        <w:t xml:space="preserve">likely </w:t>
      </w:r>
      <w:r w:rsidRPr="001F5F34">
        <w:rPr>
          <w:rFonts w:ascii="Times New Roman" w:hAnsi="Times New Roman"/>
          <w:color w:val="151515"/>
          <w:sz w:val="22"/>
          <w:szCs w:val="22"/>
        </w:rPr>
        <w:t xml:space="preserve">[does/does not] meet the criteria set forth in 225 CMR </w:t>
      </w:r>
      <w:r w:rsidR="001740D2">
        <w:rPr>
          <w:rFonts w:ascii="Times New Roman" w:hAnsi="Times New Roman"/>
          <w:color w:val="151515"/>
          <w:sz w:val="22"/>
          <w:szCs w:val="22"/>
        </w:rPr>
        <w:t>20</w:t>
      </w:r>
      <w:r w:rsidRPr="001F5F34">
        <w:rPr>
          <w:rFonts w:ascii="Times New Roman" w:hAnsi="Times New Roman"/>
          <w:color w:val="151515"/>
          <w:sz w:val="22"/>
          <w:szCs w:val="22"/>
        </w:rPr>
        <w:t>.00 to be considered a Brownfield.  This conclusion is based upon the following: [summarize reasons why site meets / does not meet criteria].</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Please be advised that this pre-determination of Brownfield eligibility letter </w:t>
      </w:r>
      <w:r w:rsidRPr="001F5F34">
        <w:rPr>
          <w:rFonts w:ascii="Times New Roman" w:hAnsi="Times New Roman"/>
          <w:iCs/>
          <w:color w:val="151515"/>
          <w:sz w:val="22"/>
          <w:szCs w:val="22"/>
        </w:rPr>
        <w:t xml:space="preserve">is not a final agency decision, and is not binding on </w:t>
      </w:r>
      <w:r w:rsidR="004F1AE0">
        <w:rPr>
          <w:rFonts w:ascii="Times New Roman" w:hAnsi="Times New Roman"/>
          <w:iCs/>
          <w:color w:val="151515"/>
          <w:sz w:val="22"/>
          <w:szCs w:val="22"/>
        </w:rPr>
        <w:t>the Department</w:t>
      </w:r>
      <w:r w:rsidRPr="001F5F34">
        <w:rPr>
          <w:rFonts w:ascii="Times New Roman" w:hAnsi="Times New Roman"/>
          <w:iCs/>
          <w:color w:val="151515"/>
          <w:sz w:val="22"/>
          <w:szCs w:val="22"/>
        </w:rPr>
        <w:t xml:space="preserve"> or MassDEP, and does not give rise to any appeal right under M.G.L. c. 30A, or any other law.  T</w:t>
      </w:r>
      <w:r w:rsidRPr="001F5F34">
        <w:rPr>
          <w:rFonts w:ascii="Times New Roman" w:hAnsi="Times New Roman"/>
          <w:color w:val="151515"/>
          <w:sz w:val="22"/>
          <w:szCs w:val="22"/>
        </w:rPr>
        <w:t xml:space="preserve">he Department, in consultation with MassDEP, </w:t>
      </w:r>
      <w:r w:rsidR="00FF3E38">
        <w:rPr>
          <w:rFonts w:ascii="Times New Roman" w:hAnsi="Times New Roman"/>
          <w:color w:val="151515"/>
          <w:sz w:val="22"/>
          <w:szCs w:val="22"/>
        </w:rPr>
        <w:t>will</w:t>
      </w:r>
      <w:r w:rsidRPr="001F5F34">
        <w:rPr>
          <w:rFonts w:ascii="Times New Roman" w:hAnsi="Times New Roman"/>
          <w:color w:val="151515"/>
          <w:sz w:val="22"/>
          <w:szCs w:val="22"/>
        </w:rPr>
        <w:t xml:space="preserve"> make a final determination on the eligibility of the Site’s status as a Brownfield at the time it issues a Sta</w:t>
      </w:r>
      <w:r w:rsidRPr="00357091">
        <w:rPr>
          <w:rFonts w:ascii="Times New Roman" w:hAnsi="Times New Roman"/>
          <w:color w:val="151515"/>
          <w:sz w:val="22"/>
          <w:szCs w:val="22"/>
        </w:rPr>
        <w:t>t</w:t>
      </w:r>
      <w:r w:rsidRPr="001F5F34">
        <w:rPr>
          <w:rFonts w:ascii="Times New Roman" w:hAnsi="Times New Roman"/>
          <w:color w:val="151515"/>
          <w:sz w:val="22"/>
          <w:szCs w:val="22"/>
        </w:rPr>
        <w:t xml:space="preserve">ement of Qualification under 225 CMR </w:t>
      </w:r>
      <w:r w:rsidR="001740D2">
        <w:rPr>
          <w:rFonts w:ascii="Times New Roman" w:hAnsi="Times New Roman"/>
          <w:color w:val="151515"/>
          <w:sz w:val="22"/>
          <w:szCs w:val="22"/>
        </w:rPr>
        <w:t>20</w:t>
      </w:r>
      <w:r w:rsidRPr="001F5F34">
        <w:rPr>
          <w:rFonts w:ascii="Times New Roman" w:hAnsi="Times New Roman"/>
          <w:color w:val="151515"/>
          <w:sz w:val="22"/>
          <w:szCs w:val="22"/>
        </w:rPr>
        <w:t>.06.</w:t>
      </w:r>
      <w:r w:rsidR="00FF3E38">
        <w:rPr>
          <w:rFonts w:ascii="Times New Roman" w:hAnsi="Times New Roman"/>
          <w:color w:val="151515"/>
          <w:sz w:val="22"/>
          <w:szCs w:val="22"/>
        </w:rPr>
        <w:t xml:space="preserve">  Such final determination may be different from the pre-determination contained in this letter if information provided by you in connection with your Pre-Determination Request Form is materially inaccurate or incomplete. </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If you have any questions regarding this pre-determination of Brownfield eligibility, please contact </w:t>
      </w:r>
      <w:hyperlink r:id="rId16" w:history="1">
        <w:r w:rsidR="00D5113E">
          <w:rPr>
            <w:rStyle w:val="Hyperlink"/>
            <w:rFonts w:ascii="Times New Roman" w:hAnsi="Times New Roman"/>
            <w:sz w:val="22"/>
            <w:szCs w:val="22"/>
          </w:rPr>
          <w:t>Kaitlin.Kelly@state.ma.us</w:t>
        </w:r>
      </w:hyperlink>
      <w:r w:rsidRPr="001F5F34">
        <w:rPr>
          <w:rFonts w:ascii="Times New Roman" w:hAnsi="Times New Roman"/>
          <w:color w:val="151515"/>
          <w:sz w:val="22"/>
          <w:szCs w:val="22"/>
        </w:rPr>
        <w:t xml:space="preserve"> or 617-626-</w:t>
      </w:r>
      <w:r w:rsidR="00D5113E" w:rsidRPr="001F5F34">
        <w:rPr>
          <w:rFonts w:ascii="Times New Roman" w:hAnsi="Times New Roman"/>
          <w:color w:val="151515"/>
          <w:sz w:val="22"/>
          <w:szCs w:val="22"/>
        </w:rPr>
        <w:t>73</w:t>
      </w:r>
      <w:r w:rsidR="00D5113E">
        <w:rPr>
          <w:rFonts w:ascii="Times New Roman" w:hAnsi="Times New Roman"/>
          <w:color w:val="151515"/>
          <w:sz w:val="22"/>
          <w:szCs w:val="22"/>
        </w:rPr>
        <w:t>43</w:t>
      </w:r>
      <w:r w:rsidRPr="001F5F34">
        <w:rPr>
          <w:rFonts w:ascii="Times New Roman" w:hAnsi="Times New Roman"/>
          <w:color w:val="151515"/>
          <w:sz w:val="22"/>
          <w:szCs w:val="22"/>
        </w:rPr>
        <w:t xml:space="preserve">. </w:t>
      </w:r>
    </w:p>
    <w:p w:rsidR="00F20AC3" w:rsidRPr="001F5F34" w:rsidRDefault="00F20AC3" w:rsidP="00F20AC3">
      <w:pPr>
        <w:spacing w:after="120"/>
        <w:rPr>
          <w:sz w:val="22"/>
          <w:szCs w:val="22"/>
        </w:rPr>
      </w:pPr>
    </w:p>
    <w:p w:rsidR="00F20AC3" w:rsidRPr="001F5F34" w:rsidRDefault="00F20AC3" w:rsidP="00F20AC3">
      <w:pPr>
        <w:spacing w:after="120"/>
        <w:rPr>
          <w:sz w:val="22"/>
          <w:szCs w:val="22"/>
        </w:rPr>
      </w:pPr>
      <w:r w:rsidRPr="001F5F34">
        <w:rPr>
          <w:sz w:val="22"/>
          <w:szCs w:val="22"/>
        </w:rPr>
        <w:t xml:space="preserve">Sincerely, </w:t>
      </w:r>
    </w:p>
    <w:p w:rsidR="00F20AC3" w:rsidRPr="001F5F34" w:rsidRDefault="00F20AC3" w:rsidP="00F20AC3">
      <w:pPr>
        <w:rPr>
          <w:sz w:val="22"/>
          <w:szCs w:val="22"/>
        </w:rPr>
      </w:pPr>
    </w:p>
    <w:p w:rsidR="008D0F79" w:rsidRPr="001F5F34" w:rsidRDefault="00D5113E" w:rsidP="008D0F79">
      <w:pPr>
        <w:rPr>
          <w:sz w:val="22"/>
          <w:szCs w:val="22"/>
        </w:rPr>
      </w:pPr>
      <w:r>
        <w:rPr>
          <w:sz w:val="22"/>
          <w:szCs w:val="22"/>
        </w:rPr>
        <w:t>Michael Judge</w:t>
      </w:r>
      <w:r w:rsidR="008D0F79" w:rsidRPr="001F5F34">
        <w:rPr>
          <w:sz w:val="22"/>
          <w:szCs w:val="22"/>
          <w:highlight w:val="yellow"/>
        </w:rPr>
        <w:br/>
      </w:r>
      <w:r w:rsidR="008D0F79">
        <w:rPr>
          <w:sz w:val="22"/>
          <w:szCs w:val="22"/>
        </w:rPr>
        <w:t>Director, Renewable and Alternative Energy Development</w:t>
      </w:r>
    </w:p>
    <w:p w:rsidR="00F20AC3" w:rsidRPr="001F5F34" w:rsidRDefault="00F20AC3" w:rsidP="00F20AC3">
      <w:pPr>
        <w:rPr>
          <w:sz w:val="22"/>
          <w:szCs w:val="22"/>
        </w:rPr>
      </w:pPr>
    </w:p>
    <w:p w:rsidR="00940EF4" w:rsidRPr="00F20AC3" w:rsidRDefault="00F20AC3" w:rsidP="00F20AC3">
      <w:pPr>
        <w:rPr>
          <w:iCs/>
          <w:sz w:val="20"/>
          <w:szCs w:val="20"/>
        </w:rPr>
      </w:pPr>
      <w:r w:rsidRPr="001F5F34">
        <w:rPr>
          <w:sz w:val="22"/>
          <w:szCs w:val="22"/>
        </w:rPr>
        <w:t>cc:  MassDEP</w:t>
      </w:r>
    </w:p>
    <w:sectPr w:rsidR="00940EF4" w:rsidRPr="00F20AC3" w:rsidSect="00323B81">
      <w:footerReference w:type="default" r:id="rId17"/>
      <w:pgSz w:w="12240" w:h="15840" w:code="1"/>
      <w:pgMar w:top="432" w:right="1440" w:bottom="432" w:left="1440" w:header="72" w:footer="7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39" w:rsidRDefault="002E1239" w:rsidP="00CA40BE">
      <w:r>
        <w:separator/>
      </w:r>
    </w:p>
  </w:endnote>
  <w:endnote w:type="continuationSeparator" w:id="0">
    <w:p w:rsidR="002E1239" w:rsidRDefault="002E1239" w:rsidP="00CA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EE" w:rsidRDefault="001A615D">
    <w:pPr>
      <w:pStyle w:val="Footer"/>
      <w:framePr w:wrap="around" w:vAnchor="text" w:hAnchor="margin" w:xAlign="center" w:y="1"/>
      <w:rPr>
        <w:rStyle w:val="PageNumber"/>
      </w:rPr>
    </w:pPr>
    <w:r>
      <w:rPr>
        <w:rStyle w:val="PageNumber"/>
      </w:rPr>
      <w:fldChar w:fldCharType="begin"/>
    </w:r>
    <w:r w:rsidR="00B102EE">
      <w:rPr>
        <w:rStyle w:val="PageNumber"/>
      </w:rPr>
      <w:instrText xml:space="preserve">PAGE  </w:instrText>
    </w:r>
    <w:r>
      <w:rPr>
        <w:rStyle w:val="PageNumber"/>
      </w:rPr>
      <w:fldChar w:fldCharType="separate"/>
    </w:r>
    <w:r w:rsidR="00B102EE">
      <w:rPr>
        <w:rStyle w:val="PageNumber"/>
        <w:noProof/>
      </w:rPr>
      <w:t>1</w:t>
    </w:r>
    <w:r>
      <w:rPr>
        <w:rStyle w:val="PageNumber"/>
      </w:rPr>
      <w:fldChar w:fldCharType="end"/>
    </w:r>
  </w:p>
  <w:p w:rsidR="00B102EE" w:rsidRDefault="00B10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EE" w:rsidRPr="005064C8" w:rsidRDefault="005064C8" w:rsidP="005064C8">
    <w:pPr>
      <w:pStyle w:val="Footer"/>
      <w:rPr>
        <w:rFonts w:asciiTheme="minorHAnsi" w:hAnsiTheme="minorHAnsi" w:cstheme="minorHAnsi"/>
        <w:b/>
        <w:sz w:val="20"/>
        <w:szCs w:val="20"/>
      </w:rPr>
    </w:pPr>
    <w:r w:rsidRPr="005064C8">
      <w:rPr>
        <w:rFonts w:asciiTheme="minorHAnsi" w:hAnsiTheme="minorHAnsi" w:cstheme="minorHAnsi"/>
        <w:b/>
        <w:sz w:val="20"/>
        <w:szCs w:val="20"/>
      </w:rPr>
      <w:t>Guideline Regarding the Definition of “Brownfield”</w:t>
    </w:r>
    <w:r w:rsidRPr="005064C8">
      <w:rPr>
        <w:rFonts w:asciiTheme="minorHAnsi" w:hAnsiTheme="minorHAnsi" w:cstheme="minorHAnsi"/>
        <w:b/>
        <w:sz w:val="20"/>
        <w:szCs w:val="20"/>
      </w:rPr>
      <w:ptab w:relativeTo="margin" w:alignment="right" w:leader="none"/>
    </w:r>
    <w:r w:rsidRPr="005064C8">
      <w:rPr>
        <w:rFonts w:asciiTheme="minorHAnsi" w:hAnsiTheme="minorHAnsi" w:cstheme="minorHAnsi"/>
        <w:b/>
        <w:sz w:val="20"/>
        <w:szCs w:val="20"/>
      </w:rPr>
      <w:t xml:space="preserve">Page | </w:t>
    </w:r>
    <w:r w:rsidR="001A615D" w:rsidRPr="005064C8">
      <w:rPr>
        <w:rFonts w:asciiTheme="minorHAnsi" w:hAnsiTheme="minorHAnsi" w:cstheme="minorHAnsi"/>
        <w:b/>
        <w:sz w:val="20"/>
        <w:szCs w:val="20"/>
      </w:rPr>
      <w:fldChar w:fldCharType="begin"/>
    </w:r>
    <w:r w:rsidRPr="005064C8">
      <w:rPr>
        <w:rFonts w:asciiTheme="minorHAnsi" w:hAnsiTheme="minorHAnsi" w:cstheme="minorHAnsi"/>
        <w:b/>
        <w:sz w:val="20"/>
        <w:szCs w:val="20"/>
      </w:rPr>
      <w:instrText xml:space="preserve"> PAGE   \* MERGEFORMAT </w:instrText>
    </w:r>
    <w:r w:rsidR="001A615D" w:rsidRPr="005064C8">
      <w:rPr>
        <w:rFonts w:asciiTheme="minorHAnsi" w:hAnsiTheme="minorHAnsi" w:cstheme="minorHAnsi"/>
        <w:b/>
        <w:sz w:val="20"/>
        <w:szCs w:val="20"/>
      </w:rPr>
      <w:fldChar w:fldCharType="separate"/>
    </w:r>
    <w:r w:rsidR="00111D82">
      <w:rPr>
        <w:rFonts w:asciiTheme="minorHAnsi" w:hAnsiTheme="minorHAnsi" w:cstheme="minorHAnsi"/>
        <w:b/>
        <w:noProof/>
        <w:sz w:val="20"/>
        <w:szCs w:val="20"/>
      </w:rPr>
      <w:t>1</w:t>
    </w:r>
    <w:r w:rsidR="001A615D" w:rsidRPr="005064C8">
      <w:rPr>
        <w:rFonts w:asciiTheme="minorHAnsi" w:hAnsiTheme="minorHAnsi" w:cstheme="minorHAnsi"/>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C8" w:rsidRPr="005064C8" w:rsidRDefault="005064C8" w:rsidP="0050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39" w:rsidRDefault="002E1239" w:rsidP="00CA40BE">
      <w:r>
        <w:separator/>
      </w:r>
    </w:p>
  </w:footnote>
  <w:footnote w:type="continuationSeparator" w:id="0">
    <w:p w:rsidR="002E1239" w:rsidRDefault="002E1239" w:rsidP="00CA4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E6"/>
    <w:multiLevelType w:val="hybridMultilevel"/>
    <w:tmpl w:val="DA24432E"/>
    <w:lvl w:ilvl="0" w:tplc="5142B1B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E2533"/>
    <w:multiLevelType w:val="hybridMultilevel"/>
    <w:tmpl w:val="4CCA30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D0328"/>
    <w:multiLevelType w:val="hybridMultilevel"/>
    <w:tmpl w:val="6FC2F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D7ED6"/>
    <w:multiLevelType w:val="hybridMultilevel"/>
    <w:tmpl w:val="838C1352"/>
    <w:lvl w:ilvl="0" w:tplc="C26E7D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D1097"/>
    <w:multiLevelType w:val="hybridMultilevel"/>
    <w:tmpl w:val="526A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92DE5"/>
    <w:multiLevelType w:val="hybridMultilevel"/>
    <w:tmpl w:val="D518B67C"/>
    <w:lvl w:ilvl="0" w:tplc="715A0AD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6408E"/>
    <w:multiLevelType w:val="hybridMultilevel"/>
    <w:tmpl w:val="55982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4616AC"/>
    <w:multiLevelType w:val="hybridMultilevel"/>
    <w:tmpl w:val="CEAA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E7B95"/>
    <w:multiLevelType w:val="hybridMultilevel"/>
    <w:tmpl w:val="950A1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37D00"/>
    <w:multiLevelType w:val="hybridMultilevel"/>
    <w:tmpl w:val="31A261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93A3A"/>
    <w:multiLevelType w:val="hybridMultilevel"/>
    <w:tmpl w:val="388491C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5C4EA9"/>
    <w:multiLevelType w:val="hybridMultilevel"/>
    <w:tmpl w:val="B31EF2EA"/>
    <w:lvl w:ilvl="0" w:tplc="FDEE4968">
      <w:start w:val="3"/>
      <w:numFmt w:val="bullet"/>
      <w:lvlText w:val="-"/>
      <w:lvlJc w:val="left"/>
      <w:pPr>
        <w:ind w:left="360" w:hanging="360"/>
      </w:pPr>
      <w:rPr>
        <w:rFonts w:ascii="Calibri" w:eastAsia="Calibri" w:hAnsi="Calibri" w:cs="Calibri"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2">
    <w:nsid w:val="3D4B27FF"/>
    <w:multiLevelType w:val="hybridMultilevel"/>
    <w:tmpl w:val="15FCA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2E3BB8"/>
    <w:multiLevelType w:val="hybridMultilevel"/>
    <w:tmpl w:val="83D8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6299D"/>
    <w:multiLevelType w:val="hybridMultilevel"/>
    <w:tmpl w:val="32F42A5C"/>
    <w:lvl w:ilvl="0" w:tplc="60DC2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94F0D"/>
    <w:multiLevelType w:val="hybridMultilevel"/>
    <w:tmpl w:val="DE34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C878CB"/>
    <w:multiLevelType w:val="hybridMultilevel"/>
    <w:tmpl w:val="A850B6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96F76"/>
    <w:multiLevelType w:val="hybridMultilevel"/>
    <w:tmpl w:val="8BB8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63005"/>
    <w:multiLevelType w:val="hybridMultilevel"/>
    <w:tmpl w:val="8294D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D77C35"/>
    <w:multiLevelType w:val="hybridMultilevel"/>
    <w:tmpl w:val="A03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A7F8C"/>
    <w:multiLevelType w:val="hybridMultilevel"/>
    <w:tmpl w:val="E64EC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A5BB0"/>
    <w:multiLevelType w:val="hybridMultilevel"/>
    <w:tmpl w:val="5A389D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30F2C"/>
    <w:multiLevelType w:val="hybridMultilevel"/>
    <w:tmpl w:val="8E22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D673C1"/>
    <w:multiLevelType w:val="hybridMultilevel"/>
    <w:tmpl w:val="76287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A72DC3"/>
    <w:multiLevelType w:val="hybridMultilevel"/>
    <w:tmpl w:val="BF26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D27B89"/>
    <w:multiLevelType w:val="hybridMultilevel"/>
    <w:tmpl w:val="12E0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52D93"/>
    <w:multiLevelType w:val="hybridMultilevel"/>
    <w:tmpl w:val="310CEF5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F858C3"/>
    <w:multiLevelType w:val="hybridMultilevel"/>
    <w:tmpl w:val="FBE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D0BC1"/>
    <w:multiLevelType w:val="multilevel"/>
    <w:tmpl w:val="2AD69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7451E"/>
    <w:multiLevelType w:val="hybridMultilevel"/>
    <w:tmpl w:val="6EECC1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C7C65FA"/>
    <w:multiLevelType w:val="hybridMultilevel"/>
    <w:tmpl w:val="EF04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D9F05FF"/>
    <w:multiLevelType w:val="hybridMultilevel"/>
    <w:tmpl w:val="7BD2C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8C1D26"/>
    <w:multiLevelType w:val="hybridMultilevel"/>
    <w:tmpl w:val="AD0C36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20"/>
  </w:num>
  <w:num w:numId="4">
    <w:abstractNumId w:val="14"/>
  </w:num>
  <w:num w:numId="5">
    <w:abstractNumId w:val="10"/>
  </w:num>
  <w:num w:numId="6">
    <w:abstractNumId w:val="18"/>
  </w:num>
  <w:num w:numId="7">
    <w:abstractNumId w:val="27"/>
  </w:num>
  <w:num w:numId="8">
    <w:abstractNumId w:val="7"/>
  </w:num>
  <w:num w:numId="9">
    <w:abstractNumId w:val="28"/>
  </w:num>
  <w:num w:numId="10">
    <w:abstractNumId w:val="15"/>
  </w:num>
  <w:num w:numId="11">
    <w:abstractNumId w:val="30"/>
  </w:num>
  <w:num w:numId="12">
    <w:abstractNumId w:val="2"/>
  </w:num>
  <w:num w:numId="13">
    <w:abstractNumId w:val="13"/>
  </w:num>
  <w:num w:numId="14">
    <w:abstractNumId w:val="4"/>
  </w:num>
  <w:num w:numId="15">
    <w:abstractNumId w:val="24"/>
  </w:num>
  <w:num w:numId="16">
    <w:abstractNumId w:val="19"/>
  </w:num>
  <w:num w:numId="17">
    <w:abstractNumId w:val="1"/>
  </w:num>
  <w:num w:numId="18">
    <w:abstractNumId w:val="32"/>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5"/>
  </w:num>
  <w:num w:numId="22">
    <w:abstractNumId w:val="31"/>
  </w:num>
  <w:num w:numId="23">
    <w:abstractNumId w:val="22"/>
  </w:num>
  <w:num w:numId="24">
    <w:abstractNumId w:val="23"/>
  </w:num>
  <w:num w:numId="25">
    <w:abstractNumId w:val="17"/>
  </w:num>
  <w:num w:numId="26">
    <w:abstractNumId w:val="26"/>
  </w:num>
  <w:num w:numId="27">
    <w:abstractNumId w:val="3"/>
  </w:num>
  <w:num w:numId="28">
    <w:abstractNumId w:val="6"/>
  </w:num>
  <w:num w:numId="29">
    <w:abstractNumId w:val="0"/>
  </w:num>
  <w:num w:numId="30">
    <w:abstractNumId w:val="9"/>
  </w:num>
  <w:num w:numId="31">
    <w:abstractNumId w:val="16"/>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AB"/>
    <w:rsid w:val="00000152"/>
    <w:rsid w:val="0001175F"/>
    <w:rsid w:val="00022A9E"/>
    <w:rsid w:val="00030FD4"/>
    <w:rsid w:val="00032B1A"/>
    <w:rsid w:val="00036E19"/>
    <w:rsid w:val="00037607"/>
    <w:rsid w:val="00043845"/>
    <w:rsid w:val="000714AB"/>
    <w:rsid w:val="0007334D"/>
    <w:rsid w:val="000819AC"/>
    <w:rsid w:val="0008208F"/>
    <w:rsid w:val="00092B95"/>
    <w:rsid w:val="000D4B3B"/>
    <w:rsid w:val="000E4341"/>
    <w:rsid w:val="000F74F8"/>
    <w:rsid w:val="00104D43"/>
    <w:rsid w:val="00111D82"/>
    <w:rsid w:val="00116B54"/>
    <w:rsid w:val="001335A1"/>
    <w:rsid w:val="0013647D"/>
    <w:rsid w:val="001449C0"/>
    <w:rsid w:val="001468F3"/>
    <w:rsid w:val="00147581"/>
    <w:rsid w:val="0016585F"/>
    <w:rsid w:val="001709CB"/>
    <w:rsid w:val="001722CA"/>
    <w:rsid w:val="001740D2"/>
    <w:rsid w:val="00181E61"/>
    <w:rsid w:val="00184ABB"/>
    <w:rsid w:val="001941C4"/>
    <w:rsid w:val="001A615D"/>
    <w:rsid w:val="001C4B30"/>
    <w:rsid w:val="001F5F34"/>
    <w:rsid w:val="002032BD"/>
    <w:rsid w:val="00203F98"/>
    <w:rsid w:val="0021039C"/>
    <w:rsid w:val="00216AC1"/>
    <w:rsid w:val="00216CF0"/>
    <w:rsid w:val="002246BB"/>
    <w:rsid w:val="00224E85"/>
    <w:rsid w:val="002336A9"/>
    <w:rsid w:val="0023792B"/>
    <w:rsid w:val="002411D9"/>
    <w:rsid w:val="00257F72"/>
    <w:rsid w:val="00260C28"/>
    <w:rsid w:val="0028091B"/>
    <w:rsid w:val="002822D8"/>
    <w:rsid w:val="00284FBC"/>
    <w:rsid w:val="00285C96"/>
    <w:rsid w:val="002962D8"/>
    <w:rsid w:val="002A4DC9"/>
    <w:rsid w:val="002B293A"/>
    <w:rsid w:val="002C26AC"/>
    <w:rsid w:val="002C3F50"/>
    <w:rsid w:val="002D6B26"/>
    <w:rsid w:val="002D771E"/>
    <w:rsid w:val="002E1239"/>
    <w:rsid w:val="002F02E5"/>
    <w:rsid w:val="002F393E"/>
    <w:rsid w:val="002F6C2A"/>
    <w:rsid w:val="00300AC0"/>
    <w:rsid w:val="003011C5"/>
    <w:rsid w:val="00303FDF"/>
    <w:rsid w:val="00323B81"/>
    <w:rsid w:val="00325577"/>
    <w:rsid w:val="00334247"/>
    <w:rsid w:val="00336A09"/>
    <w:rsid w:val="00357091"/>
    <w:rsid w:val="00357B94"/>
    <w:rsid w:val="003951CA"/>
    <w:rsid w:val="003B244E"/>
    <w:rsid w:val="003B2A40"/>
    <w:rsid w:val="003B57D4"/>
    <w:rsid w:val="003B67A3"/>
    <w:rsid w:val="003D4058"/>
    <w:rsid w:val="003F486D"/>
    <w:rsid w:val="003F7FF4"/>
    <w:rsid w:val="00441774"/>
    <w:rsid w:val="0044461C"/>
    <w:rsid w:val="004526F4"/>
    <w:rsid w:val="00457CEA"/>
    <w:rsid w:val="00463EC6"/>
    <w:rsid w:val="00473C1E"/>
    <w:rsid w:val="004918AF"/>
    <w:rsid w:val="00491BC2"/>
    <w:rsid w:val="004F1AE0"/>
    <w:rsid w:val="004F3469"/>
    <w:rsid w:val="004F5E7F"/>
    <w:rsid w:val="004F643C"/>
    <w:rsid w:val="00500E41"/>
    <w:rsid w:val="005064C8"/>
    <w:rsid w:val="00511268"/>
    <w:rsid w:val="0051512C"/>
    <w:rsid w:val="00524A7D"/>
    <w:rsid w:val="005653FF"/>
    <w:rsid w:val="0058065F"/>
    <w:rsid w:val="00594D30"/>
    <w:rsid w:val="005A6D3C"/>
    <w:rsid w:val="005B1A69"/>
    <w:rsid w:val="005B3E20"/>
    <w:rsid w:val="005D0EDB"/>
    <w:rsid w:val="005D74B4"/>
    <w:rsid w:val="005E3BD0"/>
    <w:rsid w:val="005E4ECB"/>
    <w:rsid w:val="005F4348"/>
    <w:rsid w:val="005F491C"/>
    <w:rsid w:val="005F494B"/>
    <w:rsid w:val="00641AC1"/>
    <w:rsid w:val="00651626"/>
    <w:rsid w:val="00652510"/>
    <w:rsid w:val="00662879"/>
    <w:rsid w:val="00667165"/>
    <w:rsid w:val="006865B8"/>
    <w:rsid w:val="006909AE"/>
    <w:rsid w:val="00695111"/>
    <w:rsid w:val="00696015"/>
    <w:rsid w:val="006972AE"/>
    <w:rsid w:val="006A59EF"/>
    <w:rsid w:val="006E78DE"/>
    <w:rsid w:val="00701966"/>
    <w:rsid w:val="00701AB3"/>
    <w:rsid w:val="00707AFA"/>
    <w:rsid w:val="00716777"/>
    <w:rsid w:val="00723BA7"/>
    <w:rsid w:val="00726DC0"/>
    <w:rsid w:val="00733FB2"/>
    <w:rsid w:val="00741B6C"/>
    <w:rsid w:val="0074565E"/>
    <w:rsid w:val="007600E6"/>
    <w:rsid w:val="00774AC6"/>
    <w:rsid w:val="0078757B"/>
    <w:rsid w:val="0079126C"/>
    <w:rsid w:val="007A1AFB"/>
    <w:rsid w:val="007A6A9C"/>
    <w:rsid w:val="007B549F"/>
    <w:rsid w:val="007F60F5"/>
    <w:rsid w:val="008005FE"/>
    <w:rsid w:val="0080633B"/>
    <w:rsid w:val="00812015"/>
    <w:rsid w:val="0081425B"/>
    <w:rsid w:val="00823D51"/>
    <w:rsid w:val="00825290"/>
    <w:rsid w:val="00826BFF"/>
    <w:rsid w:val="00837B0A"/>
    <w:rsid w:val="008477FA"/>
    <w:rsid w:val="008516D1"/>
    <w:rsid w:val="00855923"/>
    <w:rsid w:val="00863868"/>
    <w:rsid w:val="00872615"/>
    <w:rsid w:val="00880B01"/>
    <w:rsid w:val="008D0F79"/>
    <w:rsid w:val="008D28DC"/>
    <w:rsid w:val="00924EED"/>
    <w:rsid w:val="00925EDC"/>
    <w:rsid w:val="0093473A"/>
    <w:rsid w:val="00940EF4"/>
    <w:rsid w:val="009426E3"/>
    <w:rsid w:val="0096011C"/>
    <w:rsid w:val="0096689D"/>
    <w:rsid w:val="009772C7"/>
    <w:rsid w:val="009830E8"/>
    <w:rsid w:val="00986121"/>
    <w:rsid w:val="00994F6D"/>
    <w:rsid w:val="00995BCA"/>
    <w:rsid w:val="009C3592"/>
    <w:rsid w:val="009D2B35"/>
    <w:rsid w:val="009F4D47"/>
    <w:rsid w:val="00A06479"/>
    <w:rsid w:val="00A07B46"/>
    <w:rsid w:val="00A10174"/>
    <w:rsid w:val="00A10DE9"/>
    <w:rsid w:val="00A11B3C"/>
    <w:rsid w:val="00A23AA6"/>
    <w:rsid w:val="00A416BC"/>
    <w:rsid w:val="00A445BB"/>
    <w:rsid w:val="00A53FEA"/>
    <w:rsid w:val="00A565AD"/>
    <w:rsid w:val="00A60BA2"/>
    <w:rsid w:val="00A73E8E"/>
    <w:rsid w:val="00A82ADC"/>
    <w:rsid w:val="00A84702"/>
    <w:rsid w:val="00AC1085"/>
    <w:rsid w:val="00AD196E"/>
    <w:rsid w:val="00AD4FBD"/>
    <w:rsid w:val="00AD694C"/>
    <w:rsid w:val="00AE332E"/>
    <w:rsid w:val="00B06947"/>
    <w:rsid w:val="00B079D8"/>
    <w:rsid w:val="00B102EE"/>
    <w:rsid w:val="00B2769E"/>
    <w:rsid w:val="00B32E31"/>
    <w:rsid w:val="00B53CD0"/>
    <w:rsid w:val="00B606F0"/>
    <w:rsid w:val="00B87E18"/>
    <w:rsid w:val="00B95035"/>
    <w:rsid w:val="00B96403"/>
    <w:rsid w:val="00BC64AD"/>
    <w:rsid w:val="00BD38B5"/>
    <w:rsid w:val="00BD4C42"/>
    <w:rsid w:val="00BE5273"/>
    <w:rsid w:val="00BE5483"/>
    <w:rsid w:val="00BF26E4"/>
    <w:rsid w:val="00BF39E9"/>
    <w:rsid w:val="00C077C8"/>
    <w:rsid w:val="00C169DE"/>
    <w:rsid w:val="00C30D65"/>
    <w:rsid w:val="00C34E70"/>
    <w:rsid w:val="00C74369"/>
    <w:rsid w:val="00C77025"/>
    <w:rsid w:val="00CA0B1E"/>
    <w:rsid w:val="00CA1E0E"/>
    <w:rsid w:val="00CA40BE"/>
    <w:rsid w:val="00CA4CF6"/>
    <w:rsid w:val="00CC033B"/>
    <w:rsid w:val="00CC3743"/>
    <w:rsid w:val="00CD2C2C"/>
    <w:rsid w:val="00CF0AB8"/>
    <w:rsid w:val="00CF2230"/>
    <w:rsid w:val="00CF3712"/>
    <w:rsid w:val="00D0203E"/>
    <w:rsid w:val="00D20C47"/>
    <w:rsid w:val="00D5113E"/>
    <w:rsid w:val="00D52AE1"/>
    <w:rsid w:val="00D633D6"/>
    <w:rsid w:val="00D727BC"/>
    <w:rsid w:val="00D72C8E"/>
    <w:rsid w:val="00DA3061"/>
    <w:rsid w:val="00DA7E37"/>
    <w:rsid w:val="00DB3D98"/>
    <w:rsid w:val="00DC0F61"/>
    <w:rsid w:val="00DD235B"/>
    <w:rsid w:val="00DE2C93"/>
    <w:rsid w:val="00DF478D"/>
    <w:rsid w:val="00DF5A08"/>
    <w:rsid w:val="00E07700"/>
    <w:rsid w:val="00E340D7"/>
    <w:rsid w:val="00E35F9C"/>
    <w:rsid w:val="00E42B82"/>
    <w:rsid w:val="00E54EB0"/>
    <w:rsid w:val="00E5549C"/>
    <w:rsid w:val="00E70964"/>
    <w:rsid w:val="00E7212A"/>
    <w:rsid w:val="00E7493A"/>
    <w:rsid w:val="00E75547"/>
    <w:rsid w:val="00E77B40"/>
    <w:rsid w:val="00E90486"/>
    <w:rsid w:val="00E93EEE"/>
    <w:rsid w:val="00EA7403"/>
    <w:rsid w:val="00EB7A34"/>
    <w:rsid w:val="00F026C0"/>
    <w:rsid w:val="00F12C31"/>
    <w:rsid w:val="00F20AC3"/>
    <w:rsid w:val="00F67588"/>
    <w:rsid w:val="00F733D0"/>
    <w:rsid w:val="00F73BF2"/>
    <w:rsid w:val="00F8796C"/>
    <w:rsid w:val="00FC1A18"/>
    <w:rsid w:val="00FE6365"/>
    <w:rsid w:val="00FF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customStyle="1" w:styleId="CM24">
    <w:name w:val="CM24"/>
    <w:basedOn w:val="Default"/>
    <w:next w:val="Default"/>
    <w:uiPriority w:val="99"/>
    <w:rsid w:val="00DD235B"/>
    <w:rPr>
      <w:rFonts w:eastAsiaTheme="minorHAns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customStyle="1" w:styleId="CM24">
    <w:name w:val="CM24"/>
    <w:basedOn w:val="Default"/>
    <w:next w:val="Default"/>
    <w:uiPriority w:val="99"/>
    <w:rsid w:val="00DD235B"/>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0731">
      <w:bodyDiv w:val="1"/>
      <w:marLeft w:val="0"/>
      <w:marRight w:val="0"/>
      <w:marTop w:val="0"/>
      <w:marBottom w:val="0"/>
      <w:divBdr>
        <w:top w:val="none" w:sz="0" w:space="0" w:color="auto"/>
        <w:left w:val="none" w:sz="0" w:space="0" w:color="auto"/>
        <w:bottom w:val="none" w:sz="0" w:space="0" w:color="auto"/>
        <w:right w:val="none" w:sz="0" w:space="0" w:color="auto"/>
      </w:divBdr>
    </w:div>
    <w:div w:id="916666393">
      <w:bodyDiv w:val="1"/>
      <w:marLeft w:val="0"/>
      <w:marRight w:val="0"/>
      <w:marTop w:val="0"/>
      <w:marBottom w:val="0"/>
      <w:divBdr>
        <w:top w:val="none" w:sz="0" w:space="0" w:color="auto"/>
        <w:left w:val="none" w:sz="0" w:space="0" w:color="auto"/>
        <w:bottom w:val="none" w:sz="0" w:space="0" w:color="auto"/>
        <w:right w:val="none" w:sz="0" w:space="0" w:color="auto"/>
      </w:divBdr>
    </w:div>
    <w:div w:id="952369594">
      <w:bodyDiv w:val="1"/>
      <w:marLeft w:val="0"/>
      <w:marRight w:val="0"/>
      <w:marTop w:val="0"/>
      <w:marBottom w:val="0"/>
      <w:divBdr>
        <w:top w:val="none" w:sz="0" w:space="0" w:color="auto"/>
        <w:left w:val="none" w:sz="0" w:space="0" w:color="auto"/>
        <w:bottom w:val="none" w:sz="0" w:space="0" w:color="auto"/>
        <w:right w:val="none" w:sz="0" w:space="0" w:color="auto"/>
      </w:divBdr>
    </w:div>
    <w:div w:id="1126268283">
      <w:bodyDiv w:val="1"/>
      <w:marLeft w:val="0"/>
      <w:marRight w:val="0"/>
      <w:marTop w:val="0"/>
      <w:marBottom w:val="0"/>
      <w:divBdr>
        <w:top w:val="none" w:sz="0" w:space="0" w:color="auto"/>
        <w:left w:val="none" w:sz="0" w:space="0" w:color="auto"/>
        <w:bottom w:val="none" w:sz="0" w:space="0" w:color="auto"/>
        <w:right w:val="none" w:sz="0" w:space="0" w:color="auto"/>
      </w:divBdr>
    </w:div>
    <w:div w:id="1576161290">
      <w:bodyDiv w:val="1"/>
      <w:marLeft w:val="0"/>
      <w:marRight w:val="0"/>
      <w:marTop w:val="23"/>
      <w:marBottom w:val="567"/>
      <w:divBdr>
        <w:top w:val="none" w:sz="0" w:space="0" w:color="auto"/>
        <w:left w:val="none" w:sz="0" w:space="0" w:color="auto"/>
        <w:bottom w:val="none" w:sz="0" w:space="0" w:color="auto"/>
        <w:right w:val="none" w:sz="0" w:space="0" w:color="auto"/>
      </w:divBdr>
      <w:divsChild>
        <w:div w:id="91360232">
          <w:marLeft w:val="0"/>
          <w:marRight w:val="0"/>
          <w:marTop w:val="0"/>
          <w:marBottom w:val="0"/>
          <w:divBdr>
            <w:top w:val="none" w:sz="0" w:space="0" w:color="auto"/>
            <w:left w:val="none" w:sz="0" w:space="0" w:color="auto"/>
            <w:bottom w:val="none" w:sz="0" w:space="0" w:color="auto"/>
            <w:right w:val="none" w:sz="0" w:space="0" w:color="auto"/>
          </w:divBdr>
        </w:div>
      </w:divsChild>
    </w:div>
    <w:div w:id="1696539235">
      <w:bodyDiv w:val="1"/>
      <w:marLeft w:val="0"/>
      <w:marRight w:val="0"/>
      <w:marTop w:val="0"/>
      <w:marBottom w:val="0"/>
      <w:divBdr>
        <w:top w:val="none" w:sz="0" w:space="0" w:color="auto"/>
        <w:left w:val="none" w:sz="0" w:space="0" w:color="auto"/>
        <w:bottom w:val="none" w:sz="0" w:space="0" w:color="auto"/>
        <w:right w:val="none" w:sz="0" w:space="0" w:color="auto"/>
      </w:divBdr>
    </w:div>
    <w:div w:id="1993950945">
      <w:bodyDiv w:val="1"/>
      <w:marLeft w:val="0"/>
      <w:marRight w:val="0"/>
      <w:marTop w:val="0"/>
      <w:marBottom w:val="0"/>
      <w:divBdr>
        <w:top w:val="none" w:sz="0" w:space="0" w:color="auto"/>
        <w:left w:val="none" w:sz="0" w:space="0" w:color="auto"/>
        <w:bottom w:val="none" w:sz="0" w:space="0" w:color="auto"/>
        <w:right w:val="none" w:sz="0" w:space="0" w:color="auto"/>
      </w:divBdr>
    </w:div>
    <w:div w:id="2031713200">
      <w:bodyDiv w:val="1"/>
      <w:marLeft w:val="0"/>
      <w:marRight w:val="0"/>
      <w:marTop w:val="0"/>
      <w:marBottom w:val="0"/>
      <w:divBdr>
        <w:top w:val="none" w:sz="0" w:space="0" w:color="auto"/>
        <w:left w:val="none" w:sz="0" w:space="0" w:color="auto"/>
        <w:bottom w:val="none" w:sz="0" w:space="0" w:color="auto"/>
        <w:right w:val="none" w:sz="0" w:space="0" w:color="auto"/>
      </w:divBdr>
      <w:divsChild>
        <w:div w:id="72704567">
          <w:marLeft w:val="0"/>
          <w:marRight w:val="0"/>
          <w:marTop w:val="0"/>
          <w:marBottom w:val="0"/>
          <w:divBdr>
            <w:top w:val="none" w:sz="0" w:space="0" w:color="auto"/>
            <w:left w:val="none" w:sz="0" w:space="0" w:color="auto"/>
            <w:bottom w:val="none" w:sz="0" w:space="0" w:color="auto"/>
            <w:right w:val="none" w:sz="0" w:space="0" w:color="auto"/>
          </w:divBdr>
          <w:divsChild>
            <w:div w:id="67845808">
              <w:marLeft w:val="0"/>
              <w:marRight w:val="0"/>
              <w:marTop w:val="0"/>
              <w:marBottom w:val="0"/>
              <w:divBdr>
                <w:top w:val="none" w:sz="0" w:space="0" w:color="auto"/>
                <w:left w:val="none" w:sz="0" w:space="0" w:color="auto"/>
                <w:bottom w:val="none" w:sz="0" w:space="0" w:color="auto"/>
                <w:right w:val="none" w:sz="0" w:space="0" w:color="auto"/>
              </w:divBdr>
              <w:divsChild>
                <w:div w:id="1970282405">
                  <w:marLeft w:val="0"/>
                  <w:marRight w:val="0"/>
                  <w:marTop w:val="0"/>
                  <w:marBottom w:val="0"/>
                  <w:divBdr>
                    <w:top w:val="none" w:sz="0" w:space="0" w:color="auto"/>
                    <w:left w:val="none" w:sz="0" w:space="0" w:color="auto"/>
                    <w:bottom w:val="none" w:sz="0" w:space="0" w:color="auto"/>
                    <w:right w:val="none" w:sz="0" w:space="0" w:color="auto"/>
                  </w:divBdr>
                  <w:divsChild>
                    <w:div w:id="1961721841">
                      <w:marLeft w:val="2"/>
                      <w:marRight w:val="0"/>
                      <w:marTop w:val="0"/>
                      <w:marBottom w:val="0"/>
                      <w:divBdr>
                        <w:top w:val="none" w:sz="0" w:space="0" w:color="auto"/>
                        <w:left w:val="none" w:sz="0" w:space="0" w:color="auto"/>
                        <w:bottom w:val="none" w:sz="0" w:space="0" w:color="auto"/>
                        <w:right w:val="none" w:sz="0" w:space="0" w:color="auto"/>
                      </w:divBdr>
                      <w:divsChild>
                        <w:div w:id="1689520732">
                          <w:marLeft w:val="0"/>
                          <w:marRight w:val="0"/>
                          <w:marTop w:val="0"/>
                          <w:marBottom w:val="0"/>
                          <w:divBdr>
                            <w:top w:val="none" w:sz="0" w:space="0" w:color="auto"/>
                            <w:left w:val="none" w:sz="0" w:space="0" w:color="auto"/>
                            <w:bottom w:val="none" w:sz="0" w:space="0" w:color="auto"/>
                            <w:right w:val="none" w:sz="0" w:space="0" w:color="auto"/>
                          </w:divBdr>
                          <w:divsChild>
                            <w:div w:id="529955074">
                              <w:marLeft w:val="2"/>
                              <w:marRight w:val="0"/>
                              <w:marTop w:val="0"/>
                              <w:marBottom w:val="0"/>
                              <w:divBdr>
                                <w:top w:val="none" w:sz="0" w:space="0" w:color="auto"/>
                                <w:left w:val="none" w:sz="0" w:space="0" w:color="auto"/>
                                <w:bottom w:val="none" w:sz="0" w:space="0" w:color="auto"/>
                                <w:right w:val="none" w:sz="0" w:space="0" w:color="auto"/>
                              </w:divBdr>
                              <w:divsChild>
                                <w:div w:id="16350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2860">
      <w:bodyDiv w:val="1"/>
      <w:marLeft w:val="0"/>
      <w:marRight w:val="0"/>
      <w:marTop w:val="38"/>
      <w:marBottom w:val="0"/>
      <w:divBdr>
        <w:top w:val="none" w:sz="0" w:space="0" w:color="auto"/>
        <w:left w:val="none" w:sz="0" w:space="0" w:color="auto"/>
        <w:bottom w:val="none" w:sz="0" w:space="0" w:color="auto"/>
        <w:right w:val="none" w:sz="0" w:space="0" w:color="auto"/>
      </w:divBdr>
      <w:divsChild>
        <w:div w:id="1877962603">
          <w:marLeft w:val="0"/>
          <w:marRight w:val="0"/>
          <w:marTop w:val="0"/>
          <w:marBottom w:val="0"/>
          <w:divBdr>
            <w:top w:val="none" w:sz="0" w:space="0" w:color="auto"/>
            <w:left w:val="none" w:sz="0" w:space="0" w:color="auto"/>
            <w:bottom w:val="none" w:sz="0" w:space="0" w:color="auto"/>
            <w:right w:val="none" w:sz="0" w:space="0" w:color="auto"/>
          </w:divBdr>
          <w:divsChild>
            <w:div w:id="1644699740">
              <w:marLeft w:val="0"/>
              <w:marRight w:val="0"/>
              <w:marTop w:val="0"/>
              <w:marBottom w:val="0"/>
              <w:divBdr>
                <w:top w:val="none" w:sz="0" w:space="0" w:color="auto"/>
                <w:left w:val="none" w:sz="0" w:space="0" w:color="auto"/>
                <w:bottom w:val="none" w:sz="0" w:space="0" w:color="auto"/>
                <w:right w:val="none" w:sz="0" w:space="0" w:color="auto"/>
              </w:divBdr>
              <w:divsChild>
                <w:div w:id="250046704">
                  <w:marLeft w:val="0"/>
                  <w:marRight w:val="0"/>
                  <w:marTop w:val="0"/>
                  <w:marBottom w:val="0"/>
                  <w:divBdr>
                    <w:top w:val="none" w:sz="0" w:space="0" w:color="auto"/>
                    <w:left w:val="none" w:sz="0" w:space="0" w:color="auto"/>
                    <w:bottom w:val="none" w:sz="0" w:space="0" w:color="auto"/>
                    <w:right w:val="none" w:sz="0" w:space="0" w:color="auto"/>
                  </w:divBdr>
                  <w:divsChild>
                    <w:div w:id="1086803040">
                      <w:marLeft w:val="0"/>
                      <w:marRight w:val="0"/>
                      <w:marTop w:val="0"/>
                      <w:marBottom w:val="0"/>
                      <w:divBdr>
                        <w:top w:val="none" w:sz="0" w:space="0" w:color="auto"/>
                        <w:left w:val="none" w:sz="0" w:space="0" w:color="auto"/>
                        <w:bottom w:val="none" w:sz="0" w:space="0" w:color="auto"/>
                        <w:right w:val="none" w:sz="0" w:space="0" w:color="auto"/>
                      </w:divBdr>
                      <w:divsChild>
                        <w:div w:id="1393773528">
                          <w:marLeft w:val="0"/>
                          <w:marRight w:val="0"/>
                          <w:marTop w:val="38"/>
                          <w:marBottom w:val="0"/>
                          <w:divBdr>
                            <w:top w:val="none" w:sz="0" w:space="0" w:color="auto"/>
                            <w:left w:val="none" w:sz="0" w:space="0" w:color="auto"/>
                            <w:bottom w:val="none" w:sz="0" w:space="0" w:color="auto"/>
                            <w:right w:val="none" w:sz="0" w:space="0" w:color="auto"/>
                          </w:divBdr>
                          <w:divsChild>
                            <w:div w:id="2009938263">
                              <w:marLeft w:val="0"/>
                              <w:marRight w:val="0"/>
                              <w:marTop w:val="0"/>
                              <w:marBottom w:val="0"/>
                              <w:divBdr>
                                <w:top w:val="none" w:sz="0" w:space="0" w:color="auto"/>
                                <w:left w:val="none" w:sz="0" w:space="0" w:color="auto"/>
                                <w:bottom w:val="none" w:sz="0" w:space="0" w:color="auto"/>
                                <w:right w:val="none" w:sz="0" w:space="0" w:color="auto"/>
                              </w:divBdr>
                              <w:divsChild>
                                <w:div w:id="1417357254">
                                  <w:marLeft w:val="1503"/>
                                  <w:marRight w:val="3306"/>
                                  <w:marTop w:val="0"/>
                                  <w:marBottom w:val="0"/>
                                  <w:divBdr>
                                    <w:top w:val="none" w:sz="0" w:space="0" w:color="auto"/>
                                    <w:left w:val="none" w:sz="0" w:space="0" w:color="auto"/>
                                    <w:bottom w:val="none" w:sz="0" w:space="0" w:color="auto"/>
                                    <w:right w:val="none" w:sz="0" w:space="0" w:color="auto"/>
                                  </w:divBdr>
                                  <w:divsChild>
                                    <w:div w:id="1121609400">
                                      <w:marLeft w:val="0"/>
                                      <w:marRight w:val="0"/>
                                      <w:marTop w:val="0"/>
                                      <w:marBottom w:val="0"/>
                                      <w:divBdr>
                                        <w:top w:val="none" w:sz="0" w:space="0" w:color="auto"/>
                                        <w:left w:val="none" w:sz="0" w:space="0" w:color="auto"/>
                                        <w:bottom w:val="none" w:sz="0" w:space="0" w:color="auto"/>
                                        <w:right w:val="none" w:sz="0" w:space="0" w:color="auto"/>
                                      </w:divBdr>
                                      <w:divsChild>
                                        <w:div w:id="1530528860">
                                          <w:marLeft w:val="0"/>
                                          <w:marRight w:val="0"/>
                                          <w:marTop w:val="0"/>
                                          <w:marBottom w:val="0"/>
                                          <w:divBdr>
                                            <w:top w:val="none" w:sz="0" w:space="0" w:color="auto"/>
                                            <w:left w:val="none" w:sz="0" w:space="0" w:color="auto"/>
                                            <w:bottom w:val="none" w:sz="0" w:space="0" w:color="auto"/>
                                            <w:right w:val="none" w:sz="0" w:space="0" w:color="auto"/>
                                          </w:divBdr>
                                          <w:divsChild>
                                            <w:div w:id="876627822">
                                              <w:marLeft w:val="0"/>
                                              <w:marRight w:val="0"/>
                                              <w:marTop w:val="0"/>
                                              <w:marBottom w:val="0"/>
                                              <w:divBdr>
                                                <w:top w:val="none" w:sz="0" w:space="0" w:color="auto"/>
                                                <w:left w:val="none" w:sz="0" w:space="0" w:color="auto"/>
                                                <w:bottom w:val="none" w:sz="0" w:space="0" w:color="auto"/>
                                                <w:right w:val="none" w:sz="0" w:space="0" w:color="auto"/>
                                              </w:divBdr>
                                              <w:divsChild>
                                                <w:div w:id="725179063">
                                                  <w:marLeft w:val="0"/>
                                                  <w:marRight w:val="0"/>
                                                  <w:marTop w:val="0"/>
                                                  <w:marBottom w:val="0"/>
                                                  <w:divBdr>
                                                    <w:top w:val="none" w:sz="0" w:space="0" w:color="auto"/>
                                                    <w:left w:val="none" w:sz="0" w:space="0" w:color="auto"/>
                                                    <w:bottom w:val="none" w:sz="0" w:space="0" w:color="auto"/>
                                                    <w:right w:val="none" w:sz="0" w:space="0" w:color="auto"/>
                                                  </w:divBdr>
                                                  <w:divsChild>
                                                    <w:div w:id="523520840">
                                                      <w:marLeft w:val="0"/>
                                                      <w:marRight w:val="0"/>
                                                      <w:marTop w:val="0"/>
                                                      <w:marBottom w:val="0"/>
                                                      <w:divBdr>
                                                        <w:top w:val="none" w:sz="0" w:space="0" w:color="auto"/>
                                                        <w:left w:val="none" w:sz="0" w:space="0" w:color="auto"/>
                                                        <w:bottom w:val="none" w:sz="0" w:space="0" w:color="auto"/>
                                                        <w:right w:val="none" w:sz="0" w:space="0" w:color="auto"/>
                                                      </w:divBdr>
                                                      <w:divsChild>
                                                        <w:div w:id="1441949711">
                                                          <w:marLeft w:val="0"/>
                                                          <w:marRight w:val="0"/>
                                                          <w:marTop w:val="0"/>
                                                          <w:marBottom w:val="0"/>
                                                          <w:divBdr>
                                                            <w:top w:val="none" w:sz="0" w:space="0" w:color="auto"/>
                                                            <w:left w:val="none" w:sz="0" w:space="0" w:color="auto"/>
                                                            <w:bottom w:val="none" w:sz="0" w:space="0" w:color="auto"/>
                                                            <w:right w:val="none" w:sz="0" w:space="0" w:color="auto"/>
                                                          </w:divBdr>
                                                          <w:divsChild>
                                                            <w:div w:id="1691377146">
                                                              <w:marLeft w:val="0"/>
                                                              <w:marRight w:val="0"/>
                                                              <w:marTop w:val="0"/>
                                                              <w:marBottom w:val="0"/>
                                                              <w:divBdr>
                                                                <w:top w:val="none" w:sz="0" w:space="0" w:color="auto"/>
                                                                <w:left w:val="none" w:sz="0" w:space="0" w:color="auto"/>
                                                                <w:bottom w:val="none" w:sz="0" w:space="0" w:color="auto"/>
                                                                <w:right w:val="none" w:sz="0" w:space="0" w:color="auto"/>
                                                              </w:divBdr>
                                                              <w:divsChild>
                                                                <w:div w:id="717125623">
                                                                  <w:marLeft w:val="0"/>
                                                                  <w:marRight w:val="0"/>
                                                                  <w:marTop w:val="0"/>
                                                                  <w:marBottom w:val="0"/>
                                                                  <w:divBdr>
                                                                    <w:top w:val="none" w:sz="0" w:space="0" w:color="auto"/>
                                                                    <w:left w:val="none" w:sz="0" w:space="0" w:color="auto"/>
                                                                    <w:bottom w:val="none" w:sz="0" w:space="0" w:color="auto"/>
                                                                    <w:right w:val="none" w:sz="0" w:space="0" w:color="auto"/>
                                                                  </w:divBdr>
                                                                  <w:divsChild>
                                                                    <w:div w:id="201475962">
                                                                      <w:marLeft w:val="0"/>
                                                                      <w:marRight w:val="0"/>
                                                                      <w:marTop w:val="0"/>
                                                                      <w:marBottom w:val="0"/>
                                                                      <w:divBdr>
                                                                        <w:top w:val="none" w:sz="0" w:space="0" w:color="auto"/>
                                                                        <w:left w:val="none" w:sz="0" w:space="0" w:color="auto"/>
                                                                        <w:bottom w:val="none" w:sz="0" w:space="0" w:color="auto"/>
                                                                        <w:right w:val="none" w:sz="0" w:space="0" w:color="auto"/>
                                                                      </w:divBdr>
                                                                      <w:divsChild>
                                                                        <w:div w:id="1894653377">
                                                                          <w:marLeft w:val="250"/>
                                                                          <w:marRight w:val="0"/>
                                                                          <w:marTop w:val="0"/>
                                                                          <w:marBottom w:val="0"/>
                                                                          <w:divBdr>
                                                                            <w:top w:val="none" w:sz="0" w:space="0" w:color="auto"/>
                                                                            <w:left w:val="none" w:sz="0" w:space="0" w:color="auto"/>
                                                                            <w:bottom w:val="none" w:sz="0" w:space="0" w:color="auto"/>
                                                                            <w:right w:val="none" w:sz="0" w:space="0" w:color="auto"/>
                                                                          </w:divBdr>
                                                                          <w:divsChild>
                                                                            <w:div w:id="1743483371">
                                                                              <w:marLeft w:val="0"/>
                                                                              <w:marRight w:val="0"/>
                                                                              <w:marTop w:val="0"/>
                                                                              <w:marBottom w:val="0"/>
                                                                              <w:divBdr>
                                                                                <w:top w:val="none" w:sz="0" w:space="0" w:color="auto"/>
                                                                                <w:left w:val="none" w:sz="0" w:space="0" w:color="auto"/>
                                                                                <w:bottom w:val="none" w:sz="0" w:space="0" w:color="auto"/>
                                                                                <w:right w:val="none" w:sz="0" w:space="0" w:color="auto"/>
                                                                              </w:divBdr>
                                                                              <w:divsChild>
                                                                                <w:div w:id="5800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ichael.Judge@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ublic.dep.state.ma.us/SearchableSites2/Search.aspx"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ublic.dep.state.ma.us/SearchableSites2/Search.aspx"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E7FF5-BDF2-4AC4-A9BF-DD4E834F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2804</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19122</CharactersWithSpaces>
  <SharedDoc>false</SharedDoc>
  <HLinks>
    <vt:vector size="6" baseType="variant">
      <vt:variant>
        <vt:i4>3276905</vt:i4>
      </vt:variant>
      <vt:variant>
        <vt:i4>0</vt:i4>
      </vt:variant>
      <vt:variant>
        <vt:i4>0</vt:i4>
      </vt:variant>
      <vt:variant>
        <vt:i4>5</vt:i4>
      </vt:variant>
      <vt:variant>
        <vt:lpwstr>http://public.dep.state.ma.us/SearchableSites2/Search.aspx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TPotter</dc:creator>
  <cp:lastModifiedBy>Mike Judge</cp:lastModifiedBy>
  <cp:revision>2</cp:revision>
  <cp:lastPrinted>2014-06-13T16:16:00Z</cp:lastPrinted>
  <dcterms:created xsi:type="dcterms:W3CDTF">2018-01-10T00:55:00Z</dcterms:created>
  <dcterms:modified xsi:type="dcterms:W3CDTF">2018-01-10T00:55:00Z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