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B03" w:rsidRDefault="00CB3B03" w:rsidP="004D0F5C">
      <w:pPr>
        <w:jc w:val="center"/>
        <w:rPr>
          <w:rFonts w:asciiTheme="minorHAnsi" w:hAnsiTheme="minorHAnsi"/>
          <w:b/>
        </w:rPr>
      </w:pPr>
      <w:bookmarkStart w:id="0" w:name="_GoBack"/>
      <w:bookmarkEnd w:id="0"/>
      <w:r w:rsidRPr="004D0F5C">
        <w:rPr>
          <w:rFonts w:asciiTheme="minorHAnsi" w:hAnsiTheme="minorHAnsi"/>
          <w:b/>
        </w:rPr>
        <w:t>FAQs</w:t>
      </w:r>
      <w:r w:rsidR="00167DFD">
        <w:rPr>
          <w:rFonts w:asciiTheme="minorHAnsi" w:hAnsiTheme="minorHAnsi"/>
          <w:b/>
        </w:rPr>
        <w:t xml:space="preserve"> for MassHealth’s 2017 Payment Model</w:t>
      </w:r>
    </w:p>
    <w:p w:rsidR="00167DFD" w:rsidRPr="004D0F5C" w:rsidRDefault="00167DFD" w:rsidP="004D0F5C">
      <w:pPr>
        <w:jc w:val="center"/>
        <w:rPr>
          <w:rFonts w:asciiTheme="minorHAnsi" w:hAnsiTheme="minorHAnsi"/>
          <w:b/>
        </w:rPr>
      </w:pPr>
    </w:p>
    <w:p w:rsidR="003B1906" w:rsidRDefault="003B1906">
      <w:pPr>
        <w:rPr>
          <w:rFonts w:asciiTheme="minorHAnsi" w:hAnsiTheme="minorHAnsi"/>
          <w:b/>
          <w:u w:val="single"/>
        </w:rPr>
      </w:pPr>
      <w:r w:rsidRPr="008C73F9">
        <w:rPr>
          <w:rFonts w:asciiTheme="minorHAnsi" w:hAnsiTheme="minorHAnsi"/>
          <w:b/>
          <w:u w:val="single"/>
        </w:rPr>
        <w:t xml:space="preserve">About the change from a prospective to a concurrent model </w:t>
      </w:r>
    </w:p>
    <w:p w:rsidR="004D0F5C" w:rsidRPr="004D0F5C" w:rsidRDefault="00B12676" w:rsidP="004D0F5C">
      <w:pPr>
        <w:pStyle w:val="ListParagraph"/>
        <w:numPr>
          <w:ilvl w:val="0"/>
          <w:numId w:val="11"/>
        </w:numPr>
        <w:rPr>
          <w:rFonts w:ascii="Calibri" w:hAnsi="Calibri"/>
          <w:b/>
          <w:sz w:val="22"/>
          <w:szCs w:val="22"/>
        </w:rPr>
      </w:pPr>
      <w:r w:rsidRPr="004D0F5C">
        <w:rPr>
          <w:rFonts w:ascii="Calibri" w:hAnsi="Calibri"/>
          <w:b/>
          <w:sz w:val="22"/>
          <w:szCs w:val="22"/>
        </w:rPr>
        <w:t xml:space="preserve">What is the difference between a prospective and concurrent model? </w:t>
      </w:r>
    </w:p>
    <w:p w:rsidR="00B12676" w:rsidRPr="004D0F5C" w:rsidRDefault="00CB3B03" w:rsidP="004D0F5C">
      <w:pPr>
        <w:pStyle w:val="ListParagraph"/>
        <w:ind w:left="360"/>
        <w:rPr>
          <w:rFonts w:ascii="Calibri" w:hAnsi="Calibri"/>
          <w:b/>
          <w:sz w:val="22"/>
          <w:szCs w:val="22"/>
        </w:rPr>
      </w:pPr>
      <w:r w:rsidRPr="004D0F5C">
        <w:rPr>
          <w:rFonts w:ascii="Calibri" w:hAnsi="Calibri"/>
          <w:sz w:val="22"/>
          <w:szCs w:val="22"/>
        </w:rPr>
        <w:t xml:space="preserve">A prospective model </w:t>
      </w:r>
      <w:r w:rsidR="00B12676" w:rsidRPr="004D0F5C">
        <w:rPr>
          <w:rFonts w:ascii="Calibri" w:hAnsi="Calibri"/>
          <w:sz w:val="22"/>
          <w:szCs w:val="22"/>
        </w:rPr>
        <w:t xml:space="preserve">predicts </w:t>
      </w:r>
      <w:r w:rsidR="00B12676" w:rsidRPr="004D0F5C">
        <w:rPr>
          <w:rFonts w:ascii="Calibri" w:hAnsi="Calibri"/>
          <w:i/>
          <w:sz w:val="22"/>
          <w:szCs w:val="22"/>
        </w:rPr>
        <w:t>next year’s costs</w:t>
      </w:r>
      <w:r w:rsidR="00B12676" w:rsidRPr="004D0F5C">
        <w:rPr>
          <w:rFonts w:ascii="Calibri" w:hAnsi="Calibri"/>
          <w:sz w:val="22"/>
          <w:szCs w:val="22"/>
        </w:rPr>
        <w:t xml:space="preserve"> for a person based on their </w:t>
      </w:r>
      <w:r w:rsidR="00E90A91" w:rsidRPr="004D0F5C">
        <w:rPr>
          <w:rFonts w:ascii="Calibri" w:hAnsi="Calibri"/>
          <w:sz w:val="22"/>
          <w:szCs w:val="22"/>
        </w:rPr>
        <w:t xml:space="preserve">non-cost data (e.g., </w:t>
      </w:r>
      <w:r w:rsidR="00B12676" w:rsidRPr="004D0F5C">
        <w:rPr>
          <w:rFonts w:ascii="Calibri" w:hAnsi="Calibri"/>
          <w:sz w:val="22"/>
          <w:szCs w:val="22"/>
        </w:rPr>
        <w:t>age, sex, medical problems and SDH</w:t>
      </w:r>
      <w:r w:rsidR="00E90A91" w:rsidRPr="004D0F5C">
        <w:rPr>
          <w:rFonts w:ascii="Calibri" w:hAnsi="Calibri"/>
          <w:sz w:val="22"/>
          <w:szCs w:val="22"/>
        </w:rPr>
        <w:t>)</w:t>
      </w:r>
      <w:r w:rsidR="00B12676" w:rsidRPr="004D0F5C">
        <w:rPr>
          <w:rFonts w:ascii="Calibri" w:hAnsi="Calibri"/>
          <w:sz w:val="22"/>
          <w:szCs w:val="22"/>
        </w:rPr>
        <w:t xml:space="preserve"> </w:t>
      </w:r>
      <w:r w:rsidR="00B12676" w:rsidRPr="004D0F5C">
        <w:rPr>
          <w:rFonts w:ascii="Calibri" w:hAnsi="Calibri"/>
          <w:i/>
          <w:sz w:val="22"/>
          <w:szCs w:val="22"/>
        </w:rPr>
        <w:t>this year,</w:t>
      </w:r>
      <w:r w:rsidR="00B12676" w:rsidRPr="004D0F5C">
        <w:rPr>
          <w:rFonts w:ascii="Calibri" w:hAnsi="Calibri"/>
          <w:sz w:val="22"/>
          <w:szCs w:val="22"/>
        </w:rPr>
        <w:t xml:space="preserve"> while a concurrent model predicts costs from </w:t>
      </w:r>
      <w:r w:rsidR="00E90A91" w:rsidRPr="004D0F5C">
        <w:rPr>
          <w:rFonts w:ascii="Calibri" w:hAnsi="Calibri"/>
          <w:sz w:val="22"/>
          <w:szCs w:val="22"/>
        </w:rPr>
        <w:t xml:space="preserve">these same kinds of </w:t>
      </w:r>
      <w:r w:rsidR="00AC5F03" w:rsidRPr="004D0F5C">
        <w:rPr>
          <w:rFonts w:ascii="Calibri" w:hAnsi="Calibri"/>
          <w:sz w:val="22"/>
          <w:szCs w:val="22"/>
        </w:rPr>
        <w:t>factor</w:t>
      </w:r>
      <w:r w:rsidR="00E90A91" w:rsidRPr="004D0F5C">
        <w:rPr>
          <w:rFonts w:ascii="Calibri" w:hAnsi="Calibri"/>
          <w:sz w:val="22"/>
          <w:szCs w:val="22"/>
        </w:rPr>
        <w:t xml:space="preserve">s </w:t>
      </w:r>
      <w:r w:rsidR="00E90A91" w:rsidRPr="004D0F5C">
        <w:rPr>
          <w:rFonts w:ascii="Calibri" w:hAnsi="Calibri"/>
          <w:i/>
          <w:sz w:val="22"/>
          <w:szCs w:val="22"/>
        </w:rPr>
        <w:t>measur</w:t>
      </w:r>
      <w:r w:rsidR="00B12676" w:rsidRPr="004D0F5C">
        <w:rPr>
          <w:rFonts w:ascii="Calibri" w:hAnsi="Calibri"/>
          <w:i/>
          <w:sz w:val="22"/>
          <w:szCs w:val="22"/>
        </w:rPr>
        <w:t>ed in the same year</w:t>
      </w:r>
      <w:r w:rsidR="00E90A91" w:rsidRPr="004D0F5C">
        <w:rPr>
          <w:rFonts w:ascii="Calibri" w:hAnsi="Calibri"/>
          <w:sz w:val="22"/>
          <w:szCs w:val="22"/>
        </w:rPr>
        <w:t xml:space="preserve"> that the costs a</w:t>
      </w:r>
      <w:r w:rsidR="00B12676" w:rsidRPr="004D0F5C">
        <w:rPr>
          <w:rFonts w:ascii="Calibri" w:hAnsi="Calibri"/>
          <w:sz w:val="22"/>
          <w:szCs w:val="22"/>
        </w:rPr>
        <w:t>re incurred</w:t>
      </w:r>
      <w:r w:rsidR="001F711E" w:rsidRPr="004D0F5C">
        <w:rPr>
          <w:rFonts w:ascii="Calibri" w:hAnsi="Calibri"/>
          <w:sz w:val="22"/>
          <w:szCs w:val="22"/>
        </w:rPr>
        <w:t>.</w:t>
      </w:r>
    </w:p>
    <w:p w:rsidR="004D0F5C" w:rsidRPr="004D0F5C" w:rsidRDefault="00B12676" w:rsidP="004D0F5C">
      <w:pPr>
        <w:pStyle w:val="ListParagraph"/>
        <w:numPr>
          <w:ilvl w:val="0"/>
          <w:numId w:val="11"/>
        </w:numPr>
        <w:rPr>
          <w:rFonts w:ascii="Calibri" w:hAnsi="Calibri"/>
          <w:b/>
          <w:sz w:val="22"/>
          <w:szCs w:val="22"/>
        </w:rPr>
      </w:pPr>
      <w:r w:rsidRPr="004D0F5C">
        <w:rPr>
          <w:rFonts w:ascii="Calibri" w:hAnsi="Calibri"/>
          <w:b/>
          <w:sz w:val="22"/>
          <w:szCs w:val="22"/>
        </w:rPr>
        <w:t>Why did MassHealth change from using a prospective to a concurrent model?</w:t>
      </w:r>
      <w:r w:rsidR="004D0F5C" w:rsidRPr="004D0F5C">
        <w:rPr>
          <w:rFonts w:ascii="Calibri" w:hAnsi="Calibri"/>
          <w:b/>
          <w:sz w:val="22"/>
          <w:szCs w:val="22"/>
        </w:rPr>
        <w:t xml:space="preserve"> </w:t>
      </w:r>
    </w:p>
    <w:p w:rsidR="00A437C8" w:rsidRPr="004D0F5C" w:rsidRDefault="008D4D69" w:rsidP="00A437C8">
      <w:pPr>
        <w:pStyle w:val="ListParagraph"/>
        <w:ind w:left="360"/>
        <w:rPr>
          <w:rFonts w:ascii="Calibri" w:hAnsi="Calibri"/>
          <w:b/>
          <w:sz w:val="22"/>
          <w:szCs w:val="22"/>
        </w:rPr>
      </w:pPr>
      <w:r w:rsidRPr="004D0F5C">
        <w:rPr>
          <w:rFonts w:ascii="Calibri" w:hAnsi="Calibri"/>
          <w:sz w:val="22"/>
          <w:szCs w:val="22"/>
        </w:rPr>
        <w:t>C</w:t>
      </w:r>
      <w:r w:rsidR="00C46819" w:rsidRPr="004D0F5C">
        <w:rPr>
          <w:rFonts w:ascii="Calibri" w:hAnsi="Calibri"/>
          <w:sz w:val="22"/>
          <w:szCs w:val="22"/>
        </w:rPr>
        <w:t xml:space="preserve">oncurrent models </w:t>
      </w:r>
      <w:r w:rsidR="00AC5F03" w:rsidRPr="004D0F5C">
        <w:rPr>
          <w:rFonts w:ascii="Calibri" w:hAnsi="Calibri"/>
          <w:sz w:val="22"/>
          <w:szCs w:val="22"/>
        </w:rPr>
        <w:t>are built on a single year of data</w:t>
      </w:r>
      <w:r w:rsidRPr="004D0F5C">
        <w:rPr>
          <w:rFonts w:ascii="Calibri" w:hAnsi="Calibri"/>
          <w:sz w:val="22"/>
          <w:szCs w:val="22"/>
        </w:rPr>
        <w:t>. Thus,</w:t>
      </w:r>
      <w:r w:rsidR="00AC5F03" w:rsidRPr="004D0F5C">
        <w:rPr>
          <w:rFonts w:ascii="Calibri" w:hAnsi="Calibri"/>
          <w:sz w:val="22"/>
          <w:szCs w:val="22"/>
        </w:rPr>
        <w:t xml:space="preserve"> they can capture costs for people who enter or leave the program within a single year. Prospective models do not, for example, describe the costs of newborns in their first year, nor the relationships between peoples’ characteristics and costs in the year that they die.</w:t>
      </w:r>
      <w:r w:rsidR="004D0F5C" w:rsidRPr="004D0F5C">
        <w:rPr>
          <w:rFonts w:ascii="Calibri" w:hAnsi="Calibri"/>
          <w:b/>
          <w:sz w:val="22"/>
          <w:szCs w:val="22"/>
        </w:rPr>
        <w:t xml:space="preserve"> </w:t>
      </w:r>
    </w:p>
    <w:p w:rsidR="00A437C8" w:rsidRPr="004D0F5C" w:rsidRDefault="00CB3B03" w:rsidP="00A437C8">
      <w:pPr>
        <w:pStyle w:val="ListParagraph"/>
        <w:numPr>
          <w:ilvl w:val="0"/>
          <w:numId w:val="11"/>
        </w:numPr>
        <w:rPr>
          <w:rFonts w:ascii="Calibri" w:hAnsi="Calibri"/>
          <w:b/>
          <w:sz w:val="22"/>
          <w:szCs w:val="22"/>
        </w:rPr>
      </w:pPr>
      <w:r w:rsidRPr="004D0F5C">
        <w:rPr>
          <w:rFonts w:ascii="Calibri" w:hAnsi="Calibri"/>
          <w:b/>
          <w:sz w:val="22"/>
          <w:szCs w:val="22"/>
        </w:rPr>
        <w:t>Does the use of a concurrent model mean that we will have to wait until after a year is over to know what we will be paid?</w:t>
      </w:r>
      <w:r w:rsidR="004D0F5C" w:rsidRPr="004D0F5C">
        <w:rPr>
          <w:rFonts w:ascii="Calibri" w:hAnsi="Calibri"/>
          <w:b/>
          <w:sz w:val="22"/>
          <w:szCs w:val="22"/>
        </w:rPr>
        <w:t xml:space="preserve"> </w:t>
      </w:r>
    </w:p>
    <w:p w:rsidR="004D0F5C" w:rsidRPr="00A437C8" w:rsidRDefault="00CB3B03" w:rsidP="00A437C8">
      <w:pPr>
        <w:pStyle w:val="ListParagraph"/>
        <w:ind w:left="360"/>
        <w:rPr>
          <w:rFonts w:ascii="Calibri" w:hAnsi="Calibri"/>
          <w:b/>
          <w:sz w:val="22"/>
          <w:szCs w:val="22"/>
        </w:rPr>
      </w:pPr>
      <w:r w:rsidRPr="004D0F5C">
        <w:rPr>
          <w:rFonts w:ascii="Calibri" w:hAnsi="Calibri"/>
          <w:sz w:val="22"/>
          <w:szCs w:val="22"/>
        </w:rPr>
        <w:t>No</w:t>
      </w:r>
      <w:r w:rsidR="00C46819" w:rsidRPr="004D0F5C">
        <w:rPr>
          <w:rFonts w:ascii="Calibri" w:hAnsi="Calibri"/>
          <w:sz w:val="22"/>
          <w:szCs w:val="22"/>
        </w:rPr>
        <w:t xml:space="preserve">. MassHealth will apply </w:t>
      </w:r>
      <w:r w:rsidR="00AC5F03" w:rsidRPr="004D0F5C">
        <w:rPr>
          <w:rFonts w:ascii="Calibri" w:hAnsi="Calibri"/>
          <w:sz w:val="22"/>
          <w:szCs w:val="22"/>
        </w:rPr>
        <w:t>the</w:t>
      </w:r>
      <w:r w:rsidRPr="004D0F5C">
        <w:rPr>
          <w:rFonts w:ascii="Calibri" w:hAnsi="Calibri"/>
          <w:sz w:val="22"/>
          <w:szCs w:val="22"/>
        </w:rPr>
        <w:t xml:space="preserve"> </w:t>
      </w:r>
      <w:r w:rsidR="00F84381" w:rsidRPr="004D0F5C">
        <w:rPr>
          <w:rFonts w:ascii="Calibri" w:hAnsi="Calibri"/>
          <w:sz w:val="22"/>
          <w:szCs w:val="22"/>
        </w:rPr>
        <w:t xml:space="preserve">new model </w:t>
      </w:r>
      <w:r w:rsidR="001F711E" w:rsidRPr="004D0F5C">
        <w:rPr>
          <w:rFonts w:ascii="Calibri" w:hAnsi="Calibri"/>
          <w:sz w:val="22"/>
          <w:szCs w:val="22"/>
        </w:rPr>
        <w:t xml:space="preserve">in </w:t>
      </w:r>
      <w:r w:rsidR="00F84381" w:rsidRPr="004D0F5C">
        <w:rPr>
          <w:rFonts w:ascii="Calibri" w:hAnsi="Calibri"/>
          <w:sz w:val="22"/>
          <w:szCs w:val="22"/>
        </w:rPr>
        <w:t>very much in the s</w:t>
      </w:r>
      <w:r w:rsidR="001F711E" w:rsidRPr="004D0F5C">
        <w:rPr>
          <w:rFonts w:ascii="Calibri" w:hAnsi="Calibri"/>
          <w:sz w:val="22"/>
          <w:szCs w:val="22"/>
        </w:rPr>
        <w:t xml:space="preserve">ame time </w:t>
      </w:r>
      <w:r w:rsidR="004D0F5C" w:rsidRPr="004D0F5C">
        <w:rPr>
          <w:rFonts w:ascii="Calibri" w:hAnsi="Calibri"/>
          <w:sz w:val="22"/>
          <w:szCs w:val="22"/>
        </w:rPr>
        <w:t xml:space="preserve">frames that it did the old one. For the October 1, 2016 – December 30, 2016 risk adjusted rates sent to each MCO on September 23, 2016, the SDH model was </w:t>
      </w:r>
      <w:r w:rsidR="004D0F5C" w:rsidRPr="004D0F5C">
        <w:rPr>
          <w:rFonts w:ascii="Calibri" w:hAnsi="Calibri"/>
          <w:i/>
          <w:sz w:val="22"/>
          <w:szCs w:val="22"/>
        </w:rPr>
        <w:t>applied</w:t>
      </w:r>
      <w:r w:rsidR="004D0F5C" w:rsidRPr="004D0F5C">
        <w:rPr>
          <w:rFonts w:ascii="Calibri" w:hAnsi="Calibri"/>
          <w:sz w:val="22"/>
          <w:szCs w:val="22"/>
        </w:rPr>
        <w:t xml:space="preserve"> prospectively, based on the enrollment snapshot taken on September 1, 2016. </w:t>
      </w:r>
      <w:r w:rsidR="004D0F5C" w:rsidRPr="004D0F5C">
        <w:rPr>
          <w:rFonts w:ascii="Arial" w:hAnsi="Arial" w:cs="Arial"/>
          <w:sz w:val="20"/>
          <w:szCs w:val="20"/>
        </w:rPr>
        <w:t>Member level risk adjustment scores were developed using a base year of January 1, 2015 – December 31, 2015 claims and encounters, paid through June 30, 2016.</w:t>
      </w:r>
      <w:r w:rsidR="00A437C8" w:rsidRPr="00A437C8">
        <w:rPr>
          <w:rFonts w:ascii="Calibri" w:hAnsi="Calibri"/>
          <w:b/>
          <w:sz w:val="22"/>
          <w:szCs w:val="22"/>
        </w:rPr>
        <w:t xml:space="preserve"> </w:t>
      </w:r>
      <w:r w:rsidR="004D0F5C" w:rsidRPr="00A437C8">
        <w:rPr>
          <w:rFonts w:ascii="Calibri" w:hAnsi="Calibri"/>
          <w:b/>
          <w:sz w:val="22"/>
          <w:szCs w:val="22"/>
        </w:rPr>
        <w:t xml:space="preserve"> </w:t>
      </w:r>
    </w:p>
    <w:p w:rsidR="004D0F5C" w:rsidRPr="004D0F5C" w:rsidRDefault="009A4E2F" w:rsidP="00A10F21">
      <w:pPr>
        <w:pStyle w:val="ListParagraph"/>
        <w:numPr>
          <w:ilvl w:val="0"/>
          <w:numId w:val="11"/>
        </w:numPr>
        <w:rPr>
          <w:rFonts w:ascii="Calibri" w:hAnsi="Calibri"/>
          <w:b/>
          <w:sz w:val="22"/>
          <w:szCs w:val="22"/>
        </w:rPr>
      </w:pPr>
      <w:r w:rsidRPr="004D0F5C">
        <w:rPr>
          <w:rFonts w:ascii="Calibri" w:hAnsi="Calibri"/>
          <w:b/>
          <w:sz w:val="22"/>
          <w:szCs w:val="22"/>
        </w:rPr>
        <w:t>Is it legitimate to use a concurrent model to predict costs in a future year?</w:t>
      </w:r>
      <w:r w:rsidR="004D0F5C" w:rsidRPr="004D0F5C">
        <w:rPr>
          <w:rFonts w:ascii="Calibri" w:hAnsi="Calibri"/>
          <w:b/>
          <w:sz w:val="22"/>
          <w:szCs w:val="22"/>
        </w:rPr>
        <w:t xml:space="preserve"> </w:t>
      </w:r>
    </w:p>
    <w:p w:rsidR="00A437C8" w:rsidRPr="00A437C8" w:rsidRDefault="009A4E2F" w:rsidP="00A437C8">
      <w:pPr>
        <w:pStyle w:val="ListParagraph"/>
        <w:ind w:left="360"/>
        <w:rPr>
          <w:rFonts w:ascii="Calibri" w:hAnsi="Calibri"/>
          <w:b/>
          <w:sz w:val="22"/>
          <w:szCs w:val="22"/>
        </w:rPr>
      </w:pPr>
      <w:r w:rsidRPr="004D0F5C">
        <w:rPr>
          <w:rFonts w:ascii="Calibri" w:hAnsi="Calibri"/>
          <w:sz w:val="22"/>
          <w:szCs w:val="22"/>
        </w:rPr>
        <w:t xml:space="preserve">Yes. So long as the same kinds of people enroll in a program from year to year, both prospective and concurrent models </w:t>
      </w:r>
      <w:r w:rsidR="003B1906" w:rsidRPr="004D0F5C">
        <w:rPr>
          <w:rFonts w:ascii="Calibri" w:hAnsi="Calibri"/>
          <w:sz w:val="22"/>
          <w:szCs w:val="22"/>
        </w:rPr>
        <w:t>make</w:t>
      </w:r>
      <w:r w:rsidRPr="004D0F5C">
        <w:rPr>
          <w:rFonts w:ascii="Calibri" w:hAnsi="Calibri"/>
          <w:sz w:val="22"/>
          <w:szCs w:val="22"/>
        </w:rPr>
        <w:t xml:space="preserve"> payments that are “right on average” for groups of people. </w:t>
      </w:r>
      <w:r w:rsidR="003B1906" w:rsidRPr="004D0F5C">
        <w:rPr>
          <w:rFonts w:ascii="Calibri" w:hAnsi="Calibri"/>
          <w:sz w:val="22"/>
          <w:szCs w:val="22"/>
        </w:rPr>
        <w:t>Indeed, in preliminary tests, our concurrent model predicts next year’s costs about as well as the best prospective models do (with an estimated individual-level R2 of 38%).</w:t>
      </w:r>
    </w:p>
    <w:p w:rsidR="003B1906" w:rsidRPr="004D0F5C" w:rsidRDefault="003B1906" w:rsidP="004D0F5C">
      <w:pPr>
        <w:pStyle w:val="ListParagraph"/>
        <w:ind w:left="450"/>
        <w:rPr>
          <w:rFonts w:ascii="Calibri" w:hAnsi="Calibri"/>
          <w:sz w:val="22"/>
          <w:szCs w:val="22"/>
        </w:rPr>
      </w:pPr>
    </w:p>
    <w:p w:rsidR="003B1906" w:rsidRPr="008C73F9" w:rsidRDefault="003B1906" w:rsidP="008F2D79">
      <w:pPr>
        <w:rPr>
          <w:rFonts w:ascii="Calibri" w:hAnsi="Calibri"/>
          <w:b/>
          <w:sz w:val="22"/>
          <w:szCs w:val="22"/>
          <w:u w:val="single"/>
        </w:rPr>
      </w:pPr>
      <w:r w:rsidRPr="008C73F9">
        <w:rPr>
          <w:rFonts w:ascii="Calibri" w:hAnsi="Calibri"/>
          <w:b/>
          <w:sz w:val="22"/>
          <w:szCs w:val="22"/>
          <w:u w:val="single"/>
        </w:rPr>
        <w:t xml:space="preserve">About racial </w:t>
      </w:r>
      <w:r w:rsidR="004D0F5C" w:rsidRPr="008C73F9">
        <w:rPr>
          <w:rFonts w:ascii="Calibri" w:hAnsi="Calibri"/>
          <w:b/>
          <w:sz w:val="22"/>
          <w:szCs w:val="22"/>
          <w:u w:val="single"/>
        </w:rPr>
        <w:t>equity</w:t>
      </w:r>
    </w:p>
    <w:p w:rsidR="004D0F5C" w:rsidRPr="004D0F5C" w:rsidRDefault="008F2D79" w:rsidP="004D0F5C">
      <w:pPr>
        <w:pStyle w:val="ListParagraph"/>
        <w:numPr>
          <w:ilvl w:val="0"/>
          <w:numId w:val="11"/>
        </w:numPr>
        <w:rPr>
          <w:rFonts w:ascii="Calibri" w:hAnsi="Calibri"/>
          <w:b/>
          <w:sz w:val="22"/>
          <w:szCs w:val="22"/>
        </w:rPr>
      </w:pPr>
      <w:r w:rsidRPr="004D0F5C">
        <w:rPr>
          <w:rFonts w:ascii="Calibri" w:hAnsi="Calibri"/>
          <w:b/>
          <w:sz w:val="22"/>
          <w:szCs w:val="22"/>
        </w:rPr>
        <w:t>Has anything been done to examine racial equity in the model</w:t>
      </w:r>
      <w:r w:rsidR="00201D89" w:rsidRPr="004D0F5C">
        <w:rPr>
          <w:rFonts w:ascii="Calibri" w:hAnsi="Calibri"/>
          <w:b/>
          <w:sz w:val="22"/>
          <w:szCs w:val="22"/>
        </w:rPr>
        <w:t>?</w:t>
      </w:r>
      <w:r w:rsidR="004D0F5C" w:rsidRPr="004D0F5C">
        <w:rPr>
          <w:rFonts w:ascii="Calibri" w:hAnsi="Calibri"/>
          <w:b/>
          <w:sz w:val="22"/>
          <w:szCs w:val="22"/>
        </w:rPr>
        <w:t xml:space="preserve"> </w:t>
      </w:r>
    </w:p>
    <w:p w:rsidR="00A437C8" w:rsidRPr="004D0F5C" w:rsidRDefault="00201D89" w:rsidP="00A437C8">
      <w:pPr>
        <w:pStyle w:val="ListParagraph"/>
        <w:ind w:left="360"/>
        <w:rPr>
          <w:rFonts w:ascii="Calibri" w:hAnsi="Calibri"/>
          <w:b/>
          <w:sz w:val="22"/>
          <w:szCs w:val="22"/>
        </w:rPr>
      </w:pPr>
      <w:r w:rsidRPr="004D0F5C">
        <w:rPr>
          <w:rFonts w:ascii="Calibri" w:hAnsi="Calibri"/>
          <w:sz w:val="22"/>
          <w:szCs w:val="22"/>
        </w:rPr>
        <w:t xml:space="preserve">Yes. Although </w:t>
      </w:r>
      <w:r w:rsidR="00877D15" w:rsidRPr="004D0F5C">
        <w:rPr>
          <w:rFonts w:ascii="Calibri" w:hAnsi="Calibri"/>
          <w:sz w:val="22"/>
          <w:szCs w:val="22"/>
        </w:rPr>
        <w:t>race and ethnicity was only coded for a bit more than 60% of members in either program,</w:t>
      </w:r>
      <w:r w:rsidRPr="004D0F5C">
        <w:rPr>
          <w:rFonts w:ascii="Calibri" w:hAnsi="Calibri"/>
          <w:sz w:val="22"/>
          <w:szCs w:val="22"/>
        </w:rPr>
        <w:t xml:space="preserve"> we </w:t>
      </w:r>
      <w:r w:rsidR="00877D15" w:rsidRPr="004D0F5C">
        <w:rPr>
          <w:rFonts w:ascii="Calibri" w:hAnsi="Calibri"/>
          <w:sz w:val="22"/>
          <w:szCs w:val="22"/>
        </w:rPr>
        <w:t>checked models</w:t>
      </w:r>
      <w:r w:rsidR="00F50F54" w:rsidRPr="004D0F5C">
        <w:rPr>
          <w:rFonts w:ascii="Calibri" w:hAnsi="Calibri"/>
          <w:sz w:val="22"/>
          <w:szCs w:val="22"/>
        </w:rPr>
        <w:t xml:space="preserve"> to ensure that</w:t>
      </w:r>
      <w:r w:rsidRPr="004D0F5C">
        <w:rPr>
          <w:rFonts w:ascii="Calibri" w:hAnsi="Calibri"/>
          <w:sz w:val="22"/>
          <w:szCs w:val="22"/>
        </w:rPr>
        <w:t xml:space="preserve"> </w:t>
      </w:r>
      <w:r w:rsidR="00877D15" w:rsidRPr="004D0F5C">
        <w:rPr>
          <w:rFonts w:ascii="Calibri" w:hAnsi="Calibri"/>
          <w:sz w:val="22"/>
          <w:szCs w:val="22"/>
        </w:rPr>
        <w:t xml:space="preserve">predicted </w:t>
      </w:r>
      <w:r w:rsidR="00F50F54" w:rsidRPr="004D0F5C">
        <w:rPr>
          <w:rFonts w:ascii="Calibri" w:hAnsi="Calibri"/>
          <w:sz w:val="22"/>
          <w:szCs w:val="22"/>
        </w:rPr>
        <w:t xml:space="preserve">and actual costs </w:t>
      </w:r>
      <w:r w:rsidRPr="004D0F5C">
        <w:rPr>
          <w:rFonts w:ascii="Calibri" w:hAnsi="Calibri"/>
          <w:sz w:val="22"/>
          <w:szCs w:val="22"/>
        </w:rPr>
        <w:t xml:space="preserve">were </w:t>
      </w:r>
      <w:r w:rsidR="00F50F54" w:rsidRPr="004D0F5C">
        <w:rPr>
          <w:rFonts w:ascii="Calibri" w:hAnsi="Calibri"/>
          <w:sz w:val="22"/>
          <w:szCs w:val="22"/>
        </w:rPr>
        <w:t xml:space="preserve">close </w:t>
      </w:r>
      <w:r w:rsidR="00877D15" w:rsidRPr="004D0F5C">
        <w:rPr>
          <w:rFonts w:ascii="Calibri" w:hAnsi="Calibri"/>
          <w:sz w:val="22"/>
          <w:szCs w:val="22"/>
        </w:rPr>
        <w:t>within each racial subgroup</w:t>
      </w:r>
      <w:r w:rsidR="00F50F54" w:rsidRPr="004D0F5C">
        <w:rPr>
          <w:rFonts w:ascii="Calibri" w:hAnsi="Calibri"/>
          <w:sz w:val="22"/>
          <w:szCs w:val="22"/>
        </w:rPr>
        <w:t xml:space="preserve">. </w:t>
      </w:r>
      <w:r w:rsidR="004D16F4" w:rsidRPr="004D0F5C">
        <w:rPr>
          <w:rFonts w:ascii="Calibri" w:hAnsi="Calibri"/>
          <w:sz w:val="22"/>
          <w:szCs w:val="22"/>
        </w:rPr>
        <w:t xml:space="preserve">In our development data, </w:t>
      </w:r>
      <w:r w:rsidR="00F50F54" w:rsidRPr="004D0F5C">
        <w:rPr>
          <w:rFonts w:ascii="Calibri" w:hAnsi="Calibri"/>
          <w:sz w:val="22"/>
          <w:szCs w:val="22"/>
        </w:rPr>
        <w:t>differences between predicted and actual costs were</w:t>
      </w:r>
      <w:r w:rsidR="00877D15" w:rsidRPr="004D0F5C">
        <w:rPr>
          <w:rFonts w:ascii="Calibri" w:hAnsi="Calibri"/>
          <w:sz w:val="22"/>
          <w:szCs w:val="22"/>
        </w:rPr>
        <w:t xml:space="preserve"> </w:t>
      </w:r>
      <w:r w:rsidR="00F50F54" w:rsidRPr="004D0F5C">
        <w:rPr>
          <w:rFonts w:ascii="Calibri" w:hAnsi="Calibri"/>
          <w:sz w:val="22"/>
          <w:szCs w:val="22"/>
        </w:rPr>
        <w:t xml:space="preserve">less than </w:t>
      </w:r>
      <w:r w:rsidR="004D16F4" w:rsidRPr="004D0F5C">
        <w:rPr>
          <w:rFonts w:ascii="Calibri" w:hAnsi="Calibri"/>
          <w:sz w:val="22"/>
          <w:szCs w:val="22"/>
        </w:rPr>
        <w:t xml:space="preserve">2% </w:t>
      </w:r>
      <w:r w:rsidR="00F50F54" w:rsidRPr="004D0F5C">
        <w:rPr>
          <w:rFonts w:ascii="Calibri" w:hAnsi="Calibri"/>
          <w:sz w:val="22"/>
          <w:szCs w:val="22"/>
        </w:rPr>
        <w:t>for all racial/ethnic subgroups examined</w:t>
      </w:r>
      <w:r w:rsidR="004D16F4" w:rsidRPr="004D0F5C">
        <w:rPr>
          <w:rFonts w:ascii="Calibri" w:hAnsi="Calibri"/>
          <w:sz w:val="22"/>
          <w:szCs w:val="22"/>
        </w:rPr>
        <w:t>; in out-of-sample applications of the model, such differences were a bit larger, but always less than 5%.</w:t>
      </w:r>
    </w:p>
    <w:p w:rsidR="00A437C8" w:rsidRPr="004D0F5C" w:rsidRDefault="004D16F4" w:rsidP="00A437C8">
      <w:pPr>
        <w:pStyle w:val="ListParagraph"/>
        <w:numPr>
          <w:ilvl w:val="0"/>
          <w:numId w:val="11"/>
        </w:numPr>
        <w:rPr>
          <w:rFonts w:ascii="Calibri" w:hAnsi="Calibri"/>
          <w:b/>
          <w:sz w:val="22"/>
          <w:szCs w:val="22"/>
        </w:rPr>
      </w:pPr>
      <w:r w:rsidRPr="004D0F5C">
        <w:rPr>
          <w:rFonts w:ascii="Calibri" w:hAnsi="Calibri"/>
          <w:b/>
          <w:sz w:val="22"/>
          <w:szCs w:val="22"/>
        </w:rPr>
        <w:t>Do any of the variables in the model measure race?</w:t>
      </w:r>
      <w:r w:rsidR="00A437C8" w:rsidRPr="00A437C8">
        <w:rPr>
          <w:rFonts w:ascii="Calibri" w:hAnsi="Calibri"/>
          <w:b/>
          <w:sz w:val="22"/>
          <w:szCs w:val="22"/>
        </w:rPr>
        <w:t xml:space="preserve"> </w:t>
      </w:r>
    </w:p>
    <w:p w:rsidR="00A437C8" w:rsidRDefault="004D16F4" w:rsidP="009817E3">
      <w:pPr>
        <w:pStyle w:val="ListParagraph"/>
        <w:ind w:left="360"/>
        <w:rPr>
          <w:rFonts w:ascii="Calibri" w:hAnsi="Calibri"/>
          <w:b/>
          <w:sz w:val="22"/>
          <w:szCs w:val="22"/>
        </w:rPr>
      </w:pPr>
      <w:r w:rsidRPr="004D0F5C">
        <w:rPr>
          <w:rFonts w:ascii="Calibri" w:hAnsi="Calibri"/>
          <w:sz w:val="22"/>
          <w:szCs w:val="22"/>
        </w:rPr>
        <w:t>No.</w:t>
      </w:r>
      <w:r w:rsidR="004D0F5C" w:rsidRPr="004D0F5C">
        <w:rPr>
          <w:rFonts w:ascii="Calibri" w:hAnsi="Calibri"/>
          <w:b/>
          <w:sz w:val="22"/>
          <w:szCs w:val="22"/>
        </w:rPr>
        <w:t xml:space="preserve"> </w:t>
      </w:r>
    </w:p>
    <w:p w:rsidR="00167DFD" w:rsidRDefault="00167DFD" w:rsidP="00A437C8">
      <w:pPr>
        <w:rPr>
          <w:rFonts w:ascii="Calibri" w:hAnsi="Calibri"/>
          <w:b/>
          <w:sz w:val="22"/>
          <w:szCs w:val="22"/>
        </w:rPr>
      </w:pPr>
    </w:p>
    <w:p w:rsidR="00A437C8" w:rsidRPr="008C73F9" w:rsidRDefault="00A437C8" w:rsidP="00A437C8">
      <w:pPr>
        <w:rPr>
          <w:rFonts w:ascii="Calibri" w:hAnsi="Calibri"/>
          <w:b/>
          <w:sz w:val="22"/>
          <w:szCs w:val="22"/>
          <w:u w:val="single"/>
        </w:rPr>
      </w:pPr>
      <w:r w:rsidRPr="008C73F9">
        <w:rPr>
          <w:rFonts w:ascii="Calibri" w:hAnsi="Calibri"/>
          <w:b/>
          <w:sz w:val="22"/>
          <w:szCs w:val="22"/>
          <w:u w:val="single"/>
        </w:rPr>
        <w:t>About top-coded, annualized costs</w:t>
      </w:r>
    </w:p>
    <w:p w:rsidR="00310AA2" w:rsidRDefault="00310AA2" w:rsidP="00310AA2">
      <w:pPr>
        <w:pStyle w:val="ListParagraph"/>
        <w:numPr>
          <w:ilvl w:val="0"/>
          <w:numId w:val="13"/>
        </w:numPr>
        <w:rPr>
          <w:rFonts w:ascii="Calibri" w:hAnsi="Calibri"/>
          <w:b/>
          <w:sz w:val="22"/>
          <w:szCs w:val="22"/>
        </w:rPr>
      </w:pPr>
      <w:r>
        <w:rPr>
          <w:rFonts w:ascii="Calibri" w:hAnsi="Calibri"/>
          <w:b/>
          <w:sz w:val="22"/>
          <w:szCs w:val="22"/>
        </w:rPr>
        <w:t>What does it mean to say that costs are “annualized”?</w:t>
      </w:r>
    </w:p>
    <w:p w:rsidR="00310AA2" w:rsidRPr="00310AA2" w:rsidRDefault="00310AA2" w:rsidP="00310AA2">
      <w:pPr>
        <w:pStyle w:val="ListParagraph"/>
        <w:ind w:left="360"/>
        <w:rPr>
          <w:rFonts w:ascii="Calibri" w:hAnsi="Calibri"/>
          <w:sz w:val="22"/>
          <w:szCs w:val="22"/>
        </w:rPr>
      </w:pPr>
      <w:r>
        <w:rPr>
          <w:rFonts w:ascii="Calibri" w:hAnsi="Calibri"/>
          <w:sz w:val="22"/>
          <w:szCs w:val="22"/>
        </w:rPr>
        <w:t xml:space="preserve">A person’s annualized cost </w:t>
      </w:r>
      <w:r w:rsidR="00167DFD">
        <w:rPr>
          <w:rFonts w:ascii="Calibri" w:hAnsi="Calibri"/>
          <w:sz w:val="22"/>
          <w:szCs w:val="22"/>
        </w:rPr>
        <w:t>equals</w:t>
      </w:r>
      <w:r>
        <w:rPr>
          <w:rFonts w:ascii="Calibri" w:hAnsi="Calibri"/>
          <w:sz w:val="22"/>
          <w:szCs w:val="22"/>
        </w:rPr>
        <w:t xml:space="preserve"> </w:t>
      </w:r>
      <w:r w:rsidR="00167DFD">
        <w:rPr>
          <w:rFonts w:ascii="Calibri" w:hAnsi="Calibri"/>
          <w:sz w:val="22"/>
          <w:szCs w:val="22"/>
        </w:rPr>
        <w:t>“</w:t>
      </w:r>
      <w:r>
        <w:rPr>
          <w:rFonts w:ascii="Calibri" w:hAnsi="Calibri"/>
          <w:sz w:val="22"/>
          <w:szCs w:val="22"/>
        </w:rPr>
        <w:t>cost</w:t>
      </w:r>
      <w:r w:rsidR="00167DFD">
        <w:rPr>
          <w:rFonts w:ascii="Calibri" w:hAnsi="Calibri"/>
          <w:sz w:val="22"/>
          <w:szCs w:val="22"/>
        </w:rPr>
        <w:t xml:space="preserve"> divided by the </w:t>
      </w:r>
      <w:r>
        <w:rPr>
          <w:rFonts w:ascii="Calibri" w:hAnsi="Calibri"/>
          <w:sz w:val="22"/>
          <w:szCs w:val="22"/>
        </w:rPr>
        <w:t xml:space="preserve">fraction of the year </w:t>
      </w:r>
      <w:r w:rsidR="00167DFD">
        <w:rPr>
          <w:rFonts w:ascii="Calibri" w:hAnsi="Calibri"/>
          <w:sz w:val="22"/>
          <w:szCs w:val="22"/>
        </w:rPr>
        <w:t>that the person is enrolled</w:t>
      </w:r>
      <w:r>
        <w:rPr>
          <w:rFonts w:ascii="Calibri" w:hAnsi="Calibri"/>
          <w:sz w:val="22"/>
          <w:szCs w:val="22"/>
        </w:rPr>
        <w:t>.</w:t>
      </w:r>
      <w:r w:rsidR="00167DFD">
        <w:rPr>
          <w:rFonts w:ascii="Calibri" w:hAnsi="Calibri"/>
          <w:sz w:val="22"/>
          <w:szCs w:val="22"/>
        </w:rPr>
        <w:t>”</w:t>
      </w:r>
      <w:r>
        <w:rPr>
          <w:rFonts w:ascii="Calibri" w:hAnsi="Calibri"/>
          <w:sz w:val="22"/>
          <w:szCs w:val="22"/>
        </w:rPr>
        <w:t xml:space="preserve"> </w:t>
      </w:r>
      <w:r w:rsidRPr="00310AA2">
        <w:rPr>
          <w:rFonts w:ascii="Calibri" w:hAnsi="Calibri"/>
          <w:sz w:val="22"/>
          <w:szCs w:val="22"/>
        </w:rPr>
        <w:t xml:space="preserve">If a member </w:t>
      </w:r>
      <w:r>
        <w:rPr>
          <w:rFonts w:ascii="Calibri" w:hAnsi="Calibri"/>
          <w:sz w:val="22"/>
          <w:szCs w:val="22"/>
        </w:rPr>
        <w:t xml:space="preserve">is present for, say only half the year and spends, say $6,000, then his data </w:t>
      </w:r>
      <w:r w:rsidR="00167DFD">
        <w:rPr>
          <w:rFonts w:ascii="Calibri" w:hAnsi="Calibri"/>
          <w:sz w:val="22"/>
          <w:szCs w:val="22"/>
        </w:rPr>
        <w:t>contributes</w:t>
      </w:r>
      <w:r>
        <w:rPr>
          <w:rFonts w:ascii="Calibri" w:hAnsi="Calibri"/>
          <w:sz w:val="22"/>
          <w:szCs w:val="22"/>
        </w:rPr>
        <w:t xml:space="preserve"> ½ of a person-year of experience, </w:t>
      </w:r>
      <w:r w:rsidR="00167DFD">
        <w:rPr>
          <w:rFonts w:ascii="Calibri" w:hAnsi="Calibri"/>
          <w:sz w:val="22"/>
          <w:szCs w:val="22"/>
        </w:rPr>
        <w:t>at</w:t>
      </w:r>
      <w:r>
        <w:rPr>
          <w:rFonts w:ascii="Calibri" w:hAnsi="Calibri"/>
          <w:sz w:val="22"/>
          <w:szCs w:val="22"/>
        </w:rPr>
        <w:t xml:space="preserve"> an annual spending rate of $6,000/(1/2) = </w:t>
      </w:r>
      <w:r w:rsidR="00DE3268">
        <w:rPr>
          <w:rFonts w:ascii="Calibri" w:hAnsi="Calibri"/>
          <w:sz w:val="22"/>
          <w:szCs w:val="22"/>
        </w:rPr>
        <w:t>$12,000.</w:t>
      </w:r>
    </w:p>
    <w:p w:rsidR="00310AA2" w:rsidRDefault="00310AA2" w:rsidP="00310AA2">
      <w:pPr>
        <w:pStyle w:val="ListParagraph"/>
        <w:numPr>
          <w:ilvl w:val="0"/>
          <w:numId w:val="13"/>
        </w:numPr>
        <w:rPr>
          <w:rFonts w:ascii="Calibri" w:hAnsi="Calibri"/>
          <w:b/>
          <w:sz w:val="22"/>
          <w:szCs w:val="22"/>
        </w:rPr>
      </w:pPr>
      <w:r>
        <w:rPr>
          <w:rFonts w:ascii="Calibri" w:hAnsi="Calibri"/>
          <w:b/>
          <w:sz w:val="22"/>
          <w:szCs w:val="22"/>
        </w:rPr>
        <w:t>Why are costs top-coded?</w:t>
      </w:r>
    </w:p>
    <w:p w:rsidR="008C73F9" w:rsidRDefault="00103DC6" w:rsidP="00310AA2">
      <w:pPr>
        <w:pStyle w:val="ListParagraph"/>
        <w:ind w:left="360"/>
        <w:rPr>
          <w:rFonts w:ascii="Calibri" w:hAnsi="Calibri"/>
          <w:sz w:val="22"/>
          <w:szCs w:val="22"/>
        </w:rPr>
      </w:pPr>
      <w:r>
        <w:rPr>
          <w:rFonts w:ascii="Calibri" w:hAnsi="Calibri"/>
          <w:sz w:val="22"/>
          <w:szCs w:val="22"/>
        </w:rPr>
        <w:t xml:space="preserve">Models that try to predict </w:t>
      </w:r>
      <w:r w:rsidRPr="00103DC6">
        <w:rPr>
          <w:rFonts w:ascii="Calibri" w:hAnsi="Calibri"/>
          <w:b/>
          <w:sz w:val="22"/>
          <w:szCs w:val="22"/>
        </w:rPr>
        <w:t>all</w:t>
      </w:r>
      <w:r>
        <w:rPr>
          <w:rFonts w:ascii="Calibri" w:hAnsi="Calibri"/>
          <w:sz w:val="22"/>
          <w:szCs w:val="22"/>
        </w:rPr>
        <w:t xml:space="preserve"> costs (including “million-dollar babies” and catastrophic accidents) end up predicting poorly for the vast majority of people whose costs are more normal.</w:t>
      </w:r>
      <w:r w:rsidR="00DE3268">
        <w:rPr>
          <w:rFonts w:ascii="Calibri" w:hAnsi="Calibri"/>
          <w:sz w:val="22"/>
          <w:szCs w:val="22"/>
        </w:rPr>
        <w:t xml:space="preserve"> In health care, costs above some high threshold are </w:t>
      </w:r>
      <w:r>
        <w:rPr>
          <w:rFonts w:ascii="Calibri" w:hAnsi="Calibri"/>
          <w:sz w:val="22"/>
          <w:szCs w:val="22"/>
        </w:rPr>
        <w:t xml:space="preserve">usually </w:t>
      </w:r>
      <w:r w:rsidR="00DE3268">
        <w:rPr>
          <w:rFonts w:ascii="Calibri" w:hAnsi="Calibri"/>
          <w:sz w:val="22"/>
          <w:szCs w:val="22"/>
        </w:rPr>
        <w:t>covered through some form of</w:t>
      </w:r>
      <w:r w:rsidR="00167DFD">
        <w:rPr>
          <w:rFonts w:ascii="Calibri" w:hAnsi="Calibri"/>
          <w:sz w:val="22"/>
          <w:szCs w:val="22"/>
        </w:rPr>
        <w:t xml:space="preserve"> risk</w:t>
      </w:r>
      <w:r w:rsidR="00ED1190">
        <w:rPr>
          <w:rFonts w:ascii="Calibri" w:hAnsi="Calibri"/>
          <w:sz w:val="22"/>
          <w:szCs w:val="22"/>
        </w:rPr>
        <w:t>-</w:t>
      </w:r>
      <w:r w:rsidR="00167DFD">
        <w:rPr>
          <w:rFonts w:ascii="Calibri" w:hAnsi="Calibri"/>
          <w:sz w:val="22"/>
          <w:szCs w:val="22"/>
        </w:rPr>
        <w:t>sharing, such as</w:t>
      </w:r>
      <w:r w:rsidR="00DE3268">
        <w:rPr>
          <w:rFonts w:ascii="Calibri" w:hAnsi="Calibri"/>
          <w:sz w:val="22"/>
          <w:szCs w:val="22"/>
        </w:rPr>
        <w:t xml:space="preserve"> “reinsurance</w:t>
      </w:r>
      <w:r w:rsidR="00167DFD">
        <w:rPr>
          <w:rFonts w:ascii="Calibri" w:hAnsi="Calibri"/>
          <w:sz w:val="22"/>
          <w:szCs w:val="22"/>
        </w:rPr>
        <w:t>.</w:t>
      </w:r>
      <w:r w:rsidR="00DE3268">
        <w:rPr>
          <w:rFonts w:ascii="Calibri" w:hAnsi="Calibri"/>
          <w:sz w:val="22"/>
          <w:szCs w:val="22"/>
        </w:rPr>
        <w:t xml:space="preserve">” </w:t>
      </w:r>
    </w:p>
    <w:p w:rsidR="008C73F9" w:rsidRDefault="008C73F9">
      <w:pPr>
        <w:spacing w:after="160" w:line="259" w:lineRule="auto"/>
        <w:rPr>
          <w:rFonts w:ascii="Calibri" w:hAnsi="Calibri"/>
          <w:sz w:val="22"/>
          <w:szCs w:val="22"/>
        </w:rPr>
      </w:pPr>
      <w:r>
        <w:rPr>
          <w:rFonts w:ascii="Calibri" w:hAnsi="Calibri"/>
          <w:sz w:val="22"/>
          <w:szCs w:val="22"/>
        </w:rPr>
        <w:br w:type="page"/>
      </w:r>
    </w:p>
    <w:p w:rsidR="00103DC6" w:rsidRDefault="00103DC6" w:rsidP="00103DC6">
      <w:pPr>
        <w:pStyle w:val="ListParagraph"/>
        <w:numPr>
          <w:ilvl w:val="0"/>
          <w:numId w:val="13"/>
        </w:numPr>
        <w:rPr>
          <w:rFonts w:ascii="Calibri" w:hAnsi="Calibri"/>
          <w:b/>
          <w:sz w:val="22"/>
          <w:szCs w:val="22"/>
        </w:rPr>
      </w:pPr>
      <w:r w:rsidRPr="00103DC6">
        <w:rPr>
          <w:rFonts w:ascii="Calibri" w:hAnsi="Calibri"/>
          <w:b/>
          <w:sz w:val="22"/>
          <w:szCs w:val="22"/>
        </w:rPr>
        <w:lastRenderedPageBreak/>
        <w:t>How was the top-coding threshold selected?</w:t>
      </w:r>
    </w:p>
    <w:p w:rsidR="00103DC6" w:rsidRPr="00103DC6" w:rsidRDefault="00103DC6" w:rsidP="00103DC6">
      <w:pPr>
        <w:pStyle w:val="ListParagraph"/>
        <w:ind w:left="360"/>
        <w:rPr>
          <w:rFonts w:ascii="Calibri" w:hAnsi="Calibri"/>
          <w:sz w:val="22"/>
          <w:szCs w:val="22"/>
        </w:rPr>
      </w:pPr>
      <w:r>
        <w:rPr>
          <w:rFonts w:ascii="Calibri" w:hAnsi="Calibri"/>
          <w:sz w:val="22"/>
          <w:szCs w:val="22"/>
        </w:rPr>
        <w:t xml:space="preserve">In </w:t>
      </w:r>
      <w:r w:rsidR="00167DFD">
        <w:rPr>
          <w:rFonts w:ascii="Calibri" w:hAnsi="Calibri"/>
          <w:sz w:val="22"/>
          <w:szCs w:val="22"/>
        </w:rPr>
        <w:t xml:space="preserve">examining </w:t>
      </w:r>
      <w:r>
        <w:rPr>
          <w:rFonts w:ascii="Calibri" w:hAnsi="Calibri"/>
          <w:sz w:val="22"/>
          <w:szCs w:val="22"/>
        </w:rPr>
        <w:t xml:space="preserve">data </w:t>
      </w:r>
      <w:r w:rsidR="00167DFD">
        <w:rPr>
          <w:rFonts w:ascii="Calibri" w:hAnsi="Calibri"/>
          <w:sz w:val="22"/>
          <w:szCs w:val="22"/>
        </w:rPr>
        <w:t xml:space="preserve">on all MassHealth members </w:t>
      </w:r>
      <w:r>
        <w:rPr>
          <w:rFonts w:ascii="Calibri" w:hAnsi="Calibri"/>
          <w:sz w:val="22"/>
          <w:szCs w:val="22"/>
        </w:rPr>
        <w:t xml:space="preserve">from 2011, 2012 and 2013, </w:t>
      </w:r>
      <w:r w:rsidR="00167DFD">
        <w:rPr>
          <w:rFonts w:ascii="Calibri" w:hAnsi="Calibri"/>
          <w:sz w:val="22"/>
          <w:szCs w:val="22"/>
        </w:rPr>
        <w:t>only about 1</w:t>
      </w:r>
      <w:r>
        <w:rPr>
          <w:rFonts w:ascii="Calibri" w:hAnsi="Calibri"/>
          <w:sz w:val="22"/>
          <w:szCs w:val="22"/>
        </w:rPr>
        <w:t xml:space="preserve">% of </w:t>
      </w:r>
      <w:r w:rsidR="00167DFD">
        <w:rPr>
          <w:rFonts w:ascii="Calibri" w:hAnsi="Calibri"/>
          <w:sz w:val="22"/>
          <w:szCs w:val="22"/>
        </w:rPr>
        <w:t>members</w:t>
      </w:r>
      <w:r>
        <w:rPr>
          <w:rFonts w:ascii="Calibri" w:hAnsi="Calibri"/>
          <w:sz w:val="22"/>
          <w:szCs w:val="22"/>
        </w:rPr>
        <w:t xml:space="preserve"> had costs </w:t>
      </w:r>
      <w:r w:rsidR="00167DFD">
        <w:rPr>
          <w:rFonts w:ascii="Calibri" w:hAnsi="Calibri"/>
          <w:sz w:val="22"/>
          <w:szCs w:val="22"/>
        </w:rPr>
        <w:t>above</w:t>
      </w:r>
      <w:r>
        <w:rPr>
          <w:rFonts w:ascii="Calibri" w:hAnsi="Calibri"/>
          <w:sz w:val="22"/>
          <w:szCs w:val="22"/>
        </w:rPr>
        <w:t xml:space="preserve"> $125,000. </w:t>
      </w:r>
      <w:r w:rsidR="00167DFD">
        <w:rPr>
          <w:rFonts w:ascii="Calibri" w:hAnsi="Calibri"/>
          <w:sz w:val="22"/>
          <w:szCs w:val="22"/>
        </w:rPr>
        <w:t xml:space="preserve">In the final modeling to predict annualized cost for </w:t>
      </w:r>
      <w:r>
        <w:rPr>
          <w:rFonts w:ascii="Calibri" w:hAnsi="Calibri"/>
          <w:sz w:val="22"/>
          <w:szCs w:val="22"/>
        </w:rPr>
        <w:t xml:space="preserve">members present </w:t>
      </w:r>
      <w:r w:rsidR="00167DFD">
        <w:rPr>
          <w:rFonts w:ascii="Calibri" w:hAnsi="Calibri"/>
          <w:sz w:val="22"/>
          <w:szCs w:val="22"/>
        </w:rPr>
        <w:t xml:space="preserve">for at least 6 months in 2013, the number was </w:t>
      </w:r>
      <w:r w:rsidR="00ED1190">
        <w:rPr>
          <w:rFonts w:ascii="Calibri" w:hAnsi="Calibri"/>
          <w:sz w:val="22"/>
          <w:szCs w:val="22"/>
        </w:rPr>
        <w:t>a bit higher</w:t>
      </w:r>
      <w:r w:rsidR="00E11828">
        <w:rPr>
          <w:rFonts w:ascii="Calibri" w:hAnsi="Calibri"/>
          <w:sz w:val="22"/>
          <w:szCs w:val="22"/>
        </w:rPr>
        <w:t>, but still less than 2%.</w:t>
      </w:r>
      <w:r w:rsidR="00167DFD">
        <w:rPr>
          <w:rFonts w:ascii="Calibri" w:hAnsi="Calibri"/>
          <w:sz w:val="22"/>
          <w:szCs w:val="22"/>
        </w:rPr>
        <w:t xml:space="preserve"> </w:t>
      </w:r>
    </w:p>
    <w:p w:rsidR="00A437C8" w:rsidRDefault="00A437C8" w:rsidP="00A437C8">
      <w:pPr>
        <w:pStyle w:val="ListParagraph"/>
        <w:numPr>
          <w:ilvl w:val="0"/>
          <w:numId w:val="12"/>
        </w:numPr>
        <w:rPr>
          <w:rFonts w:ascii="Calibri" w:hAnsi="Calibri"/>
          <w:b/>
          <w:sz w:val="22"/>
          <w:szCs w:val="22"/>
        </w:rPr>
      </w:pPr>
      <w:r w:rsidRPr="00A437C8">
        <w:rPr>
          <w:rFonts w:ascii="Calibri" w:hAnsi="Calibri"/>
          <w:b/>
          <w:sz w:val="22"/>
          <w:szCs w:val="22"/>
        </w:rPr>
        <w:t>How often do</w:t>
      </w:r>
      <w:r w:rsidR="004D0F5C" w:rsidRPr="00A437C8">
        <w:rPr>
          <w:rFonts w:ascii="Calibri" w:hAnsi="Calibri"/>
          <w:b/>
          <w:sz w:val="22"/>
          <w:szCs w:val="22"/>
        </w:rPr>
        <w:t xml:space="preserve"> people have (annualized) </w:t>
      </w:r>
      <w:r w:rsidR="003A1D87">
        <w:rPr>
          <w:rFonts w:ascii="Calibri" w:hAnsi="Calibri"/>
          <w:b/>
          <w:sz w:val="22"/>
          <w:szCs w:val="22"/>
        </w:rPr>
        <w:t>costs greater than</w:t>
      </w:r>
      <w:r w:rsidR="004D0F5C" w:rsidRPr="00A437C8">
        <w:rPr>
          <w:rFonts w:ascii="Calibri" w:hAnsi="Calibri"/>
          <w:b/>
          <w:sz w:val="22"/>
          <w:szCs w:val="22"/>
        </w:rPr>
        <w:t xml:space="preserve"> $125,000? </w:t>
      </w:r>
    </w:p>
    <w:p w:rsidR="004D0F5C" w:rsidRDefault="004D0F5C" w:rsidP="00A437C8">
      <w:pPr>
        <w:pStyle w:val="ListParagraph"/>
        <w:ind w:left="360"/>
        <w:rPr>
          <w:rFonts w:ascii="Calibri" w:hAnsi="Calibri"/>
          <w:sz w:val="22"/>
          <w:szCs w:val="22"/>
        </w:rPr>
      </w:pPr>
      <w:r w:rsidRPr="00A437C8">
        <w:rPr>
          <w:rFonts w:ascii="Calibri" w:hAnsi="Calibri"/>
          <w:sz w:val="22"/>
          <w:szCs w:val="22"/>
        </w:rPr>
        <w:t>Among PCC member</w:t>
      </w:r>
      <w:r w:rsidR="00167DFD">
        <w:rPr>
          <w:rFonts w:ascii="Calibri" w:hAnsi="Calibri"/>
          <w:sz w:val="22"/>
          <w:szCs w:val="22"/>
        </w:rPr>
        <w:t xml:space="preserve">s, 556 members (representing </w:t>
      </w:r>
      <w:r w:rsidRPr="00A437C8">
        <w:rPr>
          <w:rFonts w:ascii="Calibri" w:hAnsi="Calibri"/>
          <w:sz w:val="22"/>
          <w:szCs w:val="22"/>
        </w:rPr>
        <w:t xml:space="preserve">0.151% of PCC person-years) had annualized </w:t>
      </w:r>
      <w:r w:rsidR="00167DFD">
        <w:rPr>
          <w:rFonts w:ascii="Calibri" w:hAnsi="Calibri"/>
          <w:sz w:val="22"/>
          <w:szCs w:val="22"/>
        </w:rPr>
        <w:t>cost</w:t>
      </w:r>
      <w:r w:rsidRPr="00A437C8">
        <w:rPr>
          <w:rFonts w:ascii="Calibri" w:hAnsi="Calibri"/>
          <w:sz w:val="22"/>
          <w:szCs w:val="22"/>
        </w:rPr>
        <w:t xml:space="preserve"> greater than $125,000. In the MCO program, 991 such people contributed 0.177% of person-years. Thus, in the combined population, there were 1,547 people representing 0.166% of all person-years. </w:t>
      </w:r>
    </w:p>
    <w:p w:rsidR="003A1D87" w:rsidRPr="00A437C8" w:rsidRDefault="003A1D87" w:rsidP="003A1D87">
      <w:pPr>
        <w:pStyle w:val="ListParagraph"/>
        <w:numPr>
          <w:ilvl w:val="0"/>
          <w:numId w:val="12"/>
        </w:numPr>
        <w:rPr>
          <w:rFonts w:ascii="Calibri" w:hAnsi="Calibri"/>
          <w:b/>
          <w:sz w:val="22"/>
          <w:szCs w:val="22"/>
        </w:rPr>
      </w:pPr>
      <w:r w:rsidRPr="00A437C8">
        <w:rPr>
          <w:rFonts w:ascii="Calibri" w:hAnsi="Calibri"/>
          <w:b/>
          <w:sz w:val="22"/>
          <w:szCs w:val="22"/>
        </w:rPr>
        <w:t xml:space="preserve">How many dollars </w:t>
      </w:r>
      <w:r w:rsidR="00167DFD">
        <w:rPr>
          <w:rFonts w:ascii="Calibri" w:hAnsi="Calibri"/>
          <w:b/>
          <w:sz w:val="22"/>
          <w:szCs w:val="22"/>
        </w:rPr>
        <w:t>were</w:t>
      </w:r>
      <w:r w:rsidRPr="00A437C8">
        <w:rPr>
          <w:rFonts w:ascii="Calibri" w:hAnsi="Calibri"/>
          <w:b/>
          <w:sz w:val="22"/>
          <w:szCs w:val="22"/>
        </w:rPr>
        <w:t xml:space="preserve"> spent on people above </w:t>
      </w:r>
      <w:r w:rsidR="00103DC6">
        <w:rPr>
          <w:rFonts w:ascii="Calibri" w:hAnsi="Calibri"/>
          <w:b/>
          <w:sz w:val="22"/>
          <w:szCs w:val="22"/>
        </w:rPr>
        <w:t>$125,000</w:t>
      </w:r>
      <w:r w:rsidRPr="00A437C8">
        <w:rPr>
          <w:rFonts w:ascii="Calibri" w:hAnsi="Calibri"/>
          <w:b/>
          <w:sz w:val="22"/>
          <w:szCs w:val="22"/>
        </w:rPr>
        <w:t>?</w:t>
      </w:r>
    </w:p>
    <w:p w:rsidR="004D0F5C" w:rsidRPr="00A437C8" w:rsidRDefault="003A1D87" w:rsidP="00A437C8">
      <w:pPr>
        <w:pStyle w:val="ListParagraph"/>
        <w:ind w:left="360"/>
        <w:rPr>
          <w:rFonts w:ascii="Calibri" w:hAnsi="Calibri"/>
          <w:sz w:val="22"/>
          <w:szCs w:val="22"/>
        </w:rPr>
      </w:pPr>
      <w:r>
        <w:rPr>
          <w:rFonts w:ascii="Calibri" w:hAnsi="Calibri"/>
          <w:sz w:val="22"/>
          <w:szCs w:val="22"/>
        </w:rPr>
        <w:t>Top-coding</w:t>
      </w:r>
      <w:r w:rsidR="004D0F5C" w:rsidRPr="00A437C8">
        <w:rPr>
          <w:rFonts w:ascii="Calibri" w:hAnsi="Calibri"/>
          <w:sz w:val="22"/>
          <w:szCs w:val="22"/>
        </w:rPr>
        <w:t xml:space="preserve"> remove</w:t>
      </w:r>
      <w:r>
        <w:rPr>
          <w:rFonts w:ascii="Calibri" w:hAnsi="Calibri"/>
          <w:sz w:val="22"/>
          <w:szCs w:val="22"/>
        </w:rPr>
        <w:t xml:space="preserve">d </w:t>
      </w:r>
      <w:r w:rsidR="004D0F5C" w:rsidRPr="00A437C8">
        <w:rPr>
          <w:rFonts w:ascii="Calibri" w:hAnsi="Calibri"/>
          <w:sz w:val="22"/>
          <w:szCs w:val="22"/>
        </w:rPr>
        <w:t>$33.90 million and $91.85 million dollars from the two plans, respectively.</w:t>
      </w:r>
    </w:p>
    <w:p w:rsidR="004D0F5C" w:rsidRPr="00847C74" w:rsidRDefault="004D0F5C" w:rsidP="00847C74">
      <w:pPr>
        <w:pStyle w:val="ListParagraph"/>
        <w:ind w:left="360"/>
        <w:rPr>
          <w:rFonts w:ascii="Calibri" w:hAnsi="Calibri"/>
          <w:sz w:val="22"/>
          <w:szCs w:val="22"/>
        </w:rPr>
      </w:pPr>
      <w:r w:rsidRPr="00A437C8">
        <w:rPr>
          <w:rFonts w:ascii="Calibri" w:hAnsi="Calibri"/>
          <w:sz w:val="22"/>
          <w:szCs w:val="22"/>
        </w:rPr>
        <w:t xml:space="preserve">The removed dollars reduce the two population means by $104 and $191, representing 1.8% and 3.9% of </w:t>
      </w:r>
      <w:r w:rsidR="003A1D87">
        <w:rPr>
          <w:rFonts w:ascii="Calibri" w:hAnsi="Calibri"/>
          <w:sz w:val="22"/>
          <w:szCs w:val="22"/>
        </w:rPr>
        <w:t xml:space="preserve">the </w:t>
      </w:r>
      <w:r w:rsidRPr="00A437C8">
        <w:rPr>
          <w:rFonts w:ascii="Calibri" w:hAnsi="Calibri"/>
          <w:sz w:val="22"/>
          <w:szCs w:val="22"/>
        </w:rPr>
        <w:t xml:space="preserve">original </w:t>
      </w:r>
      <w:r w:rsidR="003A1D87">
        <w:rPr>
          <w:rFonts w:ascii="Calibri" w:hAnsi="Calibri"/>
          <w:sz w:val="22"/>
          <w:szCs w:val="22"/>
        </w:rPr>
        <w:t>costs</w:t>
      </w:r>
      <w:r w:rsidRPr="00A437C8">
        <w:rPr>
          <w:rFonts w:ascii="Calibri" w:hAnsi="Calibri"/>
          <w:sz w:val="22"/>
          <w:szCs w:val="22"/>
        </w:rPr>
        <w:t xml:space="preserve"> in the two plans, respectively, and 3.0% overall. </w:t>
      </w:r>
    </w:p>
    <w:p w:rsidR="004D0F5C" w:rsidRDefault="004D0F5C" w:rsidP="00A437C8">
      <w:pPr>
        <w:pStyle w:val="ListParagraph"/>
        <w:ind w:left="360"/>
        <w:rPr>
          <w:rFonts w:ascii="Calibri" w:hAnsi="Calibri"/>
          <w:sz w:val="22"/>
          <w:szCs w:val="22"/>
        </w:rPr>
      </w:pPr>
    </w:p>
    <w:p w:rsidR="00847C74" w:rsidRPr="008C73F9" w:rsidRDefault="00847C74" w:rsidP="00847C74">
      <w:pPr>
        <w:pStyle w:val="ListParagraph"/>
        <w:ind w:left="0"/>
        <w:rPr>
          <w:rFonts w:ascii="Calibri" w:hAnsi="Calibri"/>
          <w:b/>
          <w:sz w:val="22"/>
          <w:szCs w:val="22"/>
          <w:u w:val="single"/>
        </w:rPr>
      </w:pPr>
      <w:r w:rsidRPr="008C73F9">
        <w:rPr>
          <w:rFonts w:ascii="Calibri" w:hAnsi="Calibri"/>
          <w:b/>
          <w:sz w:val="22"/>
          <w:szCs w:val="22"/>
          <w:u w:val="single"/>
        </w:rPr>
        <w:t>About the Neighborhood Stress Score</w:t>
      </w:r>
    </w:p>
    <w:p w:rsidR="00847C74" w:rsidRPr="008C73F9" w:rsidRDefault="00847C74" w:rsidP="00847C74">
      <w:pPr>
        <w:pStyle w:val="ListParagraph"/>
        <w:numPr>
          <w:ilvl w:val="0"/>
          <w:numId w:val="12"/>
        </w:numPr>
        <w:rPr>
          <w:rFonts w:ascii="Calibri" w:hAnsi="Calibri"/>
          <w:sz w:val="22"/>
          <w:szCs w:val="22"/>
        </w:rPr>
      </w:pPr>
      <w:r w:rsidRPr="008C73F9">
        <w:rPr>
          <w:rFonts w:asciiTheme="minorHAnsi" w:hAnsiTheme="minorHAnsi"/>
          <w:sz w:val="22"/>
          <w:szCs w:val="22"/>
        </w:rPr>
        <w:t xml:space="preserve">The </w:t>
      </w:r>
      <w:r w:rsidRPr="008C73F9">
        <w:rPr>
          <w:rFonts w:asciiTheme="minorHAnsi" w:hAnsiTheme="minorHAnsi"/>
          <w:b/>
          <w:sz w:val="22"/>
          <w:szCs w:val="22"/>
        </w:rPr>
        <w:t>Neighborhood Stress Score (NSS7)</w:t>
      </w:r>
      <w:r w:rsidRPr="008C73F9">
        <w:rPr>
          <w:rFonts w:asciiTheme="minorHAnsi" w:hAnsiTheme="minorHAnsi"/>
          <w:sz w:val="22"/>
          <w:szCs w:val="22"/>
        </w:rPr>
        <w:t xml:space="preserve"> is a composite measure of economic stress which summarizes 7 census variables that were identified in a principal components analysis of 2013 Massachusetts Medicaid data. The NSS7 is derived from addresses geocoded at the census block group level; it was developed by Arlene Ash and others at the University of Massachusetts Medical School as part of a project to incorporate social determinants of health (SDH) variables into risk adjustment for MassHealth’s global payment models.</w:t>
      </w:r>
    </w:p>
    <w:p w:rsidR="00847C74" w:rsidRDefault="00847C74" w:rsidP="00847C74">
      <w:pPr>
        <w:rPr>
          <w:rFonts w:asciiTheme="minorHAnsi" w:hAnsiTheme="minorHAnsi"/>
          <w:sz w:val="22"/>
          <w:szCs w:val="22"/>
        </w:rPr>
      </w:pPr>
    </w:p>
    <w:p w:rsidR="00847C74" w:rsidRPr="008C73F9" w:rsidRDefault="00847C74" w:rsidP="00847C74">
      <w:pPr>
        <w:ind w:firstLine="360"/>
        <w:rPr>
          <w:rFonts w:asciiTheme="minorHAnsi" w:hAnsiTheme="minorHAnsi"/>
          <w:sz w:val="22"/>
          <w:szCs w:val="22"/>
        </w:rPr>
      </w:pPr>
      <w:r w:rsidRPr="008C73F9">
        <w:rPr>
          <w:rFonts w:asciiTheme="minorHAnsi" w:hAnsiTheme="minorHAnsi"/>
          <w:sz w:val="22"/>
          <w:szCs w:val="22"/>
        </w:rPr>
        <w:t>Census variables in the NSS7:</w:t>
      </w:r>
    </w:p>
    <w:p w:rsidR="00847C74" w:rsidRPr="008C73F9" w:rsidRDefault="00847C74" w:rsidP="00847C74">
      <w:pPr>
        <w:ind w:left="720"/>
        <w:rPr>
          <w:rFonts w:asciiTheme="minorHAnsi" w:hAnsiTheme="minorHAnsi"/>
          <w:sz w:val="22"/>
          <w:szCs w:val="22"/>
        </w:rPr>
      </w:pPr>
      <w:r w:rsidRPr="008C73F9">
        <w:rPr>
          <w:rFonts w:asciiTheme="minorHAnsi" w:hAnsiTheme="minorHAnsi"/>
          <w:sz w:val="22"/>
          <w:szCs w:val="22"/>
        </w:rPr>
        <w:t xml:space="preserve">% of families with incomes &lt; 100% of FPL </w:t>
      </w:r>
    </w:p>
    <w:p w:rsidR="00847C74" w:rsidRPr="008C73F9" w:rsidRDefault="00847C74" w:rsidP="00847C74">
      <w:pPr>
        <w:ind w:left="720"/>
        <w:rPr>
          <w:rFonts w:asciiTheme="minorHAnsi" w:hAnsiTheme="minorHAnsi"/>
          <w:sz w:val="22"/>
          <w:szCs w:val="22"/>
        </w:rPr>
      </w:pPr>
      <w:r w:rsidRPr="008C73F9">
        <w:rPr>
          <w:rFonts w:asciiTheme="minorHAnsi" w:hAnsiTheme="minorHAnsi"/>
          <w:sz w:val="22"/>
          <w:szCs w:val="22"/>
        </w:rPr>
        <w:t xml:space="preserve">% &lt; 200% of FPL </w:t>
      </w:r>
    </w:p>
    <w:p w:rsidR="00847C74" w:rsidRPr="008C73F9" w:rsidRDefault="00847C74" w:rsidP="00847C74">
      <w:pPr>
        <w:ind w:left="720"/>
        <w:rPr>
          <w:rFonts w:asciiTheme="minorHAnsi" w:hAnsiTheme="minorHAnsi"/>
          <w:sz w:val="22"/>
          <w:szCs w:val="22"/>
        </w:rPr>
      </w:pPr>
      <w:r w:rsidRPr="008C73F9">
        <w:rPr>
          <w:rFonts w:asciiTheme="minorHAnsi" w:hAnsiTheme="minorHAnsi"/>
          <w:sz w:val="22"/>
          <w:szCs w:val="22"/>
        </w:rPr>
        <w:t xml:space="preserve">% of adults who are unemployed </w:t>
      </w:r>
    </w:p>
    <w:p w:rsidR="00847C74" w:rsidRPr="008C73F9" w:rsidRDefault="00847C74" w:rsidP="00847C74">
      <w:pPr>
        <w:ind w:left="720"/>
        <w:rPr>
          <w:rFonts w:asciiTheme="minorHAnsi" w:hAnsiTheme="minorHAnsi"/>
          <w:sz w:val="22"/>
          <w:szCs w:val="22"/>
        </w:rPr>
      </w:pPr>
      <w:r w:rsidRPr="008C73F9">
        <w:rPr>
          <w:rFonts w:asciiTheme="minorHAnsi" w:hAnsiTheme="minorHAnsi"/>
          <w:sz w:val="22"/>
          <w:szCs w:val="22"/>
        </w:rPr>
        <w:t xml:space="preserve">% of households receiving public assistance </w:t>
      </w:r>
    </w:p>
    <w:p w:rsidR="00847C74" w:rsidRPr="008C73F9" w:rsidRDefault="00847C74" w:rsidP="00847C74">
      <w:pPr>
        <w:ind w:left="720"/>
        <w:rPr>
          <w:rFonts w:asciiTheme="minorHAnsi" w:hAnsiTheme="minorHAnsi"/>
          <w:sz w:val="22"/>
          <w:szCs w:val="22"/>
        </w:rPr>
      </w:pPr>
      <w:r w:rsidRPr="008C73F9">
        <w:rPr>
          <w:rFonts w:asciiTheme="minorHAnsi" w:hAnsiTheme="minorHAnsi"/>
          <w:sz w:val="22"/>
          <w:szCs w:val="22"/>
        </w:rPr>
        <w:t>% of households with no car</w:t>
      </w:r>
    </w:p>
    <w:p w:rsidR="00847C74" w:rsidRPr="008C73F9" w:rsidRDefault="00847C74" w:rsidP="00847C74">
      <w:pPr>
        <w:ind w:left="720"/>
        <w:rPr>
          <w:rFonts w:asciiTheme="minorHAnsi" w:hAnsiTheme="minorHAnsi"/>
          <w:sz w:val="22"/>
          <w:szCs w:val="22"/>
        </w:rPr>
      </w:pPr>
      <w:r w:rsidRPr="008C73F9">
        <w:rPr>
          <w:rFonts w:asciiTheme="minorHAnsi" w:hAnsiTheme="minorHAnsi"/>
          <w:sz w:val="22"/>
          <w:szCs w:val="22"/>
        </w:rPr>
        <w:t xml:space="preserve">% of households with children and a single parent </w:t>
      </w:r>
    </w:p>
    <w:p w:rsidR="00847C74" w:rsidRDefault="00847C74" w:rsidP="00847C74">
      <w:pPr>
        <w:ind w:left="720"/>
        <w:rPr>
          <w:rFonts w:asciiTheme="minorHAnsi" w:hAnsiTheme="minorHAnsi"/>
          <w:sz w:val="22"/>
          <w:szCs w:val="22"/>
        </w:rPr>
      </w:pPr>
      <w:r w:rsidRPr="008C73F9">
        <w:rPr>
          <w:rFonts w:asciiTheme="minorHAnsi" w:hAnsiTheme="minorHAnsi"/>
          <w:sz w:val="22"/>
          <w:szCs w:val="22"/>
        </w:rPr>
        <w:t>% of people age 25 or older who have no HS degree</w:t>
      </w:r>
    </w:p>
    <w:p w:rsidR="00847C74" w:rsidRPr="008C73F9" w:rsidRDefault="00847C74" w:rsidP="00847C74">
      <w:pPr>
        <w:ind w:left="720"/>
        <w:rPr>
          <w:rFonts w:asciiTheme="minorHAnsi" w:hAnsiTheme="minorHAnsi"/>
          <w:sz w:val="22"/>
          <w:szCs w:val="22"/>
        </w:rPr>
      </w:pPr>
    </w:p>
    <w:p w:rsidR="00847C74" w:rsidRPr="00847C74" w:rsidRDefault="00847C74" w:rsidP="00847C74">
      <w:pPr>
        <w:pStyle w:val="ListParagraph"/>
        <w:numPr>
          <w:ilvl w:val="0"/>
          <w:numId w:val="12"/>
        </w:numPr>
        <w:rPr>
          <w:rFonts w:asciiTheme="minorHAnsi" w:hAnsiTheme="minorHAnsi"/>
          <w:b/>
          <w:sz w:val="22"/>
          <w:szCs w:val="22"/>
        </w:rPr>
      </w:pPr>
      <w:r w:rsidRPr="008C73F9">
        <w:rPr>
          <w:rFonts w:asciiTheme="minorHAnsi" w:hAnsiTheme="minorHAnsi"/>
          <w:b/>
          <w:sz w:val="22"/>
          <w:szCs w:val="22"/>
        </w:rPr>
        <w:t>How did we calculate NSS7?</w:t>
      </w:r>
    </w:p>
    <w:p w:rsidR="00847C74" w:rsidRPr="008C73F9" w:rsidRDefault="00847C74" w:rsidP="00847C74">
      <w:pPr>
        <w:ind w:left="360"/>
        <w:rPr>
          <w:rFonts w:asciiTheme="minorHAnsi" w:hAnsiTheme="minorHAnsi"/>
          <w:sz w:val="22"/>
          <w:szCs w:val="22"/>
        </w:rPr>
      </w:pPr>
      <w:r w:rsidRPr="008C73F9">
        <w:rPr>
          <w:rFonts w:asciiTheme="minorHAnsi" w:hAnsiTheme="minorHAnsi"/>
          <w:sz w:val="22"/>
          <w:szCs w:val="22"/>
        </w:rPr>
        <w:t>First, we geocoded each member’s current address to the census block group level and included the value of each of the above census variables (v</w:t>
      </w:r>
      <w:r w:rsidRPr="008C73F9">
        <w:rPr>
          <w:rFonts w:asciiTheme="minorHAnsi" w:hAnsiTheme="minorHAnsi"/>
          <w:sz w:val="22"/>
          <w:szCs w:val="22"/>
          <w:vertAlign w:val="subscript"/>
        </w:rPr>
        <w:t>1</w:t>
      </w:r>
      <w:r w:rsidRPr="008C73F9">
        <w:rPr>
          <w:rFonts w:asciiTheme="minorHAnsi" w:hAnsiTheme="minorHAnsi"/>
          <w:sz w:val="22"/>
          <w:szCs w:val="22"/>
        </w:rPr>
        <w:t>, v</w:t>
      </w:r>
      <w:r w:rsidRPr="008C73F9">
        <w:rPr>
          <w:rFonts w:asciiTheme="minorHAnsi" w:hAnsiTheme="minorHAnsi"/>
          <w:sz w:val="22"/>
          <w:szCs w:val="22"/>
          <w:vertAlign w:val="subscript"/>
        </w:rPr>
        <w:t>2</w:t>
      </w:r>
      <w:r w:rsidRPr="008C73F9">
        <w:rPr>
          <w:rFonts w:asciiTheme="minorHAnsi" w:hAnsiTheme="minorHAnsi"/>
          <w:sz w:val="22"/>
          <w:szCs w:val="22"/>
        </w:rPr>
        <w:t>, …, v</w:t>
      </w:r>
      <w:r w:rsidRPr="008C73F9">
        <w:rPr>
          <w:rFonts w:asciiTheme="minorHAnsi" w:hAnsiTheme="minorHAnsi"/>
          <w:sz w:val="22"/>
          <w:szCs w:val="22"/>
          <w:vertAlign w:val="subscript"/>
        </w:rPr>
        <w:t>7</w:t>
      </w:r>
      <w:r w:rsidRPr="008C73F9">
        <w:rPr>
          <w:rFonts w:asciiTheme="minorHAnsi" w:hAnsiTheme="minorHAnsi"/>
          <w:sz w:val="22"/>
          <w:szCs w:val="22"/>
        </w:rPr>
        <w:t>) to a file with one line per member.  Next, we standardized each variable, letting z</w:t>
      </w:r>
      <w:r w:rsidRPr="008C73F9">
        <w:rPr>
          <w:rFonts w:asciiTheme="minorHAnsi" w:hAnsiTheme="minorHAnsi"/>
          <w:sz w:val="22"/>
          <w:szCs w:val="22"/>
          <w:vertAlign w:val="subscript"/>
        </w:rPr>
        <w:t>1</w:t>
      </w:r>
      <w:r w:rsidRPr="008C73F9">
        <w:rPr>
          <w:rFonts w:asciiTheme="minorHAnsi" w:hAnsiTheme="minorHAnsi"/>
          <w:sz w:val="22"/>
          <w:szCs w:val="22"/>
        </w:rPr>
        <w:t xml:space="preserve"> = (v</w:t>
      </w:r>
      <w:r w:rsidRPr="008C73F9">
        <w:rPr>
          <w:rFonts w:asciiTheme="minorHAnsi" w:hAnsiTheme="minorHAnsi"/>
          <w:sz w:val="22"/>
          <w:szCs w:val="22"/>
          <w:vertAlign w:val="subscript"/>
        </w:rPr>
        <w:t>1</w:t>
      </w:r>
      <w:r w:rsidRPr="008C73F9">
        <w:rPr>
          <w:rFonts w:asciiTheme="minorHAnsi" w:hAnsiTheme="minorHAnsi"/>
          <w:sz w:val="22"/>
          <w:szCs w:val="22"/>
        </w:rPr>
        <w:t xml:space="preserve"> – mean (v</w:t>
      </w:r>
      <w:r w:rsidRPr="008C73F9">
        <w:rPr>
          <w:rFonts w:asciiTheme="minorHAnsi" w:hAnsiTheme="minorHAnsi"/>
          <w:sz w:val="22"/>
          <w:szCs w:val="22"/>
          <w:vertAlign w:val="subscript"/>
        </w:rPr>
        <w:t>1</w:t>
      </w:r>
      <w:r w:rsidRPr="008C73F9">
        <w:rPr>
          <w:rFonts w:asciiTheme="minorHAnsi" w:hAnsiTheme="minorHAnsi"/>
          <w:sz w:val="22"/>
          <w:szCs w:val="22"/>
        </w:rPr>
        <w:t>))/SD(v</w:t>
      </w:r>
      <w:r w:rsidRPr="008C73F9">
        <w:rPr>
          <w:rFonts w:asciiTheme="minorHAnsi" w:hAnsiTheme="minorHAnsi"/>
          <w:sz w:val="22"/>
          <w:szCs w:val="22"/>
          <w:vertAlign w:val="subscript"/>
        </w:rPr>
        <w:t>1</w:t>
      </w:r>
      <w:r w:rsidRPr="008C73F9">
        <w:rPr>
          <w:rFonts w:asciiTheme="minorHAnsi" w:hAnsiTheme="minorHAnsi"/>
          <w:sz w:val="22"/>
          <w:szCs w:val="22"/>
        </w:rPr>
        <w:t>), etc., and added them to get S = z</w:t>
      </w:r>
      <w:r w:rsidRPr="008C73F9">
        <w:rPr>
          <w:rFonts w:asciiTheme="minorHAnsi" w:hAnsiTheme="minorHAnsi"/>
          <w:sz w:val="22"/>
          <w:szCs w:val="22"/>
          <w:vertAlign w:val="subscript"/>
        </w:rPr>
        <w:t>1</w:t>
      </w:r>
      <w:r w:rsidRPr="008C73F9">
        <w:rPr>
          <w:rFonts w:asciiTheme="minorHAnsi" w:hAnsiTheme="minorHAnsi"/>
          <w:sz w:val="22"/>
          <w:szCs w:val="22"/>
        </w:rPr>
        <w:t xml:space="preserve"> + z</w:t>
      </w:r>
      <w:r w:rsidRPr="008C73F9">
        <w:rPr>
          <w:rFonts w:asciiTheme="minorHAnsi" w:hAnsiTheme="minorHAnsi"/>
          <w:sz w:val="22"/>
          <w:szCs w:val="22"/>
          <w:vertAlign w:val="subscript"/>
        </w:rPr>
        <w:t>2</w:t>
      </w:r>
      <w:r w:rsidRPr="008C73F9">
        <w:rPr>
          <w:rFonts w:asciiTheme="minorHAnsi" w:hAnsiTheme="minorHAnsi"/>
          <w:sz w:val="22"/>
          <w:szCs w:val="22"/>
        </w:rPr>
        <w:t xml:space="preserve"> </w:t>
      </w:r>
      <w:r w:rsidRPr="008C73F9">
        <w:rPr>
          <w:rFonts w:asciiTheme="minorHAnsi" w:hAnsiTheme="minorHAnsi"/>
          <w:sz w:val="22"/>
          <w:szCs w:val="22"/>
          <w:vertAlign w:val="subscript"/>
        </w:rPr>
        <w:t xml:space="preserve"> </w:t>
      </w:r>
      <w:r w:rsidRPr="008C73F9">
        <w:rPr>
          <w:rFonts w:asciiTheme="minorHAnsi" w:hAnsiTheme="minorHAnsi"/>
          <w:sz w:val="22"/>
          <w:szCs w:val="22"/>
        </w:rPr>
        <w:t>+ …+ z</w:t>
      </w:r>
      <w:r w:rsidRPr="008C73F9">
        <w:rPr>
          <w:rFonts w:asciiTheme="minorHAnsi" w:hAnsiTheme="minorHAnsi"/>
          <w:sz w:val="22"/>
          <w:szCs w:val="22"/>
          <w:vertAlign w:val="subscript"/>
        </w:rPr>
        <w:t xml:space="preserve">7. </w:t>
      </w:r>
      <w:r w:rsidRPr="008C73F9">
        <w:rPr>
          <w:rFonts w:asciiTheme="minorHAnsi" w:hAnsiTheme="minorHAnsi"/>
          <w:sz w:val="22"/>
          <w:szCs w:val="22"/>
        </w:rPr>
        <w:t>Then we defined NSS7 = (S – mean(S))/SD(S). Finally, for the ~5 percent of members whose addresses could not be assigned to a census block group, we set NSS7 = 0. By construction, NSS7 has mean = 0 and SD a little less than 1 (because of the extra 0s due to non-geocodable addresses), but its distribution is not necessarily normally distributed. In our data, its values ranged from a little more than -2 to a little more than +3. The coefficient of NSS7 in a regression model is the increment to expected cost associated with approximately a 1 standard deviation (SD) increase in NSS7. Note that in our original report we used weights from our principal components analysis, but for simplicity – and given that these weights varied little across the 7 variables – we now calculate it using the unweighted sum, as just described.</w:t>
      </w:r>
    </w:p>
    <w:p w:rsidR="00847C74" w:rsidRPr="008C73F9" w:rsidRDefault="00847C74" w:rsidP="00847C74">
      <w:pPr>
        <w:rPr>
          <w:rFonts w:asciiTheme="minorHAnsi" w:hAnsiTheme="minorHAnsi"/>
          <w:b/>
          <w:sz w:val="22"/>
          <w:szCs w:val="22"/>
        </w:rPr>
      </w:pPr>
    </w:p>
    <w:p w:rsidR="00847C74" w:rsidRPr="008C73F9" w:rsidRDefault="00847C74" w:rsidP="00847C74">
      <w:pPr>
        <w:pStyle w:val="ListParagraph"/>
        <w:numPr>
          <w:ilvl w:val="0"/>
          <w:numId w:val="12"/>
        </w:numPr>
        <w:rPr>
          <w:rFonts w:asciiTheme="minorHAnsi" w:hAnsiTheme="minorHAnsi"/>
          <w:b/>
          <w:sz w:val="22"/>
          <w:szCs w:val="22"/>
        </w:rPr>
      </w:pPr>
      <w:r w:rsidRPr="008C73F9">
        <w:rPr>
          <w:rFonts w:asciiTheme="minorHAnsi" w:hAnsiTheme="minorHAnsi"/>
          <w:b/>
          <w:sz w:val="22"/>
          <w:szCs w:val="22"/>
        </w:rPr>
        <w:t>How can you use the NSS7?</w:t>
      </w:r>
    </w:p>
    <w:p w:rsidR="00847C74" w:rsidRPr="008C73F9" w:rsidRDefault="00847C74" w:rsidP="00847C74">
      <w:pPr>
        <w:ind w:firstLine="360"/>
        <w:rPr>
          <w:rFonts w:asciiTheme="minorHAnsi" w:hAnsiTheme="minorHAnsi"/>
          <w:sz w:val="22"/>
          <w:szCs w:val="22"/>
        </w:rPr>
      </w:pPr>
      <w:r w:rsidRPr="008C73F9">
        <w:rPr>
          <w:rFonts w:asciiTheme="minorHAnsi" w:hAnsiTheme="minorHAnsi"/>
          <w:sz w:val="22"/>
          <w:szCs w:val="22"/>
        </w:rPr>
        <w:t xml:space="preserve">Follow the same steps as above with your own data. </w:t>
      </w:r>
    </w:p>
    <w:p w:rsidR="00847C74" w:rsidRDefault="00847C74" w:rsidP="003A1D87">
      <w:pPr>
        <w:rPr>
          <w:rFonts w:ascii="Calibri" w:hAnsi="Calibri"/>
          <w:b/>
          <w:sz w:val="22"/>
          <w:szCs w:val="22"/>
          <w:u w:val="single"/>
        </w:rPr>
      </w:pPr>
    </w:p>
    <w:p w:rsidR="003A1D87" w:rsidRPr="008C73F9" w:rsidRDefault="008510ED" w:rsidP="003A1D87">
      <w:pPr>
        <w:rPr>
          <w:rFonts w:ascii="Calibri" w:hAnsi="Calibri"/>
          <w:b/>
          <w:sz w:val="22"/>
          <w:szCs w:val="22"/>
          <w:u w:val="single"/>
        </w:rPr>
      </w:pPr>
      <w:r w:rsidRPr="008C73F9">
        <w:rPr>
          <w:rFonts w:ascii="Calibri" w:hAnsi="Calibri"/>
          <w:b/>
          <w:sz w:val="22"/>
          <w:szCs w:val="22"/>
          <w:u w:val="single"/>
        </w:rPr>
        <w:lastRenderedPageBreak/>
        <w:t xml:space="preserve">About positive and negative risk factors </w:t>
      </w:r>
    </w:p>
    <w:p w:rsidR="00FE5811" w:rsidRPr="003A1D87" w:rsidRDefault="00FE5811" w:rsidP="00FE5811">
      <w:pPr>
        <w:pStyle w:val="ListParagraph"/>
        <w:numPr>
          <w:ilvl w:val="0"/>
          <w:numId w:val="12"/>
        </w:numPr>
        <w:rPr>
          <w:rFonts w:ascii="Calibri" w:hAnsi="Calibri"/>
          <w:b/>
          <w:sz w:val="22"/>
          <w:szCs w:val="22"/>
        </w:rPr>
      </w:pPr>
      <w:r w:rsidRPr="003A1D87">
        <w:rPr>
          <w:rFonts w:ascii="Calibri" w:hAnsi="Calibri"/>
          <w:b/>
          <w:sz w:val="22"/>
          <w:szCs w:val="22"/>
        </w:rPr>
        <w:t xml:space="preserve">Are risk </w:t>
      </w:r>
      <w:r w:rsidRPr="00310AA2">
        <w:rPr>
          <w:rFonts w:ascii="Calibri" w:hAnsi="Calibri"/>
          <w:b/>
          <w:i/>
          <w:sz w:val="22"/>
          <w:szCs w:val="22"/>
        </w:rPr>
        <w:t>scores</w:t>
      </w:r>
      <w:r w:rsidRPr="003A1D87">
        <w:rPr>
          <w:rFonts w:ascii="Calibri" w:hAnsi="Calibri"/>
          <w:b/>
          <w:sz w:val="22"/>
          <w:szCs w:val="22"/>
        </w:rPr>
        <w:t xml:space="preserve"> ever negative?</w:t>
      </w:r>
    </w:p>
    <w:p w:rsidR="00FE5811" w:rsidRDefault="00FE5811" w:rsidP="00FE5811">
      <w:pPr>
        <w:pStyle w:val="ListParagraph"/>
        <w:ind w:left="360"/>
        <w:rPr>
          <w:rFonts w:ascii="Calibri" w:hAnsi="Calibri"/>
          <w:sz w:val="22"/>
          <w:szCs w:val="22"/>
        </w:rPr>
      </w:pPr>
      <w:r w:rsidRPr="00A437C8">
        <w:rPr>
          <w:rFonts w:ascii="Calibri" w:hAnsi="Calibri"/>
          <w:sz w:val="22"/>
          <w:szCs w:val="22"/>
        </w:rPr>
        <w:t xml:space="preserve">No. We “bottom code” all predictions at a value that translates into at least $15. </w:t>
      </w:r>
    </w:p>
    <w:p w:rsidR="00FE5811" w:rsidRDefault="00FE5811" w:rsidP="00FE5811">
      <w:pPr>
        <w:pStyle w:val="ListParagraph"/>
        <w:numPr>
          <w:ilvl w:val="0"/>
          <w:numId w:val="12"/>
        </w:numPr>
        <w:rPr>
          <w:rFonts w:ascii="Calibri" w:hAnsi="Calibri"/>
          <w:b/>
          <w:sz w:val="22"/>
          <w:szCs w:val="22"/>
        </w:rPr>
      </w:pPr>
      <w:r w:rsidRPr="00FE5811">
        <w:rPr>
          <w:rFonts w:ascii="Calibri" w:hAnsi="Calibri"/>
          <w:b/>
          <w:sz w:val="22"/>
          <w:szCs w:val="22"/>
        </w:rPr>
        <w:t>Why is bottom coding needed?</w:t>
      </w:r>
    </w:p>
    <w:p w:rsidR="00FE5811" w:rsidRPr="008510ED" w:rsidRDefault="00FE5811" w:rsidP="008510ED">
      <w:pPr>
        <w:pStyle w:val="ListParagraph"/>
        <w:ind w:left="360"/>
        <w:rPr>
          <w:rFonts w:ascii="Calibri" w:hAnsi="Calibri"/>
          <w:sz w:val="22"/>
          <w:szCs w:val="22"/>
        </w:rPr>
      </w:pPr>
      <w:r>
        <w:rPr>
          <w:rFonts w:ascii="Calibri" w:hAnsi="Calibri"/>
          <w:sz w:val="22"/>
          <w:szCs w:val="22"/>
        </w:rPr>
        <w:t>S</w:t>
      </w:r>
      <w:r w:rsidRPr="00A437C8">
        <w:rPr>
          <w:rFonts w:ascii="Calibri" w:hAnsi="Calibri"/>
          <w:sz w:val="22"/>
          <w:szCs w:val="22"/>
        </w:rPr>
        <w:t>ome age-sex category coefficients (only among males, aged 18 and above) are negative; the most negative is about -$580 - it is for males betwee</w:t>
      </w:r>
      <w:r w:rsidR="008510ED">
        <w:rPr>
          <w:rFonts w:ascii="Calibri" w:hAnsi="Calibri"/>
          <w:sz w:val="22"/>
          <w:szCs w:val="22"/>
        </w:rPr>
        <w:t>n the ages of 18 and 24. W</w:t>
      </w:r>
      <w:r w:rsidRPr="00A437C8">
        <w:rPr>
          <w:rFonts w:ascii="Calibri" w:hAnsi="Calibri"/>
          <w:sz w:val="22"/>
          <w:szCs w:val="22"/>
        </w:rPr>
        <w:t xml:space="preserve">ithout bottom coding, enrolling a 20-year-old man with no additional risk factors would lead to a loss of over $500! </w:t>
      </w:r>
    </w:p>
    <w:p w:rsidR="003A1D87" w:rsidRDefault="00FE5811" w:rsidP="003A1D87">
      <w:pPr>
        <w:pStyle w:val="ListParagraph"/>
        <w:numPr>
          <w:ilvl w:val="0"/>
          <w:numId w:val="12"/>
        </w:numPr>
        <w:rPr>
          <w:rFonts w:ascii="Calibri" w:hAnsi="Calibri"/>
          <w:b/>
          <w:sz w:val="22"/>
          <w:szCs w:val="22"/>
        </w:rPr>
      </w:pPr>
      <w:r>
        <w:rPr>
          <w:rFonts w:ascii="Calibri" w:hAnsi="Calibri"/>
          <w:b/>
          <w:sz w:val="22"/>
          <w:szCs w:val="22"/>
        </w:rPr>
        <w:t>D</w:t>
      </w:r>
      <w:r w:rsidR="008510ED">
        <w:rPr>
          <w:rFonts w:ascii="Calibri" w:hAnsi="Calibri"/>
          <w:b/>
          <w:sz w:val="22"/>
          <w:szCs w:val="22"/>
        </w:rPr>
        <w:t>o all “risk factors”</w:t>
      </w:r>
      <w:r>
        <w:rPr>
          <w:rFonts w:ascii="Calibri" w:hAnsi="Calibri"/>
          <w:b/>
          <w:sz w:val="22"/>
          <w:szCs w:val="22"/>
        </w:rPr>
        <w:t xml:space="preserve"> add dollars?</w:t>
      </w:r>
    </w:p>
    <w:p w:rsidR="004D0F5C" w:rsidRPr="008510ED" w:rsidRDefault="00FE5811" w:rsidP="008510ED">
      <w:pPr>
        <w:pStyle w:val="ListParagraph"/>
        <w:ind w:left="360"/>
        <w:rPr>
          <w:rFonts w:ascii="Calibri" w:hAnsi="Calibri"/>
          <w:sz w:val="22"/>
          <w:szCs w:val="22"/>
        </w:rPr>
      </w:pPr>
      <w:r w:rsidRPr="00FE5811">
        <w:rPr>
          <w:rFonts w:ascii="Calibri" w:hAnsi="Calibri"/>
          <w:sz w:val="22"/>
          <w:szCs w:val="22"/>
        </w:rPr>
        <w:t xml:space="preserve">No. NSS7 </w:t>
      </w:r>
      <w:r>
        <w:rPr>
          <w:rFonts w:ascii="Calibri" w:hAnsi="Calibri"/>
          <w:sz w:val="22"/>
          <w:szCs w:val="22"/>
        </w:rPr>
        <w:t>will</w:t>
      </w:r>
      <w:r w:rsidRPr="00FE5811">
        <w:rPr>
          <w:rFonts w:ascii="Calibri" w:hAnsi="Calibri"/>
          <w:sz w:val="22"/>
          <w:szCs w:val="22"/>
        </w:rPr>
        <w:t xml:space="preserve"> </w:t>
      </w:r>
      <w:r>
        <w:rPr>
          <w:rFonts w:ascii="Calibri" w:hAnsi="Calibri"/>
          <w:sz w:val="22"/>
          <w:szCs w:val="22"/>
        </w:rPr>
        <w:t>subtract dollars for individuals living in neighborhood with less than average stress. However, i</w:t>
      </w:r>
      <w:r w:rsidRPr="00A437C8">
        <w:rPr>
          <w:rFonts w:ascii="Calibri" w:hAnsi="Calibri"/>
          <w:sz w:val="22"/>
          <w:szCs w:val="22"/>
        </w:rPr>
        <w:t xml:space="preserve">ts coefficient is </w:t>
      </w:r>
      <w:r>
        <w:rPr>
          <w:rFonts w:ascii="Calibri" w:hAnsi="Calibri"/>
          <w:sz w:val="22"/>
          <w:szCs w:val="22"/>
        </w:rPr>
        <w:t xml:space="preserve">only about </w:t>
      </w:r>
      <w:r w:rsidRPr="00A437C8">
        <w:rPr>
          <w:rFonts w:ascii="Calibri" w:hAnsi="Calibri"/>
          <w:sz w:val="22"/>
          <w:szCs w:val="22"/>
        </w:rPr>
        <w:t>$50 and its lowest value</w:t>
      </w:r>
      <w:r>
        <w:rPr>
          <w:rFonts w:ascii="Calibri" w:hAnsi="Calibri"/>
          <w:sz w:val="22"/>
          <w:szCs w:val="22"/>
        </w:rPr>
        <w:t xml:space="preserve"> is</w:t>
      </w:r>
      <w:r w:rsidRPr="00A437C8">
        <w:rPr>
          <w:rFonts w:ascii="Calibri" w:hAnsi="Calibri"/>
          <w:sz w:val="22"/>
          <w:szCs w:val="22"/>
        </w:rPr>
        <w:t xml:space="preserve"> larger than -2, so it w</w:t>
      </w:r>
      <w:r w:rsidR="008510ED">
        <w:rPr>
          <w:rFonts w:ascii="Calibri" w:hAnsi="Calibri"/>
          <w:sz w:val="22"/>
          <w:szCs w:val="22"/>
        </w:rPr>
        <w:t>ill</w:t>
      </w:r>
      <w:r w:rsidRPr="00A437C8">
        <w:rPr>
          <w:rFonts w:ascii="Calibri" w:hAnsi="Calibri"/>
          <w:sz w:val="22"/>
          <w:szCs w:val="22"/>
        </w:rPr>
        <w:t xml:space="preserve"> never subtract as much as $100</w:t>
      </w:r>
      <w:r>
        <w:rPr>
          <w:rFonts w:ascii="Calibri" w:hAnsi="Calibri"/>
          <w:sz w:val="22"/>
          <w:szCs w:val="22"/>
        </w:rPr>
        <w:t>.</w:t>
      </w:r>
      <w:r w:rsidRPr="00A437C8">
        <w:rPr>
          <w:rFonts w:ascii="Calibri" w:hAnsi="Calibri"/>
          <w:sz w:val="22"/>
          <w:szCs w:val="22"/>
        </w:rPr>
        <w:t xml:space="preserve"> </w:t>
      </w:r>
      <w:r w:rsidR="008510ED">
        <w:rPr>
          <w:rFonts w:ascii="Calibri" w:hAnsi="Calibri"/>
          <w:sz w:val="22"/>
          <w:szCs w:val="22"/>
        </w:rPr>
        <w:t>Finally</w:t>
      </w:r>
      <w:r w:rsidR="004D0F5C" w:rsidRPr="008510ED">
        <w:rPr>
          <w:rFonts w:ascii="Calibri" w:hAnsi="Calibri"/>
          <w:sz w:val="22"/>
          <w:szCs w:val="22"/>
        </w:rPr>
        <w:t xml:space="preserve">, if </w:t>
      </w:r>
      <w:r w:rsidR="008510ED">
        <w:rPr>
          <w:rFonts w:ascii="Calibri" w:hAnsi="Calibri"/>
          <w:sz w:val="22"/>
          <w:szCs w:val="22"/>
        </w:rPr>
        <w:t>NSS7</w:t>
      </w:r>
      <w:r w:rsidR="004D0F5C" w:rsidRPr="008510ED">
        <w:rPr>
          <w:rFonts w:ascii="Calibri" w:hAnsi="Calibri"/>
          <w:sz w:val="22"/>
          <w:szCs w:val="22"/>
        </w:rPr>
        <w:t xml:space="preserve"> ever contributed to a prediction smaller than $15, bottom-coding would be used to raise </w:t>
      </w:r>
      <w:r w:rsidR="008510ED">
        <w:rPr>
          <w:rFonts w:ascii="Calibri" w:hAnsi="Calibri"/>
          <w:sz w:val="22"/>
          <w:szCs w:val="22"/>
        </w:rPr>
        <w:t>the prediction</w:t>
      </w:r>
      <w:r w:rsidR="004D0F5C" w:rsidRPr="008510ED">
        <w:rPr>
          <w:rFonts w:ascii="Calibri" w:hAnsi="Calibri"/>
          <w:sz w:val="22"/>
          <w:szCs w:val="22"/>
        </w:rPr>
        <w:t xml:space="preserve">. </w:t>
      </w:r>
    </w:p>
    <w:p w:rsidR="004D0F5C" w:rsidRPr="00A437C8" w:rsidRDefault="004D0F5C" w:rsidP="00A437C8">
      <w:pPr>
        <w:pStyle w:val="ListParagraph"/>
        <w:ind w:left="360"/>
        <w:rPr>
          <w:rFonts w:ascii="Calibri" w:hAnsi="Calibri"/>
          <w:sz w:val="22"/>
          <w:szCs w:val="22"/>
        </w:rPr>
      </w:pPr>
    </w:p>
    <w:p w:rsidR="009817E3" w:rsidRPr="00847C74" w:rsidRDefault="009817E3" w:rsidP="00847C74">
      <w:pPr>
        <w:spacing w:line="259" w:lineRule="auto"/>
        <w:rPr>
          <w:rFonts w:ascii="Calibri" w:hAnsi="Calibri"/>
          <w:b/>
          <w:sz w:val="22"/>
          <w:szCs w:val="22"/>
        </w:rPr>
      </w:pPr>
      <w:r w:rsidRPr="008C73F9">
        <w:rPr>
          <w:rFonts w:ascii="Calibri" w:hAnsi="Calibri"/>
          <w:b/>
          <w:sz w:val="22"/>
          <w:szCs w:val="22"/>
          <w:u w:val="single"/>
        </w:rPr>
        <w:t>About costs for kids and adults</w:t>
      </w:r>
    </w:p>
    <w:p w:rsidR="009817E3" w:rsidRPr="009817E3" w:rsidRDefault="009817E3" w:rsidP="00847C74">
      <w:pPr>
        <w:pStyle w:val="ListParagraph"/>
        <w:numPr>
          <w:ilvl w:val="0"/>
          <w:numId w:val="12"/>
        </w:numPr>
        <w:rPr>
          <w:rFonts w:ascii="Calibri" w:hAnsi="Calibri"/>
          <w:b/>
          <w:sz w:val="22"/>
          <w:szCs w:val="22"/>
        </w:rPr>
      </w:pPr>
      <w:r w:rsidRPr="009817E3">
        <w:rPr>
          <w:rFonts w:ascii="Calibri" w:hAnsi="Calibri"/>
          <w:b/>
          <w:sz w:val="22"/>
          <w:szCs w:val="22"/>
        </w:rPr>
        <w:t xml:space="preserve">How does the model recognize differences in the costs of infants vs. kids vs. adults? </w:t>
      </w:r>
    </w:p>
    <w:p w:rsidR="009817E3" w:rsidRPr="004D0F5C" w:rsidRDefault="009817E3" w:rsidP="009817E3">
      <w:pPr>
        <w:pStyle w:val="ListParagraph"/>
        <w:numPr>
          <w:ilvl w:val="0"/>
          <w:numId w:val="14"/>
        </w:numPr>
        <w:rPr>
          <w:rFonts w:ascii="Calibri" w:hAnsi="Calibri"/>
          <w:b/>
          <w:sz w:val="22"/>
          <w:szCs w:val="22"/>
        </w:rPr>
      </w:pPr>
      <w:r>
        <w:rPr>
          <w:rFonts w:ascii="Calibri" w:hAnsi="Calibri"/>
          <w:sz w:val="22"/>
          <w:szCs w:val="22"/>
        </w:rPr>
        <w:t>It includes</w:t>
      </w:r>
      <w:r w:rsidRPr="00A437C8">
        <w:rPr>
          <w:rFonts w:ascii="Calibri" w:hAnsi="Calibri"/>
          <w:sz w:val="22"/>
          <w:szCs w:val="22"/>
        </w:rPr>
        <w:t xml:space="preserve"> </w:t>
      </w:r>
      <w:r>
        <w:rPr>
          <w:rFonts w:ascii="Calibri" w:hAnsi="Calibri"/>
          <w:sz w:val="22"/>
          <w:szCs w:val="22"/>
        </w:rPr>
        <w:t xml:space="preserve">20 age-sex </w:t>
      </w:r>
      <w:r w:rsidRPr="00A437C8">
        <w:rPr>
          <w:rFonts w:ascii="Calibri" w:hAnsi="Calibri"/>
          <w:sz w:val="22"/>
          <w:szCs w:val="22"/>
        </w:rPr>
        <w:t>categories</w:t>
      </w:r>
      <w:r>
        <w:rPr>
          <w:rFonts w:ascii="Calibri" w:hAnsi="Calibri"/>
          <w:sz w:val="22"/>
          <w:szCs w:val="22"/>
        </w:rPr>
        <w:t xml:space="preserve"> as predictors, 10 age ranges</w:t>
      </w:r>
      <w:r w:rsidRPr="00A437C8">
        <w:rPr>
          <w:rFonts w:ascii="Calibri" w:hAnsi="Calibri"/>
          <w:sz w:val="22"/>
          <w:szCs w:val="22"/>
        </w:rPr>
        <w:t xml:space="preserve"> (0-1, 2-5, 6-12, 13-17, 18-24, 25-34, 35-44, 45-54, 55-59, 60+), separately for male and female</w:t>
      </w:r>
    </w:p>
    <w:p w:rsidR="009817E3" w:rsidRPr="004D0F5C" w:rsidRDefault="009817E3" w:rsidP="009817E3">
      <w:pPr>
        <w:pStyle w:val="ListParagraph"/>
        <w:numPr>
          <w:ilvl w:val="0"/>
          <w:numId w:val="14"/>
        </w:numPr>
        <w:rPr>
          <w:rFonts w:ascii="Calibri" w:hAnsi="Calibri"/>
          <w:b/>
          <w:sz w:val="22"/>
          <w:szCs w:val="22"/>
        </w:rPr>
      </w:pPr>
      <w:r>
        <w:rPr>
          <w:rFonts w:ascii="Calibri" w:hAnsi="Calibri"/>
          <w:sz w:val="22"/>
          <w:szCs w:val="22"/>
        </w:rPr>
        <w:t>It uses</w:t>
      </w:r>
      <w:r w:rsidRPr="00A437C8">
        <w:rPr>
          <w:rFonts w:ascii="Calibri" w:hAnsi="Calibri"/>
          <w:sz w:val="22"/>
          <w:szCs w:val="22"/>
        </w:rPr>
        <w:t xml:space="preserve"> the DxCG model that </w:t>
      </w:r>
      <w:r>
        <w:rPr>
          <w:rFonts w:ascii="Calibri" w:hAnsi="Calibri"/>
          <w:sz w:val="22"/>
          <w:szCs w:val="22"/>
        </w:rPr>
        <w:t>r</w:t>
      </w:r>
      <w:r w:rsidRPr="00A437C8">
        <w:rPr>
          <w:rFonts w:ascii="Calibri" w:hAnsi="Calibri"/>
          <w:sz w:val="22"/>
          <w:szCs w:val="22"/>
        </w:rPr>
        <w:t xml:space="preserve">ecognizes the costs of diseases, including empirically-identified differences in costs for </w:t>
      </w:r>
      <w:r>
        <w:rPr>
          <w:rFonts w:ascii="Calibri" w:hAnsi="Calibri"/>
          <w:sz w:val="22"/>
          <w:szCs w:val="22"/>
        </w:rPr>
        <w:t>some conditions</w:t>
      </w:r>
      <w:r w:rsidRPr="00A437C8">
        <w:rPr>
          <w:rFonts w:ascii="Calibri" w:hAnsi="Calibri"/>
          <w:sz w:val="22"/>
          <w:szCs w:val="22"/>
        </w:rPr>
        <w:t xml:space="preserve"> </w:t>
      </w:r>
      <w:r>
        <w:rPr>
          <w:rFonts w:ascii="Calibri" w:hAnsi="Calibri"/>
          <w:sz w:val="22"/>
          <w:szCs w:val="22"/>
        </w:rPr>
        <w:t>when they occur in</w:t>
      </w:r>
      <w:r w:rsidRPr="00A437C8">
        <w:rPr>
          <w:rFonts w:ascii="Calibri" w:hAnsi="Calibri"/>
          <w:sz w:val="22"/>
          <w:szCs w:val="22"/>
        </w:rPr>
        <w:t xml:space="preserve"> </w:t>
      </w:r>
      <w:r>
        <w:rPr>
          <w:rFonts w:ascii="Calibri" w:hAnsi="Calibri"/>
          <w:sz w:val="22"/>
          <w:szCs w:val="22"/>
        </w:rPr>
        <w:t>kids (&lt;18 years)</w:t>
      </w:r>
    </w:p>
    <w:p w:rsidR="009817E3" w:rsidRPr="009817E3" w:rsidRDefault="009817E3" w:rsidP="009817E3">
      <w:pPr>
        <w:pStyle w:val="ListParagraph"/>
        <w:numPr>
          <w:ilvl w:val="0"/>
          <w:numId w:val="14"/>
        </w:numPr>
        <w:rPr>
          <w:rFonts w:ascii="Calibri" w:hAnsi="Calibri"/>
          <w:b/>
          <w:sz w:val="22"/>
          <w:szCs w:val="22"/>
        </w:rPr>
      </w:pPr>
      <w:r>
        <w:rPr>
          <w:rFonts w:ascii="Calibri" w:hAnsi="Calibri"/>
          <w:sz w:val="22"/>
          <w:szCs w:val="22"/>
        </w:rPr>
        <w:t>The DxCG model also includes</w:t>
      </w:r>
      <w:r w:rsidRPr="00A437C8">
        <w:rPr>
          <w:rFonts w:ascii="Calibri" w:hAnsi="Calibri"/>
          <w:sz w:val="22"/>
          <w:szCs w:val="22"/>
        </w:rPr>
        <w:t xml:space="preserve"> second-stage “tuning” to ensure that average costs are right within age-sex categories that (among other things) distinguish infants (aged 0 or 1) from other young people and older adults</w:t>
      </w:r>
    </w:p>
    <w:p w:rsidR="009817E3" w:rsidRDefault="009817E3" w:rsidP="009817E3">
      <w:pPr>
        <w:pStyle w:val="ListParagraph"/>
        <w:numPr>
          <w:ilvl w:val="0"/>
          <w:numId w:val="16"/>
        </w:numPr>
        <w:rPr>
          <w:rFonts w:ascii="Calibri" w:hAnsi="Calibri"/>
          <w:b/>
          <w:sz w:val="22"/>
          <w:szCs w:val="22"/>
        </w:rPr>
      </w:pPr>
      <w:r>
        <w:rPr>
          <w:rFonts w:ascii="Calibri" w:hAnsi="Calibri"/>
          <w:b/>
          <w:sz w:val="22"/>
          <w:szCs w:val="22"/>
        </w:rPr>
        <w:t>If the model includes markers for age &lt; 17, why don’t the predictions and costs for kids match up more closely?</w:t>
      </w:r>
    </w:p>
    <w:p w:rsidR="009817E3" w:rsidRPr="009817E3" w:rsidRDefault="009817E3" w:rsidP="009817E3">
      <w:pPr>
        <w:pStyle w:val="ListParagraph"/>
        <w:ind w:left="360"/>
        <w:rPr>
          <w:rFonts w:ascii="Calibri" w:hAnsi="Calibri"/>
          <w:sz w:val="22"/>
          <w:szCs w:val="22"/>
        </w:rPr>
      </w:pPr>
      <w:r>
        <w:rPr>
          <w:rFonts w:ascii="Calibri" w:hAnsi="Calibri"/>
          <w:sz w:val="22"/>
          <w:szCs w:val="22"/>
        </w:rPr>
        <w:t>The</w:t>
      </w:r>
      <w:r w:rsidRPr="009817E3">
        <w:rPr>
          <w:rFonts w:ascii="Calibri" w:hAnsi="Calibri"/>
          <w:sz w:val="22"/>
          <w:szCs w:val="22"/>
        </w:rPr>
        <w:t xml:space="preserve"> model is </w:t>
      </w:r>
      <w:r>
        <w:rPr>
          <w:rFonts w:ascii="Calibri" w:hAnsi="Calibri"/>
          <w:sz w:val="22"/>
          <w:szCs w:val="22"/>
        </w:rPr>
        <w:t>built to reflect the relationship between member characteristics and costs among PCC members and then applied in MCO data. To the extent that PCC kids are relatively more expensive than adults than MCO kids are (as compared to MCO adults)</w:t>
      </w:r>
      <w:r w:rsidR="001F6BA2">
        <w:rPr>
          <w:rFonts w:ascii="Calibri" w:hAnsi="Calibri"/>
          <w:sz w:val="22"/>
          <w:szCs w:val="22"/>
        </w:rPr>
        <w:t>,</w:t>
      </w:r>
      <w:r>
        <w:rPr>
          <w:rFonts w:ascii="Calibri" w:hAnsi="Calibri"/>
          <w:sz w:val="22"/>
          <w:szCs w:val="22"/>
        </w:rPr>
        <w:t xml:space="preserve"> the model will appear to overpay kids. </w:t>
      </w:r>
    </w:p>
    <w:p w:rsidR="009817E3" w:rsidRPr="004D0F5C" w:rsidRDefault="009817E3" w:rsidP="009817E3">
      <w:pPr>
        <w:pStyle w:val="ListParagraph"/>
        <w:rPr>
          <w:rFonts w:ascii="Calibri" w:hAnsi="Calibri"/>
          <w:b/>
          <w:sz w:val="22"/>
          <w:szCs w:val="22"/>
        </w:rPr>
      </w:pPr>
    </w:p>
    <w:p w:rsidR="001F6BA2" w:rsidRPr="008C73F9" w:rsidRDefault="001F6BA2" w:rsidP="001F6BA2">
      <w:pPr>
        <w:pStyle w:val="ListParagraph"/>
        <w:ind w:left="0"/>
        <w:rPr>
          <w:rFonts w:ascii="Calibri" w:hAnsi="Calibri"/>
          <w:b/>
          <w:sz w:val="22"/>
          <w:szCs w:val="22"/>
          <w:u w:val="single"/>
        </w:rPr>
      </w:pPr>
      <w:r w:rsidRPr="008C73F9">
        <w:rPr>
          <w:rFonts w:ascii="Calibri" w:hAnsi="Calibri"/>
          <w:b/>
          <w:sz w:val="22"/>
          <w:szCs w:val="22"/>
          <w:u w:val="single"/>
        </w:rPr>
        <w:t>About serious mental illness and substance use disorders</w:t>
      </w:r>
    </w:p>
    <w:p w:rsidR="004D0F5C" w:rsidRPr="008510ED" w:rsidRDefault="004D0F5C" w:rsidP="009817E3">
      <w:pPr>
        <w:pStyle w:val="ListParagraph"/>
        <w:numPr>
          <w:ilvl w:val="0"/>
          <w:numId w:val="12"/>
        </w:numPr>
        <w:rPr>
          <w:rFonts w:ascii="Calibri" w:hAnsi="Calibri"/>
          <w:b/>
          <w:sz w:val="22"/>
          <w:szCs w:val="22"/>
        </w:rPr>
      </w:pPr>
      <w:r w:rsidRPr="008510ED">
        <w:rPr>
          <w:rFonts w:ascii="Calibri" w:hAnsi="Calibri"/>
          <w:b/>
          <w:sz w:val="22"/>
          <w:szCs w:val="22"/>
        </w:rPr>
        <w:t xml:space="preserve">What codes are </w:t>
      </w:r>
      <w:r w:rsidR="001F6BA2">
        <w:rPr>
          <w:rFonts w:ascii="Calibri" w:hAnsi="Calibri"/>
          <w:b/>
          <w:sz w:val="22"/>
          <w:szCs w:val="22"/>
        </w:rPr>
        <w:t xml:space="preserve">used to identify </w:t>
      </w:r>
      <w:r w:rsidRPr="008510ED">
        <w:rPr>
          <w:rFonts w:ascii="Calibri" w:hAnsi="Calibri"/>
          <w:b/>
          <w:sz w:val="22"/>
          <w:szCs w:val="22"/>
        </w:rPr>
        <w:t>serious mental illness (SMI)?</w:t>
      </w:r>
    </w:p>
    <w:p w:rsidR="004D0F5C" w:rsidRPr="00A437C8" w:rsidRDefault="004D0F5C" w:rsidP="004D0F5C">
      <w:pPr>
        <w:pStyle w:val="ListParagraph"/>
        <w:ind w:left="360"/>
        <w:rPr>
          <w:rFonts w:ascii="Calibri" w:hAnsi="Calibri"/>
          <w:sz w:val="22"/>
          <w:szCs w:val="22"/>
        </w:rPr>
      </w:pPr>
      <w:r w:rsidRPr="00A437C8">
        <w:rPr>
          <w:rFonts w:ascii="Calibri" w:hAnsi="Calibri"/>
          <w:sz w:val="22"/>
          <w:szCs w:val="22"/>
        </w:rPr>
        <w:t>HCC Chronic Description</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160       -</w:t>
      </w:r>
      <w:r w:rsidRPr="00A437C8">
        <w:rPr>
          <w:rFonts w:ascii="Calibri" w:hAnsi="Calibri"/>
          <w:sz w:val="22"/>
          <w:szCs w:val="22"/>
        </w:rPr>
        <w:tab/>
        <w:t>PSY.15 Acute Paranoid Reaction and Confusion</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161       C</w:t>
      </w:r>
      <w:r w:rsidRPr="00A437C8">
        <w:rPr>
          <w:rFonts w:ascii="Calibri" w:hAnsi="Calibri"/>
          <w:sz w:val="22"/>
          <w:szCs w:val="22"/>
        </w:rPr>
        <w:tab/>
        <w:t>PSY.20 Schizophrenia</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162       C</w:t>
      </w:r>
      <w:r w:rsidRPr="00A437C8">
        <w:rPr>
          <w:rFonts w:ascii="Calibri" w:hAnsi="Calibri"/>
          <w:sz w:val="22"/>
          <w:szCs w:val="22"/>
        </w:rPr>
        <w:tab/>
        <w:t>PSY.30 Other Nonorganic Psychosis</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163       C</w:t>
      </w:r>
      <w:r w:rsidRPr="00A437C8">
        <w:rPr>
          <w:rFonts w:ascii="Calibri" w:hAnsi="Calibri"/>
          <w:sz w:val="22"/>
          <w:szCs w:val="22"/>
        </w:rPr>
        <w:tab/>
        <w:t>PSY.40 Delusional Disorder and Paranoid States</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166       C</w:t>
      </w:r>
      <w:r w:rsidRPr="00A437C8">
        <w:rPr>
          <w:rFonts w:ascii="Calibri" w:hAnsi="Calibri"/>
          <w:sz w:val="22"/>
          <w:szCs w:val="22"/>
        </w:rPr>
        <w:tab/>
        <w:t>ANG.20 Bipolar Disorder</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168       C</w:t>
      </w:r>
      <w:r w:rsidRPr="00A437C8">
        <w:rPr>
          <w:rFonts w:ascii="Calibri" w:hAnsi="Calibri"/>
          <w:sz w:val="22"/>
          <w:szCs w:val="22"/>
        </w:rPr>
        <w:tab/>
        <w:t>ANG.40 Major Depression</w:t>
      </w:r>
    </w:p>
    <w:p w:rsidR="004D0F5C" w:rsidRPr="00A437C8" w:rsidRDefault="004D0F5C" w:rsidP="004D0F5C">
      <w:pPr>
        <w:pStyle w:val="ListParagraph"/>
        <w:ind w:left="360"/>
        <w:rPr>
          <w:rFonts w:ascii="Calibri" w:hAnsi="Calibri"/>
          <w:sz w:val="22"/>
          <w:szCs w:val="22"/>
        </w:rPr>
      </w:pPr>
    </w:p>
    <w:p w:rsidR="004D0F5C" w:rsidRPr="008510ED" w:rsidRDefault="004D0F5C" w:rsidP="009817E3">
      <w:pPr>
        <w:pStyle w:val="ListParagraph"/>
        <w:numPr>
          <w:ilvl w:val="0"/>
          <w:numId w:val="12"/>
        </w:numPr>
        <w:rPr>
          <w:rFonts w:ascii="Calibri" w:hAnsi="Calibri"/>
          <w:b/>
          <w:sz w:val="22"/>
          <w:szCs w:val="22"/>
        </w:rPr>
      </w:pPr>
      <w:r w:rsidRPr="008510ED">
        <w:rPr>
          <w:rFonts w:ascii="Calibri" w:hAnsi="Calibri"/>
          <w:b/>
          <w:sz w:val="22"/>
          <w:szCs w:val="22"/>
        </w:rPr>
        <w:t xml:space="preserve">What codes </w:t>
      </w:r>
      <w:r w:rsidR="001F6BA2" w:rsidRPr="008510ED">
        <w:rPr>
          <w:rFonts w:ascii="Calibri" w:hAnsi="Calibri"/>
          <w:b/>
          <w:sz w:val="22"/>
          <w:szCs w:val="22"/>
        </w:rPr>
        <w:t xml:space="preserve">are </w:t>
      </w:r>
      <w:r w:rsidR="001F6BA2">
        <w:rPr>
          <w:rFonts w:ascii="Calibri" w:hAnsi="Calibri"/>
          <w:b/>
          <w:sz w:val="22"/>
          <w:szCs w:val="22"/>
        </w:rPr>
        <w:t>used to identify</w:t>
      </w:r>
      <w:r w:rsidR="001F6BA2" w:rsidRPr="008510ED">
        <w:rPr>
          <w:rFonts w:ascii="Calibri" w:hAnsi="Calibri"/>
          <w:b/>
          <w:sz w:val="22"/>
          <w:szCs w:val="22"/>
        </w:rPr>
        <w:t xml:space="preserve"> </w:t>
      </w:r>
      <w:r w:rsidR="001F6BA2">
        <w:rPr>
          <w:rFonts w:ascii="Calibri" w:hAnsi="Calibri"/>
          <w:b/>
          <w:sz w:val="22"/>
          <w:szCs w:val="22"/>
        </w:rPr>
        <w:t>substance use disorders</w:t>
      </w:r>
      <w:r w:rsidRPr="008510ED">
        <w:rPr>
          <w:rFonts w:ascii="Calibri" w:hAnsi="Calibri"/>
          <w:b/>
          <w:sz w:val="22"/>
          <w:szCs w:val="22"/>
        </w:rPr>
        <w:t>?</w:t>
      </w:r>
    </w:p>
    <w:p w:rsidR="004D0F5C" w:rsidRPr="00A437C8" w:rsidRDefault="004D0F5C" w:rsidP="004D0F5C">
      <w:pPr>
        <w:pStyle w:val="ListParagraph"/>
        <w:ind w:left="360"/>
        <w:rPr>
          <w:rFonts w:ascii="Calibri" w:hAnsi="Calibri"/>
          <w:sz w:val="22"/>
          <w:szCs w:val="22"/>
        </w:rPr>
      </w:pPr>
      <w:r w:rsidRPr="00A437C8">
        <w:rPr>
          <w:rFonts w:ascii="Calibri" w:hAnsi="Calibri"/>
          <w:sz w:val="22"/>
          <w:szCs w:val="22"/>
        </w:rPr>
        <w:t>HCC Chronic Description</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148       -</w:t>
      </w:r>
      <w:r w:rsidRPr="00A437C8">
        <w:rPr>
          <w:rFonts w:ascii="Calibri" w:hAnsi="Calibri"/>
          <w:sz w:val="22"/>
          <w:szCs w:val="22"/>
        </w:rPr>
        <w:tab/>
        <w:t>SAD.15 Drug Induced Hallucinations, Delusions, and Delirium</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149       C</w:t>
      </w:r>
      <w:r w:rsidRPr="00A437C8">
        <w:rPr>
          <w:rFonts w:ascii="Calibri" w:hAnsi="Calibri"/>
          <w:sz w:val="22"/>
          <w:szCs w:val="22"/>
        </w:rPr>
        <w:tab/>
        <w:t>SAD.20 Withdrawal and Other Specified Drug-Induced Mental Disorders</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150       C</w:t>
      </w:r>
      <w:r w:rsidRPr="00A437C8">
        <w:rPr>
          <w:rFonts w:ascii="Calibri" w:hAnsi="Calibri"/>
          <w:sz w:val="22"/>
          <w:szCs w:val="22"/>
        </w:rPr>
        <w:tab/>
        <w:t>SAD.30 Drug Dependence</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151       C</w:t>
      </w:r>
      <w:r w:rsidRPr="00A437C8">
        <w:rPr>
          <w:rFonts w:ascii="Calibri" w:hAnsi="Calibri"/>
          <w:sz w:val="22"/>
          <w:szCs w:val="22"/>
        </w:rPr>
        <w:tab/>
        <w:t>SAD.40 Drug Abuse without Dependence, Except Alcohol and Tobacco</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152       C</w:t>
      </w:r>
      <w:r w:rsidRPr="00A437C8">
        <w:rPr>
          <w:rFonts w:ascii="Calibri" w:hAnsi="Calibri"/>
          <w:sz w:val="22"/>
          <w:szCs w:val="22"/>
        </w:rPr>
        <w:tab/>
        <w:t>SAA.20 Alcohol Psychosis</w:t>
      </w:r>
    </w:p>
    <w:p w:rsidR="004D0F5C" w:rsidRPr="00A437C8" w:rsidRDefault="004D0F5C" w:rsidP="00A437C8">
      <w:pPr>
        <w:pStyle w:val="ListParagraph"/>
        <w:ind w:left="360"/>
        <w:rPr>
          <w:rFonts w:ascii="Calibri" w:hAnsi="Calibri"/>
          <w:sz w:val="22"/>
          <w:szCs w:val="22"/>
        </w:rPr>
      </w:pPr>
      <w:r w:rsidRPr="00A437C8">
        <w:rPr>
          <w:rFonts w:ascii="Calibri" w:hAnsi="Calibri"/>
          <w:sz w:val="22"/>
          <w:szCs w:val="22"/>
        </w:rPr>
        <w:t>153       C</w:t>
      </w:r>
      <w:r w:rsidRPr="00A437C8">
        <w:rPr>
          <w:rFonts w:ascii="Calibri" w:hAnsi="Calibri"/>
          <w:sz w:val="22"/>
          <w:szCs w:val="22"/>
        </w:rPr>
        <w:tab/>
        <w:t>SAA.30 Alcohol Dependence</w:t>
      </w:r>
    </w:p>
    <w:p w:rsidR="008C73F9" w:rsidRPr="00847C74" w:rsidRDefault="004D0F5C" w:rsidP="00847C74">
      <w:pPr>
        <w:pStyle w:val="ListParagraph"/>
        <w:ind w:left="360"/>
        <w:rPr>
          <w:rFonts w:ascii="Calibri" w:hAnsi="Calibri"/>
          <w:sz w:val="22"/>
          <w:szCs w:val="22"/>
        </w:rPr>
      </w:pPr>
      <w:r w:rsidRPr="00A437C8">
        <w:rPr>
          <w:rFonts w:ascii="Calibri" w:hAnsi="Calibri"/>
          <w:sz w:val="22"/>
          <w:szCs w:val="22"/>
        </w:rPr>
        <w:t>154       C    </w:t>
      </w:r>
      <w:r w:rsidRPr="00A437C8">
        <w:rPr>
          <w:rFonts w:ascii="Calibri" w:hAnsi="Calibri"/>
          <w:sz w:val="22"/>
          <w:szCs w:val="22"/>
        </w:rPr>
        <w:tab/>
        <w:t>SAA.40 Alcohol Abuse, Without Dependence</w:t>
      </w:r>
    </w:p>
    <w:p w:rsidR="008C73F9" w:rsidRPr="008C73F9" w:rsidRDefault="008C73F9" w:rsidP="008C73F9">
      <w:pPr>
        <w:rPr>
          <w:rFonts w:asciiTheme="minorHAnsi" w:hAnsiTheme="minorHAnsi"/>
          <w:sz w:val="22"/>
          <w:szCs w:val="22"/>
        </w:rPr>
      </w:pPr>
    </w:p>
    <w:p w:rsidR="008C73F9" w:rsidRPr="008C73F9" w:rsidRDefault="008C73F9" w:rsidP="008C73F9">
      <w:pPr>
        <w:rPr>
          <w:rFonts w:asciiTheme="minorHAnsi" w:hAnsiTheme="minorHAnsi"/>
          <w:b/>
          <w:sz w:val="22"/>
          <w:szCs w:val="22"/>
        </w:rPr>
      </w:pPr>
      <w:r w:rsidRPr="008C73F9">
        <w:rPr>
          <w:rFonts w:asciiTheme="minorHAnsi" w:hAnsiTheme="minorHAnsi"/>
          <w:b/>
          <w:sz w:val="22"/>
          <w:szCs w:val="22"/>
        </w:rPr>
        <w:t>References</w:t>
      </w:r>
    </w:p>
    <w:p w:rsidR="008C73F9" w:rsidRPr="008C73F9" w:rsidRDefault="008C73F9" w:rsidP="008C73F9">
      <w:pPr>
        <w:rPr>
          <w:rFonts w:asciiTheme="minorHAnsi" w:hAnsiTheme="minorHAnsi"/>
          <w:sz w:val="22"/>
          <w:szCs w:val="22"/>
        </w:rPr>
      </w:pPr>
    </w:p>
    <w:p w:rsidR="008C73F9" w:rsidRPr="008C73F9" w:rsidRDefault="004B2C37" w:rsidP="008C73F9">
      <w:pPr>
        <w:pStyle w:val="ListParagraph"/>
        <w:numPr>
          <w:ilvl w:val="0"/>
          <w:numId w:val="17"/>
        </w:numPr>
        <w:rPr>
          <w:rFonts w:asciiTheme="minorHAnsi" w:hAnsiTheme="minorHAnsi" w:cs="Helvetica"/>
          <w:sz w:val="22"/>
          <w:szCs w:val="22"/>
        </w:rPr>
      </w:pPr>
      <w:hyperlink r:id="rId6" w:history="1">
        <w:r w:rsidR="008C73F9" w:rsidRPr="008C73F9">
          <w:rPr>
            <w:rStyle w:val="Hyperlink"/>
            <w:rFonts w:asciiTheme="minorHAnsi" w:hAnsiTheme="minorHAnsi" w:cs="Helvetica"/>
            <w:sz w:val="22"/>
            <w:szCs w:val="22"/>
          </w:rPr>
          <w:t xml:space="preserve">MassHealth Risk Adjustment Open Public Meeting </w:t>
        </w:r>
      </w:hyperlink>
      <w:r w:rsidR="008C73F9" w:rsidRPr="008C73F9">
        <w:rPr>
          <w:rStyle w:val="leadsnippet"/>
          <w:rFonts w:asciiTheme="minorHAnsi" w:hAnsiTheme="minorHAnsi" w:cs="Helvetica"/>
          <w:sz w:val="22"/>
          <w:szCs w:val="22"/>
        </w:rPr>
        <w:t> </w:t>
      </w:r>
      <w:r w:rsidR="008C73F9" w:rsidRPr="008C73F9">
        <w:rPr>
          <w:rFonts w:asciiTheme="minorHAnsi" w:hAnsiTheme="minorHAnsi" w:cs="Helvetica"/>
          <w:noProof/>
          <w:color w:val="0000FF"/>
          <w:sz w:val="22"/>
          <w:szCs w:val="22"/>
        </w:rPr>
        <w:drawing>
          <wp:inline distT="0" distB="0" distL="0" distR="0" wp14:anchorId="3EAB1B18" wp14:editId="453B41A2">
            <wp:extent cx="152400" cy="152400"/>
            <wp:effectExtent l="0" t="0" r="0" b="0"/>
            <wp:docPr id="4" name="Picture 4" descr="pdf format of MassHealth Risk Adjustment Open Public Meeting&#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ormat of MassHealth Risk Adjustment Open Public Meeting&#1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C73F9" w:rsidRPr="008C73F9">
        <w:rPr>
          <w:rStyle w:val="leadsnippet"/>
          <w:rFonts w:asciiTheme="minorHAnsi" w:hAnsiTheme="minorHAnsi" w:cs="Helvetica"/>
          <w:sz w:val="22"/>
          <w:szCs w:val="22"/>
        </w:rPr>
        <w:t xml:space="preserve"> </w:t>
      </w:r>
      <w:r w:rsidR="008C73F9" w:rsidRPr="008C73F9">
        <w:rPr>
          <w:rFonts w:asciiTheme="minorHAnsi" w:hAnsiTheme="minorHAnsi" w:cs="Helvetica"/>
          <w:noProof/>
          <w:color w:val="0000FF"/>
          <w:sz w:val="22"/>
          <w:szCs w:val="22"/>
        </w:rPr>
        <w:drawing>
          <wp:inline distT="0" distB="0" distL="0" distR="0" wp14:anchorId="0D51BC7F" wp14:editId="13B9030B">
            <wp:extent cx="152400" cy="152400"/>
            <wp:effectExtent l="0" t="0" r="0" b="0"/>
            <wp:docPr id="3" name="Picture 3" descr="docx format of                             MassHealth Risk Adjustment Open Public Meeting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x format of                             MassHealth Risk Adjustment Open Public Meeting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C73F9" w:rsidRPr="008C73F9">
        <w:rPr>
          <w:rStyle w:val="leadsnippet"/>
          <w:rFonts w:asciiTheme="minorHAnsi" w:hAnsiTheme="minorHAnsi" w:cs="Helvetica"/>
          <w:sz w:val="22"/>
          <w:szCs w:val="22"/>
        </w:rPr>
        <w:t xml:space="preserve"> http://www.mass.gov/eohhs/docs/eohhs/healthcare-reform/masshealth-innovations/1610-risk-adjustment-open-public-meeting.pdf</w:t>
      </w:r>
    </w:p>
    <w:p w:rsidR="008C73F9" w:rsidRPr="008C73F9" w:rsidRDefault="004B2C37" w:rsidP="008C73F9">
      <w:pPr>
        <w:numPr>
          <w:ilvl w:val="0"/>
          <w:numId w:val="17"/>
        </w:numPr>
        <w:rPr>
          <w:rFonts w:asciiTheme="minorHAnsi" w:hAnsiTheme="minorHAnsi" w:cs="Helvetica"/>
          <w:sz w:val="22"/>
          <w:szCs w:val="22"/>
        </w:rPr>
      </w:pPr>
      <w:hyperlink r:id="rId10" w:history="1">
        <w:r w:rsidR="008C73F9" w:rsidRPr="008C73F9">
          <w:rPr>
            <w:rStyle w:val="Hyperlink"/>
            <w:rFonts w:asciiTheme="minorHAnsi" w:hAnsiTheme="minorHAnsi" w:cs="Helvetica"/>
            <w:sz w:val="22"/>
            <w:szCs w:val="22"/>
          </w:rPr>
          <w:t xml:space="preserve">UMASS Modeling SDH Summary Report </w:t>
        </w:r>
      </w:hyperlink>
      <w:r w:rsidR="008C73F9" w:rsidRPr="008C73F9">
        <w:rPr>
          <w:rStyle w:val="leadsnippet"/>
          <w:rFonts w:asciiTheme="minorHAnsi" w:hAnsiTheme="minorHAnsi" w:cs="Helvetica"/>
          <w:sz w:val="22"/>
          <w:szCs w:val="22"/>
        </w:rPr>
        <w:t> </w:t>
      </w:r>
      <w:r w:rsidR="008C73F9" w:rsidRPr="008C73F9">
        <w:rPr>
          <w:rFonts w:asciiTheme="minorHAnsi" w:hAnsiTheme="minorHAnsi" w:cs="Helvetica"/>
          <w:noProof/>
          <w:color w:val="0000FF"/>
          <w:sz w:val="22"/>
          <w:szCs w:val="22"/>
        </w:rPr>
        <w:drawing>
          <wp:inline distT="0" distB="0" distL="0" distR="0" wp14:anchorId="3BB68B99" wp14:editId="651634D0">
            <wp:extent cx="152400" cy="152400"/>
            <wp:effectExtent l="0" t="0" r="0" b="0"/>
            <wp:docPr id="2" name="Picture 2" descr="pdf format of UMASS Modeling SDH Summary Report&#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format of UMASS Modeling SDH Summary Report&#10;">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C73F9" w:rsidRPr="008C73F9">
        <w:rPr>
          <w:rStyle w:val="leadsnippet"/>
          <w:rFonts w:asciiTheme="minorHAnsi" w:hAnsiTheme="minorHAnsi" w:cs="Helvetica"/>
          <w:sz w:val="22"/>
          <w:szCs w:val="22"/>
        </w:rPr>
        <w:t xml:space="preserve"> </w:t>
      </w:r>
      <w:r w:rsidR="008C73F9" w:rsidRPr="008C73F9">
        <w:rPr>
          <w:rFonts w:asciiTheme="minorHAnsi" w:hAnsiTheme="minorHAnsi" w:cs="Helvetica"/>
          <w:noProof/>
          <w:color w:val="0000FF"/>
          <w:sz w:val="22"/>
          <w:szCs w:val="22"/>
        </w:rPr>
        <w:drawing>
          <wp:inline distT="0" distB="0" distL="0" distR="0" wp14:anchorId="1FF4ED4D" wp14:editId="12405F5E">
            <wp:extent cx="152400" cy="152400"/>
            <wp:effectExtent l="0" t="0" r="0" b="0"/>
            <wp:docPr id="1" name="Picture 1" descr="docx format of                             UMASS Modeling SDH Summary Report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x format of                             UMASS Modeling SDH Summary Report                ">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C73F9" w:rsidRPr="008C73F9">
        <w:rPr>
          <w:rFonts w:asciiTheme="minorHAnsi" w:hAnsiTheme="minorHAnsi" w:cs="Helvetica"/>
          <w:sz w:val="22"/>
          <w:szCs w:val="22"/>
        </w:rPr>
        <w:t xml:space="preserve"> </w:t>
      </w:r>
    </w:p>
    <w:p w:rsidR="008C73F9" w:rsidRPr="008C73F9" w:rsidRDefault="004B2C37" w:rsidP="008C73F9">
      <w:pPr>
        <w:ind w:left="720"/>
        <w:rPr>
          <w:rStyle w:val="leadsnippet"/>
          <w:rFonts w:asciiTheme="minorHAnsi" w:hAnsiTheme="minorHAnsi" w:cs="Helvetica"/>
          <w:sz w:val="22"/>
          <w:szCs w:val="22"/>
        </w:rPr>
      </w:pPr>
      <w:hyperlink r:id="rId12" w:history="1">
        <w:r w:rsidR="008C73F9" w:rsidRPr="008C73F9">
          <w:rPr>
            <w:rStyle w:val="Hyperlink"/>
            <w:rFonts w:asciiTheme="minorHAnsi" w:hAnsiTheme="minorHAnsi" w:cs="Helvetica"/>
            <w:sz w:val="22"/>
            <w:szCs w:val="22"/>
          </w:rPr>
          <w:t>http://www.mass.gov/eohhs/docs/eohhs/healthcare-reform/masshealth-innovations/1610-umass-modeling-sdh-summary-report.pdf</w:t>
        </w:r>
      </w:hyperlink>
    </w:p>
    <w:p w:rsidR="008C73F9" w:rsidRPr="008C73F9" w:rsidRDefault="008C73F9" w:rsidP="008C73F9">
      <w:pPr>
        <w:pStyle w:val="ListParagraph"/>
        <w:numPr>
          <w:ilvl w:val="0"/>
          <w:numId w:val="17"/>
        </w:numPr>
        <w:rPr>
          <w:rFonts w:asciiTheme="minorHAnsi" w:hAnsiTheme="minorHAnsi"/>
          <w:sz w:val="22"/>
          <w:szCs w:val="22"/>
        </w:rPr>
      </w:pPr>
      <w:r w:rsidRPr="008C73F9">
        <w:rPr>
          <w:rFonts w:asciiTheme="minorHAnsi" w:hAnsiTheme="minorHAnsi"/>
          <w:sz w:val="22"/>
          <w:szCs w:val="22"/>
        </w:rPr>
        <w:t>Ash AS, Mick E, Zhang J, Ellis RP, Steinberg J.  UMass Risk Adjustment Project for MassHealth Payment and Care Delivery Reform. UMMS Center for Health Policy and Research. June 2016.</w:t>
      </w:r>
    </w:p>
    <w:p w:rsidR="008C73F9" w:rsidRPr="008C73F9" w:rsidRDefault="008C73F9" w:rsidP="008C73F9">
      <w:pPr>
        <w:rPr>
          <w:rFonts w:asciiTheme="minorHAnsi" w:hAnsiTheme="minorHAnsi"/>
          <w:b/>
          <w:sz w:val="22"/>
          <w:szCs w:val="22"/>
        </w:rPr>
      </w:pPr>
    </w:p>
    <w:p w:rsidR="004D0F5C" w:rsidRPr="00A437C8" w:rsidRDefault="008C73F9" w:rsidP="008C73F9">
      <w:pPr>
        <w:rPr>
          <w:rFonts w:ascii="Calibri" w:hAnsi="Calibri"/>
          <w:sz w:val="22"/>
          <w:szCs w:val="22"/>
        </w:rPr>
      </w:pPr>
      <w:r w:rsidRPr="008C73F9">
        <w:rPr>
          <w:rFonts w:asciiTheme="minorHAnsi" w:hAnsiTheme="minorHAnsi"/>
          <w:b/>
          <w:sz w:val="22"/>
          <w:szCs w:val="22"/>
        </w:rPr>
        <w:t xml:space="preserve">For more information feel free to contact Arlene Ash at </w:t>
      </w:r>
      <w:hyperlink r:id="rId13" w:history="1">
        <w:r w:rsidRPr="008C73F9">
          <w:rPr>
            <w:rStyle w:val="Hyperlink"/>
            <w:rFonts w:asciiTheme="minorHAnsi" w:hAnsiTheme="minorHAnsi"/>
            <w:b/>
            <w:sz w:val="22"/>
            <w:szCs w:val="22"/>
          </w:rPr>
          <w:t>arlene.ash@umassmed.edu</w:t>
        </w:r>
      </w:hyperlink>
      <w:r>
        <w:rPr>
          <w:rFonts w:ascii="Helvetica" w:hAnsi="Helvetica"/>
          <w:b/>
        </w:rPr>
        <w:t>.</w:t>
      </w:r>
    </w:p>
    <w:sectPr w:rsidR="004D0F5C" w:rsidRPr="00A43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C08"/>
    <w:multiLevelType w:val="hybridMultilevel"/>
    <w:tmpl w:val="72386A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885F51"/>
    <w:multiLevelType w:val="hybridMultilevel"/>
    <w:tmpl w:val="661A6CF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059E6"/>
    <w:multiLevelType w:val="hybridMultilevel"/>
    <w:tmpl w:val="40D23B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9C9647D"/>
    <w:multiLevelType w:val="hybridMultilevel"/>
    <w:tmpl w:val="73201B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B4B4437"/>
    <w:multiLevelType w:val="hybridMultilevel"/>
    <w:tmpl w:val="D1E49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D81975"/>
    <w:multiLevelType w:val="hybridMultilevel"/>
    <w:tmpl w:val="EE6093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32958E3"/>
    <w:multiLevelType w:val="hybridMultilevel"/>
    <w:tmpl w:val="7BC488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B1F554D"/>
    <w:multiLevelType w:val="hybridMultilevel"/>
    <w:tmpl w:val="615C8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86C0DBF"/>
    <w:multiLevelType w:val="hybridMultilevel"/>
    <w:tmpl w:val="14708C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4ABB2771"/>
    <w:multiLevelType w:val="hybridMultilevel"/>
    <w:tmpl w:val="B6DCA72C"/>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B9440D7A">
      <w:start w:val="153"/>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571E4F91"/>
    <w:multiLevelType w:val="hybridMultilevel"/>
    <w:tmpl w:val="17D48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9D2CA6"/>
    <w:multiLevelType w:val="hybridMultilevel"/>
    <w:tmpl w:val="3ED0F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7F0A1D"/>
    <w:multiLevelType w:val="hybridMultilevel"/>
    <w:tmpl w:val="56487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017031"/>
    <w:multiLevelType w:val="hybridMultilevel"/>
    <w:tmpl w:val="661A6CF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8"/>
  </w:num>
  <w:num w:numId="7">
    <w:abstractNumId w:val="9"/>
    <w:lvlOverride w:ilvl="0">
      <w:startOverride w:val="1"/>
    </w:lvlOverride>
    <w:lvlOverride w:ilvl="1"/>
    <w:lvlOverride w:ilvl="2">
      <w:startOverride w:val="1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9"/>
  </w:num>
  <w:num w:numId="11">
    <w:abstractNumId w:val="12"/>
  </w:num>
  <w:num w:numId="12">
    <w:abstractNumId w:val="10"/>
  </w:num>
  <w:num w:numId="13">
    <w:abstractNumId w:val="4"/>
  </w:num>
  <w:num w:numId="14">
    <w:abstractNumId w:val="13"/>
  </w:num>
  <w:num w:numId="15">
    <w:abstractNumId w:val="1"/>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B03"/>
    <w:rsid w:val="00103DC6"/>
    <w:rsid w:val="00167DFD"/>
    <w:rsid w:val="001A3EFB"/>
    <w:rsid w:val="001F6BA2"/>
    <w:rsid w:val="001F711E"/>
    <w:rsid w:val="00201D89"/>
    <w:rsid w:val="00310AA2"/>
    <w:rsid w:val="003A1D87"/>
    <w:rsid w:val="003B1906"/>
    <w:rsid w:val="004A32C8"/>
    <w:rsid w:val="004B2C37"/>
    <w:rsid w:val="004D0F5C"/>
    <w:rsid w:val="004D16F4"/>
    <w:rsid w:val="0054723D"/>
    <w:rsid w:val="006875AD"/>
    <w:rsid w:val="00832F17"/>
    <w:rsid w:val="00847C74"/>
    <w:rsid w:val="008510ED"/>
    <w:rsid w:val="00877D15"/>
    <w:rsid w:val="008C73F9"/>
    <w:rsid w:val="008D4D69"/>
    <w:rsid w:val="008F2D79"/>
    <w:rsid w:val="009817E3"/>
    <w:rsid w:val="009A4E2F"/>
    <w:rsid w:val="009F390C"/>
    <w:rsid w:val="00A437C8"/>
    <w:rsid w:val="00AC5F03"/>
    <w:rsid w:val="00B12676"/>
    <w:rsid w:val="00C46819"/>
    <w:rsid w:val="00CB3B03"/>
    <w:rsid w:val="00CF3745"/>
    <w:rsid w:val="00DE3268"/>
    <w:rsid w:val="00E11828"/>
    <w:rsid w:val="00E805CC"/>
    <w:rsid w:val="00E90A91"/>
    <w:rsid w:val="00ED1190"/>
    <w:rsid w:val="00F50F54"/>
    <w:rsid w:val="00F70F53"/>
    <w:rsid w:val="00F84381"/>
    <w:rsid w:val="00FE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76"/>
    <w:pPr>
      <w:ind w:left="720"/>
      <w:contextualSpacing/>
    </w:pPr>
  </w:style>
  <w:style w:type="paragraph" w:styleId="NormalWeb">
    <w:name w:val="Normal (Web)"/>
    <w:basedOn w:val="Normal"/>
    <w:uiPriority w:val="99"/>
    <w:unhideWhenUsed/>
    <w:rsid w:val="008C73F9"/>
    <w:pPr>
      <w:spacing w:before="100" w:beforeAutospacing="1" w:after="100" w:afterAutospacing="1"/>
    </w:pPr>
  </w:style>
  <w:style w:type="character" w:styleId="Hyperlink">
    <w:name w:val="Hyperlink"/>
    <w:basedOn w:val="DefaultParagraphFont"/>
    <w:uiPriority w:val="99"/>
    <w:unhideWhenUsed/>
    <w:rsid w:val="008C73F9"/>
    <w:rPr>
      <w:color w:val="0563C1" w:themeColor="hyperlink"/>
      <w:u w:val="single"/>
    </w:rPr>
  </w:style>
  <w:style w:type="character" w:customStyle="1" w:styleId="leadsnippet">
    <w:name w:val="lead_snippet"/>
    <w:basedOn w:val="DefaultParagraphFont"/>
    <w:rsid w:val="008C73F9"/>
  </w:style>
  <w:style w:type="paragraph" w:styleId="BalloonText">
    <w:name w:val="Balloon Text"/>
    <w:basedOn w:val="Normal"/>
    <w:link w:val="BalloonTextChar"/>
    <w:uiPriority w:val="99"/>
    <w:semiHidden/>
    <w:unhideWhenUsed/>
    <w:rsid w:val="008C73F9"/>
    <w:rPr>
      <w:rFonts w:ascii="Tahoma" w:hAnsi="Tahoma" w:cs="Tahoma"/>
      <w:sz w:val="16"/>
      <w:szCs w:val="16"/>
    </w:rPr>
  </w:style>
  <w:style w:type="character" w:customStyle="1" w:styleId="BalloonTextChar">
    <w:name w:val="Balloon Text Char"/>
    <w:basedOn w:val="DefaultParagraphFont"/>
    <w:link w:val="BalloonText"/>
    <w:uiPriority w:val="99"/>
    <w:semiHidden/>
    <w:rsid w:val="008C7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76"/>
    <w:pPr>
      <w:ind w:left="720"/>
      <w:contextualSpacing/>
    </w:pPr>
  </w:style>
  <w:style w:type="paragraph" w:styleId="NormalWeb">
    <w:name w:val="Normal (Web)"/>
    <w:basedOn w:val="Normal"/>
    <w:uiPriority w:val="99"/>
    <w:unhideWhenUsed/>
    <w:rsid w:val="008C73F9"/>
    <w:pPr>
      <w:spacing w:before="100" w:beforeAutospacing="1" w:after="100" w:afterAutospacing="1"/>
    </w:pPr>
  </w:style>
  <w:style w:type="character" w:styleId="Hyperlink">
    <w:name w:val="Hyperlink"/>
    <w:basedOn w:val="DefaultParagraphFont"/>
    <w:uiPriority w:val="99"/>
    <w:unhideWhenUsed/>
    <w:rsid w:val="008C73F9"/>
    <w:rPr>
      <w:color w:val="0563C1" w:themeColor="hyperlink"/>
      <w:u w:val="single"/>
    </w:rPr>
  </w:style>
  <w:style w:type="character" w:customStyle="1" w:styleId="leadsnippet">
    <w:name w:val="lead_snippet"/>
    <w:basedOn w:val="DefaultParagraphFont"/>
    <w:rsid w:val="008C73F9"/>
  </w:style>
  <w:style w:type="paragraph" w:styleId="BalloonText">
    <w:name w:val="Balloon Text"/>
    <w:basedOn w:val="Normal"/>
    <w:link w:val="BalloonTextChar"/>
    <w:uiPriority w:val="99"/>
    <w:semiHidden/>
    <w:unhideWhenUsed/>
    <w:rsid w:val="008C73F9"/>
    <w:rPr>
      <w:rFonts w:ascii="Tahoma" w:hAnsi="Tahoma" w:cs="Tahoma"/>
      <w:sz w:val="16"/>
      <w:szCs w:val="16"/>
    </w:rPr>
  </w:style>
  <w:style w:type="character" w:customStyle="1" w:styleId="BalloonTextChar">
    <w:name w:val="Balloon Text Char"/>
    <w:basedOn w:val="DefaultParagraphFont"/>
    <w:link w:val="BalloonText"/>
    <w:uiPriority w:val="99"/>
    <w:semiHidden/>
    <w:rsid w:val="008C7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26783">
      <w:bodyDiv w:val="1"/>
      <w:marLeft w:val="0"/>
      <w:marRight w:val="0"/>
      <w:marTop w:val="0"/>
      <w:marBottom w:val="0"/>
      <w:divBdr>
        <w:top w:val="none" w:sz="0" w:space="0" w:color="auto"/>
        <w:left w:val="none" w:sz="0" w:space="0" w:color="auto"/>
        <w:bottom w:val="none" w:sz="0" w:space="0" w:color="auto"/>
        <w:right w:val="none" w:sz="0" w:space="0" w:color="auto"/>
      </w:divBdr>
    </w:div>
    <w:div w:id="369651463">
      <w:bodyDiv w:val="1"/>
      <w:marLeft w:val="0"/>
      <w:marRight w:val="0"/>
      <w:marTop w:val="0"/>
      <w:marBottom w:val="0"/>
      <w:divBdr>
        <w:top w:val="none" w:sz="0" w:space="0" w:color="auto"/>
        <w:left w:val="none" w:sz="0" w:space="0" w:color="auto"/>
        <w:bottom w:val="none" w:sz="0" w:space="0" w:color="auto"/>
        <w:right w:val="none" w:sz="0" w:space="0" w:color="auto"/>
      </w:divBdr>
    </w:div>
    <w:div w:id="14470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docs/eohhs/healthcare-reform/masshealth-innovations/1610-risk-adjustment-open-public-meeting.docx" TargetMode="External"/><Relationship Id="rId13" Type="http://schemas.openxmlformats.org/officeDocument/2006/relationships/hyperlink" Target="mailto:arlene.ash@umassmed.edu"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mass.gov/eohhs/docs/eohhs/healthcare-reform/masshealth-innovations/1610-umass-modeling-sdh-summary-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hhs/docs/eohhs/healthcare-reform/masshealth-innovations/1610-risk-adjustment-open-public-meeting.pdf" TargetMode="External"/><Relationship Id="rId11" Type="http://schemas.openxmlformats.org/officeDocument/2006/relationships/hyperlink" Target="http://www.mass.gov/eohhs/docs/eohhs/healthcare-reform/masshealth-innovations/1610-umass-modeling-sdh-summary-report.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eohhs/docs/eohhs/healthcare-reform/masshealth-innovations/1610-umass-modeling-sdh-summary-repor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Arlene</dc:creator>
  <cp:lastModifiedBy>Jenna</cp:lastModifiedBy>
  <cp:revision>2</cp:revision>
  <dcterms:created xsi:type="dcterms:W3CDTF">2017-11-07T14:48:00Z</dcterms:created>
  <dcterms:modified xsi:type="dcterms:W3CDTF">2017-11-07T14:48:00Z</dcterms:modified>
</cp:coreProperties>
</file>