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E0195" w14:textId="77777777" w:rsidR="00D223EB" w:rsidRDefault="00D223EB" w:rsidP="00D223EB">
      <w:pPr>
        <w:jc w:val="center"/>
        <w:rPr>
          <w:rFonts w:ascii="Garamond" w:hAnsi="Garamond"/>
          <w:b/>
          <w:bCs/>
        </w:rPr>
      </w:pPr>
      <w:bookmarkStart w:id="0" w:name="_GoBack"/>
      <w:bookmarkEnd w:id="0"/>
    </w:p>
    <w:p w14:paraId="1E6A601F" w14:textId="3DEA5190" w:rsidR="00D223EB" w:rsidRPr="00054FF4" w:rsidRDefault="00D223EB" w:rsidP="00D223EB">
      <w:pPr>
        <w:jc w:val="center"/>
        <w:rPr>
          <w:rFonts w:cstheme="minorHAnsi"/>
          <w:b/>
          <w:bCs/>
        </w:rPr>
      </w:pPr>
      <w:r w:rsidRPr="00054FF4">
        <w:rPr>
          <w:rFonts w:cstheme="minorHAnsi"/>
          <w:b/>
          <w:bCs/>
        </w:rPr>
        <w:t xml:space="preserve">APPLICANT </w:t>
      </w:r>
      <w:r w:rsidR="00A733E2">
        <w:rPr>
          <w:rFonts w:cstheme="minorHAnsi"/>
          <w:b/>
          <w:bCs/>
        </w:rPr>
        <w:t>RESPONSES #2</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Caption w:val="Instructions"/>
        <w:tblDescription w:val="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Whenever possible, include a table with the response&#10;• Responses must be available in PDF and source document (Excel preferred for data and Word for narrative).&#10;"/>
      </w:tblPr>
      <w:tblGrid>
        <w:gridCol w:w="9350"/>
      </w:tblGrid>
      <w:tr w:rsidR="00D223EB" w:rsidRPr="00054FF4" w14:paraId="57106F2B" w14:textId="77777777" w:rsidTr="000A2519">
        <w:trPr>
          <w:tblHeade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16346E22" w:rsidR="00D223EB" w:rsidRDefault="00D223EB" w:rsidP="00D223EB">
            <w:pPr>
              <w:pStyle w:val="ListParagraph"/>
              <w:numPr>
                <w:ilvl w:val="0"/>
                <w:numId w:val="4"/>
              </w:numPr>
              <w:rPr>
                <w:rFonts w:cstheme="minorHAnsi"/>
                <w:bCs/>
              </w:rPr>
            </w:pPr>
            <w:r w:rsidRPr="00054FF4">
              <w:rPr>
                <w:rFonts w:cstheme="minorHAnsi"/>
                <w:bCs/>
              </w:rPr>
              <w:t xml:space="preserve">When providing the answer to the final question, submit all questions and answers in one final document </w:t>
            </w:r>
          </w:p>
          <w:p w14:paraId="7471D694" w14:textId="4E41EFDD" w:rsidR="0091602B" w:rsidRPr="00054FF4" w:rsidRDefault="0091602B" w:rsidP="00D223EB">
            <w:pPr>
              <w:pStyle w:val="ListParagraph"/>
              <w:numPr>
                <w:ilvl w:val="0"/>
                <w:numId w:val="4"/>
              </w:numPr>
              <w:rPr>
                <w:rFonts w:cstheme="minorHAnsi"/>
                <w:bCs/>
              </w:rPr>
            </w:pPr>
            <w:r w:rsidRPr="0091602B">
              <w:rPr>
                <w:rFonts w:cstheme="minorHAnsi"/>
                <w:bCs/>
              </w:rPr>
              <w:t>Whenever possible, include a table with the response</w:t>
            </w:r>
          </w:p>
          <w:p w14:paraId="552712FE" w14:textId="15078918" w:rsidR="00D223EB" w:rsidRPr="0091602B" w:rsidRDefault="00AE2FFA" w:rsidP="0091602B">
            <w:pPr>
              <w:pStyle w:val="ListParagraph"/>
              <w:numPr>
                <w:ilvl w:val="0"/>
                <w:numId w:val="4"/>
              </w:numPr>
              <w:rPr>
                <w:rFonts w:cstheme="minorHAnsi"/>
                <w:b/>
              </w:rPr>
            </w:pPr>
            <w:r w:rsidRPr="00AE2FFA">
              <w:rPr>
                <w:rFonts w:cstheme="minorHAnsi"/>
                <w:bCs/>
              </w:rPr>
              <w:t>Responses must be available in PDF and source document (Excel preferred for data and Word for narrative).</w:t>
            </w:r>
          </w:p>
        </w:tc>
      </w:tr>
    </w:tbl>
    <w:p w14:paraId="2758094D" w14:textId="77777777" w:rsidR="00032FF5" w:rsidRDefault="00032FF5"/>
    <w:p w14:paraId="26E36CEE" w14:textId="2478AD95" w:rsidR="001B4CB1" w:rsidRPr="00E840C5" w:rsidRDefault="00CD27F9" w:rsidP="00AA3ABF">
      <w:pPr>
        <w:pStyle w:val="ListParagraph"/>
        <w:numPr>
          <w:ilvl w:val="0"/>
          <w:numId w:val="17"/>
        </w:numPr>
        <w:tabs>
          <w:tab w:val="left" w:pos="4455"/>
        </w:tabs>
        <w:spacing w:line="240" w:lineRule="auto"/>
        <w:rPr>
          <w:b/>
          <w:bCs/>
          <w:sz w:val="24"/>
          <w:szCs w:val="24"/>
        </w:rPr>
      </w:pPr>
      <w:r w:rsidRPr="00E840C5">
        <w:rPr>
          <w:b/>
          <w:bCs/>
          <w:sz w:val="24"/>
          <w:szCs w:val="24"/>
        </w:rPr>
        <w:t xml:space="preserve">The </w:t>
      </w:r>
      <w:r w:rsidR="004A679E" w:rsidRPr="00E840C5">
        <w:rPr>
          <w:b/>
          <w:bCs/>
          <w:sz w:val="24"/>
          <w:szCs w:val="24"/>
        </w:rPr>
        <w:t>application</w:t>
      </w:r>
      <w:r w:rsidRPr="00E840C5">
        <w:rPr>
          <w:b/>
          <w:bCs/>
          <w:sz w:val="24"/>
          <w:szCs w:val="24"/>
        </w:rPr>
        <w:t xml:space="preserve"> mentions that </w:t>
      </w:r>
      <w:r w:rsidR="00081F80" w:rsidRPr="00E840C5">
        <w:rPr>
          <w:b/>
          <w:bCs/>
          <w:sz w:val="24"/>
          <w:szCs w:val="24"/>
        </w:rPr>
        <w:t>South Shore Health System’s (</w:t>
      </w:r>
      <w:r w:rsidRPr="00E840C5">
        <w:rPr>
          <w:b/>
          <w:bCs/>
          <w:sz w:val="24"/>
          <w:szCs w:val="24"/>
        </w:rPr>
        <w:t>SSHS’s</w:t>
      </w:r>
      <w:r w:rsidR="00081F80" w:rsidRPr="00E840C5">
        <w:rPr>
          <w:b/>
          <w:bCs/>
          <w:sz w:val="24"/>
          <w:szCs w:val="24"/>
        </w:rPr>
        <w:t>)</w:t>
      </w:r>
      <w:r w:rsidRPr="00E840C5">
        <w:rPr>
          <w:b/>
          <w:bCs/>
          <w:sz w:val="24"/>
          <w:szCs w:val="24"/>
        </w:rPr>
        <w:t xml:space="preserve"> MRI patient population ethnicity composition is slightly different to the larger system-wide Patient Panel in terms of race</w:t>
      </w:r>
      <w:r w:rsidR="00725D33" w:rsidRPr="00E840C5">
        <w:rPr>
          <w:b/>
          <w:bCs/>
          <w:sz w:val="24"/>
          <w:szCs w:val="24"/>
        </w:rPr>
        <w:t xml:space="preserve"> (pg.</w:t>
      </w:r>
      <w:r w:rsidR="004F2D9D" w:rsidRPr="00E840C5">
        <w:rPr>
          <w:b/>
          <w:bCs/>
          <w:sz w:val="24"/>
          <w:szCs w:val="24"/>
        </w:rPr>
        <w:t>4</w:t>
      </w:r>
      <w:r w:rsidR="00725D33" w:rsidRPr="00E840C5">
        <w:rPr>
          <w:b/>
          <w:bCs/>
          <w:sz w:val="24"/>
          <w:szCs w:val="24"/>
        </w:rPr>
        <w:t>)</w:t>
      </w:r>
      <w:r w:rsidRPr="00E840C5">
        <w:rPr>
          <w:b/>
          <w:bCs/>
          <w:sz w:val="24"/>
          <w:szCs w:val="24"/>
        </w:rPr>
        <w:t xml:space="preserve">. </w:t>
      </w:r>
    </w:p>
    <w:p w14:paraId="7DE3DC68" w14:textId="05813576" w:rsidR="006D7D3C" w:rsidRPr="00A733E2" w:rsidRDefault="00CD27F9" w:rsidP="00A733E2">
      <w:pPr>
        <w:pStyle w:val="ListParagraph"/>
        <w:numPr>
          <w:ilvl w:val="1"/>
          <w:numId w:val="17"/>
        </w:numPr>
        <w:tabs>
          <w:tab w:val="left" w:pos="4455"/>
        </w:tabs>
        <w:spacing w:line="240" w:lineRule="auto"/>
        <w:rPr>
          <w:b/>
          <w:bCs/>
          <w:sz w:val="24"/>
          <w:szCs w:val="24"/>
        </w:rPr>
      </w:pPr>
      <w:r w:rsidRPr="00E840C5">
        <w:rPr>
          <w:b/>
          <w:bCs/>
          <w:sz w:val="24"/>
          <w:szCs w:val="24"/>
        </w:rPr>
        <w:t xml:space="preserve">In order to understand access to MRI services at the </w:t>
      </w:r>
      <w:r w:rsidR="00081F80" w:rsidRPr="00E840C5">
        <w:rPr>
          <w:b/>
          <w:bCs/>
          <w:sz w:val="24"/>
          <w:szCs w:val="24"/>
        </w:rPr>
        <w:t>South Shore Hospital (</w:t>
      </w:r>
      <w:r w:rsidRPr="00E840C5">
        <w:rPr>
          <w:b/>
          <w:bCs/>
          <w:sz w:val="24"/>
          <w:szCs w:val="24"/>
        </w:rPr>
        <w:t>SSH</w:t>
      </w:r>
      <w:r w:rsidR="00081F80" w:rsidRPr="00E840C5">
        <w:rPr>
          <w:b/>
          <w:bCs/>
          <w:sz w:val="24"/>
          <w:szCs w:val="24"/>
        </w:rPr>
        <w:t>)</w:t>
      </w:r>
      <w:r w:rsidRPr="00E840C5">
        <w:rPr>
          <w:b/>
          <w:bCs/>
          <w:sz w:val="24"/>
          <w:szCs w:val="24"/>
        </w:rPr>
        <w:t xml:space="preserve"> where the proposed MRI will be implemented, provide the following</w:t>
      </w:r>
      <w:r w:rsidR="006C049C" w:rsidRPr="00E840C5">
        <w:rPr>
          <w:b/>
          <w:bCs/>
          <w:sz w:val="24"/>
          <w:szCs w:val="24"/>
        </w:rPr>
        <w:t xml:space="preserve"> for FY20:</w:t>
      </w:r>
      <w:r w:rsidRPr="00E840C5">
        <w:rPr>
          <w:b/>
          <w:bCs/>
          <w:sz w:val="24"/>
          <w:szCs w:val="24"/>
        </w:rPr>
        <w:t xml:space="preserve"> </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1720"/>
        <w:gridCol w:w="1055"/>
        <w:gridCol w:w="1222"/>
        <w:gridCol w:w="1454"/>
      </w:tblGrid>
      <w:tr w:rsidR="00A733E2" w:rsidRPr="00A733E2" w14:paraId="4DAFB87A" w14:textId="77777777" w:rsidTr="00A733E2">
        <w:trPr>
          <w:trHeight w:val="300"/>
        </w:trPr>
        <w:tc>
          <w:tcPr>
            <w:tcW w:w="4179" w:type="dxa"/>
            <w:shd w:val="clear" w:color="DDEBF7" w:fill="DDEBF7"/>
            <w:noWrap/>
            <w:hideMark/>
          </w:tcPr>
          <w:p w14:paraId="6346C28C" w14:textId="43C49CB5" w:rsidR="00D30C24" w:rsidRPr="00A733E2" w:rsidRDefault="00D30C24" w:rsidP="00D30C24">
            <w:pPr>
              <w:spacing w:after="0" w:line="240" w:lineRule="auto"/>
              <w:rPr>
                <w:rFonts w:ascii="Calibri" w:eastAsia="Times New Roman" w:hAnsi="Calibri" w:cs="Calibri"/>
                <w:b/>
                <w:bCs/>
              </w:rPr>
            </w:pPr>
            <w:r w:rsidRPr="00A733E2">
              <w:rPr>
                <w:rFonts w:ascii="Calibri" w:eastAsia="Times New Roman" w:hAnsi="Calibri" w:cs="Calibri"/>
                <w:b/>
                <w:bCs/>
              </w:rPr>
              <w:t>Race / Ethnicity</w:t>
            </w:r>
          </w:p>
        </w:tc>
        <w:tc>
          <w:tcPr>
            <w:tcW w:w="1720" w:type="dxa"/>
            <w:shd w:val="clear" w:color="DDEBF7" w:fill="DDEBF7"/>
            <w:noWrap/>
            <w:hideMark/>
          </w:tcPr>
          <w:p w14:paraId="2CA2500C"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Emergency</w:t>
            </w:r>
          </w:p>
        </w:tc>
        <w:tc>
          <w:tcPr>
            <w:tcW w:w="1055" w:type="dxa"/>
            <w:shd w:val="clear" w:color="DDEBF7" w:fill="DDEBF7"/>
            <w:noWrap/>
            <w:hideMark/>
          </w:tcPr>
          <w:p w14:paraId="69E5B85E"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Inpatient</w:t>
            </w:r>
          </w:p>
        </w:tc>
        <w:tc>
          <w:tcPr>
            <w:tcW w:w="1222" w:type="dxa"/>
            <w:shd w:val="clear" w:color="DDEBF7" w:fill="DDEBF7"/>
            <w:noWrap/>
            <w:hideMark/>
          </w:tcPr>
          <w:p w14:paraId="2CDEF073"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Outpatient</w:t>
            </w:r>
          </w:p>
        </w:tc>
        <w:tc>
          <w:tcPr>
            <w:tcW w:w="1454" w:type="dxa"/>
            <w:shd w:val="clear" w:color="DDEBF7" w:fill="DDEBF7"/>
            <w:noWrap/>
            <w:hideMark/>
          </w:tcPr>
          <w:p w14:paraId="7FBB40BE"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Grand Total</w:t>
            </w:r>
          </w:p>
        </w:tc>
      </w:tr>
      <w:tr w:rsidR="00A733E2" w:rsidRPr="00A733E2" w14:paraId="75340045" w14:textId="77777777" w:rsidTr="00A733E2">
        <w:trPr>
          <w:trHeight w:val="300"/>
        </w:trPr>
        <w:tc>
          <w:tcPr>
            <w:tcW w:w="4179" w:type="dxa"/>
            <w:shd w:val="clear" w:color="auto" w:fill="auto"/>
            <w:noWrap/>
            <w:hideMark/>
          </w:tcPr>
          <w:p w14:paraId="6944F91C"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American Indian or Alaska Native</w:t>
            </w:r>
          </w:p>
        </w:tc>
        <w:tc>
          <w:tcPr>
            <w:tcW w:w="1720" w:type="dxa"/>
            <w:shd w:val="clear" w:color="auto" w:fill="auto"/>
            <w:noWrap/>
            <w:hideMark/>
          </w:tcPr>
          <w:p w14:paraId="16158A61"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8.33%</w:t>
            </w:r>
          </w:p>
        </w:tc>
        <w:tc>
          <w:tcPr>
            <w:tcW w:w="1055" w:type="dxa"/>
            <w:shd w:val="clear" w:color="auto" w:fill="auto"/>
            <w:noWrap/>
            <w:hideMark/>
          </w:tcPr>
          <w:p w14:paraId="536A7198"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41.67%</w:t>
            </w:r>
          </w:p>
        </w:tc>
        <w:tc>
          <w:tcPr>
            <w:tcW w:w="1222" w:type="dxa"/>
            <w:shd w:val="clear" w:color="auto" w:fill="auto"/>
            <w:noWrap/>
            <w:hideMark/>
          </w:tcPr>
          <w:p w14:paraId="3594C390"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50.00%</w:t>
            </w:r>
          </w:p>
        </w:tc>
        <w:tc>
          <w:tcPr>
            <w:tcW w:w="1454" w:type="dxa"/>
            <w:shd w:val="clear" w:color="auto" w:fill="auto"/>
            <w:noWrap/>
            <w:hideMark/>
          </w:tcPr>
          <w:p w14:paraId="271F4202"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3E693B13" w14:textId="77777777" w:rsidTr="00A733E2">
        <w:trPr>
          <w:trHeight w:val="300"/>
        </w:trPr>
        <w:tc>
          <w:tcPr>
            <w:tcW w:w="4179" w:type="dxa"/>
            <w:shd w:val="clear" w:color="auto" w:fill="auto"/>
            <w:noWrap/>
            <w:hideMark/>
          </w:tcPr>
          <w:p w14:paraId="66FB4416"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Asian</w:t>
            </w:r>
          </w:p>
        </w:tc>
        <w:tc>
          <w:tcPr>
            <w:tcW w:w="1720" w:type="dxa"/>
            <w:shd w:val="clear" w:color="auto" w:fill="auto"/>
            <w:noWrap/>
            <w:hideMark/>
          </w:tcPr>
          <w:p w14:paraId="506FE4EB"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1.59%</w:t>
            </w:r>
          </w:p>
        </w:tc>
        <w:tc>
          <w:tcPr>
            <w:tcW w:w="1055" w:type="dxa"/>
            <w:shd w:val="clear" w:color="auto" w:fill="auto"/>
            <w:noWrap/>
            <w:hideMark/>
          </w:tcPr>
          <w:p w14:paraId="6FADFEE8"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50.79%</w:t>
            </w:r>
          </w:p>
        </w:tc>
        <w:tc>
          <w:tcPr>
            <w:tcW w:w="1222" w:type="dxa"/>
            <w:shd w:val="clear" w:color="auto" w:fill="auto"/>
            <w:noWrap/>
            <w:hideMark/>
          </w:tcPr>
          <w:p w14:paraId="01190DEF"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47.62%</w:t>
            </w:r>
          </w:p>
        </w:tc>
        <w:tc>
          <w:tcPr>
            <w:tcW w:w="1454" w:type="dxa"/>
            <w:shd w:val="clear" w:color="auto" w:fill="auto"/>
            <w:noWrap/>
            <w:hideMark/>
          </w:tcPr>
          <w:p w14:paraId="393842D8"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362AC480" w14:textId="77777777" w:rsidTr="00A733E2">
        <w:trPr>
          <w:trHeight w:val="300"/>
        </w:trPr>
        <w:tc>
          <w:tcPr>
            <w:tcW w:w="4179" w:type="dxa"/>
            <w:shd w:val="clear" w:color="auto" w:fill="auto"/>
            <w:noWrap/>
            <w:hideMark/>
          </w:tcPr>
          <w:p w14:paraId="660C2EB4"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Black or African American</w:t>
            </w:r>
          </w:p>
        </w:tc>
        <w:tc>
          <w:tcPr>
            <w:tcW w:w="1720" w:type="dxa"/>
            <w:shd w:val="clear" w:color="auto" w:fill="auto"/>
            <w:noWrap/>
            <w:hideMark/>
          </w:tcPr>
          <w:p w14:paraId="7C689152"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1.32%</w:t>
            </w:r>
          </w:p>
        </w:tc>
        <w:tc>
          <w:tcPr>
            <w:tcW w:w="1055" w:type="dxa"/>
            <w:shd w:val="clear" w:color="auto" w:fill="auto"/>
            <w:noWrap/>
            <w:hideMark/>
          </w:tcPr>
          <w:p w14:paraId="529BE023"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62.72%</w:t>
            </w:r>
          </w:p>
        </w:tc>
        <w:tc>
          <w:tcPr>
            <w:tcW w:w="1222" w:type="dxa"/>
            <w:shd w:val="clear" w:color="auto" w:fill="auto"/>
            <w:noWrap/>
            <w:hideMark/>
          </w:tcPr>
          <w:p w14:paraId="40F2878A"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35.96%</w:t>
            </w:r>
          </w:p>
        </w:tc>
        <w:tc>
          <w:tcPr>
            <w:tcW w:w="1454" w:type="dxa"/>
            <w:shd w:val="clear" w:color="auto" w:fill="auto"/>
            <w:noWrap/>
            <w:hideMark/>
          </w:tcPr>
          <w:p w14:paraId="33469765"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0031ED4D" w14:textId="77777777" w:rsidTr="00A733E2">
        <w:trPr>
          <w:trHeight w:val="300"/>
        </w:trPr>
        <w:tc>
          <w:tcPr>
            <w:tcW w:w="4179" w:type="dxa"/>
            <w:shd w:val="clear" w:color="auto" w:fill="auto"/>
            <w:noWrap/>
            <w:hideMark/>
          </w:tcPr>
          <w:p w14:paraId="21C12EEE"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Decline to Answer</w:t>
            </w:r>
          </w:p>
        </w:tc>
        <w:tc>
          <w:tcPr>
            <w:tcW w:w="1720" w:type="dxa"/>
            <w:shd w:val="clear" w:color="auto" w:fill="auto"/>
            <w:noWrap/>
            <w:hideMark/>
          </w:tcPr>
          <w:p w14:paraId="0B321E6E"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0.00%</w:t>
            </w:r>
          </w:p>
        </w:tc>
        <w:tc>
          <w:tcPr>
            <w:tcW w:w="1055" w:type="dxa"/>
            <w:shd w:val="clear" w:color="auto" w:fill="auto"/>
            <w:noWrap/>
            <w:hideMark/>
          </w:tcPr>
          <w:p w14:paraId="1CC61DC2"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40.00%</w:t>
            </w:r>
          </w:p>
        </w:tc>
        <w:tc>
          <w:tcPr>
            <w:tcW w:w="1222" w:type="dxa"/>
            <w:shd w:val="clear" w:color="auto" w:fill="auto"/>
            <w:noWrap/>
            <w:hideMark/>
          </w:tcPr>
          <w:p w14:paraId="77704D00"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60.00%</w:t>
            </w:r>
          </w:p>
        </w:tc>
        <w:tc>
          <w:tcPr>
            <w:tcW w:w="1454" w:type="dxa"/>
            <w:shd w:val="clear" w:color="auto" w:fill="auto"/>
            <w:noWrap/>
            <w:hideMark/>
          </w:tcPr>
          <w:p w14:paraId="2A46FBAD"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47A9A27D" w14:textId="77777777" w:rsidTr="00A733E2">
        <w:trPr>
          <w:trHeight w:val="300"/>
        </w:trPr>
        <w:tc>
          <w:tcPr>
            <w:tcW w:w="4179" w:type="dxa"/>
            <w:shd w:val="clear" w:color="auto" w:fill="auto"/>
            <w:noWrap/>
            <w:hideMark/>
          </w:tcPr>
          <w:p w14:paraId="16694119"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Native Hawaiian or Other Pacific Islander</w:t>
            </w:r>
          </w:p>
        </w:tc>
        <w:tc>
          <w:tcPr>
            <w:tcW w:w="1720" w:type="dxa"/>
            <w:shd w:val="clear" w:color="auto" w:fill="auto"/>
            <w:noWrap/>
            <w:hideMark/>
          </w:tcPr>
          <w:p w14:paraId="5EF3104F"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0.00%</w:t>
            </w:r>
          </w:p>
        </w:tc>
        <w:tc>
          <w:tcPr>
            <w:tcW w:w="1055" w:type="dxa"/>
            <w:shd w:val="clear" w:color="auto" w:fill="auto"/>
            <w:noWrap/>
            <w:hideMark/>
          </w:tcPr>
          <w:p w14:paraId="2DC57FB2"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c>
          <w:tcPr>
            <w:tcW w:w="1222" w:type="dxa"/>
            <w:shd w:val="clear" w:color="auto" w:fill="auto"/>
            <w:noWrap/>
            <w:hideMark/>
          </w:tcPr>
          <w:p w14:paraId="0CC0A948"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0.00%</w:t>
            </w:r>
          </w:p>
        </w:tc>
        <w:tc>
          <w:tcPr>
            <w:tcW w:w="1454" w:type="dxa"/>
            <w:shd w:val="clear" w:color="auto" w:fill="auto"/>
            <w:noWrap/>
            <w:hideMark/>
          </w:tcPr>
          <w:p w14:paraId="562AEBEC"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496EFD75" w14:textId="77777777" w:rsidTr="00A733E2">
        <w:trPr>
          <w:trHeight w:val="300"/>
        </w:trPr>
        <w:tc>
          <w:tcPr>
            <w:tcW w:w="4179" w:type="dxa"/>
            <w:shd w:val="clear" w:color="auto" w:fill="auto"/>
            <w:noWrap/>
            <w:hideMark/>
          </w:tcPr>
          <w:p w14:paraId="51CB6283"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Other</w:t>
            </w:r>
          </w:p>
        </w:tc>
        <w:tc>
          <w:tcPr>
            <w:tcW w:w="1720" w:type="dxa"/>
            <w:shd w:val="clear" w:color="auto" w:fill="auto"/>
            <w:noWrap/>
            <w:hideMark/>
          </w:tcPr>
          <w:p w14:paraId="028F11E9"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6.04%</w:t>
            </w:r>
          </w:p>
        </w:tc>
        <w:tc>
          <w:tcPr>
            <w:tcW w:w="1055" w:type="dxa"/>
            <w:shd w:val="clear" w:color="auto" w:fill="auto"/>
            <w:noWrap/>
            <w:hideMark/>
          </w:tcPr>
          <w:p w14:paraId="45AED4B6"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42.26%</w:t>
            </w:r>
          </w:p>
        </w:tc>
        <w:tc>
          <w:tcPr>
            <w:tcW w:w="1222" w:type="dxa"/>
            <w:shd w:val="clear" w:color="auto" w:fill="auto"/>
            <w:noWrap/>
            <w:hideMark/>
          </w:tcPr>
          <w:p w14:paraId="5F232561"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51.70%</w:t>
            </w:r>
          </w:p>
        </w:tc>
        <w:tc>
          <w:tcPr>
            <w:tcW w:w="1454" w:type="dxa"/>
            <w:shd w:val="clear" w:color="auto" w:fill="auto"/>
            <w:noWrap/>
            <w:hideMark/>
          </w:tcPr>
          <w:p w14:paraId="625DF438"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6759870E" w14:textId="77777777" w:rsidTr="00A733E2">
        <w:trPr>
          <w:trHeight w:val="300"/>
        </w:trPr>
        <w:tc>
          <w:tcPr>
            <w:tcW w:w="4179" w:type="dxa"/>
            <w:shd w:val="clear" w:color="auto" w:fill="auto"/>
            <w:noWrap/>
            <w:hideMark/>
          </w:tcPr>
          <w:p w14:paraId="41FE47AC"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Unknown</w:t>
            </w:r>
          </w:p>
        </w:tc>
        <w:tc>
          <w:tcPr>
            <w:tcW w:w="1720" w:type="dxa"/>
            <w:shd w:val="clear" w:color="auto" w:fill="auto"/>
            <w:noWrap/>
            <w:hideMark/>
          </w:tcPr>
          <w:p w14:paraId="531066FA"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3.13%</w:t>
            </w:r>
          </w:p>
        </w:tc>
        <w:tc>
          <w:tcPr>
            <w:tcW w:w="1055" w:type="dxa"/>
            <w:shd w:val="clear" w:color="auto" w:fill="auto"/>
            <w:noWrap/>
            <w:hideMark/>
          </w:tcPr>
          <w:p w14:paraId="374B6853"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81.25%</w:t>
            </w:r>
          </w:p>
        </w:tc>
        <w:tc>
          <w:tcPr>
            <w:tcW w:w="1222" w:type="dxa"/>
            <w:shd w:val="clear" w:color="auto" w:fill="auto"/>
            <w:noWrap/>
            <w:hideMark/>
          </w:tcPr>
          <w:p w14:paraId="62EE1A62"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15.63%</w:t>
            </w:r>
          </w:p>
        </w:tc>
        <w:tc>
          <w:tcPr>
            <w:tcW w:w="1454" w:type="dxa"/>
            <w:shd w:val="clear" w:color="auto" w:fill="auto"/>
            <w:noWrap/>
            <w:hideMark/>
          </w:tcPr>
          <w:p w14:paraId="63770075"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34313EBA" w14:textId="77777777" w:rsidTr="00A733E2">
        <w:trPr>
          <w:trHeight w:val="300"/>
        </w:trPr>
        <w:tc>
          <w:tcPr>
            <w:tcW w:w="4179" w:type="dxa"/>
            <w:shd w:val="clear" w:color="auto" w:fill="auto"/>
            <w:noWrap/>
            <w:hideMark/>
          </w:tcPr>
          <w:p w14:paraId="709F1C45"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White/Caucasian</w:t>
            </w:r>
          </w:p>
        </w:tc>
        <w:tc>
          <w:tcPr>
            <w:tcW w:w="1720" w:type="dxa"/>
            <w:shd w:val="clear" w:color="auto" w:fill="auto"/>
            <w:noWrap/>
            <w:hideMark/>
          </w:tcPr>
          <w:p w14:paraId="230C6A65"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3.03%</w:t>
            </w:r>
          </w:p>
        </w:tc>
        <w:tc>
          <w:tcPr>
            <w:tcW w:w="1055" w:type="dxa"/>
            <w:shd w:val="clear" w:color="auto" w:fill="auto"/>
            <w:noWrap/>
            <w:hideMark/>
          </w:tcPr>
          <w:p w14:paraId="2E5A6AC0"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56.56%</w:t>
            </w:r>
          </w:p>
        </w:tc>
        <w:tc>
          <w:tcPr>
            <w:tcW w:w="1222" w:type="dxa"/>
            <w:shd w:val="clear" w:color="auto" w:fill="auto"/>
            <w:noWrap/>
            <w:hideMark/>
          </w:tcPr>
          <w:p w14:paraId="5DBE1B38"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40.41%</w:t>
            </w:r>
          </w:p>
        </w:tc>
        <w:tc>
          <w:tcPr>
            <w:tcW w:w="1454" w:type="dxa"/>
            <w:shd w:val="clear" w:color="auto" w:fill="auto"/>
            <w:noWrap/>
            <w:hideMark/>
          </w:tcPr>
          <w:p w14:paraId="61271A85"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100.00%</w:t>
            </w:r>
          </w:p>
        </w:tc>
      </w:tr>
      <w:tr w:rsidR="00A733E2" w:rsidRPr="00A733E2" w14:paraId="2E9BFF93" w14:textId="77777777" w:rsidTr="00A733E2">
        <w:trPr>
          <w:trHeight w:val="300"/>
        </w:trPr>
        <w:tc>
          <w:tcPr>
            <w:tcW w:w="4179" w:type="dxa"/>
            <w:shd w:val="clear" w:color="DDEBF7" w:fill="DDEBF7"/>
            <w:noWrap/>
            <w:hideMark/>
          </w:tcPr>
          <w:p w14:paraId="60403A50" w14:textId="77777777" w:rsidR="00D30C24" w:rsidRPr="00A733E2" w:rsidRDefault="00D30C24" w:rsidP="00D30C24">
            <w:pPr>
              <w:spacing w:after="0" w:line="240" w:lineRule="auto"/>
              <w:rPr>
                <w:rFonts w:ascii="Calibri" w:eastAsia="Times New Roman" w:hAnsi="Calibri" w:cs="Calibri"/>
                <w:b/>
                <w:bCs/>
              </w:rPr>
            </w:pPr>
            <w:r w:rsidRPr="00A733E2">
              <w:rPr>
                <w:rFonts w:ascii="Calibri" w:eastAsia="Times New Roman" w:hAnsi="Calibri" w:cs="Calibri"/>
                <w:b/>
                <w:bCs/>
              </w:rPr>
              <w:t>Grand Total</w:t>
            </w:r>
          </w:p>
        </w:tc>
        <w:tc>
          <w:tcPr>
            <w:tcW w:w="1720" w:type="dxa"/>
            <w:shd w:val="clear" w:color="DDEBF7" w:fill="DDEBF7"/>
            <w:noWrap/>
            <w:hideMark/>
          </w:tcPr>
          <w:p w14:paraId="1B09F99D"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3.07%</w:t>
            </w:r>
          </w:p>
        </w:tc>
        <w:tc>
          <w:tcPr>
            <w:tcW w:w="1055" w:type="dxa"/>
            <w:shd w:val="clear" w:color="DDEBF7" w:fill="DDEBF7"/>
            <w:noWrap/>
            <w:hideMark/>
          </w:tcPr>
          <w:p w14:paraId="68B9BABF"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56.17%</w:t>
            </w:r>
          </w:p>
        </w:tc>
        <w:tc>
          <w:tcPr>
            <w:tcW w:w="1222" w:type="dxa"/>
            <w:shd w:val="clear" w:color="DDEBF7" w:fill="DDEBF7"/>
            <w:noWrap/>
            <w:hideMark/>
          </w:tcPr>
          <w:p w14:paraId="383E32DD"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40.76%</w:t>
            </w:r>
          </w:p>
        </w:tc>
        <w:tc>
          <w:tcPr>
            <w:tcW w:w="1454" w:type="dxa"/>
            <w:shd w:val="clear" w:color="DDEBF7" w:fill="DDEBF7"/>
            <w:noWrap/>
            <w:hideMark/>
          </w:tcPr>
          <w:p w14:paraId="45321D54"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100.00%</w:t>
            </w:r>
          </w:p>
        </w:tc>
      </w:tr>
    </w:tbl>
    <w:p w14:paraId="4AA33EB5" w14:textId="0328EA22" w:rsidR="006D7D3C" w:rsidRPr="00A733E2" w:rsidRDefault="006D7D3C" w:rsidP="007F6742">
      <w:pPr>
        <w:tabs>
          <w:tab w:val="left" w:pos="4455"/>
        </w:tabs>
        <w:rPr>
          <w:sz w:val="24"/>
          <w:szCs w:val="24"/>
        </w:rPr>
      </w:pPr>
    </w:p>
    <w:tbl>
      <w:tblPr>
        <w:tblpPr w:leftFromText="180" w:rightFromText="180" w:vertAnchor="text" w:horzAnchor="margin" w:tblpXSpec="center" w:tblpY="11"/>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710"/>
        <w:gridCol w:w="1440"/>
        <w:gridCol w:w="1350"/>
        <w:gridCol w:w="1440"/>
      </w:tblGrid>
      <w:tr w:rsidR="00A733E2" w:rsidRPr="00A733E2" w14:paraId="7D58FCB6" w14:textId="77777777" w:rsidTr="00A733E2">
        <w:trPr>
          <w:trHeight w:val="300"/>
        </w:trPr>
        <w:tc>
          <w:tcPr>
            <w:tcW w:w="2790" w:type="dxa"/>
            <w:shd w:val="clear" w:color="DDEBF7" w:fill="DDEBF7"/>
            <w:noWrap/>
            <w:vAlign w:val="bottom"/>
            <w:hideMark/>
          </w:tcPr>
          <w:p w14:paraId="265B9EA8" w14:textId="0CA791D0" w:rsidR="00D30C24" w:rsidRPr="00A733E2" w:rsidRDefault="00D30C24" w:rsidP="00D30C24">
            <w:pPr>
              <w:spacing w:after="0" w:line="240" w:lineRule="auto"/>
              <w:rPr>
                <w:rFonts w:ascii="Calibri" w:eastAsia="Times New Roman" w:hAnsi="Calibri" w:cs="Calibri"/>
                <w:b/>
                <w:bCs/>
              </w:rPr>
            </w:pPr>
            <w:r w:rsidRPr="00A733E2">
              <w:rPr>
                <w:rFonts w:ascii="Calibri" w:eastAsia="Times New Roman" w:hAnsi="Calibri" w:cs="Calibri"/>
                <w:b/>
                <w:bCs/>
              </w:rPr>
              <w:t>Payer Mix</w:t>
            </w:r>
          </w:p>
        </w:tc>
        <w:tc>
          <w:tcPr>
            <w:tcW w:w="1710" w:type="dxa"/>
            <w:shd w:val="clear" w:color="DDEBF7" w:fill="DDEBF7"/>
            <w:noWrap/>
            <w:vAlign w:val="bottom"/>
            <w:hideMark/>
          </w:tcPr>
          <w:p w14:paraId="23E252DF"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Emergency</w:t>
            </w:r>
          </w:p>
        </w:tc>
        <w:tc>
          <w:tcPr>
            <w:tcW w:w="1440" w:type="dxa"/>
            <w:shd w:val="clear" w:color="DDEBF7" w:fill="DDEBF7"/>
            <w:noWrap/>
            <w:vAlign w:val="bottom"/>
            <w:hideMark/>
          </w:tcPr>
          <w:p w14:paraId="3C92058F"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Inpatient</w:t>
            </w:r>
          </w:p>
        </w:tc>
        <w:tc>
          <w:tcPr>
            <w:tcW w:w="1350" w:type="dxa"/>
            <w:shd w:val="clear" w:color="DDEBF7" w:fill="DDEBF7"/>
            <w:noWrap/>
            <w:vAlign w:val="bottom"/>
            <w:hideMark/>
          </w:tcPr>
          <w:p w14:paraId="48EC22E7"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Outpatient</w:t>
            </w:r>
          </w:p>
        </w:tc>
        <w:tc>
          <w:tcPr>
            <w:tcW w:w="1440" w:type="dxa"/>
            <w:shd w:val="clear" w:color="DDEBF7" w:fill="DDEBF7"/>
            <w:noWrap/>
            <w:vAlign w:val="bottom"/>
            <w:hideMark/>
          </w:tcPr>
          <w:p w14:paraId="2603DD99"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Grand Total</w:t>
            </w:r>
          </w:p>
        </w:tc>
      </w:tr>
      <w:tr w:rsidR="00A733E2" w:rsidRPr="00A733E2" w14:paraId="7348D189" w14:textId="77777777" w:rsidTr="00A733E2">
        <w:trPr>
          <w:trHeight w:val="300"/>
        </w:trPr>
        <w:tc>
          <w:tcPr>
            <w:tcW w:w="2790" w:type="dxa"/>
            <w:shd w:val="clear" w:color="auto" w:fill="auto"/>
            <w:noWrap/>
            <w:vAlign w:val="bottom"/>
            <w:hideMark/>
          </w:tcPr>
          <w:p w14:paraId="59E3D2EB"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All Other</w:t>
            </w:r>
          </w:p>
        </w:tc>
        <w:tc>
          <w:tcPr>
            <w:tcW w:w="1710" w:type="dxa"/>
            <w:shd w:val="clear" w:color="auto" w:fill="auto"/>
            <w:noWrap/>
            <w:vAlign w:val="bottom"/>
            <w:hideMark/>
          </w:tcPr>
          <w:p w14:paraId="141F6481"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0.29%</w:t>
            </w:r>
          </w:p>
        </w:tc>
        <w:tc>
          <w:tcPr>
            <w:tcW w:w="1440" w:type="dxa"/>
            <w:shd w:val="clear" w:color="auto" w:fill="auto"/>
            <w:noWrap/>
            <w:vAlign w:val="bottom"/>
            <w:hideMark/>
          </w:tcPr>
          <w:p w14:paraId="135F6841"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1.06%</w:t>
            </w:r>
          </w:p>
        </w:tc>
        <w:tc>
          <w:tcPr>
            <w:tcW w:w="1350" w:type="dxa"/>
            <w:shd w:val="clear" w:color="auto" w:fill="auto"/>
            <w:noWrap/>
            <w:vAlign w:val="bottom"/>
            <w:hideMark/>
          </w:tcPr>
          <w:p w14:paraId="4E2F52B7"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1.02%</w:t>
            </w:r>
          </w:p>
        </w:tc>
        <w:tc>
          <w:tcPr>
            <w:tcW w:w="1440" w:type="dxa"/>
            <w:shd w:val="clear" w:color="auto" w:fill="auto"/>
            <w:noWrap/>
            <w:vAlign w:val="bottom"/>
            <w:hideMark/>
          </w:tcPr>
          <w:p w14:paraId="08850CCD"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2.38%</w:t>
            </w:r>
          </w:p>
        </w:tc>
      </w:tr>
      <w:tr w:rsidR="00A733E2" w:rsidRPr="00A733E2" w14:paraId="2D44C17C" w14:textId="77777777" w:rsidTr="00A733E2">
        <w:trPr>
          <w:trHeight w:val="300"/>
        </w:trPr>
        <w:tc>
          <w:tcPr>
            <w:tcW w:w="2790" w:type="dxa"/>
            <w:shd w:val="clear" w:color="auto" w:fill="auto"/>
            <w:noWrap/>
            <w:vAlign w:val="bottom"/>
            <w:hideMark/>
          </w:tcPr>
          <w:p w14:paraId="4B9B7665"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Commercial HMO/POS</w:t>
            </w:r>
          </w:p>
        </w:tc>
        <w:tc>
          <w:tcPr>
            <w:tcW w:w="1710" w:type="dxa"/>
            <w:shd w:val="clear" w:color="auto" w:fill="auto"/>
            <w:noWrap/>
            <w:vAlign w:val="bottom"/>
            <w:hideMark/>
          </w:tcPr>
          <w:p w14:paraId="2619E3D3"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0.89%</w:t>
            </w:r>
          </w:p>
        </w:tc>
        <w:tc>
          <w:tcPr>
            <w:tcW w:w="1440" w:type="dxa"/>
            <w:shd w:val="clear" w:color="auto" w:fill="auto"/>
            <w:noWrap/>
            <w:vAlign w:val="bottom"/>
            <w:hideMark/>
          </w:tcPr>
          <w:p w14:paraId="4A45D50B"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7.79%</w:t>
            </w:r>
          </w:p>
        </w:tc>
        <w:tc>
          <w:tcPr>
            <w:tcW w:w="1350" w:type="dxa"/>
            <w:shd w:val="clear" w:color="auto" w:fill="auto"/>
            <w:noWrap/>
            <w:vAlign w:val="bottom"/>
            <w:hideMark/>
          </w:tcPr>
          <w:p w14:paraId="740AD418"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9.55%</w:t>
            </w:r>
          </w:p>
        </w:tc>
        <w:tc>
          <w:tcPr>
            <w:tcW w:w="1440" w:type="dxa"/>
            <w:shd w:val="clear" w:color="auto" w:fill="auto"/>
            <w:noWrap/>
            <w:vAlign w:val="bottom"/>
            <w:hideMark/>
          </w:tcPr>
          <w:p w14:paraId="5E779966"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18.24%</w:t>
            </w:r>
          </w:p>
        </w:tc>
      </w:tr>
      <w:tr w:rsidR="00A733E2" w:rsidRPr="00A733E2" w14:paraId="7D4C2187" w14:textId="77777777" w:rsidTr="00A733E2">
        <w:trPr>
          <w:trHeight w:val="300"/>
        </w:trPr>
        <w:tc>
          <w:tcPr>
            <w:tcW w:w="2790" w:type="dxa"/>
            <w:shd w:val="clear" w:color="auto" w:fill="auto"/>
            <w:noWrap/>
            <w:vAlign w:val="bottom"/>
            <w:hideMark/>
          </w:tcPr>
          <w:p w14:paraId="41BF8D4F"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Commercial Medicare</w:t>
            </w:r>
          </w:p>
        </w:tc>
        <w:tc>
          <w:tcPr>
            <w:tcW w:w="1710" w:type="dxa"/>
            <w:shd w:val="clear" w:color="auto" w:fill="auto"/>
            <w:noWrap/>
            <w:vAlign w:val="bottom"/>
            <w:hideMark/>
          </w:tcPr>
          <w:p w14:paraId="6C9CF2AD"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0.06%</w:t>
            </w:r>
          </w:p>
        </w:tc>
        <w:tc>
          <w:tcPr>
            <w:tcW w:w="1440" w:type="dxa"/>
            <w:shd w:val="clear" w:color="auto" w:fill="auto"/>
            <w:noWrap/>
            <w:vAlign w:val="bottom"/>
            <w:hideMark/>
          </w:tcPr>
          <w:p w14:paraId="5C16D507"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6.49%</w:t>
            </w:r>
          </w:p>
        </w:tc>
        <w:tc>
          <w:tcPr>
            <w:tcW w:w="1350" w:type="dxa"/>
            <w:shd w:val="clear" w:color="auto" w:fill="auto"/>
            <w:noWrap/>
            <w:vAlign w:val="bottom"/>
            <w:hideMark/>
          </w:tcPr>
          <w:p w14:paraId="72F742E2"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4.88%</w:t>
            </w:r>
          </w:p>
        </w:tc>
        <w:tc>
          <w:tcPr>
            <w:tcW w:w="1440" w:type="dxa"/>
            <w:shd w:val="clear" w:color="auto" w:fill="auto"/>
            <w:noWrap/>
            <w:vAlign w:val="bottom"/>
            <w:hideMark/>
          </w:tcPr>
          <w:p w14:paraId="12CDD409"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11.43%</w:t>
            </w:r>
          </w:p>
        </w:tc>
      </w:tr>
      <w:tr w:rsidR="00A733E2" w:rsidRPr="00A733E2" w14:paraId="5FCCFC6F" w14:textId="77777777" w:rsidTr="00A733E2">
        <w:trPr>
          <w:trHeight w:val="300"/>
        </w:trPr>
        <w:tc>
          <w:tcPr>
            <w:tcW w:w="2790" w:type="dxa"/>
            <w:shd w:val="clear" w:color="auto" w:fill="auto"/>
            <w:noWrap/>
            <w:vAlign w:val="bottom"/>
            <w:hideMark/>
          </w:tcPr>
          <w:p w14:paraId="6CAF2416"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Commercial PPO/Indemnity</w:t>
            </w:r>
          </w:p>
        </w:tc>
        <w:tc>
          <w:tcPr>
            <w:tcW w:w="1710" w:type="dxa"/>
            <w:shd w:val="clear" w:color="auto" w:fill="auto"/>
            <w:noWrap/>
            <w:vAlign w:val="bottom"/>
            <w:hideMark/>
          </w:tcPr>
          <w:p w14:paraId="16085D80"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0.57%</w:t>
            </w:r>
          </w:p>
        </w:tc>
        <w:tc>
          <w:tcPr>
            <w:tcW w:w="1440" w:type="dxa"/>
            <w:shd w:val="clear" w:color="auto" w:fill="auto"/>
            <w:noWrap/>
            <w:vAlign w:val="bottom"/>
            <w:hideMark/>
          </w:tcPr>
          <w:p w14:paraId="59F7B491"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6.45%</w:t>
            </w:r>
          </w:p>
        </w:tc>
        <w:tc>
          <w:tcPr>
            <w:tcW w:w="1350" w:type="dxa"/>
            <w:shd w:val="clear" w:color="auto" w:fill="auto"/>
            <w:noWrap/>
            <w:vAlign w:val="bottom"/>
            <w:hideMark/>
          </w:tcPr>
          <w:p w14:paraId="0ED6F9F1"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6.49%</w:t>
            </w:r>
          </w:p>
        </w:tc>
        <w:tc>
          <w:tcPr>
            <w:tcW w:w="1440" w:type="dxa"/>
            <w:shd w:val="clear" w:color="auto" w:fill="auto"/>
            <w:noWrap/>
            <w:vAlign w:val="bottom"/>
            <w:hideMark/>
          </w:tcPr>
          <w:p w14:paraId="683F4F2A"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13.51%</w:t>
            </w:r>
          </w:p>
        </w:tc>
      </w:tr>
      <w:tr w:rsidR="00A733E2" w:rsidRPr="00A733E2" w14:paraId="43FBE77D" w14:textId="77777777" w:rsidTr="00A733E2">
        <w:trPr>
          <w:trHeight w:val="300"/>
        </w:trPr>
        <w:tc>
          <w:tcPr>
            <w:tcW w:w="2790" w:type="dxa"/>
            <w:shd w:val="clear" w:color="auto" w:fill="auto"/>
            <w:noWrap/>
            <w:vAlign w:val="bottom"/>
            <w:hideMark/>
          </w:tcPr>
          <w:p w14:paraId="55FD2A08"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Managed Medcaid</w:t>
            </w:r>
          </w:p>
        </w:tc>
        <w:tc>
          <w:tcPr>
            <w:tcW w:w="1710" w:type="dxa"/>
            <w:shd w:val="clear" w:color="auto" w:fill="auto"/>
            <w:noWrap/>
            <w:vAlign w:val="bottom"/>
            <w:hideMark/>
          </w:tcPr>
          <w:p w14:paraId="6C424A79"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0.17%</w:t>
            </w:r>
          </w:p>
        </w:tc>
        <w:tc>
          <w:tcPr>
            <w:tcW w:w="1440" w:type="dxa"/>
            <w:shd w:val="clear" w:color="auto" w:fill="auto"/>
            <w:noWrap/>
            <w:vAlign w:val="bottom"/>
            <w:hideMark/>
          </w:tcPr>
          <w:p w14:paraId="462FEE6E"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1.57%</w:t>
            </w:r>
          </w:p>
        </w:tc>
        <w:tc>
          <w:tcPr>
            <w:tcW w:w="1350" w:type="dxa"/>
            <w:shd w:val="clear" w:color="auto" w:fill="auto"/>
            <w:noWrap/>
            <w:vAlign w:val="bottom"/>
            <w:hideMark/>
          </w:tcPr>
          <w:p w14:paraId="37DAD026"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0.57%</w:t>
            </w:r>
          </w:p>
        </w:tc>
        <w:tc>
          <w:tcPr>
            <w:tcW w:w="1440" w:type="dxa"/>
            <w:shd w:val="clear" w:color="auto" w:fill="auto"/>
            <w:noWrap/>
            <w:vAlign w:val="bottom"/>
            <w:hideMark/>
          </w:tcPr>
          <w:p w14:paraId="607001A4"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2.31%</w:t>
            </w:r>
          </w:p>
        </w:tc>
      </w:tr>
      <w:tr w:rsidR="00A733E2" w:rsidRPr="00A733E2" w14:paraId="5CEAF89F" w14:textId="77777777" w:rsidTr="00A733E2">
        <w:trPr>
          <w:trHeight w:val="300"/>
        </w:trPr>
        <w:tc>
          <w:tcPr>
            <w:tcW w:w="2790" w:type="dxa"/>
            <w:shd w:val="clear" w:color="auto" w:fill="auto"/>
            <w:noWrap/>
            <w:vAlign w:val="bottom"/>
            <w:hideMark/>
          </w:tcPr>
          <w:p w14:paraId="31EC8A5E"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Mass Health</w:t>
            </w:r>
          </w:p>
        </w:tc>
        <w:tc>
          <w:tcPr>
            <w:tcW w:w="1710" w:type="dxa"/>
            <w:shd w:val="clear" w:color="auto" w:fill="auto"/>
            <w:noWrap/>
            <w:vAlign w:val="bottom"/>
            <w:hideMark/>
          </w:tcPr>
          <w:p w14:paraId="5A84F776"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0.56%</w:t>
            </w:r>
          </w:p>
        </w:tc>
        <w:tc>
          <w:tcPr>
            <w:tcW w:w="1440" w:type="dxa"/>
            <w:shd w:val="clear" w:color="auto" w:fill="auto"/>
            <w:noWrap/>
            <w:vAlign w:val="bottom"/>
            <w:hideMark/>
          </w:tcPr>
          <w:p w14:paraId="3A16565D"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4.18%</w:t>
            </w:r>
          </w:p>
        </w:tc>
        <w:tc>
          <w:tcPr>
            <w:tcW w:w="1350" w:type="dxa"/>
            <w:shd w:val="clear" w:color="auto" w:fill="auto"/>
            <w:noWrap/>
            <w:vAlign w:val="bottom"/>
            <w:hideMark/>
          </w:tcPr>
          <w:p w14:paraId="05FC083A"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2.56%</w:t>
            </w:r>
          </w:p>
        </w:tc>
        <w:tc>
          <w:tcPr>
            <w:tcW w:w="1440" w:type="dxa"/>
            <w:shd w:val="clear" w:color="auto" w:fill="auto"/>
            <w:noWrap/>
            <w:vAlign w:val="bottom"/>
            <w:hideMark/>
          </w:tcPr>
          <w:p w14:paraId="30D455C3"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7.30%</w:t>
            </w:r>
          </w:p>
        </w:tc>
      </w:tr>
      <w:tr w:rsidR="00A733E2" w:rsidRPr="00A733E2" w14:paraId="2181BE6F" w14:textId="77777777" w:rsidTr="00A733E2">
        <w:trPr>
          <w:trHeight w:val="300"/>
        </w:trPr>
        <w:tc>
          <w:tcPr>
            <w:tcW w:w="2790" w:type="dxa"/>
            <w:shd w:val="clear" w:color="auto" w:fill="auto"/>
            <w:noWrap/>
            <w:vAlign w:val="bottom"/>
            <w:hideMark/>
          </w:tcPr>
          <w:p w14:paraId="3D50E359"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Medicare FFS</w:t>
            </w:r>
          </w:p>
        </w:tc>
        <w:tc>
          <w:tcPr>
            <w:tcW w:w="1710" w:type="dxa"/>
            <w:shd w:val="clear" w:color="auto" w:fill="auto"/>
            <w:noWrap/>
            <w:vAlign w:val="bottom"/>
            <w:hideMark/>
          </w:tcPr>
          <w:p w14:paraId="632EA346"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0.49%</w:t>
            </w:r>
          </w:p>
        </w:tc>
        <w:tc>
          <w:tcPr>
            <w:tcW w:w="1440" w:type="dxa"/>
            <w:shd w:val="clear" w:color="auto" w:fill="auto"/>
            <w:noWrap/>
            <w:vAlign w:val="bottom"/>
            <w:hideMark/>
          </w:tcPr>
          <w:p w14:paraId="0F3A9B62"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28.15%</w:t>
            </w:r>
          </w:p>
        </w:tc>
        <w:tc>
          <w:tcPr>
            <w:tcW w:w="1350" w:type="dxa"/>
            <w:shd w:val="clear" w:color="auto" w:fill="auto"/>
            <w:noWrap/>
            <w:vAlign w:val="bottom"/>
            <w:hideMark/>
          </w:tcPr>
          <w:p w14:paraId="5667C81B"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15.43%</w:t>
            </w:r>
          </w:p>
        </w:tc>
        <w:tc>
          <w:tcPr>
            <w:tcW w:w="1440" w:type="dxa"/>
            <w:shd w:val="clear" w:color="auto" w:fill="auto"/>
            <w:noWrap/>
            <w:vAlign w:val="bottom"/>
            <w:hideMark/>
          </w:tcPr>
          <w:p w14:paraId="667494EA"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44.08%</w:t>
            </w:r>
          </w:p>
        </w:tc>
      </w:tr>
      <w:tr w:rsidR="00D30C24" w:rsidRPr="00D30C24" w14:paraId="13268B91" w14:textId="77777777" w:rsidTr="00A733E2">
        <w:trPr>
          <w:trHeight w:val="300"/>
        </w:trPr>
        <w:tc>
          <w:tcPr>
            <w:tcW w:w="2790" w:type="dxa"/>
            <w:shd w:val="clear" w:color="auto" w:fill="auto"/>
            <w:noWrap/>
            <w:vAlign w:val="bottom"/>
            <w:hideMark/>
          </w:tcPr>
          <w:p w14:paraId="0973719C" w14:textId="77777777" w:rsidR="00D30C24" w:rsidRPr="00A733E2" w:rsidRDefault="00D30C24" w:rsidP="00D30C24">
            <w:pPr>
              <w:spacing w:after="0" w:line="240" w:lineRule="auto"/>
              <w:rPr>
                <w:rFonts w:ascii="Calibri" w:eastAsia="Times New Roman" w:hAnsi="Calibri" w:cs="Calibri"/>
              </w:rPr>
            </w:pPr>
            <w:r w:rsidRPr="00A733E2">
              <w:rPr>
                <w:rFonts w:ascii="Calibri" w:eastAsia="Times New Roman" w:hAnsi="Calibri" w:cs="Calibri"/>
              </w:rPr>
              <w:t>Self Pay</w:t>
            </w:r>
          </w:p>
        </w:tc>
        <w:tc>
          <w:tcPr>
            <w:tcW w:w="1710" w:type="dxa"/>
            <w:shd w:val="clear" w:color="auto" w:fill="auto"/>
            <w:noWrap/>
            <w:vAlign w:val="bottom"/>
            <w:hideMark/>
          </w:tcPr>
          <w:p w14:paraId="2CDA1383"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0.03%</w:t>
            </w:r>
          </w:p>
        </w:tc>
        <w:tc>
          <w:tcPr>
            <w:tcW w:w="1440" w:type="dxa"/>
            <w:shd w:val="clear" w:color="auto" w:fill="auto"/>
            <w:noWrap/>
            <w:vAlign w:val="bottom"/>
            <w:hideMark/>
          </w:tcPr>
          <w:p w14:paraId="452B5804"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0.46%</w:t>
            </w:r>
          </w:p>
        </w:tc>
        <w:tc>
          <w:tcPr>
            <w:tcW w:w="1350" w:type="dxa"/>
            <w:shd w:val="clear" w:color="auto" w:fill="auto"/>
            <w:noWrap/>
            <w:vAlign w:val="bottom"/>
            <w:hideMark/>
          </w:tcPr>
          <w:p w14:paraId="2ADC599C"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0.26%</w:t>
            </w:r>
          </w:p>
        </w:tc>
        <w:tc>
          <w:tcPr>
            <w:tcW w:w="1440" w:type="dxa"/>
            <w:shd w:val="clear" w:color="auto" w:fill="auto"/>
            <w:noWrap/>
            <w:vAlign w:val="bottom"/>
            <w:hideMark/>
          </w:tcPr>
          <w:p w14:paraId="62668C70" w14:textId="77777777" w:rsidR="00D30C24" w:rsidRPr="00A733E2" w:rsidRDefault="00D30C24" w:rsidP="00A733E2">
            <w:pPr>
              <w:spacing w:after="0" w:line="240" w:lineRule="auto"/>
              <w:jc w:val="center"/>
              <w:rPr>
                <w:rFonts w:ascii="Calibri" w:eastAsia="Times New Roman" w:hAnsi="Calibri" w:cs="Calibri"/>
              </w:rPr>
            </w:pPr>
            <w:r w:rsidRPr="00A733E2">
              <w:rPr>
                <w:rFonts w:ascii="Calibri" w:eastAsia="Times New Roman" w:hAnsi="Calibri" w:cs="Calibri"/>
              </w:rPr>
              <w:t>0.76%</w:t>
            </w:r>
          </w:p>
        </w:tc>
      </w:tr>
      <w:tr w:rsidR="00D30C24" w:rsidRPr="00D30C24" w14:paraId="49A0AE4E" w14:textId="77777777" w:rsidTr="00A733E2">
        <w:trPr>
          <w:trHeight w:val="300"/>
        </w:trPr>
        <w:tc>
          <w:tcPr>
            <w:tcW w:w="2790" w:type="dxa"/>
            <w:shd w:val="clear" w:color="DDEBF7" w:fill="DDEBF7"/>
            <w:noWrap/>
            <w:vAlign w:val="bottom"/>
            <w:hideMark/>
          </w:tcPr>
          <w:p w14:paraId="48C4FC36" w14:textId="77777777" w:rsidR="00D30C24" w:rsidRPr="00A733E2" w:rsidRDefault="00D30C24" w:rsidP="00D30C24">
            <w:pPr>
              <w:spacing w:after="0" w:line="240" w:lineRule="auto"/>
              <w:rPr>
                <w:rFonts w:ascii="Calibri" w:eastAsia="Times New Roman" w:hAnsi="Calibri" w:cs="Calibri"/>
                <w:b/>
                <w:bCs/>
              </w:rPr>
            </w:pPr>
            <w:r w:rsidRPr="00A733E2">
              <w:rPr>
                <w:rFonts w:ascii="Calibri" w:eastAsia="Times New Roman" w:hAnsi="Calibri" w:cs="Calibri"/>
                <w:b/>
                <w:bCs/>
              </w:rPr>
              <w:t>Grand Total</w:t>
            </w:r>
          </w:p>
        </w:tc>
        <w:tc>
          <w:tcPr>
            <w:tcW w:w="1710" w:type="dxa"/>
            <w:shd w:val="clear" w:color="DDEBF7" w:fill="DDEBF7"/>
            <w:noWrap/>
            <w:vAlign w:val="bottom"/>
            <w:hideMark/>
          </w:tcPr>
          <w:p w14:paraId="480C88D8"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3.07%</w:t>
            </w:r>
          </w:p>
        </w:tc>
        <w:tc>
          <w:tcPr>
            <w:tcW w:w="1440" w:type="dxa"/>
            <w:shd w:val="clear" w:color="DDEBF7" w:fill="DDEBF7"/>
            <w:noWrap/>
            <w:vAlign w:val="bottom"/>
            <w:hideMark/>
          </w:tcPr>
          <w:p w14:paraId="23EAAF85"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56.17%</w:t>
            </w:r>
          </w:p>
        </w:tc>
        <w:tc>
          <w:tcPr>
            <w:tcW w:w="1350" w:type="dxa"/>
            <w:shd w:val="clear" w:color="DDEBF7" w:fill="DDEBF7"/>
            <w:noWrap/>
            <w:vAlign w:val="bottom"/>
            <w:hideMark/>
          </w:tcPr>
          <w:p w14:paraId="7D5C4E1D"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40.76%</w:t>
            </w:r>
          </w:p>
        </w:tc>
        <w:tc>
          <w:tcPr>
            <w:tcW w:w="1440" w:type="dxa"/>
            <w:shd w:val="clear" w:color="DDEBF7" w:fill="DDEBF7"/>
            <w:noWrap/>
            <w:vAlign w:val="bottom"/>
            <w:hideMark/>
          </w:tcPr>
          <w:p w14:paraId="592DB5B4" w14:textId="77777777" w:rsidR="00D30C24" w:rsidRPr="00A733E2" w:rsidRDefault="00D30C24" w:rsidP="00A733E2">
            <w:pPr>
              <w:spacing w:after="0" w:line="240" w:lineRule="auto"/>
              <w:jc w:val="center"/>
              <w:rPr>
                <w:rFonts w:ascii="Calibri" w:eastAsia="Times New Roman" w:hAnsi="Calibri" w:cs="Calibri"/>
                <w:b/>
                <w:bCs/>
              </w:rPr>
            </w:pPr>
            <w:r w:rsidRPr="00A733E2">
              <w:rPr>
                <w:rFonts w:ascii="Calibri" w:eastAsia="Times New Roman" w:hAnsi="Calibri" w:cs="Calibri"/>
                <w:b/>
                <w:bCs/>
              </w:rPr>
              <w:t>100.00%</w:t>
            </w:r>
          </w:p>
        </w:tc>
      </w:tr>
    </w:tbl>
    <w:p w14:paraId="53AACEF3" w14:textId="7B840FB7" w:rsidR="00D30C24" w:rsidRDefault="00D30C24" w:rsidP="007F6742">
      <w:pPr>
        <w:tabs>
          <w:tab w:val="left" w:pos="4455"/>
        </w:tabs>
        <w:rPr>
          <w:sz w:val="24"/>
          <w:szCs w:val="24"/>
        </w:rPr>
      </w:pPr>
    </w:p>
    <w:p w14:paraId="145BD4E5" w14:textId="77777777" w:rsidR="00D30C24" w:rsidRDefault="00D30C24" w:rsidP="007F6742">
      <w:pPr>
        <w:tabs>
          <w:tab w:val="left" w:pos="4455"/>
        </w:tabs>
        <w:rPr>
          <w:sz w:val="24"/>
          <w:szCs w:val="24"/>
        </w:rPr>
      </w:pPr>
    </w:p>
    <w:p w14:paraId="77313295" w14:textId="65A01932" w:rsidR="00D30C24" w:rsidRDefault="00D30C24" w:rsidP="007F6742">
      <w:pPr>
        <w:tabs>
          <w:tab w:val="left" w:pos="4455"/>
        </w:tabs>
        <w:rPr>
          <w:sz w:val="24"/>
          <w:szCs w:val="24"/>
        </w:rPr>
      </w:pPr>
    </w:p>
    <w:p w14:paraId="49F39371" w14:textId="5EDB86DE" w:rsidR="00D30C24" w:rsidRDefault="00D30C24" w:rsidP="007F6742">
      <w:pPr>
        <w:tabs>
          <w:tab w:val="left" w:pos="4455"/>
        </w:tabs>
        <w:rPr>
          <w:sz w:val="24"/>
          <w:szCs w:val="24"/>
        </w:rPr>
      </w:pPr>
    </w:p>
    <w:p w14:paraId="26D1E55E" w14:textId="1F6BFD71" w:rsidR="00D30C24" w:rsidRDefault="00D30C24" w:rsidP="007F6742">
      <w:pPr>
        <w:tabs>
          <w:tab w:val="left" w:pos="4455"/>
        </w:tabs>
        <w:rPr>
          <w:sz w:val="24"/>
          <w:szCs w:val="24"/>
        </w:rPr>
      </w:pPr>
    </w:p>
    <w:p w14:paraId="0CE68F5A" w14:textId="1B1177B9" w:rsidR="00D30C24" w:rsidRDefault="00D30C24" w:rsidP="007F6742">
      <w:pPr>
        <w:tabs>
          <w:tab w:val="left" w:pos="4455"/>
        </w:tabs>
        <w:rPr>
          <w:sz w:val="24"/>
          <w:szCs w:val="24"/>
        </w:rPr>
      </w:pPr>
    </w:p>
    <w:p w14:paraId="52341361" w14:textId="626DBB0B" w:rsidR="006D7D3C" w:rsidRDefault="006D7D3C" w:rsidP="007F6742">
      <w:pPr>
        <w:tabs>
          <w:tab w:val="left" w:pos="4455"/>
        </w:tabs>
        <w:rPr>
          <w:sz w:val="24"/>
          <w:szCs w:val="24"/>
        </w:rPr>
      </w:pPr>
    </w:p>
    <w:p w14:paraId="60BD43C1" w14:textId="5929C4AF" w:rsidR="00CD27F9" w:rsidRDefault="00A56E20" w:rsidP="006D7D3C">
      <w:pPr>
        <w:tabs>
          <w:tab w:val="left" w:pos="4455"/>
        </w:tabs>
        <w:ind w:left="1530"/>
        <w:rPr>
          <w:sz w:val="24"/>
          <w:szCs w:val="24"/>
        </w:rPr>
      </w:pPr>
      <w:r>
        <w:rPr>
          <w:sz w:val="24"/>
          <w:szCs w:val="24"/>
        </w:rPr>
        <w:t xml:space="preserve"> *</w:t>
      </w:r>
      <w:r w:rsidRPr="00E840C5">
        <w:rPr>
          <w:b/>
          <w:bCs/>
          <w:sz w:val="24"/>
          <w:szCs w:val="24"/>
        </w:rPr>
        <w:t>Provide a definition for the category “All Other”</w:t>
      </w:r>
    </w:p>
    <w:p w14:paraId="0223FF67" w14:textId="5313915C" w:rsidR="00086B50" w:rsidRPr="00A733E2" w:rsidRDefault="00086B50" w:rsidP="00A733E2">
      <w:pPr>
        <w:pStyle w:val="ListParagraph"/>
        <w:numPr>
          <w:ilvl w:val="1"/>
          <w:numId w:val="26"/>
        </w:numPr>
        <w:ind w:left="1890" w:hanging="450"/>
        <w:rPr>
          <w:rFonts w:cstheme="minorHAnsi"/>
        </w:rPr>
      </w:pPr>
      <w:r w:rsidRPr="00A733E2">
        <w:rPr>
          <w:rFonts w:cstheme="minorHAnsi"/>
        </w:rPr>
        <w:t>For Race, we have the following options to select: American Indian or Alaska Native, Asian, Black or African American, Decline to Answer, Native Hawaiian or Other Pacific Islander, Other, Unknown, White Caucasian.  If the patient does not fit the above options, “Other” is typically used.  “Other” is not broken out in our system.</w:t>
      </w:r>
    </w:p>
    <w:p w14:paraId="635BFAD2" w14:textId="2BE0550C" w:rsidR="00086B50" w:rsidRPr="00A733E2" w:rsidRDefault="00086B50" w:rsidP="00A733E2">
      <w:pPr>
        <w:pStyle w:val="ListParagraph"/>
        <w:numPr>
          <w:ilvl w:val="1"/>
          <w:numId w:val="26"/>
        </w:numPr>
        <w:tabs>
          <w:tab w:val="left" w:pos="4455"/>
        </w:tabs>
        <w:spacing w:after="0" w:line="240" w:lineRule="auto"/>
        <w:ind w:left="1890" w:hanging="450"/>
        <w:rPr>
          <w:sz w:val="24"/>
          <w:szCs w:val="24"/>
        </w:rPr>
      </w:pPr>
      <w:r w:rsidRPr="00A733E2">
        <w:rPr>
          <w:rFonts w:cstheme="minorHAnsi"/>
        </w:rPr>
        <w:t>For Ethnicity, “Other” is not an option.</w:t>
      </w:r>
    </w:p>
    <w:p w14:paraId="04773590" w14:textId="77777777" w:rsidR="00086B50" w:rsidRPr="00086B50" w:rsidRDefault="00086B50" w:rsidP="00086B50">
      <w:pPr>
        <w:pStyle w:val="ListParagraph"/>
        <w:tabs>
          <w:tab w:val="left" w:pos="4455"/>
        </w:tabs>
        <w:spacing w:after="0" w:line="240" w:lineRule="auto"/>
        <w:ind w:left="1890"/>
        <w:rPr>
          <w:color w:val="0070C0"/>
          <w:sz w:val="24"/>
          <w:szCs w:val="24"/>
        </w:rPr>
      </w:pPr>
    </w:p>
    <w:p w14:paraId="6866F5FC" w14:textId="27D97179" w:rsidR="008204D4" w:rsidRPr="00E840C5" w:rsidRDefault="001B4CB1" w:rsidP="00086B50">
      <w:pPr>
        <w:pStyle w:val="ListParagraph"/>
        <w:numPr>
          <w:ilvl w:val="0"/>
          <w:numId w:val="17"/>
        </w:numPr>
        <w:tabs>
          <w:tab w:val="left" w:pos="4455"/>
        </w:tabs>
        <w:spacing w:after="0" w:line="240" w:lineRule="auto"/>
        <w:rPr>
          <w:b/>
          <w:bCs/>
          <w:sz w:val="24"/>
          <w:szCs w:val="24"/>
        </w:rPr>
      </w:pPr>
      <w:r w:rsidRPr="00E840C5">
        <w:rPr>
          <w:b/>
          <w:bCs/>
          <w:sz w:val="24"/>
          <w:szCs w:val="24"/>
        </w:rPr>
        <w:t>The</w:t>
      </w:r>
      <w:r w:rsidR="00725D33" w:rsidRPr="00E840C5">
        <w:rPr>
          <w:b/>
          <w:bCs/>
          <w:sz w:val="24"/>
          <w:szCs w:val="24"/>
        </w:rPr>
        <w:t xml:space="preserve"> responses to D</w:t>
      </w:r>
      <w:r w:rsidR="00A80618" w:rsidRPr="00E840C5">
        <w:rPr>
          <w:b/>
          <w:bCs/>
          <w:sz w:val="24"/>
          <w:szCs w:val="24"/>
        </w:rPr>
        <w:t>o</w:t>
      </w:r>
      <w:r w:rsidR="00725D33" w:rsidRPr="00E840C5">
        <w:rPr>
          <w:b/>
          <w:bCs/>
          <w:sz w:val="24"/>
          <w:szCs w:val="24"/>
        </w:rPr>
        <w:t>N questions</w:t>
      </w:r>
      <w:r w:rsidRPr="00E840C5">
        <w:rPr>
          <w:b/>
          <w:bCs/>
          <w:sz w:val="24"/>
          <w:szCs w:val="24"/>
        </w:rPr>
        <w:t xml:space="preserve"> mention the collection of ethnicity data</w:t>
      </w:r>
      <w:r w:rsidR="00BC6439" w:rsidRPr="00E840C5">
        <w:rPr>
          <w:b/>
          <w:bCs/>
          <w:sz w:val="24"/>
          <w:szCs w:val="24"/>
        </w:rPr>
        <w:t xml:space="preserve"> (pgs.1-2)</w:t>
      </w:r>
      <w:r w:rsidR="00725D33" w:rsidRPr="00E840C5">
        <w:rPr>
          <w:b/>
          <w:bCs/>
          <w:sz w:val="24"/>
          <w:szCs w:val="24"/>
        </w:rPr>
        <w:t xml:space="preserve">. </w:t>
      </w:r>
    </w:p>
    <w:p w14:paraId="0ACD236F" w14:textId="3F3192F0" w:rsidR="00725D33" w:rsidRPr="00E840C5" w:rsidRDefault="00995846" w:rsidP="008204D4">
      <w:pPr>
        <w:pStyle w:val="ListParagraph"/>
        <w:numPr>
          <w:ilvl w:val="1"/>
          <w:numId w:val="17"/>
        </w:numPr>
        <w:tabs>
          <w:tab w:val="left" w:pos="4455"/>
        </w:tabs>
        <w:spacing w:after="0" w:line="240" w:lineRule="auto"/>
        <w:rPr>
          <w:b/>
          <w:bCs/>
          <w:sz w:val="24"/>
          <w:szCs w:val="24"/>
        </w:rPr>
      </w:pPr>
      <w:r w:rsidRPr="00E840C5">
        <w:rPr>
          <w:b/>
          <w:bCs/>
          <w:sz w:val="24"/>
          <w:szCs w:val="24"/>
        </w:rPr>
        <w:t>Is the category Hispanic captured in the collection of ethnicity data? Provide the percent of SSHS and SSHS MRI patients identifying as Hispanic</w:t>
      </w:r>
      <w:r w:rsidR="00361EC0" w:rsidRPr="00E840C5">
        <w:rPr>
          <w:b/>
          <w:bCs/>
          <w:sz w:val="24"/>
          <w:szCs w:val="24"/>
        </w:rPr>
        <w:t xml:space="preserve"> </w:t>
      </w:r>
      <w:r w:rsidR="000D1E28" w:rsidRPr="00E840C5">
        <w:rPr>
          <w:b/>
          <w:bCs/>
          <w:sz w:val="24"/>
          <w:szCs w:val="24"/>
        </w:rPr>
        <w:t>for</w:t>
      </w:r>
      <w:r w:rsidR="00361EC0" w:rsidRPr="00E840C5">
        <w:rPr>
          <w:b/>
          <w:bCs/>
          <w:sz w:val="24"/>
          <w:szCs w:val="24"/>
        </w:rPr>
        <w:t xml:space="preserve"> FY20</w:t>
      </w:r>
      <w:r w:rsidRPr="00E840C5">
        <w:rPr>
          <w:b/>
          <w:bCs/>
          <w:sz w:val="24"/>
          <w:szCs w:val="24"/>
        </w:rPr>
        <w:t>.</w:t>
      </w:r>
      <w:r w:rsidR="00A85B90" w:rsidRPr="00E840C5">
        <w:rPr>
          <w:b/>
          <w:bCs/>
          <w:sz w:val="24"/>
          <w:szCs w:val="24"/>
        </w:rPr>
        <w:t xml:space="preserve"> </w:t>
      </w:r>
    </w:p>
    <w:p w14:paraId="6BDECBD0" w14:textId="77777777" w:rsidR="00686704" w:rsidRPr="00686704" w:rsidRDefault="00686704" w:rsidP="00686704">
      <w:pPr>
        <w:pStyle w:val="ListParagraph"/>
        <w:tabs>
          <w:tab w:val="left" w:pos="4455"/>
        </w:tabs>
        <w:spacing w:after="0" w:line="240" w:lineRule="auto"/>
        <w:ind w:left="1440"/>
        <w:rPr>
          <w:sz w:val="24"/>
          <w:szCs w:val="24"/>
        </w:rPr>
      </w:pPr>
    </w:p>
    <w:p w14:paraId="64E4DC34" w14:textId="3503229A" w:rsidR="00686704" w:rsidRPr="00A733E2" w:rsidRDefault="00686704" w:rsidP="00686704">
      <w:pPr>
        <w:pStyle w:val="ListParagraph"/>
        <w:numPr>
          <w:ilvl w:val="0"/>
          <w:numId w:val="27"/>
        </w:numPr>
        <w:tabs>
          <w:tab w:val="left" w:pos="4455"/>
        </w:tabs>
        <w:spacing w:after="0" w:line="240" w:lineRule="auto"/>
        <w:ind w:left="1890" w:hanging="450"/>
        <w:rPr>
          <w:sz w:val="24"/>
          <w:szCs w:val="24"/>
        </w:rPr>
      </w:pPr>
      <w:r w:rsidRPr="00A733E2">
        <w:rPr>
          <w:sz w:val="24"/>
          <w:szCs w:val="24"/>
        </w:rPr>
        <w:t>Below please find the percentages for the Hispanic Indicator</w:t>
      </w:r>
      <w:r w:rsidR="0039740A" w:rsidRPr="00A733E2">
        <w:rPr>
          <w:sz w:val="24"/>
          <w:szCs w:val="24"/>
        </w:rPr>
        <w:t>s</w:t>
      </w:r>
      <w:r w:rsidRPr="00A733E2">
        <w:rPr>
          <w:sz w:val="24"/>
          <w:szCs w:val="24"/>
        </w:rPr>
        <w:t xml:space="preserve"> in FY20 for all of SSHS</w:t>
      </w:r>
      <w:r w:rsidR="006D7D3C" w:rsidRPr="00A733E2">
        <w:rPr>
          <w:sz w:val="24"/>
          <w:szCs w:val="24"/>
        </w:rPr>
        <w:t xml:space="preserve"> and SSHS MRI</w:t>
      </w:r>
      <w:r w:rsidRPr="00A733E2">
        <w:rPr>
          <w:sz w:val="24"/>
          <w:szCs w:val="24"/>
        </w:rPr>
        <w:t>:</w:t>
      </w:r>
    </w:p>
    <w:p w14:paraId="54533E91" w14:textId="77777777" w:rsidR="000F0A88" w:rsidRPr="00A733E2" w:rsidRDefault="000F0A88" w:rsidP="000F0A88">
      <w:pPr>
        <w:pStyle w:val="ListParagraph"/>
        <w:tabs>
          <w:tab w:val="left" w:pos="4455"/>
        </w:tabs>
        <w:spacing w:after="0" w:line="240" w:lineRule="auto"/>
        <w:ind w:left="1890"/>
        <w:rPr>
          <w:sz w:val="24"/>
          <w:szCs w:val="24"/>
        </w:rPr>
      </w:pPr>
    </w:p>
    <w:tbl>
      <w:tblPr>
        <w:tblStyle w:val="TableGrid"/>
        <w:tblW w:w="0" w:type="auto"/>
        <w:tblInd w:w="1890" w:type="dxa"/>
        <w:tblLook w:val="04A0" w:firstRow="1" w:lastRow="0" w:firstColumn="1" w:lastColumn="0" w:noHBand="0" w:noVBand="1"/>
        <w:tblCaption w:val="Hispanic Indicators in FY20 for all of SSHS and SSHS MRI"/>
        <w:tblDescription w:val="Hispanic Indicators in FY20 for all of SSHS and SSHS MRI Table"/>
      </w:tblPr>
      <w:tblGrid>
        <w:gridCol w:w="4045"/>
        <w:gridCol w:w="1350"/>
        <w:gridCol w:w="2250"/>
      </w:tblGrid>
      <w:tr w:rsidR="00A733E2" w:rsidRPr="00A733E2" w14:paraId="1173FD1D" w14:textId="77777777" w:rsidTr="000A2519">
        <w:trPr>
          <w:tblHeader/>
        </w:trPr>
        <w:tc>
          <w:tcPr>
            <w:tcW w:w="4045" w:type="dxa"/>
          </w:tcPr>
          <w:p w14:paraId="17AE67E5" w14:textId="47D456C2" w:rsidR="006D7D3C" w:rsidRPr="00A733E2" w:rsidRDefault="006D7D3C" w:rsidP="006D7D3C">
            <w:pPr>
              <w:pStyle w:val="ListParagraph"/>
              <w:tabs>
                <w:tab w:val="left" w:pos="4455"/>
              </w:tabs>
              <w:ind w:left="0"/>
              <w:rPr>
                <w:b/>
                <w:sz w:val="24"/>
                <w:szCs w:val="24"/>
              </w:rPr>
            </w:pPr>
            <w:r w:rsidRPr="00A733E2">
              <w:rPr>
                <w:b/>
                <w:sz w:val="24"/>
                <w:szCs w:val="24"/>
              </w:rPr>
              <w:t>Hispanic Indicator</w:t>
            </w:r>
          </w:p>
        </w:tc>
        <w:tc>
          <w:tcPr>
            <w:tcW w:w="1350" w:type="dxa"/>
          </w:tcPr>
          <w:p w14:paraId="18D479B6" w14:textId="48032322" w:rsidR="006D7D3C" w:rsidRPr="00A733E2" w:rsidRDefault="006D7D3C" w:rsidP="006D7D3C">
            <w:pPr>
              <w:pStyle w:val="ListParagraph"/>
              <w:tabs>
                <w:tab w:val="left" w:pos="4455"/>
              </w:tabs>
              <w:ind w:left="0"/>
              <w:rPr>
                <w:b/>
                <w:sz w:val="24"/>
                <w:szCs w:val="24"/>
              </w:rPr>
            </w:pPr>
            <w:r w:rsidRPr="00A733E2">
              <w:rPr>
                <w:b/>
                <w:sz w:val="24"/>
                <w:szCs w:val="24"/>
              </w:rPr>
              <w:t>SSHS</w:t>
            </w:r>
          </w:p>
        </w:tc>
        <w:tc>
          <w:tcPr>
            <w:tcW w:w="2250" w:type="dxa"/>
          </w:tcPr>
          <w:p w14:paraId="2A4DF377" w14:textId="7B5020F4" w:rsidR="006D7D3C" w:rsidRPr="00A733E2" w:rsidRDefault="006D7D3C" w:rsidP="006D7D3C">
            <w:pPr>
              <w:pStyle w:val="ListParagraph"/>
              <w:tabs>
                <w:tab w:val="left" w:pos="4455"/>
              </w:tabs>
              <w:ind w:left="0"/>
              <w:rPr>
                <w:b/>
                <w:sz w:val="24"/>
                <w:szCs w:val="24"/>
              </w:rPr>
            </w:pPr>
            <w:r w:rsidRPr="00A733E2">
              <w:rPr>
                <w:b/>
                <w:sz w:val="24"/>
                <w:szCs w:val="24"/>
              </w:rPr>
              <w:t>SSHS MRI Only</w:t>
            </w:r>
          </w:p>
        </w:tc>
      </w:tr>
      <w:tr w:rsidR="00A733E2" w:rsidRPr="00A733E2" w14:paraId="11F08FE1" w14:textId="77777777" w:rsidTr="006D7D3C">
        <w:tc>
          <w:tcPr>
            <w:tcW w:w="4045" w:type="dxa"/>
            <w:vAlign w:val="bottom"/>
          </w:tcPr>
          <w:p w14:paraId="29C201C0" w14:textId="58B11917" w:rsidR="006D7D3C" w:rsidRPr="00A733E2" w:rsidRDefault="006D7D3C" w:rsidP="006D7D3C">
            <w:pPr>
              <w:pStyle w:val="ListParagraph"/>
              <w:tabs>
                <w:tab w:val="left" w:pos="4455"/>
              </w:tabs>
              <w:ind w:left="0"/>
              <w:rPr>
                <w:sz w:val="24"/>
                <w:szCs w:val="24"/>
              </w:rPr>
            </w:pPr>
            <w:r w:rsidRPr="00A733E2">
              <w:t>Cuban</w:t>
            </w:r>
          </w:p>
        </w:tc>
        <w:tc>
          <w:tcPr>
            <w:tcW w:w="1350" w:type="dxa"/>
            <w:vAlign w:val="bottom"/>
          </w:tcPr>
          <w:p w14:paraId="12C9EFC8" w14:textId="1D1C5A9B" w:rsidR="006D7D3C" w:rsidRPr="00A733E2" w:rsidRDefault="006D7D3C" w:rsidP="006D7D3C">
            <w:pPr>
              <w:pStyle w:val="ListParagraph"/>
              <w:tabs>
                <w:tab w:val="left" w:pos="4455"/>
              </w:tabs>
              <w:ind w:left="0"/>
              <w:rPr>
                <w:sz w:val="24"/>
                <w:szCs w:val="24"/>
              </w:rPr>
            </w:pPr>
            <w:r w:rsidRPr="00A733E2">
              <w:t>0.02%</w:t>
            </w:r>
          </w:p>
        </w:tc>
        <w:tc>
          <w:tcPr>
            <w:tcW w:w="2250" w:type="dxa"/>
            <w:vAlign w:val="bottom"/>
          </w:tcPr>
          <w:p w14:paraId="680074A4" w14:textId="7F5131FF" w:rsidR="006D7D3C" w:rsidRPr="00A733E2" w:rsidRDefault="006D7D3C" w:rsidP="006D7D3C">
            <w:pPr>
              <w:pStyle w:val="ListParagraph"/>
              <w:tabs>
                <w:tab w:val="left" w:pos="4455"/>
              </w:tabs>
              <w:ind w:left="0"/>
              <w:rPr>
                <w:sz w:val="24"/>
                <w:szCs w:val="24"/>
              </w:rPr>
            </w:pPr>
            <w:r w:rsidRPr="00A733E2">
              <w:t>0.01%</w:t>
            </w:r>
          </w:p>
        </w:tc>
      </w:tr>
      <w:tr w:rsidR="00A733E2" w:rsidRPr="00A733E2" w14:paraId="06445F55" w14:textId="77777777" w:rsidTr="006D7D3C">
        <w:tc>
          <w:tcPr>
            <w:tcW w:w="4045" w:type="dxa"/>
            <w:vAlign w:val="bottom"/>
          </w:tcPr>
          <w:p w14:paraId="54CC6AF3" w14:textId="63CCAF38" w:rsidR="006D7D3C" w:rsidRPr="00A733E2" w:rsidRDefault="006D7D3C" w:rsidP="006D7D3C">
            <w:pPr>
              <w:pStyle w:val="ListParagraph"/>
              <w:tabs>
                <w:tab w:val="left" w:pos="4455"/>
              </w:tabs>
              <w:ind w:left="0"/>
              <w:rPr>
                <w:sz w:val="24"/>
                <w:szCs w:val="24"/>
              </w:rPr>
            </w:pPr>
            <w:r w:rsidRPr="00A733E2">
              <w:t>Decline to Answer</w:t>
            </w:r>
          </w:p>
        </w:tc>
        <w:tc>
          <w:tcPr>
            <w:tcW w:w="1350" w:type="dxa"/>
            <w:vAlign w:val="bottom"/>
          </w:tcPr>
          <w:p w14:paraId="412FDFAB" w14:textId="3E6AD90D" w:rsidR="006D7D3C" w:rsidRPr="00A733E2" w:rsidRDefault="006D7D3C" w:rsidP="006D7D3C">
            <w:pPr>
              <w:pStyle w:val="ListParagraph"/>
              <w:tabs>
                <w:tab w:val="left" w:pos="4455"/>
              </w:tabs>
              <w:ind w:left="0"/>
              <w:rPr>
                <w:sz w:val="24"/>
                <w:szCs w:val="24"/>
              </w:rPr>
            </w:pPr>
            <w:r w:rsidRPr="00A733E2">
              <w:t>0.50%</w:t>
            </w:r>
          </w:p>
        </w:tc>
        <w:tc>
          <w:tcPr>
            <w:tcW w:w="2250" w:type="dxa"/>
            <w:vAlign w:val="bottom"/>
          </w:tcPr>
          <w:p w14:paraId="64A47278" w14:textId="68F81020" w:rsidR="006D7D3C" w:rsidRPr="00A733E2" w:rsidRDefault="006D7D3C" w:rsidP="006D7D3C">
            <w:pPr>
              <w:pStyle w:val="ListParagraph"/>
              <w:tabs>
                <w:tab w:val="left" w:pos="4455"/>
              </w:tabs>
              <w:ind w:left="0"/>
              <w:rPr>
                <w:sz w:val="24"/>
                <w:szCs w:val="24"/>
              </w:rPr>
            </w:pPr>
            <w:r w:rsidRPr="00A733E2">
              <w:t>0.40%</w:t>
            </w:r>
          </w:p>
        </w:tc>
      </w:tr>
      <w:tr w:rsidR="00A733E2" w:rsidRPr="00A733E2" w14:paraId="326BDD5B" w14:textId="77777777" w:rsidTr="006D7D3C">
        <w:tc>
          <w:tcPr>
            <w:tcW w:w="4045" w:type="dxa"/>
            <w:vAlign w:val="bottom"/>
          </w:tcPr>
          <w:p w14:paraId="080A0005" w14:textId="24159C2B" w:rsidR="006D7D3C" w:rsidRPr="00A733E2" w:rsidRDefault="006D7D3C" w:rsidP="006D7D3C">
            <w:pPr>
              <w:pStyle w:val="ListParagraph"/>
              <w:tabs>
                <w:tab w:val="left" w:pos="4455"/>
              </w:tabs>
              <w:ind w:left="0"/>
              <w:rPr>
                <w:sz w:val="24"/>
                <w:szCs w:val="24"/>
              </w:rPr>
            </w:pPr>
            <w:r w:rsidRPr="00A733E2">
              <w:t>Hispanic or Latino</w:t>
            </w:r>
          </w:p>
        </w:tc>
        <w:tc>
          <w:tcPr>
            <w:tcW w:w="1350" w:type="dxa"/>
            <w:vAlign w:val="bottom"/>
          </w:tcPr>
          <w:p w14:paraId="02AF85E1" w14:textId="6C14EC4B" w:rsidR="006D7D3C" w:rsidRPr="00A733E2" w:rsidRDefault="006D7D3C" w:rsidP="006D7D3C">
            <w:pPr>
              <w:pStyle w:val="ListParagraph"/>
              <w:tabs>
                <w:tab w:val="left" w:pos="4455"/>
              </w:tabs>
              <w:ind w:left="0"/>
              <w:rPr>
                <w:sz w:val="24"/>
                <w:szCs w:val="24"/>
              </w:rPr>
            </w:pPr>
            <w:r w:rsidRPr="00A733E2">
              <w:t>0.16%</w:t>
            </w:r>
          </w:p>
        </w:tc>
        <w:tc>
          <w:tcPr>
            <w:tcW w:w="2250" w:type="dxa"/>
            <w:vAlign w:val="bottom"/>
          </w:tcPr>
          <w:p w14:paraId="22AFB5D9" w14:textId="0F8F8BA5" w:rsidR="006D7D3C" w:rsidRPr="00A733E2" w:rsidRDefault="006D7D3C" w:rsidP="006D7D3C">
            <w:pPr>
              <w:pStyle w:val="ListParagraph"/>
              <w:tabs>
                <w:tab w:val="left" w:pos="4455"/>
              </w:tabs>
              <w:ind w:left="0"/>
              <w:rPr>
                <w:sz w:val="24"/>
                <w:szCs w:val="24"/>
              </w:rPr>
            </w:pPr>
            <w:r w:rsidRPr="00A733E2">
              <w:t>0.12%</w:t>
            </w:r>
          </w:p>
        </w:tc>
      </w:tr>
      <w:tr w:rsidR="00A733E2" w:rsidRPr="00A733E2" w14:paraId="2CA6B27E" w14:textId="77777777" w:rsidTr="006D7D3C">
        <w:tc>
          <w:tcPr>
            <w:tcW w:w="4045" w:type="dxa"/>
            <w:vAlign w:val="bottom"/>
          </w:tcPr>
          <w:p w14:paraId="6F17B7BC" w14:textId="79B9EECE" w:rsidR="006D7D3C" w:rsidRPr="00A733E2" w:rsidRDefault="006D7D3C" w:rsidP="006D7D3C">
            <w:pPr>
              <w:pStyle w:val="ListParagraph"/>
              <w:tabs>
                <w:tab w:val="left" w:pos="4455"/>
              </w:tabs>
              <w:ind w:left="0"/>
              <w:rPr>
                <w:sz w:val="24"/>
                <w:szCs w:val="24"/>
              </w:rPr>
            </w:pPr>
            <w:r w:rsidRPr="00A733E2">
              <w:t>Mexican, Mexican American, or Chicano/a</w:t>
            </w:r>
          </w:p>
        </w:tc>
        <w:tc>
          <w:tcPr>
            <w:tcW w:w="1350" w:type="dxa"/>
            <w:vAlign w:val="bottom"/>
          </w:tcPr>
          <w:p w14:paraId="7BF092AA" w14:textId="6D0B54E3" w:rsidR="006D7D3C" w:rsidRPr="00A733E2" w:rsidRDefault="006D7D3C" w:rsidP="006D7D3C">
            <w:pPr>
              <w:pStyle w:val="ListParagraph"/>
              <w:tabs>
                <w:tab w:val="left" w:pos="4455"/>
              </w:tabs>
              <w:ind w:left="0"/>
              <w:rPr>
                <w:sz w:val="24"/>
                <w:szCs w:val="24"/>
              </w:rPr>
            </w:pPr>
            <w:r w:rsidRPr="00A733E2">
              <w:t>0.10%</w:t>
            </w:r>
          </w:p>
        </w:tc>
        <w:tc>
          <w:tcPr>
            <w:tcW w:w="2250" w:type="dxa"/>
            <w:vAlign w:val="bottom"/>
          </w:tcPr>
          <w:p w14:paraId="57378F33" w14:textId="10ED01A0" w:rsidR="006D7D3C" w:rsidRPr="00A733E2" w:rsidRDefault="006D7D3C" w:rsidP="006D7D3C">
            <w:pPr>
              <w:pStyle w:val="ListParagraph"/>
              <w:tabs>
                <w:tab w:val="left" w:pos="4455"/>
              </w:tabs>
              <w:ind w:left="0"/>
              <w:rPr>
                <w:sz w:val="24"/>
                <w:szCs w:val="24"/>
              </w:rPr>
            </w:pPr>
            <w:r w:rsidRPr="00A733E2">
              <w:t>0.09%</w:t>
            </w:r>
          </w:p>
        </w:tc>
      </w:tr>
      <w:tr w:rsidR="00A733E2" w:rsidRPr="00A733E2" w14:paraId="59F8CF42" w14:textId="77777777" w:rsidTr="006D7D3C">
        <w:tc>
          <w:tcPr>
            <w:tcW w:w="4045" w:type="dxa"/>
            <w:vAlign w:val="bottom"/>
          </w:tcPr>
          <w:p w14:paraId="632A0DFF" w14:textId="66C472A3" w:rsidR="006D7D3C" w:rsidRPr="00A733E2" w:rsidRDefault="006D7D3C" w:rsidP="006D7D3C">
            <w:pPr>
              <w:pStyle w:val="ListParagraph"/>
              <w:tabs>
                <w:tab w:val="left" w:pos="4455"/>
              </w:tabs>
              <w:ind w:left="0"/>
              <w:rPr>
                <w:sz w:val="24"/>
                <w:szCs w:val="24"/>
              </w:rPr>
            </w:pPr>
            <w:r w:rsidRPr="00A733E2">
              <w:t>Not Hispanic, Latino/a, or Spanish origin</w:t>
            </w:r>
          </w:p>
        </w:tc>
        <w:tc>
          <w:tcPr>
            <w:tcW w:w="1350" w:type="dxa"/>
            <w:vAlign w:val="bottom"/>
          </w:tcPr>
          <w:p w14:paraId="5F67D0F8" w14:textId="196EBFE4" w:rsidR="006D7D3C" w:rsidRPr="00A733E2" w:rsidRDefault="006D7D3C" w:rsidP="006D7D3C">
            <w:pPr>
              <w:pStyle w:val="ListParagraph"/>
              <w:tabs>
                <w:tab w:val="left" w:pos="4455"/>
              </w:tabs>
              <w:ind w:left="0"/>
              <w:rPr>
                <w:sz w:val="24"/>
                <w:szCs w:val="24"/>
              </w:rPr>
            </w:pPr>
            <w:r w:rsidRPr="00A733E2">
              <w:t>84.51%</w:t>
            </w:r>
          </w:p>
        </w:tc>
        <w:tc>
          <w:tcPr>
            <w:tcW w:w="2250" w:type="dxa"/>
            <w:vAlign w:val="bottom"/>
          </w:tcPr>
          <w:p w14:paraId="2CC89210" w14:textId="6F6411F1" w:rsidR="006D7D3C" w:rsidRPr="00A733E2" w:rsidRDefault="006D7D3C" w:rsidP="006D7D3C">
            <w:pPr>
              <w:pStyle w:val="ListParagraph"/>
              <w:tabs>
                <w:tab w:val="left" w:pos="4455"/>
              </w:tabs>
              <w:ind w:left="0"/>
              <w:rPr>
                <w:sz w:val="24"/>
                <w:szCs w:val="24"/>
              </w:rPr>
            </w:pPr>
            <w:r w:rsidRPr="00A733E2">
              <w:t>94.40%</w:t>
            </w:r>
          </w:p>
        </w:tc>
      </w:tr>
      <w:tr w:rsidR="00A733E2" w:rsidRPr="00A733E2" w14:paraId="56032DEF" w14:textId="77777777" w:rsidTr="006D7D3C">
        <w:tc>
          <w:tcPr>
            <w:tcW w:w="4045" w:type="dxa"/>
            <w:vAlign w:val="bottom"/>
          </w:tcPr>
          <w:p w14:paraId="39340233" w14:textId="48C45E27" w:rsidR="006D7D3C" w:rsidRPr="00A733E2" w:rsidRDefault="006D7D3C" w:rsidP="006D7D3C">
            <w:pPr>
              <w:pStyle w:val="ListParagraph"/>
              <w:tabs>
                <w:tab w:val="left" w:pos="4455"/>
              </w:tabs>
              <w:ind w:left="0"/>
              <w:rPr>
                <w:sz w:val="24"/>
                <w:szCs w:val="24"/>
              </w:rPr>
            </w:pPr>
            <w:r w:rsidRPr="00A733E2">
              <w:t>Other Hispanic, Latino/a, or Spanish origin</w:t>
            </w:r>
          </w:p>
        </w:tc>
        <w:tc>
          <w:tcPr>
            <w:tcW w:w="1350" w:type="dxa"/>
            <w:vAlign w:val="bottom"/>
          </w:tcPr>
          <w:p w14:paraId="1B453599" w14:textId="305CCD38" w:rsidR="006D7D3C" w:rsidRPr="00A733E2" w:rsidRDefault="006D7D3C" w:rsidP="006D7D3C">
            <w:pPr>
              <w:pStyle w:val="ListParagraph"/>
              <w:tabs>
                <w:tab w:val="left" w:pos="4455"/>
              </w:tabs>
              <w:ind w:left="0"/>
              <w:rPr>
                <w:sz w:val="24"/>
                <w:szCs w:val="24"/>
              </w:rPr>
            </w:pPr>
            <w:r w:rsidRPr="00A733E2">
              <w:t>1.98%</w:t>
            </w:r>
          </w:p>
        </w:tc>
        <w:tc>
          <w:tcPr>
            <w:tcW w:w="2250" w:type="dxa"/>
            <w:vAlign w:val="bottom"/>
          </w:tcPr>
          <w:p w14:paraId="4925E49B" w14:textId="6D113AF1" w:rsidR="006D7D3C" w:rsidRPr="00A733E2" w:rsidRDefault="006D7D3C" w:rsidP="006D7D3C">
            <w:pPr>
              <w:pStyle w:val="ListParagraph"/>
              <w:tabs>
                <w:tab w:val="left" w:pos="4455"/>
              </w:tabs>
              <w:ind w:left="0"/>
              <w:rPr>
                <w:sz w:val="24"/>
                <w:szCs w:val="24"/>
              </w:rPr>
            </w:pPr>
            <w:r w:rsidRPr="00A733E2">
              <w:t>1.25%</w:t>
            </w:r>
          </w:p>
        </w:tc>
      </w:tr>
      <w:tr w:rsidR="00A733E2" w:rsidRPr="00A733E2" w14:paraId="71635118" w14:textId="77777777" w:rsidTr="006D7D3C">
        <w:tc>
          <w:tcPr>
            <w:tcW w:w="4045" w:type="dxa"/>
            <w:vAlign w:val="bottom"/>
          </w:tcPr>
          <w:p w14:paraId="530604C9" w14:textId="7339A905" w:rsidR="006D7D3C" w:rsidRPr="00A733E2" w:rsidRDefault="006D7D3C" w:rsidP="006D7D3C">
            <w:pPr>
              <w:pStyle w:val="ListParagraph"/>
              <w:tabs>
                <w:tab w:val="left" w:pos="4455"/>
              </w:tabs>
              <w:ind w:left="0"/>
              <w:rPr>
                <w:sz w:val="24"/>
                <w:szCs w:val="24"/>
              </w:rPr>
            </w:pPr>
            <w:r w:rsidRPr="00A733E2">
              <w:t>Puerto Rican</w:t>
            </w:r>
          </w:p>
        </w:tc>
        <w:tc>
          <w:tcPr>
            <w:tcW w:w="1350" w:type="dxa"/>
            <w:vAlign w:val="bottom"/>
          </w:tcPr>
          <w:p w14:paraId="28F2807E" w14:textId="06161031" w:rsidR="006D7D3C" w:rsidRPr="00A733E2" w:rsidRDefault="006D7D3C" w:rsidP="006D7D3C">
            <w:pPr>
              <w:pStyle w:val="ListParagraph"/>
              <w:tabs>
                <w:tab w:val="left" w:pos="4455"/>
              </w:tabs>
              <w:ind w:left="0"/>
              <w:rPr>
                <w:sz w:val="24"/>
                <w:szCs w:val="24"/>
              </w:rPr>
            </w:pPr>
            <w:r w:rsidRPr="00A733E2">
              <w:t>0.24%</w:t>
            </w:r>
          </w:p>
        </w:tc>
        <w:tc>
          <w:tcPr>
            <w:tcW w:w="2250" w:type="dxa"/>
            <w:vAlign w:val="bottom"/>
          </w:tcPr>
          <w:p w14:paraId="7A3823B5" w14:textId="490F1B13" w:rsidR="006D7D3C" w:rsidRPr="00A733E2" w:rsidRDefault="006D7D3C" w:rsidP="006D7D3C">
            <w:pPr>
              <w:pStyle w:val="ListParagraph"/>
              <w:tabs>
                <w:tab w:val="left" w:pos="4455"/>
              </w:tabs>
              <w:ind w:left="0"/>
              <w:rPr>
                <w:sz w:val="24"/>
                <w:szCs w:val="24"/>
              </w:rPr>
            </w:pPr>
            <w:r w:rsidRPr="00A733E2">
              <w:t>0.13%</w:t>
            </w:r>
          </w:p>
        </w:tc>
      </w:tr>
      <w:tr w:rsidR="00A733E2" w:rsidRPr="00A733E2" w14:paraId="74E8ED33" w14:textId="77777777" w:rsidTr="006D7D3C">
        <w:tc>
          <w:tcPr>
            <w:tcW w:w="4045" w:type="dxa"/>
            <w:vAlign w:val="bottom"/>
          </w:tcPr>
          <w:p w14:paraId="0A2AFCDC" w14:textId="1777E685" w:rsidR="006D7D3C" w:rsidRPr="00A733E2" w:rsidRDefault="006D7D3C" w:rsidP="006D7D3C">
            <w:pPr>
              <w:pStyle w:val="ListParagraph"/>
              <w:tabs>
                <w:tab w:val="left" w:pos="4455"/>
              </w:tabs>
              <w:ind w:left="0"/>
              <w:rPr>
                <w:sz w:val="24"/>
                <w:szCs w:val="24"/>
              </w:rPr>
            </w:pPr>
            <w:r w:rsidRPr="00A733E2">
              <w:t>Unknown</w:t>
            </w:r>
          </w:p>
        </w:tc>
        <w:tc>
          <w:tcPr>
            <w:tcW w:w="1350" w:type="dxa"/>
            <w:vAlign w:val="bottom"/>
          </w:tcPr>
          <w:p w14:paraId="2E333035" w14:textId="6DD33110" w:rsidR="006D7D3C" w:rsidRPr="00A733E2" w:rsidRDefault="006D7D3C" w:rsidP="006D7D3C">
            <w:pPr>
              <w:pStyle w:val="ListParagraph"/>
              <w:tabs>
                <w:tab w:val="left" w:pos="4455"/>
              </w:tabs>
              <w:ind w:left="0"/>
              <w:rPr>
                <w:sz w:val="24"/>
                <w:szCs w:val="24"/>
              </w:rPr>
            </w:pPr>
            <w:r w:rsidRPr="00A733E2">
              <w:t>10.60%</w:t>
            </w:r>
          </w:p>
        </w:tc>
        <w:tc>
          <w:tcPr>
            <w:tcW w:w="2250" w:type="dxa"/>
            <w:vAlign w:val="bottom"/>
          </w:tcPr>
          <w:p w14:paraId="7CCD2223" w14:textId="638E748D" w:rsidR="006D7D3C" w:rsidRPr="00A733E2" w:rsidRDefault="006D7D3C" w:rsidP="006D7D3C">
            <w:pPr>
              <w:pStyle w:val="ListParagraph"/>
              <w:tabs>
                <w:tab w:val="left" w:pos="4455"/>
              </w:tabs>
              <w:ind w:left="0"/>
              <w:rPr>
                <w:sz w:val="24"/>
                <w:szCs w:val="24"/>
              </w:rPr>
            </w:pPr>
            <w:r w:rsidRPr="00A733E2">
              <w:t>3.58%</w:t>
            </w:r>
          </w:p>
        </w:tc>
      </w:tr>
      <w:tr w:rsidR="00A733E2" w:rsidRPr="00A733E2" w14:paraId="7A7AFD34" w14:textId="77777777" w:rsidTr="006D7D3C">
        <w:tc>
          <w:tcPr>
            <w:tcW w:w="4045" w:type="dxa"/>
            <w:vAlign w:val="bottom"/>
          </w:tcPr>
          <w:p w14:paraId="121A67B7" w14:textId="5A0E2E38" w:rsidR="006D7D3C" w:rsidRPr="00A733E2" w:rsidRDefault="006D7D3C" w:rsidP="006D7D3C">
            <w:pPr>
              <w:pStyle w:val="ListParagraph"/>
              <w:tabs>
                <w:tab w:val="left" w:pos="4455"/>
              </w:tabs>
              <w:ind w:left="0"/>
              <w:rPr>
                <w:sz w:val="24"/>
                <w:szCs w:val="24"/>
              </w:rPr>
            </w:pPr>
            <w:r w:rsidRPr="00A733E2">
              <w:t>(blank)</w:t>
            </w:r>
          </w:p>
        </w:tc>
        <w:tc>
          <w:tcPr>
            <w:tcW w:w="1350" w:type="dxa"/>
            <w:vAlign w:val="bottom"/>
          </w:tcPr>
          <w:p w14:paraId="1A098617" w14:textId="6D0FFA79" w:rsidR="006D7D3C" w:rsidRPr="00A733E2" w:rsidRDefault="006D7D3C" w:rsidP="006D7D3C">
            <w:pPr>
              <w:pStyle w:val="ListParagraph"/>
              <w:tabs>
                <w:tab w:val="left" w:pos="4455"/>
              </w:tabs>
              <w:ind w:left="0"/>
              <w:rPr>
                <w:sz w:val="24"/>
                <w:szCs w:val="24"/>
              </w:rPr>
            </w:pPr>
            <w:r w:rsidRPr="00A733E2">
              <w:t>1.89%</w:t>
            </w:r>
          </w:p>
        </w:tc>
        <w:tc>
          <w:tcPr>
            <w:tcW w:w="2250" w:type="dxa"/>
            <w:vAlign w:val="bottom"/>
          </w:tcPr>
          <w:p w14:paraId="7A69D314" w14:textId="6B1A3E74" w:rsidR="006D7D3C" w:rsidRPr="00A733E2" w:rsidRDefault="006D7D3C" w:rsidP="006D7D3C">
            <w:pPr>
              <w:pStyle w:val="ListParagraph"/>
              <w:tabs>
                <w:tab w:val="left" w:pos="4455"/>
              </w:tabs>
              <w:ind w:left="0"/>
              <w:rPr>
                <w:sz w:val="24"/>
                <w:szCs w:val="24"/>
              </w:rPr>
            </w:pPr>
            <w:r w:rsidRPr="00A733E2">
              <w:t>0.01%</w:t>
            </w:r>
          </w:p>
        </w:tc>
      </w:tr>
      <w:tr w:rsidR="00A733E2" w:rsidRPr="00A733E2" w14:paraId="6108C0EC" w14:textId="77777777" w:rsidTr="006D7D3C">
        <w:tc>
          <w:tcPr>
            <w:tcW w:w="4045" w:type="dxa"/>
            <w:shd w:val="clear" w:color="auto" w:fill="D9E2F3" w:themeFill="accent1" w:themeFillTint="33"/>
            <w:vAlign w:val="bottom"/>
          </w:tcPr>
          <w:p w14:paraId="3B8C1D23" w14:textId="27DE11E0" w:rsidR="006D7D3C" w:rsidRPr="00A733E2" w:rsidRDefault="006D7D3C" w:rsidP="006D7D3C">
            <w:pPr>
              <w:pStyle w:val="ListParagraph"/>
              <w:tabs>
                <w:tab w:val="left" w:pos="4455"/>
              </w:tabs>
              <w:ind w:left="0"/>
            </w:pPr>
            <w:r w:rsidRPr="00A733E2">
              <w:rPr>
                <w:b/>
                <w:bCs/>
              </w:rPr>
              <w:t>Grand Total</w:t>
            </w:r>
          </w:p>
        </w:tc>
        <w:tc>
          <w:tcPr>
            <w:tcW w:w="1350" w:type="dxa"/>
            <w:shd w:val="clear" w:color="auto" w:fill="D9E2F3" w:themeFill="accent1" w:themeFillTint="33"/>
            <w:vAlign w:val="bottom"/>
          </w:tcPr>
          <w:p w14:paraId="0946AC6C" w14:textId="0D6086AF" w:rsidR="006D7D3C" w:rsidRPr="00A733E2" w:rsidRDefault="006D7D3C" w:rsidP="006D7D3C">
            <w:pPr>
              <w:pStyle w:val="ListParagraph"/>
              <w:tabs>
                <w:tab w:val="left" w:pos="4455"/>
              </w:tabs>
              <w:ind w:left="0"/>
            </w:pPr>
            <w:r w:rsidRPr="00A733E2">
              <w:rPr>
                <w:b/>
                <w:bCs/>
              </w:rPr>
              <w:t>100.00%</w:t>
            </w:r>
          </w:p>
        </w:tc>
        <w:tc>
          <w:tcPr>
            <w:tcW w:w="2250" w:type="dxa"/>
            <w:shd w:val="clear" w:color="auto" w:fill="D9E2F3" w:themeFill="accent1" w:themeFillTint="33"/>
            <w:vAlign w:val="bottom"/>
          </w:tcPr>
          <w:p w14:paraId="77516381" w14:textId="68DAE44B" w:rsidR="006D7D3C" w:rsidRPr="00A733E2" w:rsidRDefault="006D7D3C" w:rsidP="006D7D3C">
            <w:pPr>
              <w:pStyle w:val="ListParagraph"/>
              <w:tabs>
                <w:tab w:val="left" w:pos="4455"/>
              </w:tabs>
              <w:ind w:left="0"/>
              <w:rPr>
                <w:sz w:val="24"/>
                <w:szCs w:val="24"/>
              </w:rPr>
            </w:pPr>
            <w:r w:rsidRPr="00A733E2">
              <w:rPr>
                <w:b/>
                <w:bCs/>
              </w:rPr>
              <w:t>100.00%</w:t>
            </w:r>
          </w:p>
        </w:tc>
      </w:tr>
    </w:tbl>
    <w:p w14:paraId="431F081A" w14:textId="77777777" w:rsidR="006D7D3C" w:rsidRPr="00B06B7F" w:rsidRDefault="006D7D3C" w:rsidP="006D7D3C">
      <w:pPr>
        <w:pStyle w:val="ListParagraph"/>
        <w:tabs>
          <w:tab w:val="left" w:pos="4455"/>
        </w:tabs>
        <w:spacing w:after="0" w:line="240" w:lineRule="auto"/>
        <w:ind w:left="1890"/>
        <w:rPr>
          <w:color w:val="0070C0"/>
          <w:sz w:val="24"/>
          <w:szCs w:val="24"/>
        </w:rPr>
      </w:pPr>
    </w:p>
    <w:p w14:paraId="2E5F2D95" w14:textId="14647B6F" w:rsidR="00725D33" w:rsidRPr="001239CF" w:rsidRDefault="00725D33" w:rsidP="00242743">
      <w:pPr>
        <w:tabs>
          <w:tab w:val="left" w:pos="4455"/>
        </w:tabs>
        <w:spacing w:after="0" w:line="240" w:lineRule="auto"/>
        <w:rPr>
          <w:sz w:val="24"/>
          <w:szCs w:val="24"/>
        </w:rPr>
      </w:pPr>
    </w:p>
    <w:p w14:paraId="395C74F0" w14:textId="5A8E70F5" w:rsidR="00F07B83" w:rsidRPr="00E840C5" w:rsidRDefault="00286E76" w:rsidP="00F07B83">
      <w:pPr>
        <w:pStyle w:val="ListParagraph"/>
        <w:numPr>
          <w:ilvl w:val="0"/>
          <w:numId w:val="17"/>
        </w:numPr>
        <w:spacing w:line="240" w:lineRule="auto"/>
        <w:rPr>
          <w:b/>
          <w:bCs/>
          <w:sz w:val="24"/>
          <w:szCs w:val="24"/>
        </w:rPr>
      </w:pPr>
      <w:r w:rsidRPr="00E840C5">
        <w:rPr>
          <w:b/>
          <w:bCs/>
          <w:sz w:val="24"/>
          <w:szCs w:val="24"/>
        </w:rPr>
        <w:t>The responses to DoN questions state that the reason for each patient’s transfer is not tracked in their medical record, but notes that the most common reasons for patient transfers are 1) the patient is over the table limit at SSH; 2) the patient does not fit in</w:t>
      </w:r>
      <w:r w:rsidR="00BC6439" w:rsidRPr="00E840C5">
        <w:rPr>
          <w:b/>
          <w:bCs/>
          <w:sz w:val="24"/>
          <w:szCs w:val="24"/>
        </w:rPr>
        <w:t>side</w:t>
      </w:r>
      <w:r w:rsidRPr="00E840C5">
        <w:rPr>
          <w:b/>
          <w:bCs/>
          <w:sz w:val="24"/>
          <w:szCs w:val="24"/>
        </w:rPr>
        <w:t xml:space="preserve"> the MRI scanner at SSH due to body habitus; and 3) the patient has severe claustrophobia</w:t>
      </w:r>
      <w:r w:rsidR="00BC6439" w:rsidRPr="00E840C5">
        <w:rPr>
          <w:b/>
          <w:bCs/>
          <w:sz w:val="24"/>
          <w:szCs w:val="24"/>
        </w:rPr>
        <w:t xml:space="preserve"> (pg.5)</w:t>
      </w:r>
      <w:r w:rsidRPr="00E840C5">
        <w:rPr>
          <w:b/>
          <w:bCs/>
          <w:sz w:val="24"/>
          <w:szCs w:val="24"/>
        </w:rPr>
        <w:t xml:space="preserve">. </w:t>
      </w:r>
      <w:r w:rsidR="00106686" w:rsidRPr="00E840C5">
        <w:rPr>
          <w:b/>
          <w:bCs/>
          <w:sz w:val="24"/>
          <w:szCs w:val="24"/>
        </w:rPr>
        <w:t xml:space="preserve">How does the </w:t>
      </w:r>
      <w:r w:rsidR="00C765AC" w:rsidRPr="00E840C5">
        <w:rPr>
          <w:b/>
          <w:bCs/>
          <w:sz w:val="24"/>
          <w:szCs w:val="24"/>
        </w:rPr>
        <w:t>p</w:t>
      </w:r>
      <w:r w:rsidR="00106686" w:rsidRPr="00E840C5">
        <w:rPr>
          <w:b/>
          <w:bCs/>
          <w:sz w:val="24"/>
          <w:szCs w:val="24"/>
        </w:rPr>
        <w:t>roposed scanner</w:t>
      </w:r>
      <w:r w:rsidRPr="00E840C5">
        <w:rPr>
          <w:b/>
          <w:bCs/>
          <w:sz w:val="24"/>
          <w:szCs w:val="24"/>
        </w:rPr>
        <w:t xml:space="preserve"> </w:t>
      </w:r>
      <w:r w:rsidR="001239CF" w:rsidRPr="00E840C5">
        <w:rPr>
          <w:b/>
          <w:bCs/>
          <w:sz w:val="24"/>
          <w:szCs w:val="24"/>
        </w:rPr>
        <w:t>address</w:t>
      </w:r>
      <w:r w:rsidR="00106686" w:rsidRPr="00E840C5">
        <w:rPr>
          <w:b/>
          <w:bCs/>
          <w:sz w:val="24"/>
          <w:szCs w:val="24"/>
        </w:rPr>
        <w:t xml:space="preserve"> these issues</w:t>
      </w:r>
      <w:r w:rsidRPr="00E840C5">
        <w:rPr>
          <w:b/>
          <w:bCs/>
          <w:sz w:val="24"/>
          <w:szCs w:val="24"/>
        </w:rPr>
        <w:t xml:space="preserve">? </w:t>
      </w:r>
    </w:p>
    <w:p w14:paraId="25904557" w14:textId="038BB601" w:rsidR="00F07B83" w:rsidRDefault="00F07B83" w:rsidP="00F07B83">
      <w:pPr>
        <w:pStyle w:val="ListParagraph"/>
        <w:spacing w:line="240" w:lineRule="auto"/>
        <w:rPr>
          <w:sz w:val="24"/>
          <w:szCs w:val="24"/>
        </w:rPr>
      </w:pPr>
    </w:p>
    <w:p w14:paraId="3BE94699" w14:textId="7E41F5D9" w:rsidR="00F07B83" w:rsidRPr="00A733E2" w:rsidRDefault="00F07B83" w:rsidP="00A733E2">
      <w:pPr>
        <w:pStyle w:val="ListParagraph"/>
        <w:numPr>
          <w:ilvl w:val="0"/>
          <w:numId w:val="19"/>
        </w:numPr>
        <w:spacing w:line="240" w:lineRule="auto"/>
        <w:rPr>
          <w:sz w:val="24"/>
          <w:szCs w:val="24"/>
        </w:rPr>
      </w:pPr>
      <w:r w:rsidRPr="00A733E2">
        <w:rPr>
          <w:sz w:val="24"/>
          <w:szCs w:val="24"/>
        </w:rPr>
        <w:t xml:space="preserve">The Proposed scanner has a greater table limit and capable to receive patients up to 550 lbs.  Our current table has a capacity limit of 300 lbs.  </w:t>
      </w:r>
    </w:p>
    <w:p w14:paraId="4484B602" w14:textId="72541A47" w:rsidR="00F07B83" w:rsidRPr="00A733E2" w:rsidRDefault="00F07B83" w:rsidP="00A733E2">
      <w:pPr>
        <w:pStyle w:val="ListParagraph"/>
        <w:numPr>
          <w:ilvl w:val="0"/>
          <w:numId w:val="19"/>
        </w:numPr>
        <w:spacing w:line="240" w:lineRule="auto"/>
        <w:rPr>
          <w:sz w:val="24"/>
          <w:szCs w:val="24"/>
        </w:rPr>
      </w:pPr>
      <w:r w:rsidRPr="00A733E2">
        <w:rPr>
          <w:sz w:val="24"/>
          <w:szCs w:val="24"/>
        </w:rPr>
        <w:t xml:space="preserve">The proposed scanner is wider in diameter to accommodate patients with a larger body habitus than the existing scanner.  </w:t>
      </w:r>
      <w:r w:rsidR="00C209FC" w:rsidRPr="00A733E2">
        <w:rPr>
          <w:sz w:val="24"/>
          <w:szCs w:val="24"/>
        </w:rPr>
        <w:t>The current scanner is 60 cm, and the proposed scanner is 70 cm in diameter.</w:t>
      </w:r>
    </w:p>
    <w:p w14:paraId="21D1FE5C" w14:textId="325F9A32" w:rsidR="00F07B83" w:rsidRPr="00A733E2" w:rsidRDefault="00E52FFC" w:rsidP="00B214E0">
      <w:pPr>
        <w:pStyle w:val="ListParagraph"/>
        <w:numPr>
          <w:ilvl w:val="0"/>
          <w:numId w:val="19"/>
        </w:numPr>
        <w:spacing w:line="240" w:lineRule="auto"/>
        <w:rPr>
          <w:sz w:val="24"/>
          <w:szCs w:val="24"/>
        </w:rPr>
      </w:pPr>
      <w:r w:rsidRPr="00A733E2">
        <w:rPr>
          <w:sz w:val="24"/>
          <w:szCs w:val="24"/>
        </w:rPr>
        <w:t>For claustrophobic patients, th</w:t>
      </w:r>
      <w:r w:rsidR="00F07B83" w:rsidRPr="00A733E2">
        <w:rPr>
          <w:sz w:val="24"/>
          <w:szCs w:val="24"/>
        </w:rPr>
        <w:t>e proposed scanner is not only wider in diameter, but shorter in length</w:t>
      </w:r>
      <w:r w:rsidRPr="00A733E2">
        <w:rPr>
          <w:sz w:val="24"/>
          <w:szCs w:val="24"/>
        </w:rPr>
        <w:t xml:space="preserve">.  The scanner </w:t>
      </w:r>
      <w:r w:rsidR="00F07B83" w:rsidRPr="00A733E2">
        <w:rPr>
          <w:sz w:val="24"/>
          <w:szCs w:val="24"/>
        </w:rPr>
        <w:t>includes a patient comfort system which is a series of mirrors to minimize the claustrophobic effect for the patient. This comfort system will allow the patient to see outside of the scanner into space that is designed with visual distractions</w:t>
      </w:r>
      <w:r w:rsidRPr="00A733E2">
        <w:rPr>
          <w:sz w:val="24"/>
          <w:szCs w:val="24"/>
        </w:rPr>
        <w:t xml:space="preserve">.  The overall scanner room and the patient spaces have been designed to </w:t>
      </w:r>
      <w:r w:rsidR="00B214E0" w:rsidRPr="00A733E2">
        <w:rPr>
          <w:sz w:val="24"/>
          <w:szCs w:val="24"/>
        </w:rPr>
        <w:t>evoke a sense of calmness and help reduce patient anxiety. An example within the scanner rooms includes an illuminated ceiling above the MRI table that mimics the outdoors with clouds or starry night skies. The design concept for finishes and materials evoke the natural environment in and around the South Shore - calm waves, water, marsh inlets, etc. which are all proven to reduce anxiety and create a calm environment.</w:t>
      </w:r>
    </w:p>
    <w:p w14:paraId="0DCF29A1" w14:textId="77777777" w:rsidR="00F07B83" w:rsidRDefault="00F07B83" w:rsidP="00F07B83">
      <w:pPr>
        <w:pStyle w:val="ListParagraph"/>
        <w:spacing w:line="240" w:lineRule="auto"/>
        <w:rPr>
          <w:sz w:val="24"/>
          <w:szCs w:val="24"/>
        </w:rPr>
      </w:pPr>
    </w:p>
    <w:p w14:paraId="77E1743E" w14:textId="5583B8FC" w:rsidR="008204D4" w:rsidRPr="00E840C5" w:rsidRDefault="008204D4" w:rsidP="00F07B83">
      <w:pPr>
        <w:pStyle w:val="ListParagraph"/>
        <w:numPr>
          <w:ilvl w:val="0"/>
          <w:numId w:val="17"/>
        </w:numPr>
        <w:spacing w:line="240" w:lineRule="auto"/>
        <w:rPr>
          <w:b/>
          <w:bCs/>
          <w:sz w:val="24"/>
          <w:szCs w:val="24"/>
        </w:rPr>
      </w:pPr>
      <w:r w:rsidRPr="00E840C5">
        <w:rPr>
          <w:b/>
          <w:bCs/>
          <w:sz w:val="24"/>
          <w:szCs w:val="24"/>
        </w:rPr>
        <w:t>The r</w:t>
      </w:r>
      <w:r w:rsidR="00704748" w:rsidRPr="00E840C5">
        <w:rPr>
          <w:b/>
          <w:bCs/>
          <w:sz w:val="24"/>
          <w:szCs w:val="24"/>
        </w:rPr>
        <w:t>esponses to D</w:t>
      </w:r>
      <w:r w:rsidR="00A80618" w:rsidRPr="00E840C5">
        <w:rPr>
          <w:b/>
          <w:bCs/>
          <w:sz w:val="24"/>
          <w:szCs w:val="24"/>
        </w:rPr>
        <w:t>o</w:t>
      </w:r>
      <w:r w:rsidR="00704748" w:rsidRPr="00E840C5">
        <w:rPr>
          <w:b/>
          <w:bCs/>
          <w:sz w:val="24"/>
          <w:szCs w:val="24"/>
        </w:rPr>
        <w:t>N questions mention the breast program at the Cancer Center</w:t>
      </w:r>
      <w:r w:rsidR="00BC6439" w:rsidRPr="00E840C5">
        <w:rPr>
          <w:b/>
          <w:bCs/>
          <w:sz w:val="24"/>
          <w:szCs w:val="24"/>
        </w:rPr>
        <w:t xml:space="preserve"> (pg.7)</w:t>
      </w:r>
      <w:r w:rsidR="00704748" w:rsidRPr="00E840C5">
        <w:rPr>
          <w:b/>
          <w:bCs/>
          <w:sz w:val="24"/>
          <w:szCs w:val="24"/>
        </w:rPr>
        <w:t xml:space="preserve">. Provide a brief explanation of the breast cancer program, including </w:t>
      </w:r>
      <w:r w:rsidR="0085263D" w:rsidRPr="00E840C5">
        <w:rPr>
          <w:b/>
          <w:bCs/>
          <w:sz w:val="24"/>
          <w:szCs w:val="24"/>
        </w:rPr>
        <w:t xml:space="preserve">enrollment criteria. </w:t>
      </w:r>
    </w:p>
    <w:p w14:paraId="36299C6B" w14:textId="77777777" w:rsidR="00A85B90" w:rsidRPr="00A85B90" w:rsidRDefault="00A85B90" w:rsidP="00A85B90">
      <w:pPr>
        <w:pStyle w:val="ListParagraph"/>
        <w:rPr>
          <w:sz w:val="24"/>
          <w:szCs w:val="24"/>
        </w:rPr>
      </w:pPr>
    </w:p>
    <w:p w14:paraId="1B5B2EEC" w14:textId="0EC199B3" w:rsidR="00997B22" w:rsidRPr="00A733E2" w:rsidRDefault="00A85B90" w:rsidP="00A733E2">
      <w:pPr>
        <w:pStyle w:val="NormalWeb"/>
        <w:numPr>
          <w:ilvl w:val="0"/>
          <w:numId w:val="20"/>
        </w:numPr>
        <w:spacing w:after="0" w:afterAutospacing="0"/>
        <w:rPr>
          <w:rFonts w:asciiTheme="minorHAnsi" w:hAnsiTheme="minorHAnsi" w:cstheme="minorHAnsi"/>
          <w:lang w:val="en"/>
        </w:rPr>
      </w:pPr>
      <w:r w:rsidRPr="00A733E2">
        <w:rPr>
          <w:rFonts w:asciiTheme="minorHAnsi" w:hAnsiTheme="minorHAnsi" w:cstheme="minorHAnsi"/>
          <w:lang w:val="en"/>
        </w:rPr>
        <w:t xml:space="preserve">Our </w:t>
      </w:r>
      <w:r w:rsidR="005126A0" w:rsidRPr="00A733E2">
        <w:rPr>
          <w:rFonts w:asciiTheme="minorHAnsi" w:hAnsiTheme="minorHAnsi" w:cstheme="minorHAnsi"/>
          <w:lang w:val="en"/>
        </w:rPr>
        <w:t xml:space="preserve">Breast </w:t>
      </w:r>
      <w:r w:rsidR="006423DB" w:rsidRPr="00A733E2">
        <w:rPr>
          <w:rFonts w:asciiTheme="minorHAnsi" w:hAnsiTheme="minorHAnsi" w:cstheme="minorHAnsi"/>
          <w:lang w:val="en"/>
        </w:rPr>
        <w:t>Care</w:t>
      </w:r>
      <w:r w:rsidR="005126A0" w:rsidRPr="00A733E2">
        <w:rPr>
          <w:rFonts w:asciiTheme="minorHAnsi" w:hAnsiTheme="minorHAnsi" w:cstheme="minorHAnsi"/>
          <w:lang w:val="en"/>
        </w:rPr>
        <w:t xml:space="preserve"> C</w:t>
      </w:r>
      <w:r w:rsidR="00C209FC" w:rsidRPr="00A733E2">
        <w:rPr>
          <w:rFonts w:asciiTheme="minorHAnsi" w:hAnsiTheme="minorHAnsi" w:cstheme="minorHAnsi"/>
          <w:lang w:val="en"/>
        </w:rPr>
        <w:t>enter</w:t>
      </w:r>
      <w:r w:rsidR="00B214E0" w:rsidRPr="00A733E2">
        <w:rPr>
          <w:rFonts w:asciiTheme="minorHAnsi" w:hAnsiTheme="minorHAnsi" w:cstheme="minorHAnsi"/>
          <w:lang w:val="en"/>
        </w:rPr>
        <w:t xml:space="preserve">, in affiliation with Brigham and Women’s </w:t>
      </w:r>
      <w:r w:rsidR="00997B22" w:rsidRPr="00A733E2">
        <w:rPr>
          <w:rFonts w:asciiTheme="minorHAnsi" w:hAnsiTheme="minorHAnsi" w:cstheme="minorHAnsi"/>
          <w:lang w:val="en"/>
        </w:rPr>
        <w:t>and Dana-Farber Cancer Institute</w:t>
      </w:r>
      <w:r w:rsidR="00B214E0" w:rsidRPr="00A733E2">
        <w:rPr>
          <w:rFonts w:asciiTheme="minorHAnsi" w:hAnsiTheme="minorHAnsi" w:cstheme="minorHAnsi"/>
          <w:lang w:val="en"/>
        </w:rPr>
        <w:t>,</w:t>
      </w:r>
      <w:r w:rsidR="004A2D49" w:rsidRPr="00A733E2">
        <w:rPr>
          <w:rFonts w:asciiTheme="minorHAnsi" w:hAnsiTheme="minorHAnsi" w:cstheme="minorHAnsi"/>
          <w:lang w:val="en"/>
        </w:rPr>
        <w:t xml:space="preserve"> </w:t>
      </w:r>
      <w:r w:rsidR="00C209FC" w:rsidRPr="00A733E2">
        <w:rPr>
          <w:rFonts w:asciiTheme="minorHAnsi" w:hAnsiTheme="minorHAnsi" w:cstheme="minorHAnsi"/>
          <w:lang w:val="en"/>
        </w:rPr>
        <w:t>is</w:t>
      </w:r>
      <w:r w:rsidRPr="00A733E2">
        <w:rPr>
          <w:rFonts w:asciiTheme="minorHAnsi" w:hAnsiTheme="minorHAnsi" w:cstheme="minorHAnsi"/>
          <w:lang w:val="en"/>
        </w:rPr>
        <w:t xml:space="preserve"> accredited by the American College of Radiology and </w:t>
      </w:r>
      <w:r w:rsidR="00E840C5" w:rsidRPr="00A733E2">
        <w:rPr>
          <w:rFonts w:asciiTheme="minorHAnsi" w:hAnsiTheme="minorHAnsi" w:cstheme="minorHAnsi"/>
          <w:lang w:val="en"/>
        </w:rPr>
        <w:t>is designated as a Breast Imaging Center of Excellence by the American College of Radiology.</w:t>
      </w:r>
      <w:r w:rsidR="00B214E0" w:rsidRPr="00A733E2">
        <w:rPr>
          <w:rFonts w:asciiTheme="minorHAnsi" w:hAnsiTheme="minorHAnsi" w:cstheme="minorHAnsi"/>
          <w:lang w:val="en"/>
        </w:rPr>
        <w:t xml:space="preserve"> </w:t>
      </w:r>
      <w:r w:rsidR="00273979" w:rsidRPr="00A733E2">
        <w:rPr>
          <w:rFonts w:asciiTheme="minorHAnsi" w:hAnsiTheme="minorHAnsi" w:cstheme="minorHAnsi"/>
          <w:lang w:val="en"/>
        </w:rPr>
        <w:t xml:space="preserve">The team of specialists includes Brigham and Women’s breast surgeons, medical and radiation oncologists from Dana-Farber Cancer Institute, and South Shore Hospital’s radiologists and pathologists.  </w:t>
      </w:r>
      <w:r w:rsidR="00997B22" w:rsidRPr="00A733E2">
        <w:rPr>
          <w:rFonts w:asciiTheme="minorHAnsi" w:hAnsiTheme="minorHAnsi" w:cstheme="minorHAnsi"/>
          <w:lang w:val="en"/>
        </w:rPr>
        <w:t xml:space="preserve">The non-physician experts of the team include breast-certified nurse practitioners, nurses who have received specialized training in breast health, an oncology dietitian, oncology social workers, and experts in integrative therapies to help with the symptoms and side effects of cancer and some treatments. </w:t>
      </w:r>
    </w:p>
    <w:p w14:paraId="003B3A05" w14:textId="439A56BA" w:rsidR="00273979" w:rsidRPr="00A733E2" w:rsidRDefault="00273979" w:rsidP="00A733E2">
      <w:pPr>
        <w:pStyle w:val="ListParagraph"/>
        <w:numPr>
          <w:ilvl w:val="0"/>
          <w:numId w:val="20"/>
        </w:numPr>
        <w:spacing w:after="100" w:afterAutospacing="1"/>
        <w:rPr>
          <w:rFonts w:cstheme="minorHAnsi"/>
          <w:sz w:val="24"/>
          <w:szCs w:val="24"/>
          <w:lang w:val="en"/>
        </w:rPr>
      </w:pPr>
      <w:r w:rsidRPr="00A733E2">
        <w:rPr>
          <w:rFonts w:cstheme="minorHAnsi"/>
          <w:sz w:val="24"/>
          <w:szCs w:val="24"/>
          <w:lang w:val="en"/>
        </w:rPr>
        <w:t xml:space="preserve">This Breast Care Center provides consultations for benign breast conditions, </w:t>
      </w:r>
      <w:r w:rsidR="00997B22" w:rsidRPr="00A733E2">
        <w:rPr>
          <w:rFonts w:cstheme="minorHAnsi"/>
          <w:sz w:val="24"/>
          <w:szCs w:val="24"/>
          <w:lang w:val="en"/>
        </w:rPr>
        <w:t xml:space="preserve">screening and </w:t>
      </w:r>
      <w:r w:rsidRPr="00A733E2">
        <w:rPr>
          <w:rFonts w:cstheme="minorHAnsi"/>
          <w:sz w:val="24"/>
          <w:szCs w:val="24"/>
          <w:lang w:val="en"/>
        </w:rPr>
        <w:t>diagnostic imaging</w:t>
      </w:r>
      <w:r w:rsidR="00997B22" w:rsidRPr="00A733E2">
        <w:rPr>
          <w:rFonts w:cstheme="minorHAnsi"/>
          <w:sz w:val="24"/>
          <w:szCs w:val="24"/>
          <w:lang w:val="en"/>
        </w:rPr>
        <w:t xml:space="preserve"> including MRI and breast biopsy</w:t>
      </w:r>
      <w:r w:rsidRPr="00A733E2">
        <w:rPr>
          <w:rFonts w:cstheme="minorHAnsi"/>
          <w:sz w:val="24"/>
          <w:szCs w:val="24"/>
          <w:lang w:val="en"/>
        </w:rPr>
        <w:t>, high-risk and genetic counseling services, and comprehensive treatment of breast cancer.</w:t>
      </w:r>
      <w:r w:rsidR="00997B22" w:rsidRPr="00A733E2">
        <w:rPr>
          <w:rFonts w:cstheme="minorHAnsi"/>
          <w:sz w:val="24"/>
          <w:szCs w:val="24"/>
          <w:lang w:val="en"/>
        </w:rPr>
        <w:t xml:space="preserve"> All imaging exams are performed by American Registry of Radiologic Technologists (ARRT)(R)(M)(MRI) registered mammographers and MRI technologists. All mammograms are read by board-certified radiologists. </w:t>
      </w:r>
      <w:r w:rsidR="00B76E85" w:rsidRPr="00A733E2">
        <w:rPr>
          <w:rFonts w:cstheme="minorHAnsi"/>
          <w:sz w:val="24"/>
          <w:szCs w:val="24"/>
          <w:lang w:val="en"/>
        </w:rPr>
        <w:t>The Breast Imaging Navigator coordinates care with the multidisciplinary team.</w:t>
      </w:r>
    </w:p>
    <w:p w14:paraId="20FC1CE8" w14:textId="31BC6514" w:rsidR="00A85B90" w:rsidRPr="000A2519" w:rsidRDefault="00A733E2" w:rsidP="000A2519">
      <w:pPr>
        <w:pStyle w:val="ListParagraph"/>
        <w:numPr>
          <w:ilvl w:val="0"/>
          <w:numId w:val="20"/>
        </w:numPr>
        <w:spacing w:after="0"/>
        <w:rPr>
          <w:rFonts w:cstheme="minorHAnsi"/>
          <w:sz w:val="24"/>
          <w:szCs w:val="24"/>
          <w:lang w:val="en"/>
        </w:rPr>
      </w:pPr>
      <w:r>
        <w:rPr>
          <w:rFonts w:cstheme="minorHAnsi"/>
          <w:sz w:val="24"/>
          <w:szCs w:val="24"/>
          <w:lang w:val="en"/>
        </w:rPr>
        <w:t>There are no enrollment criteria to receive services through the Breast Care Center. All patients seen in the</w:t>
      </w:r>
      <w:r w:rsidR="00B76E85" w:rsidRPr="00A733E2">
        <w:rPr>
          <w:rFonts w:cstheme="minorHAnsi"/>
          <w:sz w:val="24"/>
          <w:szCs w:val="24"/>
          <w:lang w:val="en"/>
        </w:rPr>
        <w:t xml:space="preserve"> Center have access to these services.  Any patient can self-refer for screening mammography, </w:t>
      </w:r>
      <w:r>
        <w:rPr>
          <w:rFonts w:cstheme="minorHAnsi"/>
          <w:sz w:val="24"/>
          <w:szCs w:val="24"/>
          <w:lang w:val="en"/>
        </w:rPr>
        <w:t xml:space="preserve">and any subsequent or </w:t>
      </w:r>
      <w:r w:rsidR="00B76E85" w:rsidRPr="00A733E2">
        <w:rPr>
          <w:rFonts w:cstheme="minorHAnsi"/>
          <w:sz w:val="24"/>
          <w:szCs w:val="24"/>
          <w:lang w:val="en"/>
        </w:rPr>
        <w:t>higher</w:t>
      </w:r>
      <w:r>
        <w:rPr>
          <w:rFonts w:cstheme="minorHAnsi"/>
          <w:sz w:val="24"/>
          <w:szCs w:val="24"/>
          <w:lang w:val="en"/>
        </w:rPr>
        <w:t>-</w:t>
      </w:r>
      <w:r w:rsidR="00B76E85" w:rsidRPr="00A733E2">
        <w:rPr>
          <w:rFonts w:cstheme="minorHAnsi"/>
          <w:sz w:val="24"/>
          <w:szCs w:val="24"/>
          <w:lang w:val="en"/>
        </w:rPr>
        <w:t>level services are coordinated with patients</w:t>
      </w:r>
      <w:r>
        <w:rPr>
          <w:rFonts w:cstheme="minorHAnsi"/>
          <w:sz w:val="24"/>
          <w:szCs w:val="24"/>
          <w:lang w:val="en"/>
        </w:rPr>
        <w:t>’</w:t>
      </w:r>
      <w:r w:rsidR="00B76E85" w:rsidRPr="00A733E2">
        <w:rPr>
          <w:rFonts w:cstheme="minorHAnsi"/>
          <w:sz w:val="24"/>
          <w:szCs w:val="24"/>
          <w:lang w:val="en"/>
        </w:rPr>
        <w:t xml:space="preserve"> primary care provider.  </w:t>
      </w:r>
    </w:p>
    <w:p w14:paraId="7F438AC0" w14:textId="77777777" w:rsidR="0013714E" w:rsidRPr="00A733E2" w:rsidRDefault="008204D4" w:rsidP="00F07B83">
      <w:pPr>
        <w:pStyle w:val="ListParagraph"/>
        <w:numPr>
          <w:ilvl w:val="0"/>
          <w:numId w:val="17"/>
        </w:numPr>
        <w:tabs>
          <w:tab w:val="left" w:pos="4455"/>
        </w:tabs>
        <w:spacing w:after="0" w:line="240" w:lineRule="auto"/>
        <w:rPr>
          <w:b/>
          <w:bCs/>
          <w:sz w:val="24"/>
          <w:szCs w:val="24"/>
        </w:rPr>
      </w:pPr>
      <w:r w:rsidRPr="00A733E2">
        <w:rPr>
          <w:b/>
          <w:bCs/>
          <w:sz w:val="24"/>
          <w:szCs w:val="24"/>
        </w:rPr>
        <w:t xml:space="preserve">The responses to DoN questions mention DOVE (pg7.) Provide a brief </w:t>
      </w:r>
      <w:r w:rsidR="0085263D" w:rsidRPr="00A733E2">
        <w:rPr>
          <w:b/>
          <w:bCs/>
          <w:sz w:val="24"/>
          <w:szCs w:val="24"/>
        </w:rPr>
        <w:t>description</w:t>
      </w:r>
      <w:r w:rsidRPr="00A733E2">
        <w:rPr>
          <w:b/>
          <w:bCs/>
          <w:sz w:val="24"/>
          <w:szCs w:val="24"/>
        </w:rPr>
        <w:t xml:space="preserve"> of DOVE.</w:t>
      </w:r>
      <w:r w:rsidR="00462263" w:rsidRPr="00A733E2">
        <w:rPr>
          <w:b/>
          <w:bCs/>
          <w:sz w:val="24"/>
          <w:szCs w:val="24"/>
        </w:rPr>
        <w:t xml:space="preserve"> </w:t>
      </w:r>
      <w:r w:rsidRPr="00A733E2">
        <w:rPr>
          <w:b/>
          <w:bCs/>
          <w:sz w:val="24"/>
          <w:szCs w:val="24"/>
        </w:rPr>
        <w:t xml:space="preserve">Is the blog </w:t>
      </w:r>
      <w:r w:rsidR="00462263" w:rsidRPr="00A733E2">
        <w:rPr>
          <w:b/>
          <w:bCs/>
          <w:sz w:val="24"/>
          <w:szCs w:val="24"/>
        </w:rPr>
        <w:t xml:space="preserve">that is </w:t>
      </w:r>
      <w:r w:rsidR="009A0C28" w:rsidRPr="00A733E2">
        <w:rPr>
          <w:b/>
          <w:bCs/>
          <w:sz w:val="24"/>
          <w:szCs w:val="24"/>
        </w:rPr>
        <w:t xml:space="preserve">mentioned </w:t>
      </w:r>
      <w:r w:rsidR="00462263" w:rsidRPr="00A733E2">
        <w:rPr>
          <w:b/>
          <w:bCs/>
          <w:sz w:val="24"/>
          <w:szCs w:val="24"/>
        </w:rPr>
        <w:t xml:space="preserve">in the response </w:t>
      </w:r>
      <w:r w:rsidRPr="00A733E2">
        <w:rPr>
          <w:b/>
          <w:bCs/>
          <w:sz w:val="24"/>
          <w:szCs w:val="24"/>
        </w:rPr>
        <w:t xml:space="preserve">located on the SSHS website or DOVE’s website? </w:t>
      </w:r>
    </w:p>
    <w:p w14:paraId="0DC55B15" w14:textId="77777777" w:rsidR="0013714E" w:rsidRDefault="0013714E" w:rsidP="0013714E">
      <w:pPr>
        <w:pStyle w:val="ListParagraph"/>
        <w:rPr>
          <w:color w:val="FF0000"/>
          <w:sz w:val="24"/>
          <w:szCs w:val="24"/>
        </w:rPr>
      </w:pPr>
    </w:p>
    <w:p w14:paraId="25B03AF1" w14:textId="776D3C71" w:rsidR="0013714E" w:rsidRPr="00A733E2" w:rsidRDefault="0013714E" w:rsidP="00A733E2">
      <w:pPr>
        <w:pStyle w:val="ListParagraph"/>
        <w:numPr>
          <w:ilvl w:val="0"/>
          <w:numId w:val="22"/>
        </w:numPr>
        <w:rPr>
          <w:sz w:val="24"/>
          <w:szCs w:val="24"/>
        </w:rPr>
      </w:pPr>
      <w:r w:rsidRPr="00A733E2">
        <w:rPr>
          <w:sz w:val="24"/>
          <w:szCs w:val="24"/>
        </w:rPr>
        <w:t>DOVE is a 501©(3) charitable nonprofit organization and legal advocacy program</w:t>
      </w:r>
      <w:r w:rsidR="00E840C5" w:rsidRPr="00A733E2">
        <w:rPr>
          <w:sz w:val="24"/>
          <w:szCs w:val="24"/>
        </w:rPr>
        <w:t xml:space="preserve"> that</w:t>
      </w:r>
      <w:r w:rsidR="00A733E2">
        <w:rPr>
          <w:sz w:val="24"/>
          <w:szCs w:val="24"/>
        </w:rPr>
        <w:t xml:space="preserve"> </w:t>
      </w:r>
      <w:r w:rsidRPr="00A733E2">
        <w:rPr>
          <w:sz w:val="24"/>
          <w:szCs w:val="24"/>
        </w:rPr>
        <w:t xml:space="preserve">provides community based services and outreach programs </w:t>
      </w:r>
      <w:r w:rsidR="006423DB" w:rsidRPr="00A733E2">
        <w:rPr>
          <w:sz w:val="24"/>
          <w:szCs w:val="24"/>
        </w:rPr>
        <w:t>for individual impacted by domestic or partner violence.</w:t>
      </w:r>
      <w:r w:rsidR="00790DD8" w:rsidRPr="00A733E2">
        <w:rPr>
          <w:sz w:val="24"/>
          <w:szCs w:val="24"/>
        </w:rPr>
        <w:t xml:space="preserve">  </w:t>
      </w:r>
    </w:p>
    <w:p w14:paraId="55175408" w14:textId="2C799F1A" w:rsidR="00242743" w:rsidRPr="000A2519" w:rsidRDefault="0013714E" w:rsidP="000A2519">
      <w:pPr>
        <w:pStyle w:val="ListParagraph"/>
        <w:numPr>
          <w:ilvl w:val="0"/>
          <w:numId w:val="22"/>
        </w:numPr>
        <w:rPr>
          <w:sz w:val="24"/>
          <w:szCs w:val="24"/>
        </w:rPr>
      </w:pPr>
      <w:r w:rsidRPr="00A733E2">
        <w:rPr>
          <w:sz w:val="24"/>
          <w:szCs w:val="24"/>
        </w:rPr>
        <w:t xml:space="preserve">The </w:t>
      </w:r>
      <w:r w:rsidR="00E840C5" w:rsidRPr="00A733E2">
        <w:rPr>
          <w:sz w:val="24"/>
          <w:szCs w:val="24"/>
        </w:rPr>
        <w:t>blog is</w:t>
      </w:r>
      <w:r w:rsidRPr="00A733E2">
        <w:rPr>
          <w:sz w:val="24"/>
          <w:szCs w:val="24"/>
        </w:rPr>
        <w:t xml:space="preserve"> located on the SSH Blog and the SSMC Newsletter.  The link may be found here: </w:t>
      </w:r>
      <w:hyperlink r:id="rId9" w:history="1">
        <w:r w:rsidR="004F3479">
          <w:rPr>
            <w:rStyle w:val="Hyperlink"/>
            <w:color w:val="auto"/>
            <w:sz w:val="24"/>
            <w:szCs w:val="24"/>
          </w:rPr>
          <w:t>The Invisible Pandemic: Domestic Violence and Social Determinants of Health at https://www.southshorehealth.org/wellness/blog/invisible-pandemic-domestic-violence-and-social-determinants-health</w:t>
        </w:r>
      </w:hyperlink>
      <w:r w:rsidR="00790DD8" w:rsidRPr="00A733E2">
        <w:rPr>
          <w:rStyle w:val="Hyperlink"/>
          <w:color w:val="auto"/>
          <w:sz w:val="24"/>
          <w:szCs w:val="24"/>
        </w:rPr>
        <w:t xml:space="preserve">.  </w:t>
      </w:r>
      <w:r w:rsidR="00790DD8" w:rsidRPr="00A733E2">
        <w:rPr>
          <w:rStyle w:val="Hyperlink"/>
          <w:color w:val="auto"/>
          <w:sz w:val="24"/>
          <w:szCs w:val="24"/>
          <w:u w:val="none"/>
        </w:rPr>
        <w:t xml:space="preserve">This blog is updated regularly as topics arise.  There is not a set schedule for the updates.  </w:t>
      </w:r>
    </w:p>
    <w:p w14:paraId="68EA8219" w14:textId="222EB949" w:rsidR="008204D4" w:rsidRPr="00A733E2" w:rsidRDefault="008204D4" w:rsidP="00F07B83">
      <w:pPr>
        <w:pStyle w:val="ListParagraph"/>
        <w:numPr>
          <w:ilvl w:val="0"/>
          <w:numId w:val="17"/>
        </w:numPr>
        <w:tabs>
          <w:tab w:val="left" w:pos="4455"/>
        </w:tabs>
        <w:spacing w:after="0" w:line="240" w:lineRule="auto"/>
        <w:rPr>
          <w:b/>
          <w:bCs/>
          <w:sz w:val="24"/>
          <w:szCs w:val="24"/>
        </w:rPr>
      </w:pPr>
      <w:r w:rsidRPr="00A733E2">
        <w:rPr>
          <w:b/>
          <w:bCs/>
          <w:sz w:val="24"/>
          <w:szCs w:val="24"/>
        </w:rPr>
        <w:t>The responses to DoN questions mention SSH’s Mobile Integrated Health (MIH) Program (pg.8). Who qualifies for this program?</w:t>
      </w:r>
      <w:r w:rsidR="006E5032" w:rsidRPr="00A733E2">
        <w:rPr>
          <w:b/>
          <w:bCs/>
          <w:sz w:val="24"/>
          <w:szCs w:val="24"/>
        </w:rPr>
        <w:t xml:space="preserve"> </w:t>
      </w:r>
    </w:p>
    <w:p w14:paraId="3CCA4EE3" w14:textId="77777777" w:rsidR="007419F9" w:rsidRPr="007419F9" w:rsidRDefault="007419F9" w:rsidP="007419F9">
      <w:pPr>
        <w:pStyle w:val="ListParagraph"/>
        <w:rPr>
          <w:sz w:val="24"/>
          <w:szCs w:val="24"/>
        </w:rPr>
      </w:pPr>
    </w:p>
    <w:p w14:paraId="0C9C8965" w14:textId="5EC107DF" w:rsidR="008A1161" w:rsidRPr="00A733E2" w:rsidRDefault="0013714E" w:rsidP="00A733E2">
      <w:pPr>
        <w:pStyle w:val="ListParagraph"/>
        <w:numPr>
          <w:ilvl w:val="0"/>
          <w:numId w:val="21"/>
        </w:numPr>
        <w:tabs>
          <w:tab w:val="left" w:pos="4455"/>
        </w:tabs>
        <w:spacing w:after="0" w:line="240" w:lineRule="auto"/>
        <w:rPr>
          <w:sz w:val="24"/>
          <w:szCs w:val="24"/>
        </w:rPr>
      </w:pPr>
      <w:r w:rsidRPr="00A733E2">
        <w:rPr>
          <w:sz w:val="24"/>
          <w:szCs w:val="24"/>
        </w:rPr>
        <w:t xml:space="preserve">MIH has two programs, the SNF at Home and Basic.  It is a </w:t>
      </w:r>
      <w:r w:rsidR="00E52FFC" w:rsidRPr="00A733E2">
        <w:rPr>
          <w:sz w:val="24"/>
          <w:szCs w:val="24"/>
        </w:rPr>
        <w:t>payer</w:t>
      </w:r>
      <w:r w:rsidRPr="00A733E2">
        <w:rPr>
          <w:sz w:val="24"/>
          <w:szCs w:val="24"/>
        </w:rPr>
        <w:t xml:space="preserve"> agnostic and is dependent on skilled need and service area.</w:t>
      </w:r>
    </w:p>
    <w:p w14:paraId="7DDD4365" w14:textId="61E03BC6" w:rsidR="008A1161" w:rsidRPr="00A733E2" w:rsidRDefault="006423DB" w:rsidP="008A1161">
      <w:pPr>
        <w:pStyle w:val="ListParagraph"/>
        <w:numPr>
          <w:ilvl w:val="0"/>
          <w:numId w:val="21"/>
        </w:numPr>
        <w:tabs>
          <w:tab w:val="left" w:pos="4455"/>
        </w:tabs>
        <w:spacing w:after="0" w:line="240" w:lineRule="auto"/>
        <w:rPr>
          <w:sz w:val="24"/>
          <w:szCs w:val="24"/>
        </w:rPr>
      </w:pPr>
      <w:r w:rsidRPr="00A733E2">
        <w:rPr>
          <w:sz w:val="24"/>
          <w:szCs w:val="24"/>
        </w:rPr>
        <w:t>All patients are eligible for the MIH program through referral from MD Practices, care progression, and VNA regardless of their ability to pay.</w:t>
      </w:r>
    </w:p>
    <w:p w14:paraId="6949B061" w14:textId="550A385B" w:rsidR="0013714E" w:rsidRPr="00A733E2" w:rsidRDefault="0013714E" w:rsidP="009027FB">
      <w:pPr>
        <w:pStyle w:val="ListParagraph"/>
        <w:numPr>
          <w:ilvl w:val="0"/>
          <w:numId w:val="21"/>
        </w:numPr>
        <w:tabs>
          <w:tab w:val="left" w:pos="4455"/>
        </w:tabs>
        <w:spacing w:after="0" w:line="240" w:lineRule="auto"/>
        <w:rPr>
          <w:sz w:val="24"/>
          <w:szCs w:val="24"/>
        </w:rPr>
      </w:pPr>
      <w:r w:rsidRPr="00A733E2">
        <w:rPr>
          <w:sz w:val="24"/>
          <w:szCs w:val="24"/>
        </w:rPr>
        <w:t>The MIH program currently serves: Abington, Braintree, Cohasset, Duxbury, Hanover, Hingham, Hull, Holbrook, Kingston, Marshfield, Norwell, Quincy, Pembroke, Plymouth, Randolph, Rockland, Scituate, Whitman, and Weymouth.</w:t>
      </w:r>
    </w:p>
    <w:p w14:paraId="1EAFABB9" w14:textId="04C53CAC" w:rsidR="008204D4" w:rsidRPr="009532CC" w:rsidRDefault="008204D4" w:rsidP="009532CC">
      <w:pPr>
        <w:pStyle w:val="ListParagraph"/>
        <w:tabs>
          <w:tab w:val="left" w:pos="4455"/>
        </w:tabs>
        <w:spacing w:after="0" w:line="240" w:lineRule="auto"/>
        <w:rPr>
          <w:sz w:val="24"/>
          <w:szCs w:val="24"/>
        </w:rPr>
      </w:pPr>
    </w:p>
    <w:p w14:paraId="2B50E6BB" w14:textId="2E99CBD5" w:rsidR="00725D33" w:rsidRPr="00A733E2" w:rsidRDefault="00B6225A" w:rsidP="00F07B83">
      <w:pPr>
        <w:pStyle w:val="ListParagraph"/>
        <w:numPr>
          <w:ilvl w:val="0"/>
          <w:numId w:val="17"/>
        </w:numPr>
        <w:tabs>
          <w:tab w:val="left" w:pos="4455"/>
        </w:tabs>
        <w:spacing w:after="0" w:line="240" w:lineRule="auto"/>
        <w:rPr>
          <w:b/>
          <w:bCs/>
          <w:sz w:val="24"/>
          <w:szCs w:val="24"/>
        </w:rPr>
      </w:pPr>
      <w:r w:rsidRPr="00A733E2">
        <w:rPr>
          <w:b/>
          <w:bCs/>
          <w:sz w:val="24"/>
          <w:szCs w:val="24"/>
        </w:rPr>
        <w:t>The responses to DoN questions mention THRIVE screening for Medi</w:t>
      </w:r>
      <w:r w:rsidR="00915B1B" w:rsidRPr="00A733E2">
        <w:rPr>
          <w:b/>
          <w:bCs/>
          <w:sz w:val="24"/>
          <w:szCs w:val="24"/>
        </w:rPr>
        <w:t xml:space="preserve">caid </w:t>
      </w:r>
      <w:r w:rsidRPr="00A733E2">
        <w:rPr>
          <w:b/>
          <w:bCs/>
          <w:sz w:val="24"/>
          <w:szCs w:val="24"/>
        </w:rPr>
        <w:t>ACO (BACO) patients</w:t>
      </w:r>
      <w:r w:rsidR="008204D4" w:rsidRPr="00A733E2">
        <w:rPr>
          <w:b/>
          <w:bCs/>
          <w:sz w:val="24"/>
          <w:szCs w:val="24"/>
        </w:rPr>
        <w:t xml:space="preserve"> (pg.10)</w:t>
      </w:r>
      <w:r w:rsidRPr="00A733E2">
        <w:rPr>
          <w:b/>
          <w:bCs/>
          <w:sz w:val="24"/>
          <w:szCs w:val="24"/>
        </w:rPr>
        <w:t xml:space="preserve">. How many </w:t>
      </w:r>
      <w:r w:rsidR="008F02D3" w:rsidRPr="00A733E2">
        <w:rPr>
          <w:b/>
          <w:bCs/>
          <w:sz w:val="24"/>
          <w:szCs w:val="24"/>
        </w:rPr>
        <w:t xml:space="preserve">patients </w:t>
      </w:r>
      <w:r w:rsidR="002F72E4" w:rsidRPr="00A733E2">
        <w:rPr>
          <w:b/>
          <w:bCs/>
          <w:sz w:val="24"/>
          <w:szCs w:val="24"/>
        </w:rPr>
        <w:t>were</w:t>
      </w:r>
      <w:r w:rsidR="008F02D3" w:rsidRPr="00A733E2">
        <w:rPr>
          <w:b/>
          <w:bCs/>
          <w:sz w:val="24"/>
          <w:szCs w:val="24"/>
        </w:rPr>
        <w:t xml:space="preserve"> members in the </w:t>
      </w:r>
      <w:r w:rsidRPr="00A733E2">
        <w:rPr>
          <w:b/>
          <w:bCs/>
          <w:sz w:val="24"/>
          <w:szCs w:val="24"/>
        </w:rPr>
        <w:t>Medicaid</w:t>
      </w:r>
      <w:r w:rsidR="008F02D3" w:rsidRPr="00A733E2">
        <w:rPr>
          <w:b/>
          <w:bCs/>
          <w:sz w:val="24"/>
          <w:szCs w:val="24"/>
        </w:rPr>
        <w:t xml:space="preserve"> ACO</w:t>
      </w:r>
      <w:r w:rsidRPr="00A733E2">
        <w:rPr>
          <w:b/>
          <w:bCs/>
          <w:sz w:val="24"/>
          <w:szCs w:val="24"/>
        </w:rPr>
        <w:t xml:space="preserve"> BACO</w:t>
      </w:r>
      <w:r w:rsidR="00273791" w:rsidRPr="00A733E2">
        <w:rPr>
          <w:b/>
          <w:bCs/>
          <w:sz w:val="24"/>
          <w:szCs w:val="24"/>
        </w:rPr>
        <w:t xml:space="preserve"> in FY20</w:t>
      </w:r>
      <w:r w:rsidRPr="00A733E2">
        <w:rPr>
          <w:b/>
          <w:bCs/>
          <w:sz w:val="24"/>
          <w:szCs w:val="24"/>
        </w:rPr>
        <w:t>?</w:t>
      </w:r>
      <w:r w:rsidR="006E5032" w:rsidRPr="00A733E2">
        <w:rPr>
          <w:b/>
          <w:bCs/>
          <w:sz w:val="24"/>
          <w:szCs w:val="24"/>
        </w:rPr>
        <w:t xml:space="preserve"> </w:t>
      </w:r>
    </w:p>
    <w:p w14:paraId="70E89234" w14:textId="77777777" w:rsidR="0013714E" w:rsidRPr="001239CF" w:rsidRDefault="0013714E" w:rsidP="0013714E">
      <w:pPr>
        <w:pStyle w:val="ListParagraph"/>
        <w:tabs>
          <w:tab w:val="left" w:pos="4455"/>
        </w:tabs>
        <w:spacing w:after="0" w:line="240" w:lineRule="auto"/>
        <w:rPr>
          <w:sz w:val="24"/>
          <w:szCs w:val="24"/>
        </w:rPr>
      </w:pPr>
    </w:p>
    <w:p w14:paraId="01D58FD2" w14:textId="6AF0BBD5" w:rsidR="00242743" w:rsidRPr="00A733E2" w:rsidRDefault="0013714E" w:rsidP="0013714E">
      <w:pPr>
        <w:pStyle w:val="ListParagraph"/>
        <w:numPr>
          <w:ilvl w:val="0"/>
          <w:numId w:val="23"/>
        </w:numPr>
        <w:tabs>
          <w:tab w:val="left" w:pos="4455"/>
        </w:tabs>
        <w:spacing w:after="0" w:line="240" w:lineRule="auto"/>
        <w:ind w:left="1800"/>
        <w:rPr>
          <w:sz w:val="24"/>
          <w:szCs w:val="24"/>
        </w:rPr>
      </w:pPr>
      <w:r w:rsidRPr="00A733E2">
        <w:rPr>
          <w:sz w:val="24"/>
          <w:szCs w:val="24"/>
        </w:rPr>
        <w:t>There are approximately 8,000 members.</w:t>
      </w:r>
      <w:r w:rsidR="00790DD8" w:rsidRPr="00A733E2">
        <w:rPr>
          <w:sz w:val="24"/>
          <w:szCs w:val="24"/>
        </w:rPr>
        <w:t xml:space="preserve">  An approximation number is provided as membership fluctuates through the year as it is rolling enrollment.  There are times where patients fall out per election of a different PCP.  When we originally started in BACO, we have about 5,000 members. We have seen significant growth since inception, and anticipate there are approximately 8,000 members to date.</w:t>
      </w:r>
    </w:p>
    <w:p w14:paraId="7074D3E7" w14:textId="77777777" w:rsidR="0013714E" w:rsidRPr="001239CF" w:rsidRDefault="0013714E" w:rsidP="00242743">
      <w:pPr>
        <w:pStyle w:val="ListParagraph"/>
        <w:tabs>
          <w:tab w:val="left" w:pos="4455"/>
        </w:tabs>
        <w:spacing w:after="0" w:line="240" w:lineRule="auto"/>
        <w:rPr>
          <w:sz w:val="24"/>
          <w:szCs w:val="24"/>
        </w:rPr>
      </w:pPr>
    </w:p>
    <w:p w14:paraId="08713E2C" w14:textId="77777777" w:rsidR="009027FB" w:rsidRPr="00A733E2" w:rsidRDefault="004F2D9D" w:rsidP="00F07B83">
      <w:pPr>
        <w:pStyle w:val="ListParagraph"/>
        <w:numPr>
          <w:ilvl w:val="0"/>
          <w:numId w:val="17"/>
        </w:numPr>
        <w:tabs>
          <w:tab w:val="left" w:pos="4455"/>
        </w:tabs>
        <w:spacing w:after="0" w:line="240" w:lineRule="auto"/>
        <w:rPr>
          <w:b/>
          <w:bCs/>
          <w:sz w:val="24"/>
          <w:szCs w:val="24"/>
        </w:rPr>
      </w:pPr>
      <w:r w:rsidRPr="00A733E2">
        <w:rPr>
          <w:b/>
          <w:bCs/>
          <w:sz w:val="24"/>
          <w:szCs w:val="24"/>
        </w:rPr>
        <w:t>The application provides five years of projections for the Proposed Project</w:t>
      </w:r>
      <w:r w:rsidR="00224718" w:rsidRPr="00A733E2">
        <w:rPr>
          <w:b/>
          <w:bCs/>
          <w:sz w:val="24"/>
          <w:szCs w:val="24"/>
        </w:rPr>
        <w:t xml:space="preserve"> (pg.8)</w:t>
      </w:r>
      <w:r w:rsidRPr="00A733E2">
        <w:rPr>
          <w:b/>
          <w:bCs/>
          <w:sz w:val="24"/>
          <w:szCs w:val="24"/>
        </w:rPr>
        <w:t xml:space="preserve">. </w:t>
      </w:r>
      <w:r w:rsidR="00AB52CC" w:rsidRPr="00A733E2">
        <w:rPr>
          <w:b/>
          <w:bCs/>
          <w:sz w:val="24"/>
          <w:szCs w:val="24"/>
        </w:rPr>
        <w:t>What is the first year of operation?</w:t>
      </w:r>
      <w:r w:rsidR="006E5032" w:rsidRPr="00A733E2">
        <w:rPr>
          <w:b/>
          <w:bCs/>
          <w:color w:val="FF0000"/>
          <w:sz w:val="24"/>
          <w:szCs w:val="24"/>
        </w:rPr>
        <w:t xml:space="preserve"> </w:t>
      </w:r>
    </w:p>
    <w:p w14:paraId="436D53E1" w14:textId="77777777" w:rsidR="009027FB" w:rsidRPr="009027FB" w:rsidRDefault="009027FB" w:rsidP="009027FB">
      <w:pPr>
        <w:pStyle w:val="ListParagraph"/>
        <w:rPr>
          <w:color w:val="FF0000"/>
          <w:sz w:val="24"/>
          <w:szCs w:val="24"/>
        </w:rPr>
      </w:pPr>
    </w:p>
    <w:p w14:paraId="6A5D9BFC" w14:textId="6E99A2F4" w:rsidR="00AB52CC" w:rsidRPr="00A733E2" w:rsidRDefault="006E5032" w:rsidP="009027FB">
      <w:pPr>
        <w:pStyle w:val="ListParagraph"/>
        <w:numPr>
          <w:ilvl w:val="0"/>
          <w:numId w:val="21"/>
        </w:numPr>
        <w:tabs>
          <w:tab w:val="left" w:pos="4455"/>
        </w:tabs>
        <w:spacing w:after="0" w:line="240" w:lineRule="auto"/>
        <w:rPr>
          <w:sz w:val="24"/>
          <w:szCs w:val="24"/>
        </w:rPr>
      </w:pPr>
      <w:r w:rsidRPr="00A733E2">
        <w:rPr>
          <w:sz w:val="24"/>
          <w:szCs w:val="24"/>
        </w:rPr>
        <w:t xml:space="preserve">First year of operation is </w:t>
      </w:r>
      <w:r w:rsidR="00085A54" w:rsidRPr="00A733E2">
        <w:rPr>
          <w:sz w:val="24"/>
          <w:szCs w:val="24"/>
        </w:rPr>
        <w:t xml:space="preserve">slated for calendar year </w:t>
      </w:r>
      <w:r w:rsidRPr="00A733E2">
        <w:rPr>
          <w:sz w:val="24"/>
          <w:szCs w:val="24"/>
        </w:rPr>
        <w:t>2022.</w:t>
      </w:r>
    </w:p>
    <w:p w14:paraId="2AD8783D" w14:textId="77777777" w:rsidR="001D40DC" w:rsidRPr="001D40DC" w:rsidRDefault="001D40DC" w:rsidP="001D40DC">
      <w:pPr>
        <w:pStyle w:val="ListParagraph"/>
        <w:rPr>
          <w:sz w:val="24"/>
          <w:szCs w:val="24"/>
        </w:rPr>
      </w:pPr>
    </w:p>
    <w:p w14:paraId="13CF9FBB" w14:textId="47FF11CE" w:rsidR="00B40B64" w:rsidRPr="001D1E11" w:rsidRDefault="00B40B64" w:rsidP="00242743">
      <w:pPr>
        <w:tabs>
          <w:tab w:val="left" w:pos="4455"/>
        </w:tabs>
        <w:spacing w:after="0" w:line="240" w:lineRule="auto"/>
        <w:rPr>
          <w:sz w:val="24"/>
          <w:szCs w:val="24"/>
        </w:rPr>
      </w:pPr>
    </w:p>
    <w:sectPr w:rsidR="00B40B64" w:rsidRPr="001D1E11" w:rsidSect="004B678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B27D7" w14:textId="77777777" w:rsidR="00682ACA" w:rsidRDefault="00682ACA" w:rsidP="00231103">
      <w:pPr>
        <w:spacing w:after="0" w:line="240" w:lineRule="auto"/>
      </w:pPr>
      <w:r>
        <w:separator/>
      </w:r>
    </w:p>
  </w:endnote>
  <w:endnote w:type="continuationSeparator" w:id="0">
    <w:p w14:paraId="07A1EEFC" w14:textId="77777777" w:rsidR="00682ACA" w:rsidRDefault="00682ACA"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CBD4" w14:textId="77777777" w:rsidR="006D35FC" w:rsidRDefault="006D3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878915"/>
      <w:docPartObj>
        <w:docPartGallery w:val="Page Numbers (Bottom of Page)"/>
        <w:docPartUnique/>
      </w:docPartObj>
    </w:sdtPr>
    <w:sdtEndPr>
      <w:rPr>
        <w:noProof/>
      </w:rPr>
    </w:sdtEndPr>
    <w:sdtContent>
      <w:p w14:paraId="0D149475" w14:textId="02517198" w:rsidR="00632AEC" w:rsidRDefault="00632AEC">
        <w:pPr>
          <w:pStyle w:val="Footer"/>
          <w:jc w:val="center"/>
        </w:pPr>
        <w:r>
          <w:fldChar w:fldCharType="begin"/>
        </w:r>
        <w:r>
          <w:instrText xml:space="preserve"> PAGE   \* MERGEFORMAT </w:instrText>
        </w:r>
        <w:r>
          <w:fldChar w:fldCharType="separate"/>
        </w:r>
        <w:r w:rsidR="000F0A88">
          <w:rPr>
            <w:noProof/>
          </w:rPr>
          <w:t>4</w:t>
        </w:r>
        <w:r>
          <w:rPr>
            <w:noProof/>
          </w:rPr>
          <w:fldChar w:fldCharType="end"/>
        </w:r>
      </w:p>
    </w:sdtContent>
  </w:sdt>
  <w:p w14:paraId="6BBA7089" w14:textId="7A2EE95F" w:rsidR="00632AEC" w:rsidRPr="006D35FC" w:rsidRDefault="0040581C" w:rsidP="006D35FC">
    <w:pPr>
      <w:pStyle w:val="DocID"/>
    </w:pPr>
    <w:r>
      <w:fldChar w:fldCharType="begin"/>
    </w:r>
    <w:r>
      <w:instrText xml:space="preserve"> DOCPROPERTY "DocID" </w:instrText>
    </w:r>
    <w:r>
      <w:fldChar w:fldCharType="separate"/>
    </w:r>
    <w:r w:rsidR="006D35FC">
      <w:t>808122.1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1D8F" w14:textId="77777777" w:rsidR="006D35FC" w:rsidRDefault="006D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E091" w14:textId="77777777" w:rsidR="00682ACA" w:rsidRDefault="00682ACA" w:rsidP="00231103">
      <w:pPr>
        <w:spacing w:after="0" w:line="240" w:lineRule="auto"/>
      </w:pPr>
      <w:r>
        <w:separator/>
      </w:r>
    </w:p>
  </w:footnote>
  <w:footnote w:type="continuationSeparator" w:id="0">
    <w:p w14:paraId="5C78A438" w14:textId="77777777" w:rsidR="00682ACA" w:rsidRDefault="00682ACA" w:rsidP="0023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B2790" w14:textId="77777777" w:rsidR="006D35FC" w:rsidRDefault="006D3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605D" w14:textId="198FA194" w:rsidR="00D223EB" w:rsidRPr="00D223EB" w:rsidRDefault="00D223EB" w:rsidP="00D223EB">
    <w:pPr>
      <w:pStyle w:val="Header"/>
      <w:pBdr>
        <w:bottom w:val="single" w:sz="4" w:space="1" w:color="auto"/>
      </w:pBdr>
      <w:jc w:val="center"/>
      <w:rPr>
        <w:b/>
        <w:bCs/>
        <w:sz w:val="28"/>
        <w:szCs w:val="28"/>
      </w:rPr>
    </w:pPr>
    <w:r w:rsidRPr="00D223EB">
      <w:rPr>
        <w:b/>
        <w:bCs/>
        <w:sz w:val="28"/>
        <w:szCs w:val="28"/>
      </w:rPr>
      <w:t>South Shore Health System, Inc.</w:t>
    </w:r>
  </w:p>
  <w:p w14:paraId="78DC6D8E" w14:textId="610AE225" w:rsidR="00D223EB" w:rsidRPr="00D223EB" w:rsidRDefault="00D223EB" w:rsidP="00D223EB">
    <w:pPr>
      <w:pStyle w:val="Header"/>
      <w:pBdr>
        <w:bottom w:val="single" w:sz="4" w:space="1" w:color="auto"/>
      </w:pBdr>
      <w:jc w:val="center"/>
      <w:rPr>
        <w:sz w:val="28"/>
        <w:szCs w:val="28"/>
      </w:rPr>
    </w:pPr>
    <w:r w:rsidRPr="00D223EB">
      <w:rPr>
        <w:sz w:val="28"/>
        <w:szCs w:val="28"/>
      </w:rPr>
      <w:t>DoN #21040109-HS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9F0B" w14:textId="77777777" w:rsidR="006D35FC" w:rsidRDefault="006D3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61B7"/>
    <w:multiLevelType w:val="hybridMultilevel"/>
    <w:tmpl w:val="AE80D1F0"/>
    <w:lvl w:ilvl="0" w:tplc="57BE8458">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D09B6"/>
    <w:multiLevelType w:val="hybridMultilevel"/>
    <w:tmpl w:val="A30EE014"/>
    <w:lvl w:ilvl="0" w:tplc="F3521924">
      <w:start w:val="1"/>
      <w:numFmt w:val="lowerLetter"/>
      <w:lvlText w:val="%1."/>
      <w:lvlJc w:val="left"/>
      <w:pPr>
        <w:ind w:left="1800" w:hanging="360"/>
      </w:pPr>
      <w:rPr>
        <w:rFonts w:hint="default"/>
        <w:b w:val="0"/>
        <w:bCs w:val="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063EB0"/>
    <w:multiLevelType w:val="hybridMultilevel"/>
    <w:tmpl w:val="ECC02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B3D89"/>
    <w:multiLevelType w:val="hybridMultilevel"/>
    <w:tmpl w:val="84EA870E"/>
    <w:lvl w:ilvl="0" w:tplc="FC921F2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1A1A"/>
    <w:multiLevelType w:val="hybridMultilevel"/>
    <w:tmpl w:val="A0C4F3D2"/>
    <w:lvl w:ilvl="0" w:tplc="D30068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D3260B"/>
    <w:multiLevelType w:val="hybridMultilevel"/>
    <w:tmpl w:val="38AA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6506B"/>
    <w:multiLevelType w:val="hybridMultilevel"/>
    <w:tmpl w:val="B59247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4824E5"/>
    <w:multiLevelType w:val="hybridMultilevel"/>
    <w:tmpl w:val="D702E2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17C6F"/>
    <w:multiLevelType w:val="hybridMultilevel"/>
    <w:tmpl w:val="F48AEC8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4542C"/>
    <w:multiLevelType w:val="hybridMultilevel"/>
    <w:tmpl w:val="2D0EFFF4"/>
    <w:lvl w:ilvl="0" w:tplc="D4A4499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D5B5713"/>
    <w:multiLevelType w:val="hybridMultilevel"/>
    <w:tmpl w:val="C960FE5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D922526"/>
    <w:multiLevelType w:val="hybridMultilevel"/>
    <w:tmpl w:val="AB7646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65627B"/>
    <w:multiLevelType w:val="hybridMultilevel"/>
    <w:tmpl w:val="CB9A51D2"/>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20EA3"/>
    <w:multiLevelType w:val="hybridMultilevel"/>
    <w:tmpl w:val="5BF8AE82"/>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C4B4D"/>
    <w:multiLevelType w:val="hybridMultilevel"/>
    <w:tmpl w:val="0394B994"/>
    <w:lvl w:ilvl="0" w:tplc="04848AE2">
      <w:start w:val="1"/>
      <w:numFmt w:val="decimal"/>
      <w:lvlText w:val="%1."/>
      <w:lvlJc w:val="left"/>
      <w:pPr>
        <w:ind w:left="720" w:hanging="360"/>
      </w:pPr>
      <w:rPr>
        <w:rFonts w:hint="default"/>
        <w:b w:val="0"/>
        <w:bCs w:val="0"/>
        <w:i w:val="0"/>
        <w:iCs w:val="0"/>
        <w:sz w:val="22"/>
        <w:szCs w:val="22"/>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B6E65"/>
    <w:multiLevelType w:val="hybridMultilevel"/>
    <w:tmpl w:val="84841B58"/>
    <w:lvl w:ilvl="0" w:tplc="DBF4C40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42DC8"/>
    <w:multiLevelType w:val="hybridMultilevel"/>
    <w:tmpl w:val="0AF4AE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A74F0E"/>
    <w:multiLevelType w:val="hybridMultilevel"/>
    <w:tmpl w:val="2198243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0E1345"/>
    <w:multiLevelType w:val="hybridMultilevel"/>
    <w:tmpl w:val="CFD842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F7F2A"/>
    <w:multiLevelType w:val="hybridMultilevel"/>
    <w:tmpl w:val="A8AC7BFC"/>
    <w:lvl w:ilvl="0" w:tplc="04E293A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5"/>
  </w:num>
  <w:num w:numId="4">
    <w:abstractNumId w:val="2"/>
  </w:num>
  <w:num w:numId="5">
    <w:abstractNumId w:val="19"/>
  </w:num>
  <w:num w:numId="6">
    <w:abstractNumId w:val="8"/>
  </w:num>
  <w:num w:numId="7">
    <w:abstractNumId w:val="3"/>
  </w:num>
  <w:num w:numId="8">
    <w:abstractNumId w:val="1"/>
  </w:num>
  <w:num w:numId="9">
    <w:abstractNumId w:val="7"/>
  </w:num>
  <w:num w:numId="10">
    <w:abstractNumId w:val="18"/>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6"/>
  </w:num>
  <w:num w:numId="15">
    <w:abstractNumId w:val="5"/>
  </w:num>
  <w:num w:numId="16">
    <w:abstractNumId w:val="21"/>
  </w:num>
  <w:num w:numId="17">
    <w:abstractNumId w:val="4"/>
  </w:num>
  <w:num w:numId="18">
    <w:abstractNumId w:val="0"/>
  </w:num>
  <w:num w:numId="19">
    <w:abstractNumId w:val="10"/>
  </w:num>
  <w:num w:numId="20">
    <w:abstractNumId w:val="11"/>
  </w:num>
  <w:num w:numId="21">
    <w:abstractNumId w:val="15"/>
  </w:num>
  <w:num w:numId="22">
    <w:abstractNumId w:val="22"/>
  </w:num>
  <w:num w:numId="23">
    <w:abstractNumId w:val="16"/>
  </w:num>
  <w:num w:numId="24">
    <w:abstractNumId w:val="20"/>
  </w:num>
  <w:num w:numId="25">
    <w:abstractNumId w:val="9"/>
  </w:num>
  <w:num w:numId="26">
    <w:abstractNumId w:val="13"/>
  </w:num>
  <w:num w:numId="27">
    <w:abstractNumId w:val="23"/>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A15C5C"/>
    <w:rsid w:val="000037BD"/>
    <w:rsid w:val="00005930"/>
    <w:rsid w:val="00012279"/>
    <w:rsid w:val="00021A01"/>
    <w:rsid w:val="00025521"/>
    <w:rsid w:val="00026000"/>
    <w:rsid w:val="00032FF5"/>
    <w:rsid w:val="0004645C"/>
    <w:rsid w:val="00054FF4"/>
    <w:rsid w:val="00060237"/>
    <w:rsid w:val="00064206"/>
    <w:rsid w:val="00073DC9"/>
    <w:rsid w:val="00074092"/>
    <w:rsid w:val="00076CB2"/>
    <w:rsid w:val="00077FA0"/>
    <w:rsid w:val="00081F80"/>
    <w:rsid w:val="0008493D"/>
    <w:rsid w:val="00085A54"/>
    <w:rsid w:val="000862E1"/>
    <w:rsid w:val="00086B50"/>
    <w:rsid w:val="00087159"/>
    <w:rsid w:val="000A0EBA"/>
    <w:rsid w:val="000A2519"/>
    <w:rsid w:val="000B0898"/>
    <w:rsid w:val="000B1D01"/>
    <w:rsid w:val="000D1E28"/>
    <w:rsid w:val="000E2F30"/>
    <w:rsid w:val="000F0A88"/>
    <w:rsid w:val="000F5CC4"/>
    <w:rsid w:val="00103D03"/>
    <w:rsid w:val="00104288"/>
    <w:rsid w:val="00106686"/>
    <w:rsid w:val="00106D23"/>
    <w:rsid w:val="0012232D"/>
    <w:rsid w:val="00122B38"/>
    <w:rsid w:val="001239CF"/>
    <w:rsid w:val="00123EE2"/>
    <w:rsid w:val="00127181"/>
    <w:rsid w:val="00133672"/>
    <w:rsid w:val="0013714E"/>
    <w:rsid w:val="00140B0A"/>
    <w:rsid w:val="00153B4E"/>
    <w:rsid w:val="00154A10"/>
    <w:rsid w:val="001703B0"/>
    <w:rsid w:val="00171749"/>
    <w:rsid w:val="00176547"/>
    <w:rsid w:val="00176C56"/>
    <w:rsid w:val="00191DAC"/>
    <w:rsid w:val="00192CFC"/>
    <w:rsid w:val="001B3A91"/>
    <w:rsid w:val="001B4CB1"/>
    <w:rsid w:val="001C2783"/>
    <w:rsid w:val="001C3753"/>
    <w:rsid w:val="001C5BF3"/>
    <w:rsid w:val="001D01BF"/>
    <w:rsid w:val="001D1521"/>
    <w:rsid w:val="001D1E11"/>
    <w:rsid w:val="001D40DC"/>
    <w:rsid w:val="001E21D7"/>
    <w:rsid w:val="001E32E8"/>
    <w:rsid w:val="001F27B7"/>
    <w:rsid w:val="001F667D"/>
    <w:rsid w:val="002037DF"/>
    <w:rsid w:val="00204B7D"/>
    <w:rsid w:val="00205120"/>
    <w:rsid w:val="00224718"/>
    <w:rsid w:val="00224D1A"/>
    <w:rsid w:val="002257E2"/>
    <w:rsid w:val="00226A63"/>
    <w:rsid w:val="002278BC"/>
    <w:rsid w:val="00227BD5"/>
    <w:rsid w:val="00231103"/>
    <w:rsid w:val="002364A1"/>
    <w:rsid w:val="0024160E"/>
    <w:rsid w:val="00242743"/>
    <w:rsid w:val="00245E72"/>
    <w:rsid w:val="0025349C"/>
    <w:rsid w:val="00254953"/>
    <w:rsid w:val="002643AF"/>
    <w:rsid w:val="00273243"/>
    <w:rsid w:val="00273791"/>
    <w:rsid w:val="00273979"/>
    <w:rsid w:val="0027783A"/>
    <w:rsid w:val="00286E76"/>
    <w:rsid w:val="00293974"/>
    <w:rsid w:val="00293AEC"/>
    <w:rsid w:val="002A5E73"/>
    <w:rsid w:val="002B7314"/>
    <w:rsid w:val="002C0BBE"/>
    <w:rsid w:val="002C1605"/>
    <w:rsid w:val="002D7991"/>
    <w:rsid w:val="002F349F"/>
    <w:rsid w:val="002F3CDD"/>
    <w:rsid w:val="002F72E4"/>
    <w:rsid w:val="002F7B99"/>
    <w:rsid w:val="003030AA"/>
    <w:rsid w:val="00303EE3"/>
    <w:rsid w:val="00306307"/>
    <w:rsid w:val="003103B0"/>
    <w:rsid w:val="00312A19"/>
    <w:rsid w:val="003134A6"/>
    <w:rsid w:val="003316C9"/>
    <w:rsid w:val="00340DCF"/>
    <w:rsid w:val="00345F3B"/>
    <w:rsid w:val="00357326"/>
    <w:rsid w:val="00357BA6"/>
    <w:rsid w:val="00361EC0"/>
    <w:rsid w:val="003620FB"/>
    <w:rsid w:val="00366918"/>
    <w:rsid w:val="00366DCC"/>
    <w:rsid w:val="003757B0"/>
    <w:rsid w:val="00380361"/>
    <w:rsid w:val="003813A0"/>
    <w:rsid w:val="00385882"/>
    <w:rsid w:val="0039698B"/>
    <w:rsid w:val="0039740A"/>
    <w:rsid w:val="003A4882"/>
    <w:rsid w:val="003B09B5"/>
    <w:rsid w:val="003B47AD"/>
    <w:rsid w:val="003B5953"/>
    <w:rsid w:val="003C38F5"/>
    <w:rsid w:val="003D50D2"/>
    <w:rsid w:val="003E1801"/>
    <w:rsid w:val="003E5576"/>
    <w:rsid w:val="0040581C"/>
    <w:rsid w:val="004100A5"/>
    <w:rsid w:val="0042031C"/>
    <w:rsid w:val="00421B81"/>
    <w:rsid w:val="00441EF6"/>
    <w:rsid w:val="00462263"/>
    <w:rsid w:val="00464ACB"/>
    <w:rsid w:val="0046783F"/>
    <w:rsid w:val="004901A5"/>
    <w:rsid w:val="0049738C"/>
    <w:rsid w:val="004A1BB1"/>
    <w:rsid w:val="004A2D49"/>
    <w:rsid w:val="004A679E"/>
    <w:rsid w:val="004B1CE6"/>
    <w:rsid w:val="004B582E"/>
    <w:rsid w:val="004B678F"/>
    <w:rsid w:val="004C2AE3"/>
    <w:rsid w:val="004D0BF9"/>
    <w:rsid w:val="004D293C"/>
    <w:rsid w:val="004E166A"/>
    <w:rsid w:val="004E3F6A"/>
    <w:rsid w:val="004F2D9D"/>
    <w:rsid w:val="004F3479"/>
    <w:rsid w:val="004F432A"/>
    <w:rsid w:val="004F6BB4"/>
    <w:rsid w:val="0050334F"/>
    <w:rsid w:val="005126A0"/>
    <w:rsid w:val="00514ECB"/>
    <w:rsid w:val="00527788"/>
    <w:rsid w:val="005301FC"/>
    <w:rsid w:val="00530477"/>
    <w:rsid w:val="00542AB7"/>
    <w:rsid w:val="005430C8"/>
    <w:rsid w:val="0054339D"/>
    <w:rsid w:val="00554805"/>
    <w:rsid w:val="00554CF4"/>
    <w:rsid w:val="00555A05"/>
    <w:rsid w:val="00561790"/>
    <w:rsid w:val="00561BCC"/>
    <w:rsid w:val="00571D6C"/>
    <w:rsid w:val="00572EC8"/>
    <w:rsid w:val="00580E2B"/>
    <w:rsid w:val="00586C2E"/>
    <w:rsid w:val="00587600"/>
    <w:rsid w:val="005921B2"/>
    <w:rsid w:val="005941A3"/>
    <w:rsid w:val="005977E8"/>
    <w:rsid w:val="005A2F6B"/>
    <w:rsid w:val="005B1C4E"/>
    <w:rsid w:val="005B5B36"/>
    <w:rsid w:val="005B6FEC"/>
    <w:rsid w:val="005C0A7F"/>
    <w:rsid w:val="005C0F51"/>
    <w:rsid w:val="005C3423"/>
    <w:rsid w:val="005D16F9"/>
    <w:rsid w:val="005E1AEF"/>
    <w:rsid w:val="005E3B03"/>
    <w:rsid w:val="006101ED"/>
    <w:rsid w:val="00610F50"/>
    <w:rsid w:val="006169B4"/>
    <w:rsid w:val="00624540"/>
    <w:rsid w:val="00631194"/>
    <w:rsid w:val="00632AEC"/>
    <w:rsid w:val="00636A3D"/>
    <w:rsid w:val="006403D2"/>
    <w:rsid w:val="006403F9"/>
    <w:rsid w:val="006423DB"/>
    <w:rsid w:val="00643D57"/>
    <w:rsid w:val="00647BC6"/>
    <w:rsid w:val="0065372D"/>
    <w:rsid w:val="006560F8"/>
    <w:rsid w:val="00662FBE"/>
    <w:rsid w:val="006814E7"/>
    <w:rsid w:val="00682ACA"/>
    <w:rsid w:val="00686704"/>
    <w:rsid w:val="00687BCB"/>
    <w:rsid w:val="006A1171"/>
    <w:rsid w:val="006A25D2"/>
    <w:rsid w:val="006A4910"/>
    <w:rsid w:val="006B0549"/>
    <w:rsid w:val="006B5BEF"/>
    <w:rsid w:val="006B7171"/>
    <w:rsid w:val="006B7C7E"/>
    <w:rsid w:val="006C049C"/>
    <w:rsid w:val="006C552B"/>
    <w:rsid w:val="006D35FC"/>
    <w:rsid w:val="006D650D"/>
    <w:rsid w:val="006D7D3C"/>
    <w:rsid w:val="006E112C"/>
    <w:rsid w:val="006E279C"/>
    <w:rsid w:val="006E35AF"/>
    <w:rsid w:val="006E5032"/>
    <w:rsid w:val="006F1ECE"/>
    <w:rsid w:val="006F363D"/>
    <w:rsid w:val="006F4EF5"/>
    <w:rsid w:val="00704748"/>
    <w:rsid w:val="0071169F"/>
    <w:rsid w:val="0071402E"/>
    <w:rsid w:val="007230BC"/>
    <w:rsid w:val="00723D7A"/>
    <w:rsid w:val="00723E74"/>
    <w:rsid w:val="00725D33"/>
    <w:rsid w:val="0073404F"/>
    <w:rsid w:val="00734A0C"/>
    <w:rsid w:val="00740B16"/>
    <w:rsid w:val="007419F9"/>
    <w:rsid w:val="00742B14"/>
    <w:rsid w:val="00743F50"/>
    <w:rsid w:val="00766005"/>
    <w:rsid w:val="007678D3"/>
    <w:rsid w:val="00771621"/>
    <w:rsid w:val="00790DD8"/>
    <w:rsid w:val="007934F1"/>
    <w:rsid w:val="00795B9D"/>
    <w:rsid w:val="00795E61"/>
    <w:rsid w:val="007B5C83"/>
    <w:rsid w:val="007C1D70"/>
    <w:rsid w:val="007C4AC2"/>
    <w:rsid w:val="007E0AC9"/>
    <w:rsid w:val="007F5301"/>
    <w:rsid w:val="007F5C97"/>
    <w:rsid w:val="007F6589"/>
    <w:rsid w:val="007F6742"/>
    <w:rsid w:val="007F6880"/>
    <w:rsid w:val="00800527"/>
    <w:rsid w:val="00807A49"/>
    <w:rsid w:val="00815464"/>
    <w:rsid w:val="008204D4"/>
    <w:rsid w:val="008217B2"/>
    <w:rsid w:val="0083116D"/>
    <w:rsid w:val="00835493"/>
    <w:rsid w:val="008443E7"/>
    <w:rsid w:val="00851136"/>
    <w:rsid w:val="0085263D"/>
    <w:rsid w:val="008528AA"/>
    <w:rsid w:val="008576F3"/>
    <w:rsid w:val="0086021D"/>
    <w:rsid w:val="00862AF4"/>
    <w:rsid w:val="00866B6F"/>
    <w:rsid w:val="00876CE8"/>
    <w:rsid w:val="00885A83"/>
    <w:rsid w:val="008902B0"/>
    <w:rsid w:val="008A1161"/>
    <w:rsid w:val="008A7920"/>
    <w:rsid w:val="008A7D64"/>
    <w:rsid w:val="008B5E64"/>
    <w:rsid w:val="008B7668"/>
    <w:rsid w:val="008C1253"/>
    <w:rsid w:val="008C698B"/>
    <w:rsid w:val="008D5182"/>
    <w:rsid w:val="008D5359"/>
    <w:rsid w:val="008E5E48"/>
    <w:rsid w:val="008E7355"/>
    <w:rsid w:val="008F02D3"/>
    <w:rsid w:val="008F1860"/>
    <w:rsid w:val="009027FB"/>
    <w:rsid w:val="00911747"/>
    <w:rsid w:val="00912EF4"/>
    <w:rsid w:val="00914855"/>
    <w:rsid w:val="00915B1B"/>
    <w:rsid w:val="0091602B"/>
    <w:rsid w:val="009178DF"/>
    <w:rsid w:val="009236BF"/>
    <w:rsid w:val="009317D3"/>
    <w:rsid w:val="00935EA0"/>
    <w:rsid w:val="0093616A"/>
    <w:rsid w:val="009366A5"/>
    <w:rsid w:val="00937C51"/>
    <w:rsid w:val="00937DF4"/>
    <w:rsid w:val="00940929"/>
    <w:rsid w:val="0094528E"/>
    <w:rsid w:val="00951254"/>
    <w:rsid w:val="009532CC"/>
    <w:rsid w:val="009910CE"/>
    <w:rsid w:val="00995846"/>
    <w:rsid w:val="00997B22"/>
    <w:rsid w:val="009A01AF"/>
    <w:rsid w:val="009A0C28"/>
    <w:rsid w:val="009B122A"/>
    <w:rsid w:val="009B6195"/>
    <w:rsid w:val="009C2396"/>
    <w:rsid w:val="009C2F96"/>
    <w:rsid w:val="009E192D"/>
    <w:rsid w:val="009E2663"/>
    <w:rsid w:val="009E2754"/>
    <w:rsid w:val="009F3886"/>
    <w:rsid w:val="00A05AE5"/>
    <w:rsid w:val="00A1241F"/>
    <w:rsid w:val="00A15C5C"/>
    <w:rsid w:val="00A27C1B"/>
    <w:rsid w:val="00A44911"/>
    <w:rsid w:val="00A52BF6"/>
    <w:rsid w:val="00A56E20"/>
    <w:rsid w:val="00A603FC"/>
    <w:rsid w:val="00A628AF"/>
    <w:rsid w:val="00A63B34"/>
    <w:rsid w:val="00A733E2"/>
    <w:rsid w:val="00A80345"/>
    <w:rsid w:val="00A80618"/>
    <w:rsid w:val="00A82823"/>
    <w:rsid w:val="00A83C91"/>
    <w:rsid w:val="00A84E87"/>
    <w:rsid w:val="00A85B90"/>
    <w:rsid w:val="00A905B5"/>
    <w:rsid w:val="00A9164D"/>
    <w:rsid w:val="00A91DB7"/>
    <w:rsid w:val="00A97218"/>
    <w:rsid w:val="00AA3ABF"/>
    <w:rsid w:val="00AB52CC"/>
    <w:rsid w:val="00AB56AA"/>
    <w:rsid w:val="00AB61DC"/>
    <w:rsid w:val="00AD2C45"/>
    <w:rsid w:val="00AD7A33"/>
    <w:rsid w:val="00AE1F14"/>
    <w:rsid w:val="00AE2E70"/>
    <w:rsid w:val="00AE2FFA"/>
    <w:rsid w:val="00AE73A0"/>
    <w:rsid w:val="00AE7CBF"/>
    <w:rsid w:val="00AF01F5"/>
    <w:rsid w:val="00AF3336"/>
    <w:rsid w:val="00B04766"/>
    <w:rsid w:val="00B06B7F"/>
    <w:rsid w:val="00B10DB9"/>
    <w:rsid w:val="00B116B9"/>
    <w:rsid w:val="00B15D82"/>
    <w:rsid w:val="00B214E0"/>
    <w:rsid w:val="00B2237D"/>
    <w:rsid w:val="00B34BE7"/>
    <w:rsid w:val="00B40B64"/>
    <w:rsid w:val="00B42E43"/>
    <w:rsid w:val="00B440D9"/>
    <w:rsid w:val="00B47C7E"/>
    <w:rsid w:val="00B6225A"/>
    <w:rsid w:val="00B6303E"/>
    <w:rsid w:val="00B76E85"/>
    <w:rsid w:val="00B832E8"/>
    <w:rsid w:val="00B851A8"/>
    <w:rsid w:val="00BA1F76"/>
    <w:rsid w:val="00BA2559"/>
    <w:rsid w:val="00BB0119"/>
    <w:rsid w:val="00BB0F4E"/>
    <w:rsid w:val="00BC4163"/>
    <w:rsid w:val="00BC6439"/>
    <w:rsid w:val="00BD2346"/>
    <w:rsid w:val="00BD3B34"/>
    <w:rsid w:val="00BD45C3"/>
    <w:rsid w:val="00BD5497"/>
    <w:rsid w:val="00BD5D70"/>
    <w:rsid w:val="00BE115B"/>
    <w:rsid w:val="00BE67C3"/>
    <w:rsid w:val="00BF349C"/>
    <w:rsid w:val="00C209FC"/>
    <w:rsid w:val="00C21D7E"/>
    <w:rsid w:val="00C27FF5"/>
    <w:rsid w:val="00C42388"/>
    <w:rsid w:val="00C468E0"/>
    <w:rsid w:val="00C4763D"/>
    <w:rsid w:val="00C5224B"/>
    <w:rsid w:val="00C765AC"/>
    <w:rsid w:val="00C77040"/>
    <w:rsid w:val="00C8665D"/>
    <w:rsid w:val="00C97D5C"/>
    <w:rsid w:val="00CA2BF4"/>
    <w:rsid w:val="00CA6DF5"/>
    <w:rsid w:val="00CB32E3"/>
    <w:rsid w:val="00CC4C68"/>
    <w:rsid w:val="00CC71D1"/>
    <w:rsid w:val="00CD27F9"/>
    <w:rsid w:val="00CE424C"/>
    <w:rsid w:val="00CE6956"/>
    <w:rsid w:val="00CF0F40"/>
    <w:rsid w:val="00CF232E"/>
    <w:rsid w:val="00CF2AD9"/>
    <w:rsid w:val="00CF3097"/>
    <w:rsid w:val="00CF4A87"/>
    <w:rsid w:val="00CF78B4"/>
    <w:rsid w:val="00D02802"/>
    <w:rsid w:val="00D03248"/>
    <w:rsid w:val="00D04D06"/>
    <w:rsid w:val="00D054A2"/>
    <w:rsid w:val="00D11BF8"/>
    <w:rsid w:val="00D2065E"/>
    <w:rsid w:val="00D223EB"/>
    <w:rsid w:val="00D22CA3"/>
    <w:rsid w:val="00D2360E"/>
    <w:rsid w:val="00D279F2"/>
    <w:rsid w:val="00D30C24"/>
    <w:rsid w:val="00D53EA8"/>
    <w:rsid w:val="00D572A6"/>
    <w:rsid w:val="00D6142C"/>
    <w:rsid w:val="00D63B4A"/>
    <w:rsid w:val="00D721E7"/>
    <w:rsid w:val="00D75C50"/>
    <w:rsid w:val="00D80EC9"/>
    <w:rsid w:val="00D851C5"/>
    <w:rsid w:val="00D866CA"/>
    <w:rsid w:val="00D93BBE"/>
    <w:rsid w:val="00D97D5B"/>
    <w:rsid w:val="00DA1E15"/>
    <w:rsid w:val="00DA4C32"/>
    <w:rsid w:val="00DB685D"/>
    <w:rsid w:val="00DC16F8"/>
    <w:rsid w:val="00DC3F91"/>
    <w:rsid w:val="00DC4AA1"/>
    <w:rsid w:val="00DD5D64"/>
    <w:rsid w:val="00DE7675"/>
    <w:rsid w:val="00DF07AB"/>
    <w:rsid w:val="00DF2366"/>
    <w:rsid w:val="00DF584A"/>
    <w:rsid w:val="00E12353"/>
    <w:rsid w:val="00E33041"/>
    <w:rsid w:val="00E375B1"/>
    <w:rsid w:val="00E413BA"/>
    <w:rsid w:val="00E47D94"/>
    <w:rsid w:val="00E52FFC"/>
    <w:rsid w:val="00E54D9E"/>
    <w:rsid w:val="00E5594A"/>
    <w:rsid w:val="00E56B19"/>
    <w:rsid w:val="00E61DF7"/>
    <w:rsid w:val="00E65FEE"/>
    <w:rsid w:val="00E671B9"/>
    <w:rsid w:val="00E73075"/>
    <w:rsid w:val="00E81935"/>
    <w:rsid w:val="00E840C5"/>
    <w:rsid w:val="00E86ACC"/>
    <w:rsid w:val="00E91C77"/>
    <w:rsid w:val="00E92289"/>
    <w:rsid w:val="00E92D51"/>
    <w:rsid w:val="00E932CC"/>
    <w:rsid w:val="00E95536"/>
    <w:rsid w:val="00E973AC"/>
    <w:rsid w:val="00EA0562"/>
    <w:rsid w:val="00EA5557"/>
    <w:rsid w:val="00EA5971"/>
    <w:rsid w:val="00EA5FD5"/>
    <w:rsid w:val="00EB1232"/>
    <w:rsid w:val="00EB63FE"/>
    <w:rsid w:val="00EC5E60"/>
    <w:rsid w:val="00EC7F18"/>
    <w:rsid w:val="00EF43C6"/>
    <w:rsid w:val="00F055F8"/>
    <w:rsid w:val="00F065A1"/>
    <w:rsid w:val="00F07B83"/>
    <w:rsid w:val="00F10318"/>
    <w:rsid w:val="00F2146A"/>
    <w:rsid w:val="00F2425E"/>
    <w:rsid w:val="00F2668C"/>
    <w:rsid w:val="00F273E5"/>
    <w:rsid w:val="00F321C9"/>
    <w:rsid w:val="00F35DC5"/>
    <w:rsid w:val="00F35F7B"/>
    <w:rsid w:val="00F37114"/>
    <w:rsid w:val="00F44B4A"/>
    <w:rsid w:val="00F47B0E"/>
    <w:rsid w:val="00F504ED"/>
    <w:rsid w:val="00F648BC"/>
    <w:rsid w:val="00F64F7D"/>
    <w:rsid w:val="00F76C99"/>
    <w:rsid w:val="00F8212F"/>
    <w:rsid w:val="00F9073C"/>
    <w:rsid w:val="00F92E57"/>
    <w:rsid w:val="00F956B0"/>
    <w:rsid w:val="00FA2790"/>
    <w:rsid w:val="00FA59CA"/>
    <w:rsid w:val="00FA5F90"/>
    <w:rsid w:val="00FB3938"/>
    <w:rsid w:val="00FB5624"/>
    <w:rsid w:val="00FC3E50"/>
    <w:rsid w:val="00FD1088"/>
    <w:rsid w:val="00FD1CC4"/>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NormalWeb">
    <w:name w:val="Normal (Web)"/>
    <w:basedOn w:val="Normal"/>
    <w:uiPriority w:val="99"/>
    <w:unhideWhenUsed/>
    <w:rsid w:val="00A85B90"/>
    <w:pPr>
      <w:spacing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37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4E"/>
    <w:rPr>
      <w:rFonts w:ascii="Segoe UI" w:hAnsi="Segoe UI" w:cs="Segoe UI"/>
      <w:sz w:val="18"/>
      <w:szCs w:val="18"/>
    </w:rPr>
  </w:style>
  <w:style w:type="character" w:styleId="FollowedHyperlink">
    <w:name w:val="FollowedHyperlink"/>
    <w:basedOn w:val="DefaultParagraphFont"/>
    <w:uiPriority w:val="99"/>
    <w:semiHidden/>
    <w:unhideWhenUsed/>
    <w:rsid w:val="006423DB"/>
    <w:rPr>
      <w:color w:val="954F72" w:themeColor="followedHyperlink"/>
      <w:u w:val="single"/>
    </w:rPr>
  </w:style>
  <w:style w:type="paragraph" w:customStyle="1" w:styleId="DocID">
    <w:name w:val="DocID"/>
    <w:basedOn w:val="Normal"/>
    <w:next w:val="Footer"/>
    <w:link w:val="DocIDChar"/>
    <w:rsid w:val="006D35FC"/>
    <w:pPr>
      <w:spacing w:after="0" w:line="240" w:lineRule="auto"/>
    </w:pPr>
    <w:rPr>
      <w:rFonts w:ascii="Arial" w:hAnsi="Arial" w:cs="Arial"/>
      <w:bCs/>
      <w:color w:val="000000"/>
      <w:sz w:val="16"/>
    </w:rPr>
  </w:style>
  <w:style w:type="character" w:customStyle="1" w:styleId="DocIDChar">
    <w:name w:val="DocID Char"/>
    <w:basedOn w:val="DefaultParagraphFont"/>
    <w:link w:val="DocID"/>
    <w:rsid w:val="006D35FC"/>
    <w:rPr>
      <w:rFonts w:ascii="Arial" w:hAnsi="Arial" w:cs="Arial"/>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645323">
      <w:bodyDiv w:val="1"/>
      <w:marLeft w:val="0"/>
      <w:marRight w:val="0"/>
      <w:marTop w:val="0"/>
      <w:marBottom w:val="0"/>
      <w:divBdr>
        <w:top w:val="none" w:sz="0" w:space="0" w:color="auto"/>
        <w:left w:val="none" w:sz="0" w:space="0" w:color="auto"/>
        <w:bottom w:val="none" w:sz="0" w:space="0" w:color="auto"/>
        <w:right w:val="none" w:sz="0" w:space="0" w:color="auto"/>
      </w:divBdr>
    </w:div>
    <w:div w:id="446854017">
      <w:bodyDiv w:val="1"/>
      <w:marLeft w:val="0"/>
      <w:marRight w:val="0"/>
      <w:marTop w:val="0"/>
      <w:marBottom w:val="0"/>
      <w:divBdr>
        <w:top w:val="none" w:sz="0" w:space="0" w:color="auto"/>
        <w:left w:val="none" w:sz="0" w:space="0" w:color="auto"/>
        <w:bottom w:val="none" w:sz="0" w:space="0" w:color="auto"/>
        <w:right w:val="none" w:sz="0" w:space="0" w:color="auto"/>
      </w:divBdr>
    </w:div>
    <w:div w:id="609119097">
      <w:bodyDiv w:val="1"/>
      <w:marLeft w:val="0"/>
      <w:marRight w:val="0"/>
      <w:marTop w:val="0"/>
      <w:marBottom w:val="0"/>
      <w:divBdr>
        <w:top w:val="none" w:sz="0" w:space="0" w:color="auto"/>
        <w:left w:val="none" w:sz="0" w:space="0" w:color="auto"/>
        <w:bottom w:val="none" w:sz="0" w:space="0" w:color="auto"/>
        <w:right w:val="none" w:sz="0" w:space="0" w:color="auto"/>
      </w:divBdr>
    </w:div>
    <w:div w:id="742291536">
      <w:bodyDiv w:val="1"/>
      <w:marLeft w:val="0"/>
      <w:marRight w:val="0"/>
      <w:marTop w:val="0"/>
      <w:marBottom w:val="0"/>
      <w:divBdr>
        <w:top w:val="none" w:sz="0" w:space="0" w:color="auto"/>
        <w:left w:val="none" w:sz="0" w:space="0" w:color="auto"/>
        <w:bottom w:val="none" w:sz="0" w:space="0" w:color="auto"/>
        <w:right w:val="none" w:sz="0" w:space="0" w:color="auto"/>
      </w:divBdr>
    </w:div>
    <w:div w:id="1333414033">
      <w:bodyDiv w:val="1"/>
      <w:marLeft w:val="0"/>
      <w:marRight w:val="0"/>
      <w:marTop w:val="0"/>
      <w:marBottom w:val="0"/>
      <w:divBdr>
        <w:top w:val="none" w:sz="0" w:space="0" w:color="auto"/>
        <w:left w:val="none" w:sz="0" w:space="0" w:color="auto"/>
        <w:bottom w:val="none" w:sz="0" w:space="0" w:color="auto"/>
        <w:right w:val="none" w:sz="0" w:space="0" w:color="auto"/>
      </w:divBdr>
    </w:div>
    <w:div w:id="1340084615">
      <w:bodyDiv w:val="1"/>
      <w:marLeft w:val="0"/>
      <w:marRight w:val="0"/>
      <w:marTop w:val="0"/>
      <w:marBottom w:val="0"/>
      <w:divBdr>
        <w:top w:val="none" w:sz="0" w:space="0" w:color="auto"/>
        <w:left w:val="none" w:sz="0" w:space="0" w:color="auto"/>
        <w:bottom w:val="none" w:sz="0" w:space="0" w:color="auto"/>
        <w:right w:val="none" w:sz="0" w:space="0" w:color="auto"/>
      </w:divBdr>
    </w:div>
    <w:div w:id="1583249378">
      <w:bodyDiv w:val="1"/>
      <w:marLeft w:val="0"/>
      <w:marRight w:val="0"/>
      <w:marTop w:val="0"/>
      <w:marBottom w:val="0"/>
      <w:divBdr>
        <w:top w:val="none" w:sz="0" w:space="0" w:color="auto"/>
        <w:left w:val="none" w:sz="0" w:space="0" w:color="auto"/>
        <w:bottom w:val="none" w:sz="0" w:space="0" w:color="auto"/>
        <w:right w:val="none" w:sz="0" w:space="0" w:color="auto"/>
      </w:divBdr>
    </w:div>
    <w:div w:id="1659992790">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28473864">
      <w:bodyDiv w:val="1"/>
      <w:marLeft w:val="0"/>
      <w:marRight w:val="0"/>
      <w:marTop w:val="0"/>
      <w:marBottom w:val="0"/>
      <w:divBdr>
        <w:top w:val="none" w:sz="0" w:space="0" w:color="auto"/>
        <w:left w:val="none" w:sz="0" w:space="0" w:color="auto"/>
        <w:bottom w:val="none" w:sz="0" w:space="0" w:color="auto"/>
        <w:right w:val="none" w:sz="0" w:space="0" w:color="auto"/>
      </w:divBdr>
    </w:div>
    <w:div w:id="2065450500">
      <w:bodyDiv w:val="1"/>
      <w:marLeft w:val="0"/>
      <w:marRight w:val="0"/>
      <w:marTop w:val="0"/>
      <w:marBottom w:val="0"/>
      <w:divBdr>
        <w:top w:val="none" w:sz="0" w:space="0" w:color="auto"/>
        <w:left w:val="none" w:sz="0" w:space="0" w:color="auto"/>
        <w:bottom w:val="none" w:sz="0" w:space="0" w:color="auto"/>
        <w:right w:val="none" w:sz="0" w:space="0" w:color="auto"/>
      </w:divBdr>
    </w:div>
    <w:div w:id="20818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uthshorehealth.org/wellness/blog/invisible-pandemic-domestic-violence-and-social-determinants-healt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F2E2-A38B-4890-93C7-86377964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7</cp:revision>
  <cp:lastPrinted>2021-07-28T15:42:00Z</cp:lastPrinted>
  <dcterms:created xsi:type="dcterms:W3CDTF">2021-08-30T16:28:00Z</dcterms:created>
  <dcterms:modified xsi:type="dcterms:W3CDTF">2021-09-07T20:18:00Z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808122.1</vt:lpwstr>
  </property>
  <property fmtid="{D5CDD505-2E9C-101B-9397-08002B2CF9AE}" pid="4" name="_MarkAsFinal">
    <vt:bool>true</vt:bool>
  </property>
</Properties>
</file>