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E0195" w14:textId="77777777" w:rsidR="00D223EB" w:rsidRDefault="00D223EB" w:rsidP="00D223EB">
      <w:pPr>
        <w:jc w:val="center"/>
        <w:rPr>
          <w:rFonts w:ascii="Garamond" w:hAnsi="Garamond"/>
          <w:b/>
          <w:bCs/>
        </w:rPr>
      </w:pPr>
      <w:bookmarkStart w:id="0" w:name="_GoBack"/>
      <w:bookmarkEnd w:id="0"/>
    </w:p>
    <w:p w14:paraId="1E6A601F" w14:textId="1DD474A6" w:rsidR="00D223EB" w:rsidRPr="00054FF4" w:rsidRDefault="00D223EB" w:rsidP="00D223EB">
      <w:pPr>
        <w:jc w:val="center"/>
        <w:rPr>
          <w:rFonts w:cstheme="minorHAnsi"/>
          <w:b/>
          <w:bCs/>
        </w:rPr>
      </w:pPr>
      <w:r w:rsidRPr="00054FF4">
        <w:rPr>
          <w:rFonts w:cstheme="minorHAnsi"/>
          <w:b/>
          <w:bCs/>
        </w:rPr>
        <w:t>APPLICANT QUESTIONS</w:t>
      </w:r>
      <w:r w:rsidR="00EF6D33">
        <w:rPr>
          <w:rFonts w:cstheme="minorHAnsi"/>
          <w:b/>
          <w:bCs/>
        </w:rPr>
        <w:t xml:space="preserve"> #3</w:t>
      </w:r>
    </w:p>
    <w:p w14:paraId="71F6355D" w14:textId="77777777" w:rsidR="00D223EB" w:rsidRPr="00054FF4" w:rsidRDefault="00D223EB" w:rsidP="00D223EB">
      <w:pPr>
        <w:jc w:val="center"/>
        <w:rPr>
          <w:rFonts w:cstheme="minorHAnsi"/>
        </w:rPr>
      </w:pPr>
      <w:r w:rsidRPr="00054FF4">
        <w:rPr>
          <w:rFonts w:cstheme="minorHAnsi"/>
          <w:i/>
          <w:iCs/>
        </w:rPr>
        <w:t xml:space="preserve">Responses should be sent to DoN staff at </w:t>
      </w:r>
      <w:hyperlink r:id="rId8" w:history="1">
        <w:r w:rsidRPr="00054FF4">
          <w:rPr>
            <w:rStyle w:val="Hyperlink"/>
            <w:rFonts w:cstheme="minorHAnsi"/>
          </w:rPr>
          <w:t>DPH.DON@State.MA.US</w:t>
        </w:r>
      </w:hyperlink>
    </w:p>
    <w:tbl>
      <w:tblPr>
        <w:tblStyle w:val="TableGrid"/>
        <w:tblW w:w="0" w:type="auto"/>
        <w:jc w:val="center"/>
        <w:tblLook w:val="04A0" w:firstRow="1" w:lastRow="0" w:firstColumn="1" w:lastColumn="0" w:noHBand="0" w:noVBand="1"/>
        <w:tblCaption w:val="Instructions"/>
        <w:tblDescription w:val="While you may submit each answer as available, please &#10;• List question number and question for each answer you provide &#10;• Submit responses as a separate word document, using the above application title and number as a running header and page numbers in the footer &#10;• When providing the answer to the final question, submit all questions and answers in one final document &#10;• Whenever possible, include a table with the response&#10;• Responses must be available in PDF and source document (Excel preferred for data and Word for narrative).&#10;"/>
      </w:tblPr>
      <w:tblGrid>
        <w:gridCol w:w="9350"/>
      </w:tblGrid>
      <w:tr w:rsidR="00D223EB" w:rsidRPr="00054FF4" w14:paraId="57106F2B" w14:textId="77777777" w:rsidTr="008B7459">
        <w:trPr>
          <w:tblHeader/>
          <w:jc w:val="center"/>
        </w:trPr>
        <w:tc>
          <w:tcPr>
            <w:tcW w:w="9350" w:type="dxa"/>
          </w:tcPr>
          <w:p w14:paraId="0D6A2228" w14:textId="77777777" w:rsidR="00D223EB" w:rsidRPr="00054FF4" w:rsidRDefault="00D223EB" w:rsidP="008B5D5E">
            <w:pPr>
              <w:rPr>
                <w:rFonts w:cstheme="minorHAnsi"/>
                <w:bCs/>
              </w:rPr>
            </w:pPr>
            <w:r w:rsidRPr="00054FF4">
              <w:rPr>
                <w:rFonts w:cstheme="minorHAnsi"/>
                <w:bCs/>
              </w:rPr>
              <w:t xml:space="preserve">While you may submit each answer as available, please </w:t>
            </w:r>
          </w:p>
          <w:p w14:paraId="3BAD0544"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List question number and question for each answer you provide </w:t>
            </w:r>
          </w:p>
          <w:p w14:paraId="77AFC609" w14:textId="77777777" w:rsidR="00D223EB" w:rsidRPr="00054FF4" w:rsidRDefault="00D223EB" w:rsidP="00D223EB">
            <w:pPr>
              <w:pStyle w:val="ListParagraph"/>
              <w:numPr>
                <w:ilvl w:val="0"/>
                <w:numId w:val="4"/>
              </w:numPr>
              <w:rPr>
                <w:rFonts w:cstheme="minorHAnsi"/>
                <w:bCs/>
              </w:rPr>
            </w:pPr>
            <w:r w:rsidRPr="00054FF4">
              <w:rPr>
                <w:rFonts w:cstheme="minorHAnsi"/>
                <w:bCs/>
              </w:rPr>
              <w:t xml:space="preserve">Submit responses as a separate word document, using the above application title and number as a running header and page numbers in the footer </w:t>
            </w:r>
          </w:p>
          <w:p w14:paraId="2D4D3A49" w14:textId="16346E22" w:rsidR="00D223EB" w:rsidRDefault="00D223EB" w:rsidP="00D223EB">
            <w:pPr>
              <w:pStyle w:val="ListParagraph"/>
              <w:numPr>
                <w:ilvl w:val="0"/>
                <w:numId w:val="4"/>
              </w:numPr>
              <w:rPr>
                <w:rFonts w:cstheme="minorHAnsi"/>
                <w:bCs/>
              </w:rPr>
            </w:pPr>
            <w:r w:rsidRPr="00054FF4">
              <w:rPr>
                <w:rFonts w:cstheme="minorHAnsi"/>
                <w:bCs/>
              </w:rPr>
              <w:t xml:space="preserve">When providing the answer to the final question, submit all questions and answers in one final document </w:t>
            </w:r>
          </w:p>
          <w:p w14:paraId="7471D694" w14:textId="4E41EFDD" w:rsidR="0091602B" w:rsidRPr="00054FF4" w:rsidRDefault="0091602B" w:rsidP="00D223EB">
            <w:pPr>
              <w:pStyle w:val="ListParagraph"/>
              <w:numPr>
                <w:ilvl w:val="0"/>
                <w:numId w:val="4"/>
              </w:numPr>
              <w:rPr>
                <w:rFonts w:cstheme="minorHAnsi"/>
                <w:bCs/>
              </w:rPr>
            </w:pPr>
            <w:r w:rsidRPr="0091602B">
              <w:rPr>
                <w:rFonts w:cstheme="minorHAnsi"/>
                <w:bCs/>
              </w:rPr>
              <w:t>Whenever possible, include a table with the response</w:t>
            </w:r>
          </w:p>
          <w:p w14:paraId="552712FE" w14:textId="15078918" w:rsidR="00D223EB" w:rsidRPr="0091602B" w:rsidRDefault="00AE2FFA" w:rsidP="0091602B">
            <w:pPr>
              <w:pStyle w:val="ListParagraph"/>
              <w:numPr>
                <w:ilvl w:val="0"/>
                <w:numId w:val="4"/>
              </w:numPr>
              <w:rPr>
                <w:rFonts w:cstheme="minorHAnsi"/>
                <w:b/>
              </w:rPr>
            </w:pPr>
            <w:r w:rsidRPr="00AE2FFA">
              <w:rPr>
                <w:rFonts w:cstheme="minorHAnsi"/>
                <w:bCs/>
              </w:rPr>
              <w:t>Responses must be available in PDF and source document (Excel preferred for data and Word for narrative).</w:t>
            </w:r>
          </w:p>
        </w:tc>
      </w:tr>
    </w:tbl>
    <w:p w14:paraId="2758094D" w14:textId="77777777" w:rsidR="00032FF5" w:rsidRDefault="00032FF5"/>
    <w:p w14:paraId="73E9B71C" w14:textId="0845C138" w:rsidR="00B40B64" w:rsidRPr="002348AA" w:rsidRDefault="005B4888" w:rsidP="008B5206">
      <w:pPr>
        <w:pStyle w:val="ListParagraph"/>
        <w:numPr>
          <w:ilvl w:val="0"/>
          <w:numId w:val="20"/>
        </w:numPr>
        <w:tabs>
          <w:tab w:val="left" w:pos="4455"/>
        </w:tabs>
        <w:spacing w:after="0" w:line="240" w:lineRule="auto"/>
        <w:rPr>
          <w:b/>
          <w:bCs/>
          <w:sz w:val="24"/>
          <w:szCs w:val="24"/>
        </w:rPr>
      </w:pPr>
      <w:r w:rsidRPr="002348AA">
        <w:rPr>
          <w:b/>
          <w:bCs/>
          <w:sz w:val="24"/>
          <w:szCs w:val="24"/>
        </w:rPr>
        <w:t>Response #2</w:t>
      </w:r>
      <w:r w:rsidR="00344707" w:rsidRPr="002348AA">
        <w:rPr>
          <w:b/>
          <w:bCs/>
          <w:sz w:val="24"/>
          <w:szCs w:val="24"/>
        </w:rPr>
        <w:t xml:space="preserve"> (pg.2)</w:t>
      </w:r>
      <w:r w:rsidR="008B5206" w:rsidRPr="002348AA">
        <w:rPr>
          <w:b/>
          <w:bCs/>
          <w:sz w:val="24"/>
          <w:szCs w:val="24"/>
        </w:rPr>
        <w:t xml:space="preserve"> to DoN </w:t>
      </w:r>
      <w:r w:rsidRPr="002348AA">
        <w:rPr>
          <w:b/>
          <w:bCs/>
          <w:sz w:val="24"/>
          <w:szCs w:val="24"/>
        </w:rPr>
        <w:t>Q</w:t>
      </w:r>
      <w:r w:rsidR="008B5206" w:rsidRPr="002348AA">
        <w:rPr>
          <w:b/>
          <w:bCs/>
          <w:sz w:val="24"/>
          <w:szCs w:val="24"/>
        </w:rPr>
        <w:t>uestions</w:t>
      </w:r>
      <w:r w:rsidR="00344707" w:rsidRPr="002348AA">
        <w:rPr>
          <w:b/>
          <w:bCs/>
          <w:sz w:val="24"/>
          <w:szCs w:val="24"/>
        </w:rPr>
        <w:t xml:space="preserve"> #2</w:t>
      </w:r>
      <w:r w:rsidR="008B5206" w:rsidRPr="002348AA">
        <w:rPr>
          <w:b/>
          <w:bCs/>
          <w:sz w:val="24"/>
          <w:szCs w:val="24"/>
        </w:rPr>
        <w:t xml:space="preserve"> </w:t>
      </w:r>
      <w:r w:rsidR="005B1611" w:rsidRPr="002348AA">
        <w:rPr>
          <w:b/>
          <w:bCs/>
          <w:sz w:val="24"/>
          <w:szCs w:val="24"/>
        </w:rPr>
        <w:t>includes</w:t>
      </w:r>
      <w:r w:rsidR="008B5206" w:rsidRPr="002348AA">
        <w:rPr>
          <w:b/>
          <w:bCs/>
          <w:sz w:val="24"/>
          <w:szCs w:val="24"/>
        </w:rPr>
        <w:t xml:space="preserve"> the table </w:t>
      </w:r>
      <w:r w:rsidR="000D6AFA" w:rsidRPr="002348AA">
        <w:rPr>
          <w:b/>
          <w:bCs/>
          <w:sz w:val="24"/>
          <w:szCs w:val="24"/>
        </w:rPr>
        <w:t>below on</w:t>
      </w:r>
      <w:r w:rsidR="008B5206" w:rsidRPr="002348AA">
        <w:rPr>
          <w:b/>
          <w:bCs/>
          <w:sz w:val="24"/>
          <w:szCs w:val="24"/>
        </w:rPr>
        <w:t xml:space="preserve"> SSHS MRI patients. </w:t>
      </w:r>
      <w:r w:rsidRPr="002348AA">
        <w:rPr>
          <w:b/>
          <w:bCs/>
          <w:sz w:val="24"/>
          <w:szCs w:val="24"/>
        </w:rPr>
        <w:t>Explain why payer mix does not sum to 100%.</w:t>
      </w:r>
    </w:p>
    <w:p w14:paraId="77124381" w14:textId="29C39DC4" w:rsidR="002348AA" w:rsidRDefault="002348AA" w:rsidP="002348AA">
      <w:pPr>
        <w:tabs>
          <w:tab w:val="left" w:pos="4455"/>
        </w:tabs>
        <w:spacing w:after="0" w:line="240" w:lineRule="auto"/>
        <w:rPr>
          <w:sz w:val="24"/>
          <w:szCs w:val="24"/>
        </w:rPr>
      </w:pPr>
    </w:p>
    <w:p w14:paraId="50883B5F" w14:textId="27171E4C" w:rsidR="002348AA" w:rsidRPr="002348AA" w:rsidRDefault="002348AA" w:rsidP="002348AA">
      <w:pPr>
        <w:tabs>
          <w:tab w:val="left" w:pos="4455"/>
        </w:tabs>
        <w:spacing w:after="0" w:line="240" w:lineRule="auto"/>
        <w:ind w:firstLine="1170"/>
        <w:rPr>
          <w:color w:val="4472C4" w:themeColor="accent1"/>
          <w:sz w:val="24"/>
          <w:szCs w:val="24"/>
        </w:rPr>
      </w:pPr>
      <w:r w:rsidRPr="002348AA">
        <w:rPr>
          <w:color w:val="4472C4" w:themeColor="accent1"/>
          <w:sz w:val="24"/>
          <w:szCs w:val="24"/>
        </w:rPr>
        <w:t xml:space="preserve">Please see the revised chart below: </w:t>
      </w:r>
    </w:p>
    <w:tbl>
      <w:tblPr>
        <w:tblW w:w="7740" w:type="dxa"/>
        <w:jc w:val="center"/>
        <w:tblCellMar>
          <w:left w:w="0" w:type="dxa"/>
          <w:right w:w="0" w:type="dxa"/>
        </w:tblCellMar>
        <w:tblLook w:val="04A0" w:firstRow="1" w:lastRow="0" w:firstColumn="1" w:lastColumn="0" w:noHBand="0" w:noVBand="1"/>
      </w:tblPr>
      <w:tblGrid>
        <w:gridCol w:w="2160"/>
        <w:gridCol w:w="1170"/>
        <w:gridCol w:w="3240"/>
        <w:gridCol w:w="1170"/>
      </w:tblGrid>
      <w:tr w:rsidR="002348AA" w14:paraId="4457AAFA" w14:textId="77777777" w:rsidTr="002348AA">
        <w:trPr>
          <w:trHeight w:val="330"/>
          <w:jc w:val="center"/>
        </w:trPr>
        <w:tc>
          <w:tcPr>
            <w:tcW w:w="7740" w:type="dxa"/>
            <w:gridSpan w:val="4"/>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8565DC2" w14:textId="77777777" w:rsidR="002348AA" w:rsidRDefault="002348AA">
            <w:r>
              <w:rPr>
                <w:b/>
                <w:bCs/>
                <w:color w:val="000000"/>
                <w:sz w:val="24"/>
                <w:szCs w:val="24"/>
              </w:rPr>
              <w:t>FY20</w:t>
            </w:r>
          </w:p>
        </w:tc>
      </w:tr>
      <w:tr w:rsidR="002348AA" w14:paraId="0DD1B3C8" w14:textId="77777777" w:rsidTr="002348AA">
        <w:trPr>
          <w:trHeight w:val="315"/>
          <w:jc w:val="center"/>
        </w:trPr>
        <w:tc>
          <w:tcPr>
            <w:tcW w:w="216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24707F1" w14:textId="77777777" w:rsidR="002348AA" w:rsidRDefault="002348AA">
            <w:r>
              <w:rPr>
                <w:color w:val="000000"/>
                <w:sz w:val="20"/>
                <w:szCs w:val="20"/>
              </w:rPr>
              <w:t>ACO and APM Contracts</w:t>
            </w:r>
          </w:p>
        </w:tc>
        <w:tc>
          <w:tcPr>
            <w:tcW w:w="117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A08A190" w14:textId="77777777" w:rsidR="002348AA" w:rsidRDefault="002348AA">
            <w:pPr>
              <w:jc w:val="right"/>
            </w:pPr>
            <w:r>
              <w:rPr>
                <w:color w:val="000000"/>
                <w:sz w:val="20"/>
                <w:szCs w:val="20"/>
              </w:rPr>
              <w:t>4.40%</w:t>
            </w:r>
          </w:p>
        </w:tc>
        <w:tc>
          <w:tcPr>
            <w:tcW w:w="4410" w:type="dxa"/>
            <w:gridSpan w:val="2"/>
            <w:tcBorders>
              <w:top w:val="nil"/>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282AD247" w14:textId="77777777" w:rsidR="002348AA" w:rsidRDefault="002348AA">
            <w:r>
              <w:rPr>
                <w:color w:val="000000"/>
                <w:sz w:val="20"/>
                <w:szCs w:val="20"/>
              </w:rPr>
              <w:t>Non-ACO and Non-APM Contracts</w:t>
            </w:r>
          </w:p>
        </w:tc>
      </w:tr>
      <w:tr w:rsidR="002348AA" w14:paraId="176D7BC7" w14:textId="77777777" w:rsidTr="002348AA">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40EAA5CC" w14:textId="77777777" w:rsidR="002348AA" w:rsidRDefault="002348AA">
            <w:pPr>
              <w:rPr>
                <w:rFonts w:ascii="Calibri" w:hAnsi="Calibri" w:cs="Calibri"/>
              </w:rPr>
            </w:pPr>
          </w:p>
        </w:tc>
        <w:tc>
          <w:tcPr>
            <w:tcW w:w="0" w:type="auto"/>
            <w:vMerge/>
            <w:tcBorders>
              <w:top w:val="nil"/>
              <w:left w:val="nil"/>
              <w:bottom w:val="single" w:sz="8" w:space="0" w:color="000000"/>
              <w:right w:val="single" w:sz="8" w:space="0" w:color="auto"/>
            </w:tcBorders>
            <w:vAlign w:val="center"/>
            <w:hideMark/>
          </w:tcPr>
          <w:p w14:paraId="04E7480C" w14:textId="77777777" w:rsidR="002348AA" w:rsidRDefault="002348AA">
            <w:pPr>
              <w:rPr>
                <w:rFonts w:ascii="Calibri" w:hAnsi="Calibri" w:cs="Calibri"/>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C3AC08" w14:textId="77777777" w:rsidR="002348AA" w:rsidRDefault="002348AA">
            <w:r>
              <w:rPr>
                <w:color w:val="000000"/>
                <w:sz w:val="20"/>
                <w:szCs w:val="20"/>
              </w:rPr>
              <w:t>Commercial PPO/Indemnity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AB872B" w14:textId="77777777" w:rsidR="002348AA" w:rsidRPr="002348AA" w:rsidRDefault="002348AA">
            <w:pPr>
              <w:jc w:val="right"/>
            </w:pPr>
            <w:r w:rsidRPr="002348AA">
              <w:rPr>
                <w:sz w:val="20"/>
                <w:szCs w:val="20"/>
              </w:rPr>
              <w:t>21.55%</w:t>
            </w:r>
          </w:p>
        </w:tc>
      </w:tr>
      <w:tr w:rsidR="002348AA" w14:paraId="6A35CFBA" w14:textId="77777777" w:rsidTr="002348AA">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5E323E22" w14:textId="77777777" w:rsidR="002348AA" w:rsidRDefault="002348AA">
            <w:pPr>
              <w:rPr>
                <w:rFonts w:ascii="Calibri" w:hAnsi="Calibri" w:cs="Calibri"/>
              </w:rPr>
            </w:pPr>
          </w:p>
        </w:tc>
        <w:tc>
          <w:tcPr>
            <w:tcW w:w="0" w:type="auto"/>
            <w:vMerge/>
            <w:tcBorders>
              <w:top w:val="nil"/>
              <w:left w:val="nil"/>
              <w:bottom w:val="single" w:sz="8" w:space="0" w:color="000000"/>
              <w:right w:val="single" w:sz="8" w:space="0" w:color="auto"/>
            </w:tcBorders>
            <w:vAlign w:val="center"/>
            <w:hideMark/>
          </w:tcPr>
          <w:p w14:paraId="48868B13" w14:textId="77777777" w:rsidR="002348AA" w:rsidRDefault="002348AA">
            <w:pPr>
              <w:rPr>
                <w:rFonts w:ascii="Calibri" w:hAnsi="Calibri" w:cs="Calibri"/>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220E1" w14:textId="77777777" w:rsidR="002348AA" w:rsidRDefault="002348AA">
            <w:r>
              <w:rPr>
                <w:color w:val="000000"/>
                <w:sz w:val="20"/>
                <w:szCs w:val="20"/>
              </w:rPr>
              <w:t>Commercial HMO/POS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454CB" w14:textId="77777777" w:rsidR="002348AA" w:rsidRPr="002348AA" w:rsidRDefault="002348AA">
            <w:pPr>
              <w:jc w:val="right"/>
            </w:pPr>
            <w:r w:rsidRPr="002348AA">
              <w:rPr>
                <w:sz w:val="20"/>
                <w:szCs w:val="20"/>
              </w:rPr>
              <w:t>30.65%</w:t>
            </w:r>
          </w:p>
        </w:tc>
      </w:tr>
      <w:tr w:rsidR="002348AA" w14:paraId="7BE72B32" w14:textId="77777777" w:rsidTr="002348AA">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2D6F0690" w14:textId="77777777" w:rsidR="002348AA" w:rsidRDefault="002348AA">
            <w:pPr>
              <w:rPr>
                <w:rFonts w:ascii="Calibri" w:hAnsi="Calibri" w:cs="Calibri"/>
              </w:rPr>
            </w:pPr>
          </w:p>
        </w:tc>
        <w:tc>
          <w:tcPr>
            <w:tcW w:w="0" w:type="auto"/>
            <w:vMerge/>
            <w:tcBorders>
              <w:top w:val="nil"/>
              <w:left w:val="nil"/>
              <w:bottom w:val="single" w:sz="8" w:space="0" w:color="000000"/>
              <w:right w:val="single" w:sz="8" w:space="0" w:color="auto"/>
            </w:tcBorders>
            <w:vAlign w:val="center"/>
            <w:hideMark/>
          </w:tcPr>
          <w:p w14:paraId="175B7CAF" w14:textId="77777777" w:rsidR="002348AA" w:rsidRDefault="002348AA">
            <w:pPr>
              <w:rPr>
                <w:rFonts w:ascii="Calibri" w:hAnsi="Calibri" w:cs="Calibri"/>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B0C29" w14:textId="77777777" w:rsidR="002348AA" w:rsidRDefault="002348AA">
            <w:r>
              <w:rPr>
                <w:color w:val="000000"/>
                <w:sz w:val="20"/>
                <w:szCs w:val="20"/>
              </w:rPr>
              <w:t>MassHealth</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E386B" w14:textId="77777777" w:rsidR="002348AA" w:rsidRPr="002348AA" w:rsidRDefault="002348AA">
            <w:pPr>
              <w:jc w:val="right"/>
            </w:pPr>
            <w:r w:rsidRPr="002348AA">
              <w:rPr>
                <w:sz w:val="20"/>
                <w:szCs w:val="20"/>
              </w:rPr>
              <w:t>1.88%</w:t>
            </w:r>
          </w:p>
        </w:tc>
      </w:tr>
      <w:tr w:rsidR="002348AA" w14:paraId="662197F4" w14:textId="77777777" w:rsidTr="002348AA">
        <w:trPr>
          <w:trHeight w:val="315"/>
          <w:jc w:val="center"/>
        </w:trPr>
        <w:tc>
          <w:tcPr>
            <w:tcW w:w="2160"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E71248F" w14:textId="77777777" w:rsidR="002348AA" w:rsidRDefault="002348AA">
            <w:r>
              <w:rPr>
                <w:color w:val="000000"/>
                <w:sz w:val="20"/>
                <w:szCs w:val="20"/>
              </w:rPr>
              <w:t>Non-ACO and Non-APM Contracts</w:t>
            </w:r>
          </w:p>
        </w:tc>
        <w:tc>
          <w:tcPr>
            <w:tcW w:w="1170"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594647C" w14:textId="77777777" w:rsidR="002348AA" w:rsidRDefault="002348AA">
            <w:pPr>
              <w:jc w:val="right"/>
            </w:pPr>
            <w:r>
              <w:rPr>
                <w:color w:val="000000"/>
                <w:sz w:val="20"/>
                <w:szCs w:val="20"/>
              </w:rPr>
              <w:t>95.60%</w:t>
            </w: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F9721" w14:textId="77777777" w:rsidR="002348AA" w:rsidRDefault="002348AA">
            <w:r>
              <w:rPr>
                <w:color w:val="000000"/>
                <w:sz w:val="20"/>
                <w:szCs w:val="20"/>
              </w:rPr>
              <w:t>Managed Medicaid</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B59BAA" w14:textId="77777777" w:rsidR="002348AA" w:rsidRPr="002348AA" w:rsidRDefault="002348AA">
            <w:pPr>
              <w:jc w:val="right"/>
            </w:pPr>
            <w:r w:rsidRPr="002348AA">
              <w:rPr>
                <w:sz w:val="20"/>
                <w:szCs w:val="20"/>
              </w:rPr>
              <w:t>1.15%</w:t>
            </w:r>
          </w:p>
        </w:tc>
      </w:tr>
      <w:tr w:rsidR="002348AA" w14:paraId="52327BC0" w14:textId="77777777" w:rsidTr="002348AA">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31CF6B9F" w14:textId="77777777" w:rsidR="002348AA" w:rsidRDefault="002348AA">
            <w:pPr>
              <w:rPr>
                <w:rFonts w:ascii="Calibri" w:hAnsi="Calibri" w:cs="Calibri"/>
              </w:rPr>
            </w:pPr>
          </w:p>
        </w:tc>
        <w:tc>
          <w:tcPr>
            <w:tcW w:w="0" w:type="auto"/>
            <w:vMerge/>
            <w:tcBorders>
              <w:top w:val="nil"/>
              <w:left w:val="nil"/>
              <w:bottom w:val="single" w:sz="8" w:space="0" w:color="000000"/>
              <w:right w:val="single" w:sz="8" w:space="0" w:color="auto"/>
            </w:tcBorders>
            <w:vAlign w:val="center"/>
            <w:hideMark/>
          </w:tcPr>
          <w:p w14:paraId="7D606F86" w14:textId="77777777" w:rsidR="002348AA" w:rsidRDefault="002348AA">
            <w:pPr>
              <w:rPr>
                <w:rFonts w:ascii="Calibri" w:hAnsi="Calibri" w:cs="Calibri"/>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373CB" w14:textId="77777777" w:rsidR="002348AA" w:rsidRDefault="002348AA">
            <w:r>
              <w:rPr>
                <w:color w:val="000000"/>
                <w:sz w:val="20"/>
                <w:szCs w:val="20"/>
              </w:rPr>
              <w:t>Commercial Medicare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E265C" w14:textId="77777777" w:rsidR="002348AA" w:rsidRPr="002348AA" w:rsidRDefault="002348AA">
            <w:pPr>
              <w:jc w:val="right"/>
            </w:pPr>
            <w:r w:rsidRPr="002348AA">
              <w:rPr>
                <w:sz w:val="20"/>
                <w:szCs w:val="20"/>
              </w:rPr>
              <w:t>9.52%</w:t>
            </w:r>
          </w:p>
        </w:tc>
      </w:tr>
      <w:tr w:rsidR="002348AA" w14:paraId="05F904D4" w14:textId="77777777" w:rsidTr="002348AA">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75C256E7" w14:textId="77777777" w:rsidR="002348AA" w:rsidRDefault="002348AA">
            <w:pPr>
              <w:rPr>
                <w:rFonts w:ascii="Calibri" w:hAnsi="Calibri" w:cs="Calibri"/>
              </w:rPr>
            </w:pPr>
          </w:p>
        </w:tc>
        <w:tc>
          <w:tcPr>
            <w:tcW w:w="0" w:type="auto"/>
            <w:vMerge/>
            <w:tcBorders>
              <w:top w:val="nil"/>
              <w:left w:val="nil"/>
              <w:bottom w:val="single" w:sz="8" w:space="0" w:color="000000"/>
              <w:right w:val="single" w:sz="8" w:space="0" w:color="auto"/>
            </w:tcBorders>
            <w:vAlign w:val="center"/>
            <w:hideMark/>
          </w:tcPr>
          <w:p w14:paraId="3B8CDA2C" w14:textId="77777777" w:rsidR="002348AA" w:rsidRDefault="002348AA">
            <w:pPr>
              <w:rPr>
                <w:rFonts w:ascii="Calibri" w:hAnsi="Calibri" w:cs="Calibri"/>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AA65F" w14:textId="77777777" w:rsidR="002348AA" w:rsidRDefault="002348AA">
            <w:r>
              <w:rPr>
                <w:color w:val="000000"/>
                <w:sz w:val="20"/>
                <w:szCs w:val="20"/>
              </w:rPr>
              <w:t>Medicare FFS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D62EE" w14:textId="77777777" w:rsidR="002348AA" w:rsidRPr="002348AA" w:rsidRDefault="002348AA">
            <w:pPr>
              <w:jc w:val="right"/>
            </w:pPr>
            <w:r w:rsidRPr="002348AA">
              <w:rPr>
                <w:sz w:val="20"/>
                <w:szCs w:val="20"/>
              </w:rPr>
              <w:t>35.04%</w:t>
            </w:r>
          </w:p>
        </w:tc>
      </w:tr>
      <w:tr w:rsidR="002348AA" w14:paraId="54C2B219" w14:textId="77777777" w:rsidTr="002348AA">
        <w:trPr>
          <w:trHeight w:val="315"/>
          <w:jc w:val="center"/>
        </w:trPr>
        <w:tc>
          <w:tcPr>
            <w:tcW w:w="0" w:type="auto"/>
            <w:vMerge/>
            <w:tcBorders>
              <w:top w:val="nil"/>
              <w:left w:val="single" w:sz="8" w:space="0" w:color="auto"/>
              <w:bottom w:val="single" w:sz="8" w:space="0" w:color="000000"/>
              <w:right w:val="single" w:sz="8" w:space="0" w:color="auto"/>
            </w:tcBorders>
            <w:vAlign w:val="center"/>
            <w:hideMark/>
          </w:tcPr>
          <w:p w14:paraId="3D3AED9E" w14:textId="77777777" w:rsidR="002348AA" w:rsidRDefault="002348AA">
            <w:pPr>
              <w:rPr>
                <w:rFonts w:ascii="Calibri" w:hAnsi="Calibri" w:cs="Calibri"/>
              </w:rPr>
            </w:pPr>
          </w:p>
        </w:tc>
        <w:tc>
          <w:tcPr>
            <w:tcW w:w="0" w:type="auto"/>
            <w:vMerge/>
            <w:tcBorders>
              <w:top w:val="nil"/>
              <w:left w:val="nil"/>
              <w:bottom w:val="single" w:sz="8" w:space="0" w:color="000000"/>
              <w:right w:val="single" w:sz="8" w:space="0" w:color="auto"/>
            </w:tcBorders>
            <w:vAlign w:val="center"/>
            <w:hideMark/>
          </w:tcPr>
          <w:p w14:paraId="18BA8D82" w14:textId="77777777" w:rsidR="002348AA" w:rsidRDefault="002348AA">
            <w:pPr>
              <w:rPr>
                <w:rFonts w:ascii="Calibri" w:hAnsi="Calibri" w:cs="Calibri"/>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3762A" w14:textId="77777777" w:rsidR="002348AA" w:rsidRDefault="002348AA">
            <w:r>
              <w:rPr>
                <w:color w:val="000000"/>
                <w:sz w:val="20"/>
                <w:szCs w:val="20"/>
              </w:rPr>
              <w:t>All Other</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8FD1B" w14:textId="77777777" w:rsidR="002348AA" w:rsidRPr="002348AA" w:rsidRDefault="002348AA">
            <w:pPr>
              <w:jc w:val="right"/>
            </w:pPr>
            <w:r w:rsidRPr="002348AA">
              <w:rPr>
                <w:sz w:val="20"/>
                <w:szCs w:val="20"/>
              </w:rPr>
              <w:t>0.21%</w:t>
            </w:r>
          </w:p>
        </w:tc>
      </w:tr>
      <w:tr w:rsidR="002348AA" w14:paraId="4019B055" w14:textId="77777777" w:rsidTr="002348AA">
        <w:trPr>
          <w:trHeight w:val="330"/>
          <w:jc w:val="center"/>
        </w:trPr>
        <w:tc>
          <w:tcPr>
            <w:tcW w:w="216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C375940" w14:textId="77777777" w:rsidR="002348AA" w:rsidRDefault="002348AA">
            <w:r>
              <w:rPr>
                <w:b/>
                <w:bCs/>
                <w:color w:val="000000"/>
                <w:sz w:val="24"/>
                <w:szCs w:val="24"/>
              </w:rPr>
              <w:t>TOTAL</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267C2DF" w14:textId="77777777" w:rsidR="002348AA" w:rsidRDefault="002348AA">
            <w:pPr>
              <w:jc w:val="right"/>
            </w:pPr>
            <w:r>
              <w:rPr>
                <w:color w:val="000000"/>
                <w:sz w:val="20"/>
                <w:szCs w:val="20"/>
              </w:rPr>
              <w:t>100%</w:t>
            </w:r>
          </w:p>
        </w:tc>
        <w:tc>
          <w:tcPr>
            <w:tcW w:w="324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1AB9796" w14:textId="77777777" w:rsidR="002348AA" w:rsidRDefault="002348AA">
            <w:r>
              <w:rPr>
                <w:b/>
                <w:bCs/>
                <w:color w:val="000000"/>
                <w:sz w:val="20"/>
                <w:szCs w:val="20"/>
              </w:rPr>
              <w:t>TOTAL</w:t>
            </w:r>
          </w:p>
        </w:tc>
        <w:tc>
          <w:tcPr>
            <w:tcW w:w="117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E346A4" w14:textId="77777777" w:rsidR="002348AA" w:rsidRPr="002348AA" w:rsidRDefault="002348AA">
            <w:pPr>
              <w:jc w:val="right"/>
            </w:pPr>
            <w:r w:rsidRPr="002348AA">
              <w:rPr>
                <w:sz w:val="20"/>
                <w:szCs w:val="20"/>
              </w:rPr>
              <w:t>100.00%</w:t>
            </w:r>
          </w:p>
        </w:tc>
      </w:tr>
    </w:tbl>
    <w:p w14:paraId="13CF9FBB" w14:textId="0D0ED167" w:rsidR="00B40B64" w:rsidRDefault="00B40B64" w:rsidP="00242743">
      <w:pPr>
        <w:tabs>
          <w:tab w:val="left" w:pos="4455"/>
        </w:tabs>
        <w:spacing w:after="0" w:line="240" w:lineRule="auto"/>
        <w:rPr>
          <w:sz w:val="24"/>
          <w:szCs w:val="24"/>
        </w:rPr>
      </w:pPr>
    </w:p>
    <w:p w14:paraId="0C841A76" w14:textId="42F7E3A1" w:rsidR="009C2AFC" w:rsidRDefault="009C2AFC" w:rsidP="00242743">
      <w:pPr>
        <w:tabs>
          <w:tab w:val="left" w:pos="4455"/>
        </w:tabs>
        <w:spacing w:after="0" w:line="240" w:lineRule="auto"/>
        <w:rPr>
          <w:sz w:val="24"/>
          <w:szCs w:val="24"/>
        </w:rPr>
      </w:pPr>
    </w:p>
    <w:p w14:paraId="18A0DB1A" w14:textId="515FF008" w:rsidR="00EA4F56" w:rsidRPr="002348AA" w:rsidRDefault="00EA4F56" w:rsidP="00EA4F56">
      <w:pPr>
        <w:pStyle w:val="ListParagraph"/>
        <w:numPr>
          <w:ilvl w:val="0"/>
          <w:numId w:val="20"/>
        </w:numPr>
        <w:tabs>
          <w:tab w:val="left" w:pos="4455"/>
        </w:tabs>
        <w:spacing w:after="0" w:line="240" w:lineRule="auto"/>
        <w:rPr>
          <w:b/>
          <w:bCs/>
          <w:sz w:val="24"/>
          <w:szCs w:val="24"/>
        </w:rPr>
      </w:pPr>
      <w:r w:rsidRPr="002348AA">
        <w:rPr>
          <w:b/>
          <w:bCs/>
          <w:sz w:val="24"/>
          <w:szCs w:val="24"/>
        </w:rPr>
        <w:t>Response #6 (pg.4) to DoN Questions #2 states the following:</w:t>
      </w:r>
    </w:p>
    <w:p w14:paraId="63F05856" w14:textId="77777777" w:rsidR="00EA4F56" w:rsidRPr="002348AA" w:rsidRDefault="00EA4F56" w:rsidP="00EA4F56">
      <w:pPr>
        <w:pStyle w:val="ListParagraph"/>
        <w:tabs>
          <w:tab w:val="left" w:pos="4455"/>
        </w:tabs>
        <w:spacing w:after="0" w:line="240" w:lineRule="auto"/>
        <w:rPr>
          <w:b/>
          <w:bCs/>
          <w:sz w:val="24"/>
          <w:szCs w:val="24"/>
        </w:rPr>
      </w:pPr>
      <w:r w:rsidRPr="002348AA">
        <w:rPr>
          <w:b/>
          <w:bCs/>
          <w:sz w:val="24"/>
          <w:szCs w:val="24"/>
        </w:rPr>
        <w:t xml:space="preserve">The MIH Program currently serves: Abington, Braintree, Cohasset, Duxbury, Hanover, Hingham, Hull, Holbrook, Kingston, Marshfield, Norwell, Quincy, Pembroke, Plymouth, Randolph, Rockland, Scituate, Whitman, and Weymouth. </w:t>
      </w:r>
    </w:p>
    <w:p w14:paraId="6331FA9E" w14:textId="7FD0F01B" w:rsidR="00EA4F56" w:rsidRDefault="00EA4F56" w:rsidP="00EA4F56">
      <w:pPr>
        <w:pStyle w:val="ListParagraph"/>
        <w:tabs>
          <w:tab w:val="left" w:pos="4455"/>
        </w:tabs>
        <w:spacing w:after="0" w:line="240" w:lineRule="auto"/>
        <w:rPr>
          <w:b/>
          <w:bCs/>
          <w:sz w:val="24"/>
          <w:szCs w:val="24"/>
        </w:rPr>
      </w:pPr>
      <w:r w:rsidRPr="002348AA">
        <w:rPr>
          <w:b/>
          <w:bCs/>
          <w:sz w:val="24"/>
          <w:szCs w:val="24"/>
        </w:rPr>
        <w:t>Do both the SNF and Basic Programs service the cities and towns mentioned above?</w:t>
      </w:r>
      <w:r w:rsidR="002348AA">
        <w:rPr>
          <w:b/>
          <w:bCs/>
          <w:sz w:val="24"/>
          <w:szCs w:val="24"/>
        </w:rPr>
        <w:t xml:space="preserve"> </w:t>
      </w:r>
    </w:p>
    <w:p w14:paraId="135FF417" w14:textId="77777777" w:rsidR="002348AA" w:rsidRDefault="002348AA" w:rsidP="00EA4F56">
      <w:pPr>
        <w:pStyle w:val="ListParagraph"/>
        <w:tabs>
          <w:tab w:val="left" w:pos="4455"/>
        </w:tabs>
        <w:spacing w:after="0" w:line="240" w:lineRule="auto"/>
        <w:rPr>
          <w:sz w:val="24"/>
          <w:szCs w:val="24"/>
        </w:rPr>
      </w:pPr>
    </w:p>
    <w:p w14:paraId="0D983A24" w14:textId="3C0E8062" w:rsidR="002348AA" w:rsidRPr="002348AA" w:rsidRDefault="002348AA" w:rsidP="00EA4F56">
      <w:pPr>
        <w:pStyle w:val="ListParagraph"/>
        <w:tabs>
          <w:tab w:val="left" w:pos="4455"/>
        </w:tabs>
        <w:spacing w:after="0" w:line="240" w:lineRule="auto"/>
        <w:rPr>
          <w:color w:val="4472C4" w:themeColor="accent1"/>
          <w:sz w:val="24"/>
          <w:szCs w:val="24"/>
        </w:rPr>
      </w:pPr>
      <w:r w:rsidRPr="002348AA">
        <w:rPr>
          <w:color w:val="4472C4" w:themeColor="accent1"/>
          <w:sz w:val="24"/>
          <w:szCs w:val="24"/>
        </w:rPr>
        <w:t xml:space="preserve">Yes. </w:t>
      </w:r>
    </w:p>
    <w:p w14:paraId="2EC8C58A" w14:textId="77777777" w:rsidR="00EA4F56" w:rsidRPr="00EA4F56" w:rsidRDefault="00EA4F56" w:rsidP="00EA4F56">
      <w:pPr>
        <w:tabs>
          <w:tab w:val="left" w:pos="4455"/>
        </w:tabs>
        <w:spacing w:after="0" w:line="240" w:lineRule="auto"/>
        <w:rPr>
          <w:sz w:val="24"/>
          <w:szCs w:val="24"/>
        </w:rPr>
      </w:pPr>
    </w:p>
    <w:p w14:paraId="6F1F80C1" w14:textId="58541B57" w:rsidR="002348AA" w:rsidRPr="002348AA" w:rsidRDefault="005B1611" w:rsidP="002348AA">
      <w:pPr>
        <w:pStyle w:val="ListParagraph"/>
        <w:numPr>
          <w:ilvl w:val="0"/>
          <w:numId w:val="20"/>
        </w:numPr>
        <w:tabs>
          <w:tab w:val="left" w:pos="4455"/>
        </w:tabs>
        <w:spacing w:after="0" w:line="240" w:lineRule="auto"/>
        <w:rPr>
          <w:b/>
          <w:bCs/>
          <w:sz w:val="24"/>
          <w:szCs w:val="24"/>
        </w:rPr>
      </w:pPr>
      <w:r w:rsidRPr="002348AA">
        <w:rPr>
          <w:b/>
          <w:bCs/>
          <w:sz w:val="24"/>
          <w:szCs w:val="24"/>
        </w:rPr>
        <w:t>The application provided</w:t>
      </w:r>
      <w:r w:rsidR="008B5206" w:rsidRPr="002348AA">
        <w:rPr>
          <w:b/>
          <w:bCs/>
          <w:sz w:val="24"/>
          <w:szCs w:val="24"/>
        </w:rPr>
        <w:t xml:space="preserve"> projected MRI scans at South Shore Hospital</w:t>
      </w:r>
      <w:r w:rsidR="005B4888" w:rsidRPr="002348AA">
        <w:rPr>
          <w:b/>
          <w:bCs/>
          <w:sz w:val="24"/>
          <w:szCs w:val="24"/>
        </w:rPr>
        <w:t xml:space="preserve"> (SSH)</w:t>
      </w:r>
      <w:r w:rsidR="008B5206" w:rsidRPr="002348AA">
        <w:rPr>
          <w:b/>
          <w:bCs/>
          <w:sz w:val="24"/>
          <w:szCs w:val="24"/>
        </w:rPr>
        <w:t xml:space="preserve"> Main campus after project </w:t>
      </w:r>
      <w:r w:rsidR="00CA1841" w:rsidRPr="002348AA">
        <w:rPr>
          <w:b/>
          <w:bCs/>
          <w:sz w:val="24"/>
          <w:szCs w:val="24"/>
        </w:rPr>
        <w:t>implementation (</w:t>
      </w:r>
      <w:r w:rsidR="00C97766" w:rsidRPr="002348AA">
        <w:rPr>
          <w:b/>
          <w:bCs/>
          <w:sz w:val="24"/>
          <w:szCs w:val="24"/>
        </w:rPr>
        <w:t>CY22)</w:t>
      </w:r>
      <w:r w:rsidR="008B5206" w:rsidRPr="002348AA">
        <w:rPr>
          <w:b/>
          <w:bCs/>
          <w:sz w:val="24"/>
          <w:szCs w:val="24"/>
        </w:rPr>
        <w:t xml:space="preserve">. Based on the existing </w:t>
      </w:r>
      <w:r w:rsidR="00D54105" w:rsidRPr="002348AA">
        <w:rPr>
          <w:b/>
          <w:bCs/>
          <w:sz w:val="24"/>
          <w:szCs w:val="24"/>
        </w:rPr>
        <w:t xml:space="preserve">MRI </w:t>
      </w:r>
      <w:r w:rsidR="008B5206" w:rsidRPr="002348AA">
        <w:rPr>
          <w:b/>
          <w:bCs/>
          <w:sz w:val="24"/>
          <w:szCs w:val="24"/>
        </w:rPr>
        <w:t>volume</w:t>
      </w:r>
      <w:r w:rsidR="00D54105" w:rsidRPr="002348AA">
        <w:rPr>
          <w:b/>
          <w:bCs/>
          <w:sz w:val="24"/>
          <w:szCs w:val="24"/>
        </w:rPr>
        <w:t xml:space="preserve"> at SSH main campus</w:t>
      </w:r>
      <w:r w:rsidR="008B5206" w:rsidRPr="002348AA">
        <w:rPr>
          <w:b/>
          <w:bCs/>
          <w:sz w:val="24"/>
          <w:szCs w:val="24"/>
        </w:rPr>
        <w:t xml:space="preserve">, MRI scans will increase </w:t>
      </w:r>
      <w:r w:rsidR="00C36F88" w:rsidRPr="002348AA">
        <w:rPr>
          <w:b/>
          <w:bCs/>
          <w:sz w:val="24"/>
          <w:szCs w:val="24"/>
        </w:rPr>
        <w:t xml:space="preserve">from </w:t>
      </w:r>
      <w:r w:rsidR="0044156C" w:rsidRPr="002348AA">
        <w:rPr>
          <w:b/>
          <w:bCs/>
          <w:sz w:val="24"/>
          <w:szCs w:val="24"/>
        </w:rPr>
        <w:t>6,497</w:t>
      </w:r>
      <w:r w:rsidR="00C36F88" w:rsidRPr="002348AA">
        <w:rPr>
          <w:b/>
          <w:bCs/>
          <w:sz w:val="24"/>
          <w:szCs w:val="24"/>
        </w:rPr>
        <w:t xml:space="preserve"> (FY</w:t>
      </w:r>
      <w:r w:rsidR="0044156C" w:rsidRPr="002348AA">
        <w:rPr>
          <w:b/>
          <w:bCs/>
          <w:sz w:val="24"/>
          <w:szCs w:val="24"/>
        </w:rPr>
        <w:t>20</w:t>
      </w:r>
      <w:r w:rsidR="00C97766" w:rsidRPr="002348AA">
        <w:rPr>
          <w:b/>
          <w:bCs/>
          <w:sz w:val="24"/>
          <w:szCs w:val="24"/>
        </w:rPr>
        <w:t xml:space="preserve">) to 13,015 scans in Year 1 </w:t>
      </w:r>
      <w:r w:rsidR="008B5206" w:rsidRPr="002348AA">
        <w:rPr>
          <w:b/>
          <w:bCs/>
          <w:sz w:val="24"/>
          <w:szCs w:val="24"/>
        </w:rPr>
        <w:t xml:space="preserve">as a result of the Proposed Project. </w:t>
      </w:r>
      <w:r w:rsidR="005F53BF" w:rsidRPr="002348AA">
        <w:rPr>
          <w:b/>
          <w:bCs/>
          <w:sz w:val="24"/>
          <w:szCs w:val="24"/>
        </w:rPr>
        <w:t>The Applicant anticipates 1</w:t>
      </w:r>
      <w:r w:rsidR="0096525D" w:rsidRPr="002348AA">
        <w:rPr>
          <w:b/>
          <w:bCs/>
          <w:sz w:val="24"/>
          <w:szCs w:val="24"/>
        </w:rPr>
        <w:t>,</w:t>
      </w:r>
      <w:r w:rsidR="005F53BF" w:rsidRPr="002348AA">
        <w:rPr>
          <w:b/>
          <w:bCs/>
          <w:sz w:val="24"/>
          <w:szCs w:val="24"/>
        </w:rPr>
        <w:t xml:space="preserve">700 additional scans from patients referred out of the system and patients transferred to off-campus facilities, as well </w:t>
      </w:r>
      <w:r w:rsidR="0096525D" w:rsidRPr="002348AA">
        <w:rPr>
          <w:b/>
          <w:bCs/>
          <w:sz w:val="24"/>
          <w:szCs w:val="24"/>
        </w:rPr>
        <w:t xml:space="preserve">additional volume </w:t>
      </w:r>
      <w:r w:rsidR="005F53BF" w:rsidRPr="002348AA">
        <w:rPr>
          <w:b/>
          <w:bCs/>
          <w:sz w:val="24"/>
          <w:szCs w:val="24"/>
        </w:rPr>
        <w:t>from the Breast Cancer Center</w:t>
      </w:r>
      <w:r w:rsidR="00A00C3F" w:rsidRPr="002348AA">
        <w:rPr>
          <w:b/>
          <w:bCs/>
          <w:sz w:val="24"/>
          <w:szCs w:val="24"/>
        </w:rPr>
        <w:t>(Responses, pgs.</w:t>
      </w:r>
      <w:r w:rsidR="00AD75EC" w:rsidRPr="002348AA">
        <w:rPr>
          <w:b/>
          <w:bCs/>
          <w:sz w:val="24"/>
          <w:szCs w:val="24"/>
        </w:rPr>
        <w:t xml:space="preserve"> </w:t>
      </w:r>
      <w:r w:rsidR="00A00C3F" w:rsidRPr="002348AA">
        <w:rPr>
          <w:b/>
          <w:bCs/>
          <w:sz w:val="24"/>
          <w:szCs w:val="24"/>
        </w:rPr>
        <w:t>6-7)</w:t>
      </w:r>
      <w:r w:rsidR="005F53BF" w:rsidRPr="002348AA">
        <w:rPr>
          <w:b/>
          <w:bCs/>
          <w:sz w:val="24"/>
          <w:szCs w:val="24"/>
        </w:rPr>
        <w:t xml:space="preserve">. </w:t>
      </w:r>
      <w:r w:rsidR="00313C34" w:rsidRPr="002348AA">
        <w:rPr>
          <w:b/>
          <w:bCs/>
          <w:sz w:val="24"/>
          <w:szCs w:val="24"/>
        </w:rPr>
        <w:t xml:space="preserve">Where will the </w:t>
      </w:r>
      <w:r w:rsidR="005F53BF" w:rsidRPr="002348AA">
        <w:rPr>
          <w:b/>
          <w:bCs/>
          <w:sz w:val="24"/>
          <w:szCs w:val="24"/>
        </w:rPr>
        <w:t xml:space="preserve">rest of the </w:t>
      </w:r>
      <w:r w:rsidR="00313C34" w:rsidRPr="002348AA">
        <w:rPr>
          <w:b/>
          <w:bCs/>
          <w:sz w:val="24"/>
          <w:szCs w:val="24"/>
        </w:rPr>
        <w:t xml:space="preserve">new volume </w:t>
      </w:r>
      <w:r w:rsidR="00466CA9" w:rsidRPr="002348AA">
        <w:rPr>
          <w:b/>
          <w:bCs/>
          <w:sz w:val="24"/>
          <w:szCs w:val="24"/>
        </w:rPr>
        <w:t>originate (existing SSHS patients, new patients, etc.)</w:t>
      </w:r>
      <w:r w:rsidR="00313C34" w:rsidRPr="002348AA">
        <w:rPr>
          <w:b/>
          <w:bCs/>
          <w:sz w:val="24"/>
          <w:szCs w:val="24"/>
        </w:rPr>
        <w:t>?</w:t>
      </w:r>
    </w:p>
    <w:p w14:paraId="6E91DCEF" w14:textId="77777777" w:rsidR="005B1611" w:rsidRPr="008B5206" w:rsidRDefault="005B1611" w:rsidP="008B5206">
      <w:pPr>
        <w:pStyle w:val="ListParagraph"/>
        <w:tabs>
          <w:tab w:val="left" w:pos="4455"/>
        </w:tabs>
        <w:spacing w:after="0" w:line="240" w:lineRule="auto"/>
        <w:rPr>
          <w:sz w:val="24"/>
          <w:szCs w:val="24"/>
        </w:rPr>
      </w:pPr>
    </w:p>
    <w:p w14:paraId="4243B1D1" w14:textId="52373D82" w:rsidR="009C2AFC" w:rsidRPr="0060112A" w:rsidRDefault="009C2AFC" w:rsidP="009C2AFC">
      <w:pPr>
        <w:pStyle w:val="Caption"/>
        <w:jc w:val="center"/>
        <w:rPr>
          <w:b/>
          <w:bCs/>
          <w:i w:val="0"/>
          <w:iCs w:val="0"/>
          <w:color w:val="auto"/>
          <w:sz w:val="24"/>
          <w:szCs w:val="24"/>
        </w:rPr>
      </w:pPr>
      <w:r w:rsidRPr="0060112A">
        <w:rPr>
          <w:b/>
          <w:bCs/>
          <w:i w:val="0"/>
          <w:iCs w:val="0"/>
          <w:color w:val="auto"/>
          <w:sz w:val="24"/>
          <w:szCs w:val="24"/>
        </w:rPr>
        <w:t xml:space="preserve">Projected MRI Scans </w:t>
      </w:r>
      <w:r>
        <w:rPr>
          <w:b/>
          <w:bCs/>
          <w:i w:val="0"/>
          <w:iCs w:val="0"/>
          <w:color w:val="auto"/>
          <w:sz w:val="24"/>
          <w:szCs w:val="24"/>
        </w:rPr>
        <w:t>at</w:t>
      </w:r>
      <w:r w:rsidRPr="0060112A">
        <w:rPr>
          <w:b/>
          <w:bCs/>
          <w:i w:val="0"/>
          <w:iCs w:val="0"/>
          <w:color w:val="auto"/>
          <w:sz w:val="24"/>
          <w:szCs w:val="24"/>
        </w:rPr>
        <w:t xml:space="preserve"> SSH Main Campus</w:t>
      </w:r>
    </w:p>
    <w:tbl>
      <w:tblPr>
        <w:tblStyle w:val="TableGrid"/>
        <w:tblW w:w="0" w:type="auto"/>
        <w:jc w:val="center"/>
        <w:tblLook w:val="04A0" w:firstRow="1" w:lastRow="0" w:firstColumn="1" w:lastColumn="0" w:noHBand="0" w:noVBand="1"/>
        <w:tblCaption w:val="Projected MRI Scans at SSH Main Campus "/>
        <w:tblDescription w:val="Projected MRI Scans at SSH Main Campus table"/>
      </w:tblPr>
      <w:tblGrid>
        <w:gridCol w:w="1558"/>
        <w:gridCol w:w="1558"/>
        <w:gridCol w:w="1558"/>
        <w:gridCol w:w="1558"/>
        <w:gridCol w:w="1559"/>
        <w:gridCol w:w="1559"/>
      </w:tblGrid>
      <w:tr w:rsidR="009C2AFC" w14:paraId="4A8958CB" w14:textId="77777777" w:rsidTr="008B7459">
        <w:trPr>
          <w:tblHeader/>
          <w:jc w:val="center"/>
        </w:trPr>
        <w:tc>
          <w:tcPr>
            <w:tcW w:w="1558" w:type="dxa"/>
          </w:tcPr>
          <w:p w14:paraId="3A097B63" w14:textId="77777777" w:rsidR="009C2AFC" w:rsidRDefault="009C2AFC" w:rsidP="004A269D"/>
        </w:tc>
        <w:tc>
          <w:tcPr>
            <w:tcW w:w="1558" w:type="dxa"/>
            <w:shd w:val="clear" w:color="auto" w:fill="F2F2F2" w:themeFill="background1" w:themeFillShade="F2"/>
          </w:tcPr>
          <w:p w14:paraId="18CF645A" w14:textId="77777777" w:rsidR="009C2AFC" w:rsidRPr="003620FB" w:rsidRDefault="009C2AFC" w:rsidP="004A269D">
            <w:pPr>
              <w:jc w:val="center"/>
              <w:rPr>
                <w:b/>
                <w:bCs/>
              </w:rPr>
            </w:pPr>
            <w:r w:rsidRPr="003620FB">
              <w:rPr>
                <w:b/>
                <w:bCs/>
              </w:rPr>
              <w:t>Year 1</w:t>
            </w:r>
          </w:p>
        </w:tc>
        <w:tc>
          <w:tcPr>
            <w:tcW w:w="1558" w:type="dxa"/>
            <w:shd w:val="clear" w:color="auto" w:fill="F2F2F2" w:themeFill="background1" w:themeFillShade="F2"/>
          </w:tcPr>
          <w:p w14:paraId="67498CF0" w14:textId="77777777" w:rsidR="009C2AFC" w:rsidRPr="003620FB" w:rsidRDefault="009C2AFC" w:rsidP="004A269D">
            <w:pPr>
              <w:jc w:val="center"/>
              <w:rPr>
                <w:b/>
                <w:bCs/>
              </w:rPr>
            </w:pPr>
            <w:r w:rsidRPr="003620FB">
              <w:rPr>
                <w:b/>
                <w:bCs/>
              </w:rPr>
              <w:t>Year 2</w:t>
            </w:r>
          </w:p>
        </w:tc>
        <w:tc>
          <w:tcPr>
            <w:tcW w:w="1558" w:type="dxa"/>
            <w:shd w:val="clear" w:color="auto" w:fill="F2F2F2" w:themeFill="background1" w:themeFillShade="F2"/>
          </w:tcPr>
          <w:p w14:paraId="0BB0AE87" w14:textId="77777777" w:rsidR="009C2AFC" w:rsidRPr="003620FB" w:rsidRDefault="009C2AFC" w:rsidP="004A269D">
            <w:pPr>
              <w:jc w:val="center"/>
              <w:rPr>
                <w:b/>
                <w:bCs/>
              </w:rPr>
            </w:pPr>
            <w:r w:rsidRPr="003620FB">
              <w:rPr>
                <w:b/>
                <w:bCs/>
              </w:rPr>
              <w:t>Year 3</w:t>
            </w:r>
          </w:p>
        </w:tc>
        <w:tc>
          <w:tcPr>
            <w:tcW w:w="1559" w:type="dxa"/>
            <w:shd w:val="clear" w:color="auto" w:fill="F2F2F2" w:themeFill="background1" w:themeFillShade="F2"/>
          </w:tcPr>
          <w:p w14:paraId="142434A2" w14:textId="77777777" w:rsidR="009C2AFC" w:rsidRPr="003620FB" w:rsidRDefault="009C2AFC" w:rsidP="004A269D">
            <w:pPr>
              <w:jc w:val="center"/>
              <w:rPr>
                <w:b/>
                <w:bCs/>
              </w:rPr>
            </w:pPr>
            <w:r w:rsidRPr="003620FB">
              <w:rPr>
                <w:b/>
                <w:bCs/>
              </w:rPr>
              <w:t>Year 4</w:t>
            </w:r>
          </w:p>
        </w:tc>
        <w:tc>
          <w:tcPr>
            <w:tcW w:w="1559" w:type="dxa"/>
            <w:shd w:val="clear" w:color="auto" w:fill="F2F2F2" w:themeFill="background1" w:themeFillShade="F2"/>
          </w:tcPr>
          <w:p w14:paraId="4C03D82F" w14:textId="77777777" w:rsidR="009C2AFC" w:rsidRPr="003620FB" w:rsidRDefault="009C2AFC" w:rsidP="004A269D">
            <w:pPr>
              <w:jc w:val="center"/>
              <w:rPr>
                <w:b/>
                <w:bCs/>
              </w:rPr>
            </w:pPr>
            <w:r w:rsidRPr="003620FB">
              <w:rPr>
                <w:b/>
                <w:bCs/>
              </w:rPr>
              <w:t>Year 5</w:t>
            </w:r>
          </w:p>
        </w:tc>
      </w:tr>
      <w:tr w:rsidR="009C2AFC" w14:paraId="1B1595ED" w14:textId="77777777" w:rsidTr="00306F8A">
        <w:trPr>
          <w:jc w:val="center"/>
        </w:trPr>
        <w:tc>
          <w:tcPr>
            <w:tcW w:w="1558" w:type="dxa"/>
          </w:tcPr>
          <w:p w14:paraId="122035CC" w14:textId="77777777" w:rsidR="009C2AFC" w:rsidRPr="003620FB" w:rsidRDefault="009C2AFC" w:rsidP="004A269D">
            <w:pPr>
              <w:rPr>
                <w:b/>
                <w:bCs/>
              </w:rPr>
            </w:pPr>
            <w:r w:rsidRPr="003620FB">
              <w:rPr>
                <w:b/>
                <w:bCs/>
              </w:rPr>
              <w:t>SSH 3T MRI</w:t>
            </w:r>
          </w:p>
        </w:tc>
        <w:tc>
          <w:tcPr>
            <w:tcW w:w="1558" w:type="dxa"/>
          </w:tcPr>
          <w:p w14:paraId="78BC829C" w14:textId="77777777" w:rsidR="009C2AFC" w:rsidRDefault="009C2AFC" w:rsidP="004A269D">
            <w:pPr>
              <w:jc w:val="center"/>
            </w:pPr>
            <w:r w:rsidRPr="002F7B99">
              <w:t>6,720</w:t>
            </w:r>
          </w:p>
        </w:tc>
        <w:tc>
          <w:tcPr>
            <w:tcW w:w="1558" w:type="dxa"/>
          </w:tcPr>
          <w:p w14:paraId="72EBA104" w14:textId="77777777" w:rsidR="009C2AFC" w:rsidRDefault="009C2AFC" w:rsidP="004A269D">
            <w:pPr>
              <w:jc w:val="center"/>
            </w:pPr>
            <w:r w:rsidRPr="002F7B99">
              <w:t>6,854</w:t>
            </w:r>
          </w:p>
        </w:tc>
        <w:tc>
          <w:tcPr>
            <w:tcW w:w="1558" w:type="dxa"/>
          </w:tcPr>
          <w:p w14:paraId="548D0A84" w14:textId="77777777" w:rsidR="009C2AFC" w:rsidRDefault="009C2AFC" w:rsidP="004A269D">
            <w:pPr>
              <w:jc w:val="center"/>
            </w:pPr>
            <w:r w:rsidRPr="002F7B99">
              <w:t>6,991</w:t>
            </w:r>
          </w:p>
        </w:tc>
        <w:tc>
          <w:tcPr>
            <w:tcW w:w="1559" w:type="dxa"/>
          </w:tcPr>
          <w:p w14:paraId="41D951BB" w14:textId="77777777" w:rsidR="009C2AFC" w:rsidRDefault="009C2AFC" w:rsidP="004A269D">
            <w:pPr>
              <w:jc w:val="center"/>
            </w:pPr>
            <w:r w:rsidRPr="002F7B99">
              <w:t>7,131</w:t>
            </w:r>
          </w:p>
        </w:tc>
        <w:tc>
          <w:tcPr>
            <w:tcW w:w="1559" w:type="dxa"/>
          </w:tcPr>
          <w:p w14:paraId="49213C5D" w14:textId="77777777" w:rsidR="009C2AFC" w:rsidRDefault="009C2AFC" w:rsidP="004A269D">
            <w:pPr>
              <w:jc w:val="center"/>
            </w:pPr>
            <w:r w:rsidRPr="002F7B99">
              <w:t>7,273</w:t>
            </w:r>
          </w:p>
        </w:tc>
      </w:tr>
      <w:tr w:rsidR="009C2AFC" w14:paraId="58208739" w14:textId="77777777" w:rsidTr="00306F8A">
        <w:trPr>
          <w:jc w:val="center"/>
        </w:trPr>
        <w:tc>
          <w:tcPr>
            <w:tcW w:w="1558" w:type="dxa"/>
          </w:tcPr>
          <w:p w14:paraId="26256C48" w14:textId="77777777" w:rsidR="009C2AFC" w:rsidRPr="003620FB" w:rsidRDefault="009C2AFC" w:rsidP="004A269D">
            <w:pPr>
              <w:rPr>
                <w:b/>
                <w:bCs/>
              </w:rPr>
            </w:pPr>
            <w:r w:rsidRPr="003620FB">
              <w:rPr>
                <w:b/>
                <w:bCs/>
              </w:rPr>
              <w:t>SSH 1.5T MRI</w:t>
            </w:r>
          </w:p>
        </w:tc>
        <w:tc>
          <w:tcPr>
            <w:tcW w:w="1558" w:type="dxa"/>
          </w:tcPr>
          <w:p w14:paraId="04B7CF11" w14:textId="77777777" w:rsidR="009C2AFC" w:rsidRDefault="009C2AFC" w:rsidP="004A269D">
            <w:pPr>
              <w:jc w:val="center"/>
            </w:pPr>
            <w:r w:rsidRPr="002F7B99">
              <w:t>6,295</w:t>
            </w:r>
          </w:p>
        </w:tc>
        <w:tc>
          <w:tcPr>
            <w:tcW w:w="1558" w:type="dxa"/>
          </w:tcPr>
          <w:p w14:paraId="1A8F688A" w14:textId="77777777" w:rsidR="009C2AFC" w:rsidRDefault="009C2AFC" w:rsidP="004A269D">
            <w:pPr>
              <w:jc w:val="center"/>
            </w:pPr>
            <w:r w:rsidRPr="002F7B99">
              <w:t>6,421</w:t>
            </w:r>
          </w:p>
        </w:tc>
        <w:tc>
          <w:tcPr>
            <w:tcW w:w="1558" w:type="dxa"/>
          </w:tcPr>
          <w:p w14:paraId="0AAA33CD" w14:textId="77777777" w:rsidR="009C2AFC" w:rsidRDefault="009C2AFC" w:rsidP="004A269D">
            <w:pPr>
              <w:jc w:val="center"/>
            </w:pPr>
            <w:r w:rsidRPr="002F7B99">
              <w:t>6,549</w:t>
            </w:r>
          </w:p>
        </w:tc>
        <w:tc>
          <w:tcPr>
            <w:tcW w:w="1559" w:type="dxa"/>
          </w:tcPr>
          <w:p w14:paraId="3E9205C1" w14:textId="77777777" w:rsidR="009C2AFC" w:rsidRDefault="009C2AFC" w:rsidP="004A269D">
            <w:pPr>
              <w:jc w:val="center"/>
            </w:pPr>
            <w:r w:rsidRPr="002F7B99">
              <w:t>6,680</w:t>
            </w:r>
          </w:p>
        </w:tc>
        <w:tc>
          <w:tcPr>
            <w:tcW w:w="1559" w:type="dxa"/>
          </w:tcPr>
          <w:p w14:paraId="02F3A57E" w14:textId="77777777" w:rsidR="009C2AFC" w:rsidRDefault="009C2AFC" w:rsidP="004A269D">
            <w:pPr>
              <w:jc w:val="center"/>
            </w:pPr>
            <w:r w:rsidRPr="002F7B99">
              <w:t>6,814</w:t>
            </w:r>
          </w:p>
        </w:tc>
      </w:tr>
      <w:tr w:rsidR="00C36F88" w14:paraId="3ED686A3" w14:textId="77777777" w:rsidTr="00306F8A">
        <w:trPr>
          <w:jc w:val="center"/>
        </w:trPr>
        <w:tc>
          <w:tcPr>
            <w:tcW w:w="1558" w:type="dxa"/>
          </w:tcPr>
          <w:p w14:paraId="1C950136" w14:textId="5C67D30B" w:rsidR="00C36F88" w:rsidRPr="003620FB" w:rsidRDefault="00C36F88" w:rsidP="004A269D">
            <w:pPr>
              <w:rPr>
                <w:b/>
                <w:bCs/>
              </w:rPr>
            </w:pPr>
            <w:r>
              <w:rPr>
                <w:b/>
                <w:bCs/>
              </w:rPr>
              <w:t>Total</w:t>
            </w:r>
          </w:p>
        </w:tc>
        <w:tc>
          <w:tcPr>
            <w:tcW w:w="1558" w:type="dxa"/>
          </w:tcPr>
          <w:p w14:paraId="1B5C42FF" w14:textId="0E5AEDA0" w:rsidR="00C36F88" w:rsidRPr="005B1611" w:rsidRDefault="00C36F88" w:rsidP="004A269D">
            <w:pPr>
              <w:jc w:val="center"/>
              <w:rPr>
                <w:b/>
              </w:rPr>
            </w:pPr>
            <w:r w:rsidRPr="005B1611">
              <w:rPr>
                <w:b/>
              </w:rPr>
              <w:fldChar w:fldCharType="begin"/>
            </w:r>
            <w:r w:rsidRPr="005B1611">
              <w:rPr>
                <w:b/>
              </w:rPr>
              <w:instrText xml:space="preserve"> =SUM(ABOVE) </w:instrText>
            </w:r>
            <w:r w:rsidRPr="005B1611">
              <w:rPr>
                <w:b/>
              </w:rPr>
              <w:fldChar w:fldCharType="separate"/>
            </w:r>
            <w:r w:rsidRPr="005B1611">
              <w:rPr>
                <w:b/>
                <w:noProof/>
              </w:rPr>
              <w:t>13,015</w:t>
            </w:r>
            <w:r w:rsidRPr="005B1611">
              <w:rPr>
                <w:b/>
              </w:rPr>
              <w:fldChar w:fldCharType="end"/>
            </w:r>
          </w:p>
        </w:tc>
        <w:tc>
          <w:tcPr>
            <w:tcW w:w="1558" w:type="dxa"/>
          </w:tcPr>
          <w:p w14:paraId="3D82E3F7" w14:textId="2368BE63" w:rsidR="00C36F88" w:rsidRPr="005B1611" w:rsidRDefault="00C36F88" w:rsidP="004A269D">
            <w:pPr>
              <w:jc w:val="center"/>
              <w:rPr>
                <w:b/>
              </w:rPr>
            </w:pPr>
            <w:r w:rsidRPr="005B1611">
              <w:rPr>
                <w:b/>
              </w:rPr>
              <w:fldChar w:fldCharType="begin"/>
            </w:r>
            <w:r w:rsidRPr="005B1611">
              <w:rPr>
                <w:b/>
              </w:rPr>
              <w:instrText xml:space="preserve"> =SUM(ABOVE) </w:instrText>
            </w:r>
            <w:r w:rsidRPr="005B1611">
              <w:rPr>
                <w:b/>
              </w:rPr>
              <w:fldChar w:fldCharType="separate"/>
            </w:r>
            <w:r w:rsidRPr="005B1611">
              <w:rPr>
                <w:b/>
                <w:noProof/>
              </w:rPr>
              <w:t>13,275</w:t>
            </w:r>
            <w:r w:rsidRPr="005B1611">
              <w:rPr>
                <w:b/>
              </w:rPr>
              <w:fldChar w:fldCharType="end"/>
            </w:r>
          </w:p>
        </w:tc>
        <w:tc>
          <w:tcPr>
            <w:tcW w:w="1558" w:type="dxa"/>
          </w:tcPr>
          <w:p w14:paraId="61703E77" w14:textId="53493AC5" w:rsidR="00C36F88" w:rsidRPr="005B1611" w:rsidRDefault="00C36F88" w:rsidP="004A269D">
            <w:pPr>
              <w:jc w:val="center"/>
              <w:rPr>
                <w:b/>
              </w:rPr>
            </w:pPr>
            <w:r w:rsidRPr="005B1611">
              <w:rPr>
                <w:b/>
              </w:rPr>
              <w:fldChar w:fldCharType="begin"/>
            </w:r>
            <w:r w:rsidRPr="005B1611">
              <w:rPr>
                <w:b/>
              </w:rPr>
              <w:instrText xml:space="preserve"> =SUM(ABOVE) </w:instrText>
            </w:r>
            <w:r w:rsidRPr="005B1611">
              <w:rPr>
                <w:b/>
              </w:rPr>
              <w:fldChar w:fldCharType="separate"/>
            </w:r>
            <w:r w:rsidRPr="005B1611">
              <w:rPr>
                <w:b/>
                <w:noProof/>
              </w:rPr>
              <w:t>13,540</w:t>
            </w:r>
            <w:r w:rsidRPr="005B1611">
              <w:rPr>
                <w:b/>
              </w:rPr>
              <w:fldChar w:fldCharType="end"/>
            </w:r>
          </w:p>
        </w:tc>
        <w:tc>
          <w:tcPr>
            <w:tcW w:w="1559" w:type="dxa"/>
          </w:tcPr>
          <w:p w14:paraId="2A193CDD" w14:textId="34653DE8" w:rsidR="00C36F88" w:rsidRPr="005B1611" w:rsidRDefault="00C36F88" w:rsidP="004A269D">
            <w:pPr>
              <w:jc w:val="center"/>
              <w:rPr>
                <w:b/>
              </w:rPr>
            </w:pPr>
            <w:r w:rsidRPr="005B1611">
              <w:rPr>
                <w:b/>
              </w:rPr>
              <w:fldChar w:fldCharType="begin"/>
            </w:r>
            <w:r w:rsidRPr="005B1611">
              <w:rPr>
                <w:b/>
              </w:rPr>
              <w:instrText xml:space="preserve"> =SUM(ABOVE) </w:instrText>
            </w:r>
            <w:r w:rsidRPr="005B1611">
              <w:rPr>
                <w:b/>
              </w:rPr>
              <w:fldChar w:fldCharType="separate"/>
            </w:r>
            <w:r w:rsidRPr="005B1611">
              <w:rPr>
                <w:b/>
                <w:noProof/>
              </w:rPr>
              <w:t>13,811</w:t>
            </w:r>
            <w:r w:rsidRPr="005B1611">
              <w:rPr>
                <w:b/>
              </w:rPr>
              <w:fldChar w:fldCharType="end"/>
            </w:r>
          </w:p>
        </w:tc>
        <w:tc>
          <w:tcPr>
            <w:tcW w:w="1559" w:type="dxa"/>
          </w:tcPr>
          <w:p w14:paraId="2540B7C3" w14:textId="7B07F9D1" w:rsidR="00C36F88" w:rsidRPr="005B1611" w:rsidRDefault="00C36F88" w:rsidP="004A269D">
            <w:pPr>
              <w:jc w:val="center"/>
              <w:rPr>
                <w:b/>
              </w:rPr>
            </w:pPr>
            <w:r w:rsidRPr="005B1611">
              <w:rPr>
                <w:b/>
              </w:rPr>
              <w:fldChar w:fldCharType="begin"/>
            </w:r>
            <w:r w:rsidRPr="005B1611">
              <w:rPr>
                <w:b/>
              </w:rPr>
              <w:instrText xml:space="preserve"> =SUM(ABOVE) </w:instrText>
            </w:r>
            <w:r w:rsidRPr="005B1611">
              <w:rPr>
                <w:b/>
              </w:rPr>
              <w:fldChar w:fldCharType="separate"/>
            </w:r>
            <w:r w:rsidRPr="005B1611">
              <w:rPr>
                <w:b/>
                <w:noProof/>
              </w:rPr>
              <w:t>14,087</w:t>
            </w:r>
            <w:r w:rsidRPr="005B1611">
              <w:rPr>
                <w:b/>
              </w:rPr>
              <w:fldChar w:fldCharType="end"/>
            </w:r>
          </w:p>
        </w:tc>
      </w:tr>
    </w:tbl>
    <w:p w14:paraId="08410AB0" w14:textId="2DA9ACFA" w:rsidR="009C2AFC" w:rsidRDefault="009C2AFC" w:rsidP="00242743">
      <w:pPr>
        <w:tabs>
          <w:tab w:val="left" w:pos="4455"/>
        </w:tabs>
        <w:spacing w:after="0" w:line="240" w:lineRule="auto"/>
        <w:rPr>
          <w:sz w:val="24"/>
          <w:szCs w:val="24"/>
        </w:rPr>
      </w:pPr>
    </w:p>
    <w:p w14:paraId="615DBA86" w14:textId="63C9A05D" w:rsidR="002348AA" w:rsidRDefault="002348AA" w:rsidP="00242743">
      <w:pPr>
        <w:tabs>
          <w:tab w:val="left" w:pos="4455"/>
        </w:tabs>
        <w:spacing w:after="0" w:line="240" w:lineRule="auto"/>
        <w:rPr>
          <w:sz w:val="24"/>
          <w:szCs w:val="24"/>
        </w:rPr>
      </w:pPr>
    </w:p>
    <w:p w14:paraId="4919E906" w14:textId="13A96A5B" w:rsidR="002348AA" w:rsidRPr="002348AA" w:rsidRDefault="002348AA" w:rsidP="002348AA">
      <w:pPr>
        <w:tabs>
          <w:tab w:val="left" w:pos="4455"/>
        </w:tabs>
        <w:spacing w:after="0" w:line="240" w:lineRule="auto"/>
        <w:ind w:left="810"/>
        <w:rPr>
          <w:sz w:val="24"/>
          <w:szCs w:val="24"/>
        </w:rPr>
      </w:pPr>
      <w:r w:rsidRPr="002348AA">
        <w:rPr>
          <w:rFonts w:eastAsia="Times New Roman"/>
          <w:color w:val="1F497D"/>
        </w:rPr>
        <w:t>In addition to scans that will be retained by SSH because of the availability of a 3T machine, the additional scans projected can be attributed to a growing and aging population, and new patients.  Other reasons include program growth and the addition of services to meet the needs of our population. These additional services include: prostate imaging, neuro imaging, perfusion brain tumor imaging, seizure imaging, inflammatory arthropathies, small joint MRI, improved pediatric imaging, MR Enterography , and acute abdomen MRI.  Additionally, SSH is looking to decrease inpatient and Emergency patient wait times which currently exceed 24 hours. The increased capacity of two scanners at the main campus will better serve our patient population by reducing their overall length of stay, in turn increasing the number of patients served.</w:t>
      </w:r>
    </w:p>
    <w:p w14:paraId="58D4CC5F" w14:textId="77777777" w:rsidR="002348AA" w:rsidRDefault="002348AA" w:rsidP="00242743">
      <w:pPr>
        <w:tabs>
          <w:tab w:val="left" w:pos="4455"/>
        </w:tabs>
        <w:spacing w:after="0" w:line="240" w:lineRule="auto"/>
        <w:rPr>
          <w:sz w:val="24"/>
          <w:szCs w:val="24"/>
        </w:rPr>
      </w:pPr>
    </w:p>
    <w:p w14:paraId="1E3A9B1A" w14:textId="7394A148" w:rsidR="009C2AFC" w:rsidRDefault="009C2AFC" w:rsidP="009C2AFC">
      <w:pPr>
        <w:tabs>
          <w:tab w:val="left" w:pos="4455"/>
        </w:tabs>
        <w:spacing w:after="0" w:line="240" w:lineRule="auto"/>
        <w:rPr>
          <w:sz w:val="24"/>
          <w:szCs w:val="24"/>
        </w:rPr>
      </w:pPr>
    </w:p>
    <w:p w14:paraId="7EE7F3F0" w14:textId="37C841FC" w:rsidR="009C2AFC" w:rsidRDefault="00EC338C" w:rsidP="008B5206">
      <w:pPr>
        <w:pStyle w:val="ListParagraph"/>
        <w:numPr>
          <w:ilvl w:val="0"/>
          <w:numId w:val="20"/>
        </w:numPr>
        <w:tabs>
          <w:tab w:val="left" w:pos="4455"/>
        </w:tabs>
        <w:spacing w:after="0" w:line="240" w:lineRule="auto"/>
        <w:rPr>
          <w:sz w:val="24"/>
          <w:szCs w:val="24"/>
        </w:rPr>
      </w:pPr>
      <w:r>
        <w:rPr>
          <w:sz w:val="24"/>
          <w:szCs w:val="24"/>
        </w:rPr>
        <w:t xml:space="preserve">The application states that </w:t>
      </w:r>
      <w:r w:rsidR="008B5206" w:rsidRPr="008B5206">
        <w:rPr>
          <w:sz w:val="24"/>
          <w:szCs w:val="24"/>
        </w:rPr>
        <w:t xml:space="preserve">two alternatives </w:t>
      </w:r>
      <w:r>
        <w:rPr>
          <w:sz w:val="24"/>
          <w:szCs w:val="24"/>
        </w:rPr>
        <w:t xml:space="preserve">to the Proposed Project were considered (Factor 5): </w:t>
      </w:r>
      <w:r w:rsidR="008B5206" w:rsidRPr="008B5206">
        <w:rPr>
          <w:sz w:val="24"/>
          <w:szCs w:val="24"/>
        </w:rPr>
        <w:t xml:space="preserve">1) </w:t>
      </w:r>
      <w:r w:rsidR="009C2AFC" w:rsidRPr="008B5206">
        <w:rPr>
          <w:sz w:val="24"/>
          <w:szCs w:val="24"/>
        </w:rPr>
        <w:t>Acquire a mobile MRI unit</w:t>
      </w:r>
      <w:r w:rsidR="008B5206" w:rsidRPr="008B5206">
        <w:rPr>
          <w:sz w:val="24"/>
          <w:szCs w:val="24"/>
        </w:rPr>
        <w:t xml:space="preserve">, and 2) </w:t>
      </w:r>
      <w:r w:rsidR="009C2AFC" w:rsidRPr="008B5206">
        <w:rPr>
          <w:sz w:val="24"/>
          <w:szCs w:val="24"/>
        </w:rPr>
        <w:t>Maintain the status quo of the existing MRI units.</w:t>
      </w:r>
      <w:r w:rsidR="008B5206" w:rsidRPr="008B5206">
        <w:rPr>
          <w:sz w:val="24"/>
          <w:szCs w:val="24"/>
        </w:rPr>
        <w:t xml:space="preserve"> Given that the existing 1.5T MRI unit </w:t>
      </w:r>
      <w:r w:rsidR="00C10C9E">
        <w:rPr>
          <w:sz w:val="24"/>
          <w:szCs w:val="24"/>
        </w:rPr>
        <w:t xml:space="preserve">at SSH main campus </w:t>
      </w:r>
      <w:r w:rsidR="008B5206" w:rsidRPr="008B5206">
        <w:rPr>
          <w:sz w:val="24"/>
          <w:szCs w:val="24"/>
        </w:rPr>
        <w:t xml:space="preserve">is 18 years old and requires significant maintenance, </w:t>
      </w:r>
      <w:r w:rsidR="00D54105">
        <w:rPr>
          <w:sz w:val="24"/>
          <w:szCs w:val="24"/>
        </w:rPr>
        <w:t xml:space="preserve">did the Applicant </w:t>
      </w:r>
      <w:r w:rsidR="008B5206" w:rsidRPr="008B5206">
        <w:rPr>
          <w:sz w:val="24"/>
          <w:szCs w:val="24"/>
        </w:rPr>
        <w:t>consider replacing the existing</w:t>
      </w:r>
      <w:r w:rsidR="000617C5">
        <w:rPr>
          <w:sz w:val="24"/>
          <w:szCs w:val="24"/>
        </w:rPr>
        <w:t xml:space="preserve"> 1.5T MRI</w:t>
      </w:r>
      <w:r w:rsidR="008B5206" w:rsidRPr="008B5206">
        <w:rPr>
          <w:sz w:val="24"/>
          <w:szCs w:val="24"/>
        </w:rPr>
        <w:t xml:space="preserve"> unit? </w:t>
      </w:r>
    </w:p>
    <w:p w14:paraId="4B9EAF3D" w14:textId="77777777" w:rsidR="002348AA" w:rsidRDefault="002348AA" w:rsidP="002348AA">
      <w:pPr>
        <w:pStyle w:val="xmsolistparagraph"/>
        <w:spacing w:after="100"/>
        <w:ind w:left="720" w:right="720"/>
        <w:rPr>
          <w:rFonts w:eastAsia="Times New Roman"/>
          <w:b/>
          <w:bCs/>
          <w:color w:val="1F497D"/>
        </w:rPr>
      </w:pPr>
    </w:p>
    <w:p w14:paraId="2E1FED42" w14:textId="276793D2" w:rsidR="002348AA" w:rsidRPr="002348AA" w:rsidRDefault="002348AA" w:rsidP="002348AA">
      <w:pPr>
        <w:pStyle w:val="xmsolistparagraph"/>
        <w:spacing w:after="100"/>
        <w:ind w:left="720" w:right="720"/>
        <w:rPr>
          <w:rFonts w:eastAsia="Times New Roman"/>
        </w:rPr>
      </w:pPr>
      <w:r w:rsidRPr="002348AA">
        <w:rPr>
          <w:rFonts w:eastAsia="Times New Roman"/>
          <w:color w:val="1F497D"/>
        </w:rPr>
        <w:t xml:space="preserve">SSH plans to replace the 17-year old 1.5T with a new 1.5T machine concurrent with the addition of a 3T machine. </w:t>
      </w:r>
    </w:p>
    <w:p w14:paraId="189823C3" w14:textId="77777777" w:rsidR="002348AA" w:rsidRPr="008B5206" w:rsidRDefault="002348AA" w:rsidP="002348AA">
      <w:pPr>
        <w:pStyle w:val="ListParagraph"/>
        <w:tabs>
          <w:tab w:val="left" w:pos="4455"/>
        </w:tabs>
        <w:spacing w:after="0" w:line="240" w:lineRule="auto"/>
        <w:rPr>
          <w:sz w:val="24"/>
          <w:szCs w:val="24"/>
        </w:rPr>
      </w:pPr>
    </w:p>
    <w:sectPr w:rsidR="002348AA" w:rsidRPr="008B5206" w:rsidSect="004B678F">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5C402" w14:textId="77777777" w:rsidR="00567D49" w:rsidRDefault="00567D49" w:rsidP="00231103">
      <w:pPr>
        <w:spacing w:after="0" w:line="240" w:lineRule="auto"/>
      </w:pPr>
      <w:r>
        <w:separator/>
      </w:r>
    </w:p>
  </w:endnote>
  <w:endnote w:type="continuationSeparator" w:id="0">
    <w:p w14:paraId="3C7B5E89" w14:textId="77777777" w:rsidR="00567D49" w:rsidRDefault="00567D49" w:rsidP="00231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73766" w14:textId="77777777" w:rsidR="00BB564A" w:rsidRDefault="00BB5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94787"/>
      <w:docPartObj>
        <w:docPartGallery w:val="Page Numbers (Bottom of Page)"/>
        <w:docPartUnique/>
      </w:docPartObj>
    </w:sdtPr>
    <w:sdtEndPr>
      <w:rPr>
        <w:noProof/>
        <w:sz w:val="24"/>
        <w:szCs w:val="24"/>
      </w:rPr>
    </w:sdtEndPr>
    <w:sdtContent>
      <w:p w14:paraId="1994E1C9" w14:textId="331B3579" w:rsidR="00331E7E" w:rsidRPr="00331E7E" w:rsidRDefault="00331E7E">
        <w:pPr>
          <w:pStyle w:val="Footer"/>
          <w:jc w:val="center"/>
          <w:rPr>
            <w:sz w:val="24"/>
            <w:szCs w:val="24"/>
          </w:rPr>
        </w:pPr>
        <w:r w:rsidRPr="00331E7E">
          <w:rPr>
            <w:sz w:val="24"/>
            <w:szCs w:val="24"/>
          </w:rPr>
          <w:fldChar w:fldCharType="begin"/>
        </w:r>
        <w:r w:rsidRPr="00331E7E">
          <w:rPr>
            <w:sz w:val="24"/>
            <w:szCs w:val="24"/>
          </w:rPr>
          <w:instrText xml:space="preserve"> PAGE   \* MERGEFORMAT </w:instrText>
        </w:r>
        <w:r w:rsidRPr="00331E7E">
          <w:rPr>
            <w:sz w:val="24"/>
            <w:szCs w:val="24"/>
          </w:rPr>
          <w:fldChar w:fldCharType="separate"/>
        </w:r>
        <w:r w:rsidR="00CA1841">
          <w:rPr>
            <w:noProof/>
            <w:sz w:val="24"/>
            <w:szCs w:val="24"/>
          </w:rPr>
          <w:t>1</w:t>
        </w:r>
        <w:r w:rsidRPr="00331E7E">
          <w:rPr>
            <w:noProof/>
            <w:sz w:val="24"/>
            <w:szCs w:val="24"/>
          </w:rPr>
          <w:fldChar w:fldCharType="end"/>
        </w:r>
      </w:p>
    </w:sdtContent>
  </w:sdt>
  <w:p w14:paraId="6BBA7089" w14:textId="6C959D8D" w:rsidR="00632AEC" w:rsidRPr="002348AA" w:rsidRDefault="00567D49" w:rsidP="002348AA">
    <w:pPr>
      <w:pStyle w:val="DocID"/>
    </w:pPr>
    <w:fldSimple w:instr=" DOCPROPERTY &quot;DocID&quot; ">
      <w:r w:rsidR="002348AA">
        <w:t>810672.1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6440" w14:textId="77777777" w:rsidR="00BB564A" w:rsidRDefault="00BB5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CBDF8" w14:textId="77777777" w:rsidR="00567D49" w:rsidRDefault="00567D49" w:rsidP="00231103">
      <w:pPr>
        <w:spacing w:after="0" w:line="240" w:lineRule="auto"/>
      </w:pPr>
      <w:r>
        <w:separator/>
      </w:r>
    </w:p>
  </w:footnote>
  <w:footnote w:type="continuationSeparator" w:id="0">
    <w:p w14:paraId="3D6AFD47" w14:textId="77777777" w:rsidR="00567D49" w:rsidRDefault="00567D49" w:rsidP="00231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634F" w14:textId="01636B5F" w:rsidR="00614A8B" w:rsidRDefault="00614A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605D" w14:textId="5E1ADBB9" w:rsidR="00D223EB" w:rsidRPr="00D223EB" w:rsidRDefault="00D223EB" w:rsidP="00D223EB">
    <w:pPr>
      <w:pStyle w:val="Header"/>
      <w:pBdr>
        <w:bottom w:val="single" w:sz="4" w:space="1" w:color="auto"/>
      </w:pBdr>
      <w:jc w:val="center"/>
      <w:rPr>
        <w:b/>
        <w:bCs/>
        <w:sz w:val="28"/>
        <w:szCs w:val="28"/>
      </w:rPr>
    </w:pPr>
    <w:r w:rsidRPr="00D223EB">
      <w:rPr>
        <w:b/>
        <w:bCs/>
        <w:sz w:val="28"/>
        <w:szCs w:val="28"/>
      </w:rPr>
      <w:t>South Shore Health System, Inc.</w:t>
    </w:r>
  </w:p>
  <w:p w14:paraId="78DC6D8E" w14:textId="610AE225" w:rsidR="00D223EB" w:rsidRPr="00D223EB" w:rsidRDefault="00D223EB" w:rsidP="00D223EB">
    <w:pPr>
      <w:pStyle w:val="Header"/>
      <w:pBdr>
        <w:bottom w:val="single" w:sz="4" w:space="1" w:color="auto"/>
      </w:pBdr>
      <w:jc w:val="center"/>
      <w:rPr>
        <w:sz w:val="28"/>
        <w:szCs w:val="28"/>
      </w:rPr>
    </w:pPr>
    <w:r w:rsidRPr="00D223EB">
      <w:rPr>
        <w:sz w:val="28"/>
        <w:szCs w:val="28"/>
      </w:rPr>
      <w:t>DoN #21040109-HS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A8B9F" w14:textId="2BD765A6" w:rsidR="00614A8B" w:rsidRDefault="00614A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D09B6"/>
    <w:multiLevelType w:val="hybridMultilevel"/>
    <w:tmpl w:val="A30EE014"/>
    <w:lvl w:ilvl="0" w:tplc="F3521924">
      <w:start w:val="1"/>
      <w:numFmt w:val="lowerLetter"/>
      <w:lvlText w:val="%1."/>
      <w:lvlJc w:val="left"/>
      <w:pPr>
        <w:ind w:left="1800" w:hanging="360"/>
      </w:pPr>
      <w:rPr>
        <w:rFonts w:hint="default"/>
        <w:b w:val="0"/>
        <w:bCs w:val="0"/>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063EB0"/>
    <w:multiLevelType w:val="hybridMultilevel"/>
    <w:tmpl w:val="ECC0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B3D89"/>
    <w:multiLevelType w:val="hybridMultilevel"/>
    <w:tmpl w:val="84EA870E"/>
    <w:lvl w:ilvl="0" w:tplc="FC921F2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B3468"/>
    <w:multiLevelType w:val="multilevel"/>
    <w:tmpl w:val="51BC1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591A1A"/>
    <w:multiLevelType w:val="hybridMultilevel"/>
    <w:tmpl w:val="A0C4F3D2"/>
    <w:lvl w:ilvl="0" w:tplc="D30068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597582"/>
    <w:multiLevelType w:val="hybridMultilevel"/>
    <w:tmpl w:val="A1722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14542C"/>
    <w:multiLevelType w:val="hybridMultilevel"/>
    <w:tmpl w:val="2D0EFFF4"/>
    <w:lvl w:ilvl="0" w:tplc="D4A4499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20EA3"/>
    <w:multiLevelType w:val="hybridMultilevel"/>
    <w:tmpl w:val="5BF8AE82"/>
    <w:lvl w:ilvl="0" w:tplc="04848AE2">
      <w:start w:val="1"/>
      <w:numFmt w:val="decimal"/>
      <w:lvlText w:val="%1."/>
      <w:lvlJc w:val="left"/>
      <w:pPr>
        <w:ind w:left="720" w:hanging="360"/>
      </w:pPr>
      <w:rPr>
        <w:rFonts w:hint="default"/>
        <w:b w:val="0"/>
        <w:bCs w:val="0"/>
        <w:i w:val="0"/>
        <w:i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B7461"/>
    <w:multiLevelType w:val="hybridMultilevel"/>
    <w:tmpl w:val="E3E0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1B6E65"/>
    <w:multiLevelType w:val="hybridMultilevel"/>
    <w:tmpl w:val="84841B58"/>
    <w:lvl w:ilvl="0" w:tplc="DBF4C40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977E0D"/>
    <w:multiLevelType w:val="hybridMultilevel"/>
    <w:tmpl w:val="065EBAD2"/>
    <w:lvl w:ilvl="0" w:tplc="74567C60">
      <w:start w:val="1"/>
      <w:numFmt w:val="decimal"/>
      <w:lvlText w:val="%1."/>
      <w:lvlJc w:val="left"/>
      <w:pPr>
        <w:ind w:left="4815" w:hanging="44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F7F2A"/>
    <w:multiLevelType w:val="hybridMultilevel"/>
    <w:tmpl w:val="A8AC7BFC"/>
    <w:lvl w:ilvl="0" w:tplc="04E293A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C0586A"/>
    <w:multiLevelType w:val="hybridMultilevel"/>
    <w:tmpl w:val="E522E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6"/>
  </w:num>
  <w:num w:numId="4">
    <w:abstractNumId w:val="1"/>
  </w:num>
  <w:num w:numId="5">
    <w:abstractNumId w:val="13"/>
  </w:num>
  <w:num w:numId="6">
    <w:abstractNumId w:val="8"/>
  </w:num>
  <w:num w:numId="7">
    <w:abstractNumId w:val="2"/>
  </w:num>
  <w:num w:numId="8">
    <w:abstractNumId w:val="0"/>
  </w:num>
  <w:num w:numId="9">
    <w:abstractNumId w:val="7"/>
  </w:num>
  <w:num w:numId="10">
    <w:abstractNumId w:val="12"/>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8"/>
  </w:num>
  <w:num w:numId="15">
    <w:abstractNumId w:val="4"/>
  </w:num>
  <w:num w:numId="16">
    <w:abstractNumId w:val="15"/>
  </w:num>
  <w:num w:numId="17">
    <w:abstractNumId w:val="3"/>
  </w:num>
  <w:num w:numId="18">
    <w:abstractNumId w:val="9"/>
  </w:num>
  <w:num w:numId="19">
    <w:abstractNumId w:val="17"/>
  </w:num>
  <w:num w:numId="20">
    <w:abstractNumId w:val="19"/>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Info" w:val="F"/>
  </w:docVars>
  <w:rsids>
    <w:rsidRoot w:val="00A15C5C"/>
    <w:rsid w:val="000037BD"/>
    <w:rsid w:val="00005930"/>
    <w:rsid w:val="00012279"/>
    <w:rsid w:val="00021A01"/>
    <w:rsid w:val="00025521"/>
    <w:rsid w:val="00026000"/>
    <w:rsid w:val="00032FF5"/>
    <w:rsid w:val="0004645C"/>
    <w:rsid w:val="00054FF4"/>
    <w:rsid w:val="00060237"/>
    <w:rsid w:val="000617C5"/>
    <w:rsid w:val="00064206"/>
    <w:rsid w:val="00073DC9"/>
    <w:rsid w:val="00074092"/>
    <w:rsid w:val="0007643E"/>
    <w:rsid w:val="00076CB2"/>
    <w:rsid w:val="00077FA0"/>
    <w:rsid w:val="00081F80"/>
    <w:rsid w:val="0008493D"/>
    <w:rsid w:val="000862E1"/>
    <w:rsid w:val="00087159"/>
    <w:rsid w:val="000A0EBA"/>
    <w:rsid w:val="000B0898"/>
    <w:rsid w:val="000B1D01"/>
    <w:rsid w:val="000D1E28"/>
    <w:rsid w:val="000D6AFA"/>
    <w:rsid w:val="000E2F30"/>
    <w:rsid w:val="000F5CC4"/>
    <w:rsid w:val="00103D03"/>
    <w:rsid w:val="00104288"/>
    <w:rsid w:val="001064D8"/>
    <w:rsid w:val="00106686"/>
    <w:rsid w:val="00106C02"/>
    <w:rsid w:val="00106D23"/>
    <w:rsid w:val="00112F3B"/>
    <w:rsid w:val="0012232D"/>
    <w:rsid w:val="00122B38"/>
    <w:rsid w:val="001231A0"/>
    <w:rsid w:val="001239CF"/>
    <w:rsid w:val="00123EE2"/>
    <w:rsid w:val="00127181"/>
    <w:rsid w:val="00133672"/>
    <w:rsid w:val="00140B0A"/>
    <w:rsid w:val="00153B4E"/>
    <w:rsid w:val="00154A10"/>
    <w:rsid w:val="001703B0"/>
    <w:rsid w:val="00171749"/>
    <w:rsid w:val="00176547"/>
    <w:rsid w:val="00176C56"/>
    <w:rsid w:val="00191DAC"/>
    <w:rsid w:val="00192CFC"/>
    <w:rsid w:val="001B3A91"/>
    <w:rsid w:val="001B4CB1"/>
    <w:rsid w:val="001C2783"/>
    <w:rsid w:val="001C3753"/>
    <w:rsid w:val="001C5BF3"/>
    <w:rsid w:val="001D01BF"/>
    <w:rsid w:val="001D1521"/>
    <w:rsid w:val="001D1E11"/>
    <w:rsid w:val="001D40DC"/>
    <w:rsid w:val="001E21D7"/>
    <w:rsid w:val="001E32E8"/>
    <w:rsid w:val="001F27B7"/>
    <w:rsid w:val="001F667D"/>
    <w:rsid w:val="002037DF"/>
    <w:rsid w:val="00204B7D"/>
    <w:rsid w:val="00205120"/>
    <w:rsid w:val="00224718"/>
    <w:rsid w:val="00224D1A"/>
    <w:rsid w:val="002257E2"/>
    <w:rsid w:val="00226A63"/>
    <w:rsid w:val="002278BC"/>
    <w:rsid w:val="00227BD5"/>
    <w:rsid w:val="00231103"/>
    <w:rsid w:val="002348AA"/>
    <w:rsid w:val="002364A1"/>
    <w:rsid w:val="0024160E"/>
    <w:rsid w:val="00242743"/>
    <w:rsid w:val="00245E72"/>
    <w:rsid w:val="0025349C"/>
    <w:rsid w:val="00254953"/>
    <w:rsid w:val="002643AF"/>
    <w:rsid w:val="00273243"/>
    <w:rsid w:val="00273791"/>
    <w:rsid w:val="0027783A"/>
    <w:rsid w:val="00286E76"/>
    <w:rsid w:val="00293974"/>
    <w:rsid w:val="00293AEC"/>
    <w:rsid w:val="002A1E2B"/>
    <w:rsid w:val="002A5E73"/>
    <w:rsid w:val="002B7314"/>
    <w:rsid w:val="002C0BBE"/>
    <w:rsid w:val="002D7991"/>
    <w:rsid w:val="002F349F"/>
    <w:rsid w:val="002F3CDD"/>
    <w:rsid w:val="002F72E4"/>
    <w:rsid w:val="002F7B99"/>
    <w:rsid w:val="003030AA"/>
    <w:rsid w:val="00303EE3"/>
    <w:rsid w:val="00306307"/>
    <w:rsid w:val="00306C36"/>
    <w:rsid w:val="00306F8A"/>
    <w:rsid w:val="003103B0"/>
    <w:rsid w:val="00312A19"/>
    <w:rsid w:val="003134A6"/>
    <w:rsid w:val="00313C34"/>
    <w:rsid w:val="003316C9"/>
    <w:rsid w:val="00331E7E"/>
    <w:rsid w:val="00344707"/>
    <w:rsid w:val="00345F3B"/>
    <w:rsid w:val="00357326"/>
    <w:rsid w:val="00357BA6"/>
    <w:rsid w:val="00361EC0"/>
    <w:rsid w:val="003620FB"/>
    <w:rsid w:val="00366918"/>
    <w:rsid w:val="00366DCC"/>
    <w:rsid w:val="003757B0"/>
    <w:rsid w:val="00380361"/>
    <w:rsid w:val="003813A0"/>
    <w:rsid w:val="00385882"/>
    <w:rsid w:val="0039698B"/>
    <w:rsid w:val="003A4882"/>
    <w:rsid w:val="003B09B5"/>
    <w:rsid w:val="003B47AD"/>
    <w:rsid w:val="003B5953"/>
    <w:rsid w:val="003C38F5"/>
    <w:rsid w:val="003D50D2"/>
    <w:rsid w:val="003E1801"/>
    <w:rsid w:val="003E5576"/>
    <w:rsid w:val="004100A5"/>
    <w:rsid w:val="0042031C"/>
    <w:rsid w:val="00421B81"/>
    <w:rsid w:val="0044156C"/>
    <w:rsid w:val="00441EF6"/>
    <w:rsid w:val="00462263"/>
    <w:rsid w:val="00464ACB"/>
    <w:rsid w:val="00466CA9"/>
    <w:rsid w:val="0046783F"/>
    <w:rsid w:val="004901A5"/>
    <w:rsid w:val="0049738C"/>
    <w:rsid w:val="004A1BB1"/>
    <w:rsid w:val="004A679E"/>
    <w:rsid w:val="004B1577"/>
    <w:rsid w:val="004B1CE6"/>
    <w:rsid w:val="004B582E"/>
    <w:rsid w:val="004B678F"/>
    <w:rsid w:val="004C2AE3"/>
    <w:rsid w:val="004D0BF9"/>
    <w:rsid w:val="004D293C"/>
    <w:rsid w:val="004E166A"/>
    <w:rsid w:val="004E3F6A"/>
    <w:rsid w:val="004F2D9D"/>
    <w:rsid w:val="004F432A"/>
    <w:rsid w:val="004F6BB4"/>
    <w:rsid w:val="0050334F"/>
    <w:rsid w:val="00514ECB"/>
    <w:rsid w:val="00522EE9"/>
    <w:rsid w:val="00527788"/>
    <w:rsid w:val="005301FC"/>
    <w:rsid w:val="00530477"/>
    <w:rsid w:val="005371FC"/>
    <w:rsid w:val="00542AB7"/>
    <w:rsid w:val="005430C8"/>
    <w:rsid w:val="0054339D"/>
    <w:rsid w:val="00554805"/>
    <w:rsid w:val="00554CF4"/>
    <w:rsid w:val="00555A05"/>
    <w:rsid w:val="00561790"/>
    <w:rsid w:val="00561BCC"/>
    <w:rsid w:val="00567D49"/>
    <w:rsid w:val="00571D6C"/>
    <w:rsid w:val="00572EC8"/>
    <w:rsid w:val="00580E2B"/>
    <w:rsid w:val="00586C2E"/>
    <w:rsid w:val="00587600"/>
    <w:rsid w:val="005921B2"/>
    <w:rsid w:val="005941A3"/>
    <w:rsid w:val="005977E8"/>
    <w:rsid w:val="005A2F6B"/>
    <w:rsid w:val="005B1611"/>
    <w:rsid w:val="005B1C4E"/>
    <w:rsid w:val="005B23CB"/>
    <w:rsid w:val="005B4888"/>
    <w:rsid w:val="005B5B36"/>
    <w:rsid w:val="005B6FEC"/>
    <w:rsid w:val="005C0A7F"/>
    <w:rsid w:val="005C0F51"/>
    <w:rsid w:val="005C3423"/>
    <w:rsid w:val="005D16F9"/>
    <w:rsid w:val="005E1AEF"/>
    <w:rsid w:val="005E3B03"/>
    <w:rsid w:val="005F53BF"/>
    <w:rsid w:val="00610F50"/>
    <w:rsid w:val="006126E1"/>
    <w:rsid w:val="00614A8B"/>
    <w:rsid w:val="006169B4"/>
    <w:rsid w:val="00624540"/>
    <w:rsid w:val="00631194"/>
    <w:rsid w:val="00632AEC"/>
    <w:rsid w:val="00636A3D"/>
    <w:rsid w:val="006403D2"/>
    <w:rsid w:val="006403F9"/>
    <w:rsid w:val="00643D57"/>
    <w:rsid w:val="00647BC6"/>
    <w:rsid w:val="0065372D"/>
    <w:rsid w:val="006560F8"/>
    <w:rsid w:val="00662FBE"/>
    <w:rsid w:val="006814E7"/>
    <w:rsid w:val="00687BCB"/>
    <w:rsid w:val="006A1171"/>
    <w:rsid w:val="006A25D2"/>
    <w:rsid w:val="006A3C46"/>
    <w:rsid w:val="006A4910"/>
    <w:rsid w:val="006B0549"/>
    <w:rsid w:val="006B5BEF"/>
    <w:rsid w:val="006B7171"/>
    <w:rsid w:val="006B7C7E"/>
    <w:rsid w:val="006C049C"/>
    <w:rsid w:val="006C552B"/>
    <w:rsid w:val="006D650D"/>
    <w:rsid w:val="006E112C"/>
    <w:rsid w:val="006E279C"/>
    <w:rsid w:val="006F1ECE"/>
    <w:rsid w:val="006F363D"/>
    <w:rsid w:val="006F4EF5"/>
    <w:rsid w:val="00704748"/>
    <w:rsid w:val="0071169F"/>
    <w:rsid w:val="0071402E"/>
    <w:rsid w:val="007230BC"/>
    <w:rsid w:val="00723D7A"/>
    <w:rsid w:val="00723E74"/>
    <w:rsid w:val="00725D33"/>
    <w:rsid w:val="0073404F"/>
    <w:rsid w:val="00734A0C"/>
    <w:rsid w:val="00740B16"/>
    <w:rsid w:val="00742B14"/>
    <w:rsid w:val="00743F50"/>
    <w:rsid w:val="00766005"/>
    <w:rsid w:val="007678D3"/>
    <w:rsid w:val="00771621"/>
    <w:rsid w:val="00775F0C"/>
    <w:rsid w:val="007934F1"/>
    <w:rsid w:val="00795B9D"/>
    <w:rsid w:val="00795E61"/>
    <w:rsid w:val="007B5C83"/>
    <w:rsid w:val="007C1D70"/>
    <w:rsid w:val="007C4AC2"/>
    <w:rsid w:val="007D0921"/>
    <w:rsid w:val="007E0AC9"/>
    <w:rsid w:val="007F21B7"/>
    <w:rsid w:val="007F5301"/>
    <w:rsid w:val="007F5C97"/>
    <w:rsid w:val="007F6589"/>
    <w:rsid w:val="007F6742"/>
    <w:rsid w:val="007F6880"/>
    <w:rsid w:val="00800527"/>
    <w:rsid w:val="00807A49"/>
    <w:rsid w:val="00815464"/>
    <w:rsid w:val="008204D4"/>
    <w:rsid w:val="008217B2"/>
    <w:rsid w:val="0083116D"/>
    <w:rsid w:val="00835493"/>
    <w:rsid w:val="008377CA"/>
    <w:rsid w:val="008443E7"/>
    <w:rsid w:val="00851136"/>
    <w:rsid w:val="0085263D"/>
    <w:rsid w:val="008528AA"/>
    <w:rsid w:val="008576F3"/>
    <w:rsid w:val="0086021D"/>
    <w:rsid w:val="00862AF4"/>
    <w:rsid w:val="00866B6F"/>
    <w:rsid w:val="00876CE8"/>
    <w:rsid w:val="00885A83"/>
    <w:rsid w:val="008902B0"/>
    <w:rsid w:val="008A7920"/>
    <w:rsid w:val="008A7D64"/>
    <w:rsid w:val="008B5206"/>
    <w:rsid w:val="008B5E64"/>
    <w:rsid w:val="008B7459"/>
    <w:rsid w:val="008B7668"/>
    <w:rsid w:val="008C1253"/>
    <w:rsid w:val="008C17FC"/>
    <w:rsid w:val="008C698B"/>
    <w:rsid w:val="008D5182"/>
    <w:rsid w:val="008D5359"/>
    <w:rsid w:val="008E5E48"/>
    <w:rsid w:val="008E7355"/>
    <w:rsid w:val="008F02D3"/>
    <w:rsid w:val="008F060E"/>
    <w:rsid w:val="008F1860"/>
    <w:rsid w:val="00911747"/>
    <w:rsid w:val="00912870"/>
    <w:rsid w:val="00912EF4"/>
    <w:rsid w:val="00914855"/>
    <w:rsid w:val="00915B1B"/>
    <w:rsid w:val="0091602B"/>
    <w:rsid w:val="009178DF"/>
    <w:rsid w:val="009317D3"/>
    <w:rsid w:val="00935EA0"/>
    <w:rsid w:val="0093616A"/>
    <w:rsid w:val="009366A5"/>
    <w:rsid w:val="00937C51"/>
    <w:rsid w:val="00937DF4"/>
    <w:rsid w:val="00940929"/>
    <w:rsid w:val="0094528E"/>
    <w:rsid w:val="00951254"/>
    <w:rsid w:val="009532CC"/>
    <w:rsid w:val="0096525D"/>
    <w:rsid w:val="00976F19"/>
    <w:rsid w:val="009910CE"/>
    <w:rsid w:val="00995846"/>
    <w:rsid w:val="009A0C28"/>
    <w:rsid w:val="009B122A"/>
    <w:rsid w:val="009B6195"/>
    <w:rsid w:val="009C2396"/>
    <w:rsid w:val="009C2AFC"/>
    <w:rsid w:val="009C2F96"/>
    <w:rsid w:val="009E192D"/>
    <w:rsid w:val="009E2663"/>
    <w:rsid w:val="009E2754"/>
    <w:rsid w:val="009E4116"/>
    <w:rsid w:val="009F3886"/>
    <w:rsid w:val="00A00C3F"/>
    <w:rsid w:val="00A05AE5"/>
    <w:rsid w:val="00A07156"/>
    <w:rsid w:val="00A1241F"/>
    <w:rsid w:val="00A15C5C"/>
    <w:rsid w:val="00A27C1B"/>
    <w:rsid w:val="00A44911"/>
    <w:rsid w:val="00A52BF6"/>
    <w:rsid w:val="00A56E20"/>
    <w:rsid w:val="00A603FC"/>
    <w:rsid w:val="00A628AF"/>
    <w:rsid w:val="00A63B34"/>
    <w:rsid w:val="00A80618"/>
    <w:rsid w:val="00A82823"/>
    <w:rsid w:val="00A83C91"/>
    <w:rsid w:val="00A84E87"/>
    <w:rsid w:val="00A905B5"/>
    <w:rsid w:val="00A9164D"/>
    <w:rsid w:val="00A91DB7"/>
    <w:rsid w:val="00A97218"/>
    <w:rsid w:val="00AA3ABF"/>
    <w:rsid w:val="00AB52CC"/>
    <w:rsid w:val="00AB56AA"/>
    <w:rsid w:val="00AB61DC"/>
    <w:rsid w:val="00AC014E"/>
    <w:rsid w:val="00AD2C45"/>
    <w:rsid w:val="00AD75EC"/>
    <w:rsid w:val="00AD7A33"/>
    <w:rsid w:val="00AE1F14"/>
    <w:rsid w:val="00AE2E70"/>
    <w:rsid w:val="00AE2FFA"/>
    <w:rsid w:val="00AE73A0"/>
    <w:rsid w:val="00AE7CBF"/>
    <w:rsid w:val="00AF01F5"/>
    <w:rsid w:val="00AF3336"/>
    <w:rsid w:val="00B04766"/>
    <w:rsid w:val="00B10DB9"/>
    <w:rsid w:val="00B116B9"/>
    <w:rsid w:val="00B15D82"/>
    <w:rsid w:val="00B2237D"/>
    <w:rsid w:val="00B34BE7"/>
    <w:rsid w:val="00B40B64"/>
    <w:rsid w:val="00B42E43"/>
    <w:rsid w:val="00B440D9"/>
    <w:rsid w:val="00B47C7E"/>
    <w:rsid w:val="00B54EAC"/>
    <w:rsid w:val="00B6225A"/>
    <w:rsid w:val="00B6303E"/>
    <w:rsid w:val="00B832E8"/>
    <w:rsid w:val="00B851A8"/>
    <w:rsid w:val="00BA1F76"/>
    <w:rsid w:val="00BA2559"/>
    <w:rsid w:val="00BB0119"/>
    <w:rsid w:val="00BB0F4E"/>
    <w:rsid w:val="00BB564A"/>
    <w:rsid w:val="00BC4163"/>
    <w:rsid w:val="00BC6439"/>
    <w:rsid w:val="00BD2346"/>
    <w:rsid w:val="00BD3B34"/>
    <w:rsid w:val="00BD45C3"/>
    <w:rsid w:val="00BD5D70"/>
    <w:rsid w:val="00BE115B"/>
    <w:rsid w:val="00BE67C3"/>
    <w:rsid w:val="00BF349C"/>
    <w:rsid w:val="00BF3815"/>
    <w:rsid w:val="00C10C9E"/>
    <w:rsid w:val="00C21D7E"/>
    <w:rsid w:val="00C36F88"/>
    <w:rsid w:val="00C42388"/>
    <w:rsid w:val="00C468E0"/>
    <w:rsid w:val="00C4763D"/>
    <w:rsid w:val="00C50F53"/>
    <w:rsid w:val="00C5224B"/>
    <w:rsid w:val="00C74D70"/>
    <w:rsid w:val="00C765AC"/>
    <w:rsid w:val="00C77040"/>
    <w:rsid w:val="00C8137B"/>
    <w:rsid w:val="00C8665D"/>
    <w:rsid w:val="00C97766"/>
    <w:rsid w:val="00C97D5C"/>
    <w:rsid w:val="00CA1841"/>
    <w:rsid w:val="00CA2BF4"/>
    <w:rsid w:val="00CA6DF5"/>
    <w:rsid w:val="00CB32E3"/>
    <w:rsid w:val="00CC4C68"/>
    <w:rsid w:val="00CC71D1"/>
    <w:rsid w:val="00CD27F9"/>
    <w:rsid w:val="00CD4AEC"/>
    <w:rsid w:val="00CE424C"/>
    <w:rsid w:val="00CE6956"/>
    <w:rsid w:val="00CF0F40"/>
    <w:rsid w:val="00CF232E"/>
    <w:rsid w:val="00CF2AD9"/>
    <w:rsid w:val="00CF3097"/>
    <w:rsid w:val="00CF4A87"/>
    <w:rsid w:val="00CF783F"/>
    <w:rsid w:val="00CF78B4"/>
    <w:rsid w:val="00D02802"/>
    <w:rsid w:val="00D03248"/>
    <w:rsid w:val="00D04D06"/>
    <w:rsid w:val="00D054A2"/>
    <w:rsid w:val="00D11BF8"/>
    <w:rsid w:val="00D2065E"/>
    <w:rsid w:val="00D223EB"/>
    <w:rsid w:val="00D2360E"/>
    <w:rsid w:val="00D279F2"/>
    <w:rsid w:val="00D47016"/>
    <w:rsid w:val="00D529AA"/>
    <w:rsid w:val="00D53EA8"/>
    <w:rsid w:val="00D54105"/>
    <w:rsid w:val="00D572A6"/>
    <w:rsid w:val="00D6142C"/>
    <w:rsid w:val="00D63B4A"/>
    <w:rsid w:val="00D721E7"/>
    <w:rsid w:val="00D75C50"/>
    <w:rsid w:val="00D80EC9"/>
    <w:rsid w:val="00D851C5"/>
    <w:rsid w:val="00D866CA"/>
    <w:rsid w:val="00D93BBE"/>
    <w:rsid w:val="00D97D5B"/>
    <w:rsid w:val="00DA1E15"/>
    <w:rsid w:val="00DA4C32"/>
    <w:rsid w:val="00DB685D"/>
    <w:rsid w:val="00DC16F8"/>
    <w:rsid w:val="00DC3F91"/>
    <w:rsid w:val="00DC4AA1"/>
    <w:rsid w:val="00DC6B0A"/>
    <w:rsid w:val="00DD5D64"/>
    <w:rsid w:val="00DE7675"/>
    <w:rsid w:val="00DF07AB"/>
    <w:rsid w:val="00DF2366"/>
    <w:rsid w:val="00DF584A"/>
    <w:rsid w:val="00E12353"/>
    <w:rsid w:val="00E15512"/>
    <w:rsid w:val="00E26A01"/>
    <w:rsid w:val="00E33041"/>
    <w:rsid w:val="00E375B1"/>
    <w:rsid w:val="00E413BA"/>
    <w:rsid w:val="00E47D94"/>
    <w:rsid w:val="00E54D9E"/>
    <w:rsid w:val="00E5594A"/>
    <w:rsid w:val="00E56B19"/>
    <w:rsid w:val="00E61DF7"/>
    <w:rsid w:val="00E671B9"/>
    <w:rsid w:val="00E73075"/>
    <w:rsid w:val="00E86ACC"/>
    <w:rsid w:val="00E91C77"/>
    <w:rsid w:val="00E92289"/>
    <w:rsid w:val="00E92D51"/>
    <w:rsid w:val="00E932CC"/>
    <w:rsid w:val="00E95536"/>
    <w:rsid w:val="00E973AC"/>
    <w:rsid w:val="00EA0562"/>
    <w:rsid w:val="00EA4F56"/>
    <w:rsid w:val="00EA5557"/>
    <w:rsid w:val="00EA5971"/>
    <w:rsid w:val="00EA5FD5"/>
    <w:rsid w:val="00EB1232"/>
    <w:rsid w:val="00EB63FE"/>
    <w:rsid w:val="00EC09E2"/>
    <w:rsid w:val="00EC338C"/>
    <w:rsid w:val="00EC5E60"/>
    <w:rsid w:val="00EC7F18"/>
    <w:rsid w:val="00EE12E0"/>
    <w:rsid w:val="00EF43C6"/>
    <w:rsid w:val="00EF6D33"/>
    <w:rsid w:val="00F055F8"/>
    <w:rsid w:val="00F065A1"/>
    <w:rsid w:val="00F2425E"/>
    <w:rsid w:val="00F2668C"/>
    <w:rsid w:val="00F273E5"/>
    <w:rsid w:val="00F35DC5"/>
    <w:rsid w:val="00F35F7B"/>
    <w:rsid w:val="00F37114"/>
    <w:rsid w:val="00F375AE"/>
    <w:rsid w:val="00F44B4A"/>
    <w:rsid w:val="00F47B0E"/>
    <w:rsid w:val="00F504ED"/>
    <w:rsid w:val="00F648BC"/>
    <w:rsid w:val="00F76C99"/>
    <w:rsid w:val="00F819B6"/>
    <w:rsid w:val="00F8212F"/>
    <w:rsid w:val="00F9073C"/>
    <w:rsid w:val="00F92E57"/>
    <w:rsid w:val="00F956B0"/>
    <w:rsid w:val="00F96297"/>
    <w:rsid w:val="00FA2790"/>
    <w:rsid w:val="00FA59CA"/>
    <w:rsid w:val="00FA5F90"/>
    <w:rsid w:val="00FB3938"/>
    <w:rsid w:val="00FB5624"/>
    <w:rsid w:val="00FC3E50"/>
    <w:rsid w:val="00FD1088"/>
    <w:rsid w:val="00FD1CC4"/>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1842"/>
  <w15:docId w15:val="{61F6B275-2222-4F94-9EB3-AA1062AD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5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Caption">
    <w:name w:val="caption"/>
    <w:basedOn w:val="Normal"/>
    <w:next w:val="Normal"/>
    <w:uiPriority w:val="35"/>
    <w:unhideWhenUsed/>
    <w:qFormat/>
    <w:rsid w:val="009C2AFC"/>
    <w:pPr>
      <w:spacing w:after="200" w:line="240" w:lineRule="auto"/>
    </w:pPr>
    <w:rPr>
      <w:i/>
      <w:iCs/>
      <w:color w:val="44546A" w:themeColor="text2"/>
      <w:sz w:val="18"/>
      <w:szCs w:val="18"/>
    </w:rPr>
  </w:style>
  <w:style w:type="table" w:customStyle="1" w:styleId="TableGrid1">
    <w:name w:val="Table Grid1"/>
    <w:basedOn w:val="TableNormal"/>
    <w:next w:val="TableGrid"/>
    <w:uiPriority w:val="59"/>
    <w:rsid w:val="005B16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2348AA"/>
    <w:pPr>
      <w:spacing w:after="0" w:line="240" w:lineRule="auto"/>
    </w:pPr>
    <w:rPr>
      <w:rFonts w:ascii="Calibri" w:hAnsi="Calibri" w:cs="Calibri"/>
    </w:rPr>
  </w:style>
  <w:style w:type="paragraph" w:customStyle="1" w:styleId="DocID">
    <w:name w:val="DocID"/>
    <w:basedOn w:val="Normal"/>
    <w:next w:val="Footer"/>
    <w:link w:val="DocIDChar"/>
    <w:rsid w:val="002348AA"/>
    <w:pPr>
      <w:spacing w:after="0" w:line="240" w:lineRule="auto"/>
    </w:pPr>
    <w:rPr>
      <w:rFonts w:ascii="Arial" w:hAnsi="Arial" w:cs="Arial"/>
      <w:bCs/>
      <w:color w:val="000000"/>
      <w:sz w:val="16"/>
    </w:rPr>
  </w:style>
  <w:style w:type="character" w:customStyle="1" w:styleId="DocIDChar">
    <w:name w:val="DocID Char"/>
    <w:basedOn w:val="DefaultParagraphFont"/>
    <w:link w:val="DocID"/>
    <w:rsid w:val="002348AA"/>
    <w:rPr>
      <w:rFonts w:ascii="Arial" w:hAnsi="Arial" w:cs="Arial"/>
      <w:bC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1813">
      <w:bodyDiv w:val="1"/>
      <w:marLeft w:val="0"/>
      <w:marRight w:val="0"/>
      <w:marTop w:val="0"/>
      <w:marBottom w:val="0"/>
      <w:divBdr>
        <w:top w:val="none" w:sz="0" w:space="0" w:color="auto"/>
        <w:left w:val="none" w:sz="0" w:space="0" w:color="auto"/>
        <w:bottom w:val="none" w:sz="0" w:space="0" w:color="auto"/>
        <w:right w:val="none" w:sz="0" w:space="0" w:color="auto"/>
      </w:divBdr>
    </w:div>
    <w:div w:id="1456874915">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20818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633CE-DD71-4D0F-964D-DF9047E14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Cioffari-Macphee, Diana (DPH)</cp:lastModifiedBy>
  <cp:revision>6</cp:revision>
  <dcterms:created xsi:type="dcterms:W3CDTF">2021-08-30T15:29:00Z</dcterms:created>
  <dcterms:modified xsi:type="dcterms:W3CDTF">2021-09-07T20:16:00Z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1|.|2|</vt:lpwstr>
  </property>
  <property fmtid="{D5CDD505-2E9C-101B-9397-08002B2CF9AE}" pid="3" name="DocID">
    <vt:lpwstr>810672.1</vt:lpwstr>
  </property>
  <property fmtid="{D5CDD505-2E9C-101B-9397-08002B2CF9AE}" pid="4" name="_MarkAsFinal">
    <vt:bool>true</vt:bool>
  </property>
</Properties>
</file>