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E0195" w14:textId="77777777" w:rsidR="00D223EB" w:rsidRPr="00FC6A16" w:rsidRDefault="00D223EB" w:rsidP="00D223EB">
      <w:pPr>
        <w:jc w:val="center"/>
        <w:rPr>
          <w:b/>
          <w:bCs/>
        </w:rPr>
      </w:pPr>
    </w:p>
    <w:p w14:paraId="1E6A601F" w14:textId="1629B7AC" w:rsidR="00D223EB" w:rsidRPr="00FC6A16" w:rsidRDefault="00CD6122" w:rsidP="00D223EB">
      <w:pPr>
        <w:jc w:val="center"/>
        <w:rPr>
          <w:rFonts w:cstheme="minorHAnsi"/>
          <w:b/>
          <w:bCs/>
        </w:rPr>
      </w:pPr>
      <w:r w:rsidRPr="00FC6A16">
        <w:rPr>
          <w:rFonts w:cstheme="minorHAnsi"/>
          <w:b/>
          <w:bCs/>
        </w:rPr>
        <w:t>Applicant</w:t>
      </w:r>
      <w:r w:rsidR="00D223EB" w:rsidRPr="00FC6A16">
        <w:rPr>
          <w:rFonts w:cstheme="minorHAnsi"/>
          <w:b/>
          <w:bCs/>
        </w:rPr>
        <w:t xml:space="preserve"> </w:t>
      </w:r>
      <w:r w:rsidR="00160B57" w:rsidRPr="00FC6A16">
        <w:rPr>
          <w:rFonts w:cstheme="minorHAnsi"/>
          <w:b/>
          <w:bCs/>
        </w:rPr>
        <w:t>R</w:t>
      </w:r>
      <w:r w:rsidRPr="00FC6A16">
        <w:rPr>
          <w:rFonts w:cstheme="minorHAnsi"/>
          <w:b/>
          <w:bCs/>
        </w:rPr>
        <w:t>esponses</w:t>
      </w:r>
      <w:r w:rsidR="00160B57" w:rsidRPr="00FC6A16">
        <w:rPr>
          <w:rFonts w:cstheme="minorHAnsi"/>
          <w:b/>
          <w:bCs/>
        </w:rPr>
        <w:t xml:space="preserve"> </w:t>
      </w:r>
    </w:p>
    <w:p w14:paraId="33825C5E" w14:textId="6BD26661" w:rsidR="00160B57" w:rsidRPr="00FC6A16" w:rsidRDefault="00160B57" w:rsidP="00160B57">
      <w:pPr>
        <w:pStyle w:val="ListParagraph"/>
        <w:numPr>
          <w:ilvl w:val="0"/>
          <w:numId w:val="16"/>
        </w:numPr>
        <w:spacing w:after="0" w:line="240" w:lineRule="auto"/>
        <w:rPr>
          <w:rFonts w:eastAsia="Times New Roman" w:cs="Times New Roman"/>
        </w:rPr>
      </w:pPr>
      <w:r w:rsidRPr="00FC6A16">
        <w:rPr>
          <w:rFonts w:eastAsia="Times New Roman" w:cs="Times New Roman"/>
          <w:b/>
          <w:bCs/>
        </w:rPr>
        <w:t xml:space="preserve">Describe the existing system of record sharing for patients referred out of South Shore Health System for an MRI scan. </w:t>
      </w:r>
    </w:p>
    <w:p w14:paraId="15562813" w14:textId="7827AD28" w:rsidR="00160B57" w:rsidRPr="00CE2D5F" w:rsidRDefault="00160B57" w:rsidP="00160B57">
      <w:pPr>
        <w:pStyle w:val="ListParagraph"/>
        <w:numPr>
          <w:ilvl w:val="0"/>
          <w:numId w:val="14"/>
        </w:numPr>
        <w:spacing w:after="0" w:line="240" w:lineRule="auto"/>
        <w:rPr>
          <w:rFonts w:eastAsia="Calibri" w:cs="Times New Roman"/>
        </w:rPr>
      </w:pPr>
      <w:r w:rsidRPr="00FC6A16">
        <w:rPr>
          <w:rFonts w:eastAsia="Calibri" w:cs="Times New Roman"/>
        </w:rPr>
        <w:t>When a patient is referred from SSH to a non-SSHS facility for MR imaging, the referral is coordinated by the Radiology Department with the clinician taking care of the patient.</w:t>
      </w:r>
      <w:r w:rsidRPr="00FC6A16">
        <w:rPr>
          <w:rFonts w:eastAsia="Calibri" w:cs="Times New Roman"/>
          <w:strike/>
        </w:rPr>
        <w:t xml:space="preserve"> </w:t>
      </w:r>
      <w:r w:rsidRPr="00FC6A16">
        <w:rPr>
          <w:rFonts w:eastAsia="Calibri" w:cs="Times New Roman"/>
        </w:rPr>
        <w:t xml:space="preserve">Additionally, the Radiology Department coordinates the transfer and receipt of the images and any reports. Images acquired at the outside facility are obtained by SSHS via CD, which includes the imaging result. The outside images and reports are uploaded in to the patient’s SSHS chart. If an outside facility needs prior imaging performed at SSHS for comparison purposes, SSHS </w:t>
      </w:r>
      <w:proofErr w:type="gramStart"/>
      <w:r w:rsidRPr="00FC6A16">
        <w:rPr>
          <w:rFonts w:eastAsia="Calibri" w:cs="Times New Roman"/>
        </w:rPr>
        <w:t>has the ability to</w:t>
      </w:r>
      <w:proofErr w:type="gramEnd"/>
      <w:r w:rsidRPr="00FC6A16">
        <w:rPr>
          <w:rFonts w:eastAsia="Calibri" w:cs="Times New Roman"/>
        </w:rPr>
        <w:t xml:space="preserve"> send images and reports electronically to the requestor via CD.  </w:t>
      </w:r>
    </w:p>
    <w:p w14:paraId="477F41CA" w14:textId="18C9EB57" w:rsidR="00160B57" w:rsidRPr="00FC6A16" w:rsidRDefault="00160B57" w:rsidP="00160B57">
      <w:pPr>
        <w:pStyle w:val="ListParagraph"/>
        <w:numPr>
          <w:ilvl w:val="0"/>
          <w:numId w:val="14"/>
        </w:numPr>
        <w:spacing w:after="0" w:line="240" w:lineRule="auto"/>
        <w:rPr>
          <w:rFonts w:eastAsia="Calibri" w:cs="Times New Roman"/>
        </w:rPr>
      </w:pPr>
      <w:r w:rsidRPr="00FC6A16">
        <w:rPr>
          <w:rFonts w:eastAsia="Calibri" w:cs="Times New Roman"/>
        </w:rPr>
        <w:t xml:space="preserve">In some circumstances, inpatients may be transported to an outside facility for imaging but remain admitted at South Shore Hospital. This process would be coordinated by Radiology, the patient’s care team, and Emergency Medical Services. The Radiology Department will coordinate the receipt of all imaging performed by the outside facility. </w:t>
      </w:r>
    </w:p>
    <w:p w14:paraId="1E57BC54" w14:textId="77777777" w:rsidR="00222465" w:rsidRPr="00FC6A16" w:rsidRDefault="00222465" w:rsidP="00222465">
      <w:pPr>
        <w:rPr>
          <w:rFonts w:cstheme="minorHAnsi"/>
          <w:b/>
          <w:bCs/>
        </w:rPr>
      </w:pPr>
    </w:p>
    <w:p w14:paraId="62AE2EB5" w14:textId="53A674C7" w:rsidR="00160B57" w:rsidRPr="00FC6A16" w:rsidRDefault="00160B57" w:rsidP="00160B57">
      <w:pPr>
        <w:pStyle w:val="ListParagraph"/>
        <w:numPr>
          <w:ilvl w:val="0"/>
          <w:numId w:val="16"/>
        </w:numPr>
        <w:spacing w:after="0" w:line="252" w:lineRule="auto"/>
        <w:rPr>
          <w:rFonts w:eastAsia="Times New Roman" w:cs="Times New Roman"/>
          <w:color w:val="000000"/>
        </w:rPr>
      </w:pPr>
      <w:r w:rsidRPr="00FC6A16">
        <w:rPr>
          <w:rFonts w:eastAsia="Times New Roman" w:cs="Times New Roman"/>
          <w:b/>
          <w:bCs/>
          <w:color w:val="000000"/>
        </w:rPr>
        <w:t xml:space="preserve">Race/ethnicity data for South Shore Health System and South Shore Health System MRI patients contain the category “Other” (pgs. 4 and 5). Provide a definition of this category. </w:t>
      </w:r>
    </w:p>
    <w:p w14:paraId="4D03A421" w14:textId="736EFD54" w:rsidR="00160B57" w:rsidRPr="00FC6A16" w:rsidRDefault="00160B57" w:rsidP="00160B57">
      <w:pPr>
        <w:pStyle w:val="ListParagraph"/>
        <w:numPr>
          <w:ilvl w:val="0"/>
          <w:numId w:val="15"/>
        </w:numPr>
        <w:shd w:val="clear" w:color="auto" w:fill="FFFFFF" w:themeFill="background1"/>
        <w:spacing w:line="252" w:lineRule="auto"/>
        <w:rPr>
          <w:rFonts w:eastAsia="Calibri" w:cs="Times New Roman"/>
          <w:color w:val="000000"/>
        </w:rPr>
      </w:pPr>
      <w:r w:rsidRPr="00FC6A16">
        <w:rPr>
          <w:rFonts w:eastAsia="Times New Roman" w:cs="Times New Roman"/>
          <w:color w:val="000000"/>
        </w:rPr>
        <w:t xml:space="preserve">The Race/ethnicity categorized as “Other” is identified by our patients. For Race, the system used by South Shore Health System (“SSHS”) has the following options to select: American Indian or Alaska Native, Asian, Black or African American, Decline to Answer, Native Hawaiian or </w:t>
      </w:r>
      <w:proofErr w:type="gramStart"/>
      <w:r w:rsidRPr="00FC6A16">
        <w:rPr>
          <w:rFonts w:eastAsia="Times New Roman" w:cs="Times New Roman"/>
          <w:color w:val="000000"/>
        </w:rPr>
        <w:t>Other</w:t>
      </w:r>
      <w:proofErr w:type="gramEnd"/>
      <w:r w:rsidRPr="00FC6A16">
        <w:rPr>
          <w:rFonts w:eastAsia="Times New Roman" w:cs="Times New Roman"/>
          <w:color w:val="000000"/>
        </w:rPr>
        <w:t xml:space="preserve"> Pacific Islander, Other, Unknown, White Caucasian.  If the patient does not fit the above options, “Other” is typically used.  </w:t>
      </w:r>
      <w:r w:rsidRPr="00FC6A16">
        <w:rPr>
          <w:rFonts w:eastAsia="Times New Roman" w:cs="Times New Roman"/>
          <w:color w:val="000000"/>
          <w:shd w:val="clear" w:color="auto" w:fill="FFFF00"/>
        </w:rPr>
        <w:t>“Other” is not broken out in SSHS’s medical record system.</w:t>
      </w:r>
      <w:r w:rsidRPr="00FC6A16">
        <w:rPr>
          <w:rFonts w:eastAsia="Times New Roman" w:cs="Times New Roman"/>
          <w:color w:val="000000"/>
        </w:rPr>
        <w:t xml:space="preserve"> </w:t>
      </w:r>
    </w:p>
    <w:p w14:paraId="1FBC74A9" w14:textId="77777777" w:rsidR="00160B57" w:rsidRPr="00FC6A16" w:rsidRDefault="00160B57" w:rsidP="00160B57">
      <w:pPr>
        <w:pStyle w:val="ListParagraph"/>
        <w:numPr>
          <w:ilvl w:val="0"/>
          <w:numId w:val="15"/>
        </w:numPr>
        <w:shd w:val="clear" w:color="auto" w:fill="FFFFFF" w:themeFill="background1"/>
        <w:spacing w:after="0" w:line="240" w:lineRule="auto"/>
        <w:rPr>
          <w:rFonts w:eastAsia="Calibri" w:cs="Times New Roman"/>
          <w:color w:val="000000"/>
        </w:rPr>
      </w:pPr>
      <w:r w:rsidRPr="00FC6A16">
        <w:rPr>
          <w:rFonts w:eastAsia="Calibri" w:cs="Times New Roman"/>
          <w:color w:val="000000"/>
        </w:rPr>
        <w:t xml:space="preserve">For Ethnicity, SSH provides numerous options; however, “Other” is not an option.  Images of the </w:t>
      </w:r>
      <w:r w:rsidRPr="00FC6A16">
        <w:rPr>
          <w:rFonts w:eastAsia="Calibri" w:cs="Times New Roman"/>
          <w:color w:val="000000"/>
          <w:shd w:val="clear" w:color="auto" w:fill="FFFF00"/>
        </w:rPr>
        <w:t>SSHS medical record system</w:t>
      </w:r>
      <w:r w:rsidRPr="00FC6A16">
        <w:rPr>
          <w:rFonts w:eastAsia="Calibri" w:cs="Times New Roman"/>
          <w:color w:val="000000"/>
        </w:rPr>
        <w:t xml:space="preserve"> are below for reference (Figure 1).</w:t>
      </w:r>
    </w:p>
    <w:p w14:paraId="26EDB634" w14:textId="77777777" w:rsidR="00160B57" w:rsidRPr="00FC6A16" w:rsidRDefault="00160B57" w:rsidP="00222465">
      <w:pPr>
        <w:rPr>
          <w:rFonts w:cstheme="minorHAnsi"/>
          <w:b/>
          <w:bCs/>
        </w:rPr>
      </w:pPr>
    </w:p>
    <w:p w14:paraId="364456CA" w14:textId="0A560781" w:rsidR="00104A04" w:rsidRPr="005D77D5" w:rsidRDefault="007D67FF" w:rsidP="007D67FF">
      <w:pPr>
        <w:pStyle w:val="ListParagraph"/>
        <w:numPr>
          <w:ilvl w:val="0"/>
          <w:numId w:val="16"/>
        </w:numPr>
        <w:rPr>
          <w:rFonts w:cstheme="minorHAnsi"/>
          <w:b/>
          <w:bCs/>
        </w:rPr>
      </w:pPr>
      <w:r w:rsidRPr="005D77D5">
        <w:rPr>
          <w:rFonts w:cstheme="minorHAnsi"/>
          <w:b/>
          <w:bCs/>
        </w:rPr>
        <w:t>Please confirm the full name and location of the two SSH outpatient satellites.</w:t>
      </w:r>
    </w:p>
    <w:p w14:paraId="2363D46E" w14:textId="77777777" w:rsidR="00A0160C" w:rsidRPr="00FC6A16" w:rsidRDefault="00A0160C" w:rsidP="00104A04">
      <w:pPr>
        <w:pStyle w:val="ListParagraph"/>
        <w:rPr>
          <w:rFonts w:cstheme="minorHAnsi"/>
          <w:b/>
          <w:bCs/>
        </w:rPr>
      </w:pPr>
      <w:r w:rsidRPr="00FC6A16">
        <w:rPr>
          <w:rFonts w:eastAsia="Calibri" w:cs="Times New Roman"/>
        </w:rPr>
        <w:t xml:space="preserve">Information for the two outpatient satellites is noted below. </w:t>
      </w:r>
    </w:p>
    <w:p w14:paraId="5EED69ED" w14:textId="77777777" w:rsidR="00A0160C" w:rsidRPr="00FC6A16" w:rsidRDefault="00A0160C" w:rsidP="00274E7B">
      <w:pPr>
        <w:pStyle w:val="ListParagraph"/>
        <w:numPr>
          <w:ilvl w:val="0"/>
          <w:numId w:val="17"/>
        </w:numPr>
        <w:ind w:left="1080"/>
        <w:rPr>
          <w:rFonts w:eastAsia="Calibri" w:cs="Times New Roman"/>
        </w:rPr>
      </w:pPr>
      <w:r w:rsidRPr="00FC6A16">
        <w:rPr>
          <w:rFonts w:eastAsia="Calibri" w:cs="Times New Roman"/>
        </w:rPr>
        <w:t>South Shore Hospital Breast Care Center/Multispecialty Care; 101 Columbian Street, Suites 101, 101A and 201, South Weymouth, MA 02190</w:t>
      </w:r>
    </w:p>
    <w:p w14:paraId="7720B044" w14:textId="5505985D" w:rsidR="00160B57" w:rsidRPr="00FC6A16" w:rsidRDefault="00A0160C" w:rsidP="00274E7B">
      <w:pPr>
        <w:pStyle w:val="ListParagraph"/>
        <w:numPr>
          <w:ilvl w:val="0"/>
          <w:numId w:val="17"/>
        </w:numPr>
        <w:ind w:left="1080"/>
        <w:rPr>
          <w:rFonts w:eastAsia="Calibri" w:cs="Times New Roman"/>
        </w:rPr>
      </w:pPr>
      <w:r w:rsidRPr="00FC6A16">
        <w:rPr>
          <w:rFonts w:eastAsia="Calibri" w:cs="Times New Roman"/>
        </w:rPr>
        <w:t>Center for Orthopedics, Spine, and Sports Medicine, 2 Pond Park Road, Hingham, MA 02190</w:t>
      </w:r>
    </w:p>
    <w:p w14:paraId="52B31DDF" w14:textId="77777777" w:rsidR="00A0160C" w:rsidRPr="00FC6A16" w:rsidRDefault="00A0160C" w:rsidP="00A0160C">
      <w:pPr>
        <w:pStyle w:val="ListParagraph"/>
        <w:rPr>
          <w:rFonts w:cstheme="minorHAnsi"/>
          <w:b/>
          <w:bCs/>
        </w:rPr>
      </w:pPr>
    </w:p>
    <w:p w14:paraId="0059F9D9" w14:textId="370115F4" w:rsidR="00274E7B" w:rsidRPr="005D77D5" w:rsidRDefault="00274E7B" w:rsidP="00274E7B">
      <w:pPr>
        <w:pStyle w:val="ListParagraph"/>
        <w:numPr>
          <w:ilvl w:val="0"/>
          <w:numId w:val="16"/>
        </w:numPr>
        <w:spacing w:after="0" w:line="240" w:lineRule="auto"/>
        <w:rPr>
          <w:rFonts w:eastAsia="Calibri" w:cs="Times New Roman"/>
          <w:b/>
        </w:rPr>
      </w:pPr>
      <w:r w:rsidRPr="005D77D5">
        <w:rPr>
          <w:rFonts w:eastAsia="Calibri" w:cs="Times New Roman"/>
          <w:b/>
        </w:rPr>
        <w:t xml:space="preserve">Can you briefly tell me what the Basic Program is as compared to the SNF at </w:t>
      </w:r>
      <w:proofErr w:type="gramStart"/>
      <w:r w:rsidRPr="005D77D5">
        <w:rPr>
          <w:rFonts w:eastAsia="Calibri" w:cs="Times New Roman"/>
          <w:b/>
        </w:rPr>
        <w:t>Home</w:t>
      </w:r>
      <w:proofErr w:type="gramEnd"/>
    </w:p>
    <w:p w14:paraId="46578F70" w14:textId="62E6F2B5" w:rsidR="00160B57" w:rsidRPr="00FC6A16" w:rsidRDefault="00160B57" w:rsidP="00274E7B">
      <w:pPr>
        <w:pStyle w:val="ListParagraph"/>
        <w:numPr>
          <w:ilvl w:val="0"/>
          <w:numId w:val="18"/>
        </w:numPr>
        <w:spacing w:after="0" w:line="240" w:lineRule="auto"/>
        <w:ind w:left="1080"/>
        <w:rPr>
          <w:rFonts w:eastAsia="Calibri" w:cs="Times New Roman"/>
        </w:rPr>
      </w:pPr>
      <w:r w:rsidRPr="00FC6A16">
        <w:rPr>
          <w:rFonts w:eastAsia="Calibri" w:cs="Times New Roman"/>
        </w:rPr>
        <w:t xml:space="preserve">Basic MIH services is frequent touch point and medical care for high utilizing </w:t>
      </w:r>
      <w:proofErr w:type="gramStart"/>
      <w:r w:rsidRPr="00FC6A16">
        <w:rPr>
          <w:rFonts w:eastAsia="Calibri" w:cs="Times New Roman"/>
        </w:rPr>
        <w:t>patients  or</w:t>
      </w:r>
      <w:proofErr w:type="gramEnd"/>
      <w:r w:rsidRPr="00FC6A16">
        <w:rPr>
          <w:rFonts w:eastAsia="Calibri" w:cs="Times New Roman"/>
        </w:rPr>
        <w:t xml:space="preserve"> patients with chronic health conditions that we help manage in the community. Managing </w:t>
      </w:r>
      <w:proofErr w:type="gramStart"/>
      <w:r w:rsidRPr="00FC6A16">
        <w:rPr>
          <w:rFonts w:eastAsia="Calibri" w:cs="Times New Roman"/>
        </w:rPr>
        <w:t>these patient</w:t>
      </w:r>
      <w:proofErr w:type="gramEnd"/>
      <w:r w:rsidRPr="00FC6A16">
        <w:rPr>
          <w:rFonts w:eastAsia="Calibri" w:cs="Times New Roman"/>
        </w:rPr>
        <w:t xml:space="preserve"> in the community creates capacity within the health care system and emergency services.</w:t>
      </w:r>
    </w:p>
    <w:p w14:paraId="6DC9F09D" w14:textId="77777777" w:rsidR="00160B57" w:rsidRPr="00FC6A16" w:rsidRDefault="00160B57" w:rsidP="00160B57">
      <w:pPr>
        <w:spacing w:after="0" w:line="240" w:lineRule="auto"/>
        <w:rPr>
          <w:rFonts w:eastAsia="Calibri" w:cs="Times New Roman"/>
        </w:rPr>
      </w:pPr>
    </w:p>
    <w:p w14:paraId="399A9D20" w14:textId="1C352377" w:rsidR="00104A04" w:rsidRPr="005D77D5" w:rsidRDefault="007D67FF" w:rsidP="007D67FF">
      <w:pPr>
        <w:pStyle w:val="ListParagraph"/>
        <w:numPr>
          <w:ilvl w:val="0"/>
          <w:numId w:val="16"/>
        </w:numPr>
        <w:spacing w:after="0"/>
        <w:rPr>
          <w:rFonts w:eastAsia="Calibri" w:cs="Times New Roman"/>
          <w:b/>
        </w:rPr>
      </w:pPr>
      <w:r w:rsidRPr="005D77D5">
        <w:rPr>
          <w:rFonts w:eastAsia="Calibri" w:cs="Times New Roman"/>
          <w:b/>
        </w:rPr>
        <w:t>What categories are included in "All Other" under payer mix.</w:t>
      </w:r>
    </w:p>
    <w:p w14:paraId="04960AD1" w14:textId="7B8A9C1A" w:rsidR="00160B57" w:rsidRPr="00FC6A16" w:rsidRDefault="00160B57" w:rsidP="00274E7B">
      <w:pPr>
        <w:pStyle w:val="ListParagraph"/>
        <w:numPr>
          <w:ilvl w:val="0"/>
          <w:numId w:val="18"/>
        </w:numPr>
        <w:spacing w:after="0"/>
        <w:ind w:left="1080"/>
        <w:rPr>
          <w:rFonts w:eastAsia="Calibri" w:cs="Times New Roman"/>
        </w:rPr>
      </w:pPr>
      <w:r w:rsidRPr="00FC6A16">
        <w:rPr>
          <w:rFonts w:eastAsia="Calibri" w:cs="Times New Roman"/>
        </w:rPr>
        <w:t>“All Other” include Worker’s Comp and Auto/Motor Vehicle Accident insurance</w:t>
      </w:r>
    </w:p>
    <w:p w14:paraId="19387BAF" w14:textId="77777777" w:rsidR="00160B57" w:rsidRPr="00FC6A16" w:rsidRDefault="00160B57" w:rsidP="00160B57">
      <w:pPr>
        <w:spacing w:after="0" w:line="240" w:lineRule="auto"/>
        <w:rPr>
          <w:rFonts w:eastAsia="Calibri" w:cs="Times New Roman"/>
        </w:rPr>
      </w:pPr>
    </w:p>
    <w:p w14:paraId="799FA50A" w14:textId="2B467CED" w:rsidR="00785253" w:rsidRPr="005D77D5" w:rsidRDefault="00785253" w:rsidP="00160B57">
      <w:pPr>
        <w:pStyle w:val="ListParagraph"/>
        <w:numPr>
          <w:ilvl w:val="0"/>
          <w:numId w:val="16"/>
        </w:numPr>
        <w:spacing w:after="0" w:line="240" w:lineRule="auto"/>
        <w:rPr>
          <w:rFonts w:eastAsia="Calibri" w:cs="Times New Roman"/>
          <w:b/>
        </w:rPr>
      </w:pPr>
      <w:r w:rsidRPr="005D77D5">
        <w:rPr>
          <w:rFonts w:eastAsia="Calibri" w:cs="Times New Roman"/>
          <w:b/>
        </w:rPr>
        <w:t>Please clarify the age of the existing MRI unit. </w:t>
      </w:r>
    </w:p>
    <w:p w14:paraId="65376A56" w14:textId="7C25EBD1" w:rsidR="00785253" w:rsidRPr="00FC6A16" w:rsidRDefault="00785253" w:rsidP="00274E7B">
      <w:pPr>
        <w:pStyle w:val="ListParagraph"/>
        <w:numPr>
          <w:ilvl w:val="0"/>
          <w:numId w:val="18"/>
        </w:numPr>
        <w:ind w:left="1080"/>
        <w:rPr>
          <w:rFonts w:eastAsia="Calibri" w:cs="Times New Roman"/>
        </w:rPr>
      </w:pPr>
      <w:r w:rsidRPr="00FC6A16">
        <w:rPr>
          <w:rFonts w:eastAsia="Calibri" w:cs="Times New Roman"/>
        </w:rPr>
        <w:t>The machine is 18 years old. </w:t>
      </w:r>
    </w:p>
    <w:p w14:paraId="7EC55728" w14:textId="1932437A" w:rsidR="001871CC" w:rsidRPr="00CE2D5F" w:rsidRDefault="001871CC" w:rsidP="00CE2D5F">
      <w:pPr>
        <w:spacing w:after="0" w:line="240" w:lineRule="auto"/>
        <w:rPr>
          <w:rFonts w:eastAsia="Calibri" w:cs="Times New Roman"/>
        </w:rPr>
      </w:pPr>
    </w:p>
    <w:p w14:paraId="3929E9D7" w14:textId="1A760F49" w:rsidR="001871CC" w:rsidRPr="00CE2D5F" w:rsidRDefault="001871CC" w:rsidP="001871CC">
      <w:pPr>
        <w:pStyle w:val="ListParagraph"/>
        <w:numPr>
          <w:ilvl w:val="0"/>
          <w:numId w:val="16"/>
        </w:numPr>
        <w:spacing w:after="0" w:line="240" w:lineRule="auto"/>
        <w:rPr>
          <w:rFonts w:eastAsia="Calibri" w:cs="Times New Roman"/>
          <w:b/>
        </w:rPr>
      </w:pPr>
      <w:r w:rsidRPr="005D77D5">
        <w:rPr>
          <w:rFonts w:eastAsia="Calibri" w:cs="Times New Roman"/>
          <w:b/>
          <w:color w:val="000000"/>
          <w:sz w:val="24"/>
          <w:szCs w:val="24"/>
        </w:rPr>
        <w:lastRenderedPageBreak/>
        <w:t>The table below lists the Applicant's explanation of the projected MRI volume at SSH main campus after project implementation. </w:t>
      </w:r>
    </w:p>
    <w:p w14:paraId="17FCB1A1" w14:textId="77777777" w:rsidR="001871CC" w:rsidRPr="001871CC" w:rsidRDefault="001871CC" w:rsidP="001871CC">
      <w:pPr>
        <w:spacing w:after="200" w:line="240" w:lineRule="auto"/>
        <w:jc w:val="center"/>
        <w:rPr>
          <w:rFonts w:eastAsia="Calibri" w:cs="Times New Roman"/>
        </w:rPr>
      </w:pPr>
      <w:r w:rsidRPr="001871CC">
        <w:rPr>
          <w:rFonts w:eastAsia="Calibri" w:cs="Times New Roman"/>
          <w:b/>
          <w:bCs/>
          <w:sz w:val="24"/>
          <w:szCs w:val="24"/>
        </w:rPr>
        <w:t>Table 11: Projected MRI Scans at SSH Main Campus </w:t>
      </w:r>
    </w:p>
    <w:tbl>
      <w:tblPr>
        <w:tblW w:w="0" w:type="auto"/>
        <w:tblCellMar>
          <w:left w:w="0" w:type="dxa"/>
          <w:right w:w="0" w:type="dxa"/>
        </w:tblCellMar>
        <w:tblLook w:val="04A0" w:firstRow="1" w:lastRow="0" w:firstColumn="1" w:lastColumn="0" w:noHBand="0" w:noVBand="1"/>
      </w:tblPr>
      <w:tblGrid>
        <w:gridCol w:w="1558"/>
        <w:gridCol w:w="1558"/>
        <w:gridCol w:w="1558"/>
        <w:gridCol w:w="1558"/>
        <w:gridCol w:w="1559"/>
        <w:gridCol w:w="1559"/>
      </w:tblGrid>
      <w:tr w:rsidR="001871CC" w:rsidRPr="001871CC" w14:paraId="37C6E7B8" w14:textId="77777777" w:rsidTr="001871CC">
        <w:tc>
          <w:tcPr>
            <w:tcW w:w="1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371CC4" w14:textId="77777777" w:rsidR="001871CC" w:rsidRPr="001871CC" w:rsidRDefault="001871CC" w:rsidP="001871CC">
            <w:pPr>
              <w:spacing w:after="0" w:line="240" w:lineRule="auto"/>
              <w:rPr>
                <w:rFonts w:eastAsia="Calibri" w:cs="Times New Roman"/>
              </w:rPr>
            </w:pPr>
            <w:r w:rsidRPr="001871CC">
              <w:rPr>
                <w:rFonts w:eastAsia="Calibri" w:cs="Times New Roman"/>
              </w:rPr>
              <w:t> </w:t>
            </w:r>
          </w:p>
        </w:tc>
        <w:tc>
          <w:tcPr>
            <w:tcW w:w="155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61577CA5" w14:textId="77777777" w:rsidR="001871CC" w:rsidRPr="001871CC" w:rsidRDefault="001871CC" w:rsidP="001871CC">
            <w:pPr>
              <w:spacing w:after="0" w:line="240" w:lineRule="auto"/>
              <w:jc w:val="center"/>
              <w:rPr>
                <w:rFonts w:eastAsia="Calibri" w:cs="Times New Roman"/>
              </w:rPr>
            </w:pPr>
            <w:r w:rsidRPr="001871CC">
              <w:rPr>
                <w:rFonts w:eastAsia="Calibri" w:cs="Times New Roman"/>
                <w:b/>
                <w:bCs/>
                <w:color w:val="000000"/>
              </w:rPr>
              <w:t>Year 1 </w:t>
            </w:r>
          </w:p>
        </w:tc>
        <w:tc>
          <w:tcPr>
            <w:tcW w:w="155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4559FED" w14:textId="77777777" w:rsidR="001871CC" w:rsidRPr="001871CC" w:rsidRDefault="001871CC" w:rsidP="001871CC">
            <w:pPr>
              <w:spacing w:after="0" w:line="240" w:lineRule="auto"/>
              <w:jc w:val="center"/>
              <w:rPr>
                <w:rFonts w:eastAsia="Calibri" w:cs="Times New Roman"/>
              </w:rPr>
            </w:pPr>
            <w:r w:rsidRPr="001871CC">
              <w:rPr>
                <w:rFonts w:eastAsia="Calibri" w:cs="Times New Roman"/>
                <w:b/>
                <w:bCs/>
                <w:color w:val="000000"/>
              </w:rPr>
              <w:t>Year 2 </w:t>
            </w:r>
          </w:p>
        </w:tc>
        <w:tc>
          <w:tcPr>
            <w:tcW w:w="155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13E54D13" w14:textId="77777777" w:rsidR="001871CC" w:rsidRPr="001871CC" w:rsidRDefault="001871CC" w:rsidP="001871CC">
            <w:pPr>
              <w:spacing w:after="0" w:line="240" w:lineRule="auto"/>
              <w:jc w:val="center"/>
              <w:rPr>
                <w:rFonts w:eastAsia="Calibri" w:cs="Times New Roman"/>
              </w:rPr>
            </w:pPr>
            <w:r w:rsidRPr="001871CC">
              <w:rPr>
                <w:rFonts w:eastAsia="Calibri" w:cs="Times New Roman"/>
                <w:b/>
                <w:bCs/>
                <w:color w:val="000000"/>
              </w:rPr>
              <w:t>Year 3 </w:t>
            </w: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ECA7CAF" w14:textId="77777777" w:rsidR="001871CC" w:rsidRPr="001871CC" w:rsidRDefault="001871CC" w:rsidP="001871CC">
            <w:pPr>
              <w:spacing w:after="0" w:line="240" w:lineRule="auto"/>
              <w:jc w:val="center"/>
              <w:rPr>
                <w:rFonts w:eastAsia="Calibri" w:cs="Times New Roman"/>
              </w:rPr>
            </w:pPr>
            <w:r w:rsidRPr="001871CC">
              <w:rPr>
                <w:rFonts w:eastAsia="Calibri" w:cs="Times New Roman"/>
                <w:b/>
                <w:bCs/>
                <w:color w:val="000000"/>
              </w:rPr>
              <w:t>Year 4 </w:t>
            </w: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191E3AEA" w14:textId="77777777" w:rsidR="001871CC" w:rsidRPr="001871CC" w:rsidRDefault="001871CC" w:rsidP="001871CC">
            <w:pPr>
              <w:spacing w:after="0" w:line="240" w:lineRule="auto"/>
              <w:jc w:val="center"/>
              <w:rPr>
                <w:rFonts w:eastAsia="Calibri" w:cs="Times New Roman"/>
              </w:rPr>
            </w:pPr>
            <w:r w:rsidRPr="001871CC">
              <w:rPr>
                <w:rFonts w:eastAsia="Calibri" w:cs="Times New Roman"/>
                <w:b/>
                <w:bCs/>
                <w:color w:val="000000"/>
              </w:rPr>
              <w:t>Year 5 </w:t>
            </w:r>
          </w:p>
        </w:tc>
      </w:tr>
      <w:tr w:rsidR="001871CC" w:rsidRPr="001871CC" w14:paraId="538565E4" w14:textId="77777777" w:rsidTr="001871CC">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446F9" w14:textId="77777777" w:rsidR="001871CC" w:rsidRPr="001871CC" w:rsidRDefault="001871CC" w:rsidP="001871CC">
            <w:pPr>
              <w:spacing w:after="0" w:line="240" w:lineRule="auto"/>
              <w:rPr>
                <w:rFonts w:eastAsia="Calibri" w:cs="Times New Roman"/>
              </w:rPr>
            </w:pPr>
            <w:r w:rsidRPr="001871CC">
              <w:rPr>
                <w:rFonts w:eastAsia="Calibri" w:cs="Times New Roman"/>
                <w:b/>
                <w:bCs/>
              </w:rPr>
              <w:t>SSH 3T MRI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7313A315" w14:textId="77777777" w:rsidR="001871CC" w:rsidRPr="001871CC" w:rsidRDefault="001871CC" w:rsidP="001871CC">
            <w:pPr>
              <w:spacing w:after="0" w:line="240" w:lineRule="auto"/>
              <w:jc w:val="center"/>
              <w:rPr>
                <w:rFonts w:eastAsia="Calibri" w:cs="Times New Roman"/>
              </w:rPr>
            </w:pPr>
            <w:r w:rsidRPr="001871CC">
              <w:rPr>
                <w:rFonts w:eastAsia="Calibri" w:cs="Times New Roman"/>
              </w:rPr>
              <w:t>6,720 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53645AA8" w14:textId="77777777" w:rsidR="001871CC" w:rsidRPr="001871CC" w:rsidRDefault="001871CC" w:rsidP="001871CC">
            <w:pPr>
              <w:spacing w:after="0" w:line="240" w:lineRule="auto"/>
              <w:jc w:val="center"/>
              <w:rPr>
                <w:rFonts w:eastAsia="Calibri" w:cs="Times New Roman"/>
              </w:rPr>
            </w:pPr>
            <w:r w:rsidRPr="001871CC">
              <w:rPr>
                <w:rFonts w:eastAsia="Calibri" w:cs="Times New Roman"/>
              </w:rPr>
              <w:t>6,854 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4BF6CCCD" w14:textId="77777777" w:rsidR="001871CC" w:rsidRPr="001871CC" w:rsidRDefault="001871CC" w:rsidP="001871CC">
            <w:pPr>
              <w:spacing w:after="0" w:line="240" w:lineRule="auto"/>
              <w:jc w:val="center"/>
              <w:rPr>
                <w:rFonts w:eastAsia="Calibri" w:cs="Times New Roman"/>
              </w:rPr>
            </w:pPr>
            <w:r w:rsidRPr="001871CC">
              <w:rPr>
                <w:rFonts w:eastAsia="Calibri" w:cs="Times New Roman"/>
              </w:rPr>
              <w:t>6,991 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61BB248" w14:textId="77777777" w:rsidR="001871CC" w:rsidRPr="001871CC" w:rsidRDefault="001871CC" w:rsidP="001871CC">
            <w:pPr>
              <w:spacing w:after="0" w:line="240" w:lineRule="auto"/>
              <w:jc w:val="center"/>
              <w:rPr>
                <w:rFonts w:eastAsia="Calibri" w:cs="Times New Roman"/>
              </w:rPr>
            </w:pPr>
            <w:r w:rsidRPr="001871CC">
              <w:rPr>
                <w:rFonts w:eastAsia="Calibri" w:cs="Times New Roman"/>
              </w:rPr>
              <w:t>7,131 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F935DE0" w14:textId="77777777" w:rsidR="001871CC" w:rsidRPr="001871CC" w:rsidRDefault="001871CC" w:rsidP="001871CC">
            <w:pPr>
              <w:spacing w:after="0" w:line="240" w:lineRule="auto"/>
              <w:jc w:val="center"/>
              <w:rPr>
                <w:rFonts w:eastAsia="Calibri" w:cs="Times New Roman"/>
              </w:rPr>
            </w:pPr>
            <w:r w:rsidRPr="001871CC">
              <w:rPr>
                <w:rFonts w:eastAsia="Calibri" w:cs="Times New Roman"/>
              </w:rPr>
              <w:t>7,273 </w:t>
            </w:r>
          </w:p>
        </w:tc>
      </w:tr>
      <w:tr w:rsidR="001871CC" w:rsidRPr="001871CC" w14:paraId="1F1346F0" w14:textId="77777777" w:rsidTr="001871CC">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2BDE9" w14:textId="77777777" w:rsidR="001871CC" w:rsidRPr="001871CC" w:rsidRDefault="001871CC" w:rsidP="001871CC">
            <w:pPr>
              <w:spacing w:after="0" w:line="240" w:lineRule="auto"/>
              <w:rPr>
                <w:rFonts w:eastAsia="Calibri" w:cs="Times New Roman"/>
              </w:rPr>
            </w:pPr>
            <w:r w:rsidRPr="001871CC">
              <w:rPr>
                <w:rFonts w:eastAsia="Calibri" w:cs="Times New Roman"/>
                <w:b/>
                <w:bCs/>
              </w:rPr>
              <w:t>SSH 1.5T MRI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615C6491" w14:textId="77777777" w:rsidR="001871CC" w:rsidRPr="001871CC" w:rsidRDefault="001871CC" w:rsidP="001871CC">
            <w:pPr>
              <w:spacing w:after="0" w:line="240" w:lineRule="auto"/>
              <w:jc w:val="center"/>
              <w:rPr>
                <w:rFonts w:eastAsia="Calibri" w:cs="Times New Roman"/>
              </w:rPr>
            </w:pPr>
            <w:r w:rsidRPr="001871CC">
              <w:rPr>
                <w:rFonts w:eastAsia="Calibri" w:cs="Times New Roman"/>
              </w:rPr>
              <w:t>6,295 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308AEF1C" w14:textId="77777777" w:rsidR="001871CC" w:rsidRPr="001871CC" w:rsidRDefault="001871CC" w:rsidP="001871CC">
            <w:pPr>
              <w:spacing w:after="0" w:line="240" w:lineRule="auto"/>
              <w:jc w:val="center"/>
              <w:rPr>
                <w:rFonts w:eastAsia="Calibri" w:cs="Times New Roman"/>
              </w:rPr>
            </w:pPr>
            <w:r w:rsidRPr="001871CC">
              <w:rPr>
                <w:rFonts w:eastAsia="Calibri" w:cs="Times New Roman"/>
              </w:rPr>
              <w:t>6,421 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5D03D63E" w14:textId="77777777" w:rsidR="001871CC" w:rsidRPr="001871CC" w:rsidRDefault="001871CC" w:rsidP="001871CC">
            <w:pPr>
              <w:spacing w:after="0" w:line="240" w:lineRule="auto"/>
              <w:jc w:val="center"/>
              <w:rPr>
                <w:rFonts w:eastAsia="Calibri" w:cs="Times New Roman"/>
              </w:rPr>
            </w:pPr>
            <w:r w:rsidRPr="001871CC">
              <w:rPr>
                <w:rFonts w:eastAsia="Calibri" w:cs="Times New Roman"/>
              </w:rPr>
              <w:t>6,549 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73EF6E4" w14:textId="77777777" w:rsidR="001871CC" w:rsidRPr="001871CC" w:rsidRDefault="001871CC" w:rsidP="001871CC">
            <w:pPr>
              <w:spacing w:after="0" w:line="240" w:lineRule="auto"/>
              <w:jc w:val="center"/>
              <w:rPr>
                <w:rFonts w:eastAsia="Calibri" w:cs="Times New Roman"/>
              </w:rPr>
            </w:pPr>
            <w:r w:rsidRPr="001871CC">
              <w:rPr>
                <w:rFonts w:eastAsia="Calibri" w:cs="Times New Roman"/>
              </w:rPr>
              <w:t>6,680 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5927806" w14:textId="77777777" w:rsidR="001871CC" w:rsidRPr="001871CC" w:rsidRDefault="001871CC" w:rsidP="001871CC">
            <w:pPr>
              <w:spacing w:after="0" w:line="240" w:lineRule="auto"/>
              <w:jc w:val="center"/>
              <w:rPr>
                <w:rFonts w:eastAsia="Calibri" w:cs="Times New Roman"/>
              </w:rPr>
            </w:pPr>
            <w:r w:rsidRPr="001871CC">
              <w:rPr>
                <w:rFonts w:eastAsia="Calibri" w:cs="Times New Roman"/>
              </w:rPr>
              <w:t>6,814 </w:t>
            </w:r>
          </w:p>
        </w:tc>
      </w:tr>
      <w:tr w:rsidR="001871CC" w:rsidRPr="001871CC" w14:paraId="5439EE6C" w14:textId="77777777" w:rsidTr="001871CC">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526FA" w14:textId="77777777" w:rsidR="001871CC" w:rsidRPr="001871CC" w:rsidRDefault="001871CC" w:rsidP="001871CC">
            <w:pPr>
              <w:spacing w:after="0" w:line="240" w:lineRule="auto"/>
              <w:rPr>
                <w:rFonts w:eastAsia="Calibri" w:cs="Times New Roman"/>
              </w:rPr>
            </w:pPr>
            <w:r w:rsidRPr="001871CC">
              <w:rPr>
                <w:rFonts w:eastAsia="Calibri" w:cs="Times New Roman"/>
                <w:b/>
                <w:bCs/>
              </w:rPr>
              <w:t>Total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12050ABB" w14:textId="77777777" w:rsidR="001871CC" w:rsidRPr="001871CC" w:rsidRDefault="001871CC" w:rsidP="001871CC">
            <w:pPr>
              <w:spacing w:after="0" w:line="240" w:lineRule="auto"/>
              <w:jc w:val="center"/>
              <w:rPr>
                <w:rFonts w:eastAsia="Calibri" w:cs="Times New Roman"/>
              </w:rPr>
            </w:pPr>
            <w:r w:rsidRPr="001871CC">
              <w:rPr>
                <w:rFonts w:eastAsia="Calibri" w:cs="Times New Roman"/>
                <w:b/>
                <w:bCs/>
              </w:rPr>
              <w:t>13,015 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66796D77" w14:textId="77777777" w:rsidR="001871CC" w:rsidRPr="001871CC" w:rsidRDefault="001871CC" w:rsidP="001871CC">
            <w:pPr>
              <w:spacing w:after="0" w:line="240" w:lineRule="auto"/>
              <w:jc w:val="center"/>
              <w:rPr>
                <w:rFonts w:eastAsia="Calibri" w:cs="Times New Roman"/>
              </w:rPr>
            </w:pPr>
            <w:r w:rsidRPr="001871CC">
              <w:rPr>
                <w:rFonts w:eastAsia="Calibri" w:cs="Times New Roman"/>
                <w:b/>
                <w:bCs/>
              </w:rPr>
              <w:t>13,275 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5B695DA6" w14:textId="77777777" w:rsidR="001871CC" w:rsidRPr="001871CC" w:rsidRDefault="001871CC" w:rsidP="001871CC">
            <w:pPr>
              <w:spacing w:after="0" w:line="240" w:lineRule="auto"/>
              <w:jc w:val="center"/>
              <w:rPr>
                <w:rFonts w:eastAsia="Calibri" w:cs="Times New Roman"/>
              </w:rPr>
            </w:pPr>
            <w:r w:rsidRPr="001871CC">
              <w:rPr>
                <w:rFonts w:eastAsia="Calibri" w:cs="Times New Roman"/>
                <w:b/>
                <w:bCs/>
              </w:rPr>
              <w:t>13,540 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43A86F6" w14:textId="77777777" w:rsidR="001871CC" w:rsidRPr="001871CC" w:rsidRDefault="001871CC" w:rsidP="001871CC">
            <w:pPr>
              <w:spacing w:after="0" w:line="240" w:lineRule="auto"/>
              <w:jc w:val="center"/>
              <w:rPr>
                <w:rFonts w:eastAsia="Calibri" w:cs="Times New Roman"/>
              </w:rPr>
            </w:pPr>
            <w:r w:rsidRPr="001871CC">
              <w:rPr>
                <w:rFonts w:eastAsia="Calibri" w:cs="Times New Roman"/>
                <w:b/>
                <w:bCs/>
              </w:rPr>
              <w:t>13,811 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4588D86" w14:textId="77777777" w:rsidR="001871CC" w:rsidRPr="001871CC" w:rsidRDefault="001871CC" w:rsidP="001871CC">
            <w:pPr>
              <w:spacing w:after="0" w:line="240" w:lineRule="auto"/>
              <w:jc w:val="center"/>
              <w:rPr>
                <w:rFonts w:eastAsia="Calibri" w:cs="Times New Roman"/>
              </w:rPr>
            </w:pPr>
            <w:r w:rsidRPr="001871CC">
              <w:rPr>
                <w:rFonts w:eastAsia="Calibri" w:cs="Times New Roman"/>
                <w:b/>
                <w:bCs/>
              </w:rPr>
              <w:t>14,087 </w:t>
            </w:r>
          </w:p>
        </w:tc>
      </w:tr>
    </w:tbl>
    <w:p w14:paraId="4D7C8D89" w14:textId="77777777" w:rsidR="001871CC" w:rsidRPr="001871CC" w:rsidRDefault="001871CC" w:rsidP="001871CC">
      <w:pPr>
        <w:spacing w:line="240" w:lineRule="auto"/>
        <w:rPr>
          <w:rFonts w:eastAsia="Calibri" w:cs="Times New Roman"/>
        </w:rPr>
      </w:pPr>
      <w:r w:rsidRPr="001871CC">
        <w:rPr>
          <w:rFonts w:eastAsia="Calibri" w:cs="Times New Roman"/>
          <w:color w:val="000000"/>
          <w:sz w:val="24"/>
          <w:szCs w:val="24"/>
        </w:rPr>
        <w:t> </w:t>
      </w:r>
    </w:p>
    <w:tbl>
      <w:tblPr>
        <w:tblW w:w="0" w:type="auto"/>
        <w:tblCellMar>
          <w:left w:w="0" w:type="dxa"/>
          <w:right w:w="0" w:type="dxa"/>
        </w:tblCellMar>
        <w:tblLook w:val="04A0" w:firstRow="1" w:lastRow="0" w:firstColumn="1" w:lastColumn="0" w:noHBand="0" w:noVBand="1"/>
      </w:tblPr>
      <w:tblGrid>
        <w:gridCol w:w="8920"/>
        <w:gridCol w:w="1140"/>
      </w:tblGrid>
      <w:tr w:rsidR="001871CC" w:rsidRPr="001871CC" w14:paraId="3A14061B" w14:textId="77777777" w:rsidTr="001871C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4E949D" w14:textId="77777777" w:rsidR="001871CC" w:rsidRPr="001871CC" w:rsidRDefault="001871CC" w:rsidP="001871CC">
            <w:pPr>
              <w:spacing w:after="0" w:line="240" w:lineRule="auto"/>
              <w:rPr>
                <w:rFonts w:eastAsia="Calibri" w:cs="Times New Roman"/>
              </w:rPr>
            </w:pPr>
            <w:r w:rsidRPr="001871CC">
              <w:rPr>
                <w:rFonts w:eastAsia="Calibri" w:cs="Times New Roman"/>
                <w:sz w:val="24"/>
                <w:szCs w:val="24"/>
              </w:rPr>
              <w:t>Referrals for 3T MRI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A82EB0" w14:textId="77777777" w:rsidR="001871CC" w:rsidRPr="001871CC" w:rsidRDefault="001871CC" w:rsidP="001871CC">
            <w:pPr>
              <w:spacing w:after="0" w:line="240" w:lineRule="auto"/>
              <w:rPr>
                <w:rFonts w:eastAsia="Calibri" w:cs="Times New Roman"/>
              </w:rPr>
            </w:pPr>
            <w:r w:rsidRPr="001871CC">
              <w:rPr>
                <w:rFonts w:eastAsia="Calibri" w:cs="Times New Roman"/>
                <w:sz w:val="24"/>
                <w:szCs w:val="24"/>
              </w:rPr>
              <w:t>1,512 (FY20) </w:t>
            </w:r>
          </w:p>
        </w:tc>
      </w:tr>
      <w:tr w:rsidR="001871CC" w:rsidRPr="001871CC" w14:paraId="57BEBEE9" w14:textId="77777777" w:rsidTr="001871C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B106D" w14:textId="77777777" w:rsidR="001871CC" w:rsidRPr="001871CC" w:rsidRDefault="001871CC" w:rsidP="001871CC">
            <w:pPr>
              <w:spacing w:after="0" w:line="240" w:lineRule="auto"/>
              <w:rPr>
                <w:rFonts w:eastAsia="Calibri" w:cs="Times New Roman"/>
              </w:rPr>
            </w:pPr>
            <w:r w:rsidRPr="001871CC">
              <w:rPr>
                <w:rFonts w:eastAsia="Calibri" w:cs="Times New Roman"/>
                <w:sz w:val="24"/>
                <w:szCs w:val="24"/>
              </w:rPr>
              <w:t>Patient transfers for MRI scans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F1FE89" w14:textId="77777777" w:rsidR="001871CC" w:rsidRPr="001871CC" w:rsidRDefault="001871CC" w:rsidP="001871CC">
            <w:pPr>
              <w:spacing w:after="0" w:line="240" w:lineRule="auto"/>
              <w:rPr>
                <w:rFonts w:eastAsia="Calibri" w:cs="Times New Roman"/>
              </w:rPr>
            </w:pPr>
            <w:r w:rsidRPr="001871CC">
              <w:rPr>
                <w:rFonts w:eastAsia="Calibri" w:cs="Times New Roman"/>
                <w:sz w:val="24"/>
                <w:szCs w:val="24"/>
              </w:rPr>
              <w:t>190 (CY20) </w:t>
            </w:r>
          </w:p>
        </w:tc>
      </w:tr>
      <w:tr w:rsidR="001871CC" w:rsidRPr="001871CC" w14:paraId="7721D0B4" w14:textId="77777777" w:rsidTr="001871C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ED51F" w14:textId="77777777" w:rsidR="001871CC" w:rsidRPr="001871CC" w:rsidRDefault="001871CC" w:rsidP="001871CC">
            <w:pPr>
              <w:spacing w:after="0" w:line="240" w:lineRule="auto"/>
              <w:rPr>
                <w:rFonts w:eastAsia="Calibri" w:cs="Times New Roman"/>
              </w:rPr>
            </w:pPr>
            <w:r w:rsidRPr="001871CC">
              <w:rPr>
                <w:rFonts w:eastAsia="Calibri" w:cs="Times New Roman"/>
                <w:sz w:val="24"/>
                <w:szCs w:val="24"/>
              </w:rPr>
              <w:t>Breast Cancer Program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32F65C" w14:textId="77777777" w:rsidR="001871CC" w:rsidRPr="001871CC" w:rsidRDefault="001871CC" w:rsidP="001871CC">
            <w:pPr>
              <w:spacing w:after="0" w:line="240" w:lineRule="auto"/>
              <w:rPr>
                <w:rFonts w:eastAsia="Calibri" w:cs="Times New Roman"/>
              </w:rPr>
            </w:pPr>
            <w:r w:rsidRPr="001871CC">
              <w:rPr>
                <w:rFonts w:eastAsia="Calibri" w:cs="Times New Roman"/>
                <w:sz w:val="24"/>
                <w:szCs w:val="24"/>
              </w:rPr>
              <w:t>1,042 (2020) </w:t>
            </w:r>
          </w:p>
        </w:tc>
      </w:tr>
      <w:tr w:rsidR="001871CC" w:rsidRPr="001871CC" w14:paraId="0FE19685" w14:textId="77777777" w:rsidTr="001871C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08CD0" w14:textId="77777777" w:rsidR="001871CC" w:rsidRPr="001871CC" w:rsidRDefault="001871CC" w:rsidP="001871CC">
            <w:pPr>
              <w:spacing w:after="0" w:line="240" w:lineRule="auto"/>
              <w:rPr>
                <w:rFonts w:eastAsia="Calibri" w:cs="Times New Roman"/>
              </w:rPr>
            </w:pPr>
            <w:r w:rsidRPr="001871CC">
              <w:rPr>
                <w:rFonts w:eastAsia="Calibri" w:cs="Times New Roman"/>
                <w:sz w:val="24"/>
                <w:szCs w:val="24"/>
              </w:rPr>
              <w:t>Aging Population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36F855" w14:textId="77777777" w:rsidR="001871CC" w:rsidRPr="001871CC" w:rsidRDefault="001871CC" w:rsidP="001871CC">
            <w:pPr>
              <w:spacing w:after="0" w:line="240" w:lineRule="auto"/>
              <w:rPr>
                <w:rFonts w:eastAsia="Calibri" w:cs="Times New Roman"/>
              </w:rPr>
            </w:pPr>
            <w:r w:rsidRPr="001871CC">
              <w:rPr>
                <w:rFonts w:eastAsia="Calibri" w:cs="Times New Roman"/>
                <w:sz w:val="24"/>
                <w:szCs w:val="24"/>
              </w:rPr>
              <w:t> </w:t>
            </w:r>
          </w:p>
        </w:tc>
      </w:tr>
      <w:tr w:rsidR="001871CC" w:rsidRPr="001871CC" w14:paraId="7AF03EBA" w14:textId="77777777" w:rsidTr="001871C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82449" w14:textId="26634216" w:rsidR="001871CC" w:rsidRPr="001871CC" w:rsidRDefault="001871CC" w:rsidP="001871CC">
            <w:pPr>
              <w:spacing w:after="0" w:line="240" w:lineRule="auto"/>
              <w:rPr>
                <w:rFonts w:eastAsia="Calibri" w:cs="Times New Roman"/>
              </w:rPr>
            </w:pPr>
            <w:r w:rsidRPr="001871CC">
              <w:rPr>
                <w:rFonts w:eastAsia="Calibri" w:cs="Times New Roman"/>
                <w:sz w:val="24"/>
                <w:szCs w:val="24"/>
              </w:rPr>
              <w:t>Additional services that will contribute to projected scan volume</w:t>
            </w:r>
          </w:p>
          <w:p w14:paraId="3C74F8A9" w14:textId="77777777" w:rsidR="001871CC" w:rsidRPr="001871CC" w:rsidRDefault="001871CC" w:rsidP="001871CC">
            <w:pPr>
              <w:spacing w:after="0" w:line="240" w:lineRule="auto"/>
              <w:ind w:left="144"/>
              <w:rPr>
                <w:rFonts w:eastAsia="Calibri" w:cs="Times New Roman"/>
              </w:rPr>
            </w:pPr>
            <w:r w:rsidRPr="001871CC">
              <w:rPr>
                <w:rFonts w:eastAsia="Calibri" w:cs="Times New Roman"/>
                <w:sz w:val="24"/>
                <w:szCs w:val="24"/>
              </w:rPr>
              <w:t xml:space="preserve">Prostate imaging, neuro imaging, perfusion brain tumor imaging, seizure imaging, inflammatory </w:t>
            </w:r>
            <w:proofErr w:type="spellStart"/>
            <w:r w:rsidRPr="001871CC">
              <w:rPr>
                <w:rFonts w:eastAsia="Calibri" w:cs="Times New Roman"/>
                <w:sz w:val="24"/>
                <w:szCs w:val="24"/>
              </w:rPr>
              <w:t>arthropathies</w:t>
            </w:r>
            <w:proofErr w:type="spellEnd"/>
            <w:r w:rsidRPr="001871CC">
              <w:rPr>
                <w:rFonts w:eastAsia="Calibri" w:cs="Times New Roman"/>
                <w:sz w:val="24"/>
                <w:szCs w:val="24"/>
              </w:rPr>
              <w:t xml:space="preserve">, small joint MRI, improved pediatric imaging, MR </w:t>
            </w:r>
            <w:proofErr w:type="spellStart"/>
            <w:r w:rsidRPr="001871CC">
              <w:rPr>
                <w:rFonts w:eastAsia="Calibri" w:cs="Times New Roman"/>
                <w:sz w:val="24"/>
                <w:szCs w:val="24"/>
              </w:rPr>
              <w:t>Enterography</w:t>
            </w:r>
            <w:proofErr w:type="spellEnd"/>
            <w:r w:rsidRPr="001871CC">
              <w:rPr>
                <w:rFonts w:eastAsia="Calibri" w:cs="Times New Roman"/>
                <w:sz w:val="24"/>
                <w:szCs w:val="24"/>
              </w:rPr>
              <w:t>, and acute abdomen MRI.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7433B3" w14:textId="77777777" w:rsidR="001871CC" w:rsidRPr="001871CC" w:rsidRDefault="001871CC" w:rsidP="001871CC">
            <w:pPr>
              <w:spacing w:after="0" w:line="240" w:lineRule="auto"/>
              <w:rPr>
                <w:rFonts w:eastAsia="Calibri" w:cs="Times New Roman"/>
              </w:rPr>
            </w:pPr>
            <w:r w:rsidRPr="001871CC">
              <w:rPr>
                <w:rFonts w:eastAsia="Calibri" w:cs="Times New Roman"/>
                <w:sz w:val="24"/>
                <w:szCs w:val="24"/>
              </w:rPr>
              <w:t> </w:t>
            </w:r>
          </w:p>
        </w:tc>
      </w:tr>
      <w:tr w:rsidR="001871CC" w:rsidRPr="001871CC" w14:paraId="6B99FC48" w14:textId="77777777" w:rsidTr="001871C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36A91" w14:textId="77777777" w:rsidR="001871CC" w:rsidRPr="001871CC" w:rsidRDefault="001871CC" w:rsidP="001871CC">
            <w:pPr>
              <w:spacing w:after="0" w:line="240" w:lineRule="auto"/>
              <w:rPr>
                <w:rFonts w:eastAsia="Calibri" w:cs="Times New Roman"/>
              </w:rPr>
            </w:pPr>
            <w:r w:rsidRPr="001871CC">
              <w:rPr>
                <w:rFonts w:eastAsia="Calibri" w:cs="Times New Roman"/>
                <w:sz w:val="24"/>
                <w:szCs w:val="24"/>
              </w:rPr>
              <w:t>A decrease in inpatient and Emergency patient wait times for MRI will lead to reductions in overall length of stay, and an increase in the number of patients served.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13C2667" w14:textId="77777777" w:rsidR="001871CC" w:rsidRPr="001871CC" w:rsidRDefault="001871CC" w:rsidP="001871CC">
            <w:pPr>
              <w:spacing w:after="0" w:line="240" w:lineRule="auto"/>
              <w:rPr>
                <w:rFonts w:eastAsia="Calibri" w:cs="Times New Roman"/>
              </w:rPr>
            </w:pPr>
            <w:r w:rsidRPr="001871CC">
              <w:rPr>
                <w:rFonts w:eastAsia="Calibri" w:cs="Times New Roman"/>
                <w:sz w:val="24"/>
                <w:szCs w:val="24"/>
              </w:rPr>
              <w:t> </w:t>
            </w:r>
          </w:p>
        </w:tc>
      </w:tr>
    </w:tbl>
    <w:p w14:paraId="604064FD" w14:textId="77777777" w:rsidR="001871CC" w:rsidRPr="00FC6A16" w:rsidRDefault="001871CC" w:rsidP="001871CC">
      <w:pPr>
        <w:spacing w:after="0" w:line="240" w:lineRule="auto"/>
        <w:ind w:left="360"/>
        <w:rPr>
          <w:rFonts w:eastAsia="Calibri" w:cs="Times New Roman"/>
        </w:rPr>
      </w:pPr>
    </w:p>
    <w:p w14:paraId="18619881" w14:textId="77777777" w:rsidR="00274E7B" w:rsidRDefault="00160B57" w:rsidP="001871CC">
      <w:pPr>
        <w:pStyle w:val="ListParagraph"/>
        <w:numPr>
          <w:ilvl w:val="0"/>
          <w:numId w:val="18"/>
        </w:numPr>
        <w:tabs>
          <w:tab w:val="left" w:pos="1395"/>
        </w:tabs>
        <w:spacing w:after="0" w:line="240" w:lineRule="auto"/>
        <w:ind w:left="1080"/>
        <w:rPr>
          <w:rFonts w:eastAsia="Calibri" w:cs="Times New Roman"/>
        </w:rPr>
      </w:pPr>
      <w:r w:rsidRPr="00274E7B">
        <w:rPr>
          <w:rFonts w:eastAsia="Calibri" w:cs="Times New Roman"/>
        </w:rPr>
        <w:t xml:space="preserve">South Shore Health has populated the below projected volume table as requested. Please note the following projections are based on actual volume from FY 2020 which reflect a significant reduction in utilization </w:t>
      </w:r>
      <w:proofErr w:type="gramStart"/>
      <w:r w:rsidRPr="00274E7B">
        <w:rPr>
          <w:rFonts w:eastAsia="Calibri" w:cs="Times New Roman"/>
        </w:rPr>
        <w:t>as a result of</w:t>
      </w:r>
      <w:proofErr w:type="gramEnd"/>
      <w:r w:rsidRPr="00274E7B">
        <w:rPr>
          <w:rFonts w:eastAsia="Calibri" w:cs="Times New Roman"/>
        </w:rPr>
        <w:t xml:space="preserve"> COVID-19. As the impacts of the pandemic lessen, and services return to pre-pandemic levels, the Applicant anticipates that MRI utilization will return to volumes that are at least equivalent to 2019, if not higher due to demand from delayed care during the pandemic as well as aging and population growth. For those reasons, the below table reflects annual growth of 1.5% </w:t>
      </w:r>
      <w:proofErr w:type="gramStart"/>
      <w:r w:rsidRPr="00274E7B">
        <w:rPr>
          <w:rFonts w:eastAsia="Calibri" w:cs="Times New Roman"/>
        </w:rPr>
        <w:t>with the exception of</w:t>
      </w:r>
      <w:proofErr w:type="gramEnd"/>
      <w:r w:rsidRPr="00274E7B">
        <w:rPr>
          <w:rFonts w:eastAsia="Calibri" w:cs="Times New Roman"/>
        </w:rPr>
        <w:t xml:space="preserve"> the Breast Cancer Program which has been experiencing much higher year-over-year growth and therefore historical growth was used to project volume for Year One. </w:t>
      </w:r>
    </w:p>
    <w:p w14:paraId="500483F1" w14:textId="77777777" w:rsidR="00274E7B" w:rsidRDefault="00274E7B" w:rsidP="00274E7B">
      <w:pPr>
        <w:pStyle w:val="ListParagraph"/>
        <w:tabs>
          <w:tab w:val="left" w:pos="1395"/>
        </w:tabs>
        <w:spacing w:after="0" w:line="240" w:lineRule="auto"/>
        <w:ind w:left="1080"/>
        <w:rPr>
          <w:rFonts w:eastAsia="Calibri" w:cs="Times New Roman"/>
        </w:rPr>
      </w:pPr>
    </w:p>
    <w:p w14:paraId="57264C8F" w14:textId="73243B51" w:rsidR="00160B57" w:rsidRPr="00274E7B" w:rsidRDefault="00160B57" w:rsidP="001871CC">
      <w:pPr>
        <w:pStyle w:val="ListParagraph"/>
        <w:numPr>
          <w:ilvl w:val="0"/>
          <w:numId w:val="18"/>
        </w:numPr>
        <w:tabs>
          <w:tab w:val="left" w:pos="1395"/>
        </w:tabs>
        <w:spacing w:after="0" w:line="240" w:lineRule="auto"/>
        <w:ind w:left="1080"/>
        <w:rPr>
          <w:rFonts w:eastAsia="Calibri" w:cs="Times New Roman"/>
        </w:rPr>
      </w:pPr>
      <w:r w:rsidRPr="00274E7B">
        <w:rPr>
          <w:rFonts w:eastAsia="Calibri" w:cs="Times New Roman"/>
        </w:rPr>
        <w:t>Additionally, it is important to note that while some scans will only be performed on the 3T scanner, it will be used as appropriate to meet MRI demand at the Hospital. Therefore, 3T specific projections (4,096) and projected 1.5T increases (1,381), should be looked at in total with 2019 historical volume (7,471) to project Year One volume, approximately 12,948 scans. While this figure is slightly lower than the 13,015 scans initially projected in the Application, it does not represent a significant deviation and as described above, can be attributed to the pandemic. In addition, these projections support the need for an additional unit at the main campus.</w:t>
      </w:r>
    </w:p>
    <w:p w14:paraId="7353EC54" w14:textId="77777777" w:rsidR="00160B57" w:rsidRPr="00160B57" w:rsidRDefault="00160B57" w:rsidP="00160B57">
      <w:pPr>
        <w:spacing w:after="0" w:line="240" w:lineRule="auto"/>
        <w:rPr>
          <w:rFonts w:eastAsia="Calibri" w:cs="Times New Roman"/>
        </w:rPr>
      </w:pPr>
      <w:r w:rsidRPr="00160B57">
        <w:rPr>
          <w:rFonts w:eastAsia="Calibri" w:cs="Times New Roman"/>
        </w:rPr>
        <w:t> </w:t>
      </w:r>
    </w:p>
    <w:tbl>
      <w:tblPr>
        <w:tblW w:w="0" w:type="auto"/>
        <w:tblCellMar>
          <w:left w:w="0" w:type="dxa"/>
          <w:right w:w="0" w:type="dxa"/>
        </w:tblCellMar>
        <w:tblLook w:val="04A0" w:firstRow="1" w:lastRow="0" w:firstColumn="1" w:lastColumn="0" w:noHBand="0" w:noVBand="1"/>
      </w:tblPr>
      <w:tblGrid>
        <w:gridCol w:w="6270"/>
        <w:gridCol w:w="1879"/>
        <w:gridCol w:w="1911"/>
      </w:tblGrid>
      <w:tr w:rsidR="00160B57" w:rsidRPr="00160B57" w14:paraId="52EFB003" w14:textId="77777777" w:rsidTr="00160B57">
        <w:trPr>
          <w:trHeight w:val="337"/>
        </w:trPr>
        <w:tc>
          <w:tcPr>
            <w:tcW w:w="1115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9E3F4F" w14:textId="77777777" w:rsidR="00160B57" w:rsidRPr="00160B57" w:rsidRDefault="00160B57" w:rsidP="00160B57">
            <w:pPr>
              <w:spacing w:after="0" w:line="240" w:lineRule="auto"/>
              <w:jc w:val="center"/>
              <w:rPr>
                <w:rFonts w:eastAsia="Calibri" w:cs="Times New Roman"/>
              </w:rPr>
            </w:pPr>
            <w:bookmarkStart w:id="0" w:name="_GoBack" w:colFirst="0" w:colLast="1"/>
            <w:r w:rsidRPr="00160B57">
              <w:rPr>
                <w:rFonts w:eastAsia="Calibri" w:cs="Times New Roman"/>
                <w:b/>
                <w:bCs/>
              </w:rPr>
              <w:t xml:space="preserve">YEAR ONE PROJECTED VOLUME </w:t>
            </w:r>
          </w:p>
        </w:tc>
      </w:tr>
      <w:tr w:rsidR="00160B57" w:rsidRPr="00160B57" w14:paraId="3A9448C9" w14:textId="77777777" w:rsidTr="00160B57">
        <w:trPr>
          <w:trHeight w:val="337"/>
        </w:trPr>
        <w:tc>
          <w:tcPr>
            <w:tcW w:w="70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04035BC" w14:textId="77777777" w:rsidR="00160B57" w:rsidRPr="00160B57" w:rsidRDefault="00160B57" w:rsidP="00160B57">
            <w:pPr>
              <w:spacing w:after="0" w:line="240" w:lineRule="auto"/>
              <w:rPr>
                <w:rFonts w:eastAsia="Calibri" w:cs="Times New Roman"/>
              </w:rPr>
            </w:pPr>
            <w:r w:rsidRPr="00160B57">
              <w:rPr>
                <w:rFonts w:eastAsia="Calibri" w:cs="Times New Roman"/>
                <w:color w:val="000000"/>
              </w:rPr>
              <w:t> </w:t>
            </w:r>
          </w:p>
        </w:tc>
        <w:tc>
          <w:tcPr>
            <w:tcW w:w="2070" w:type="dxa"/>
            <w:tcBorders>
              <w:top w:val="nil"/>
              <w:left w:val="nil"/>
              <w:bottom w:val="single" w:sz="8" w:space="0" w:color="auto"/>
              <w:right w:val="single" w:sz="8" w:space="0" w:color="auto"/>
            </w:tcBorders>
            <w:shd w:val="clear" w:color="auto" w:fill="D9D9D9"/>
            <w:hideMark/>
          </w:tcPr>
          <w:p w14:paraId="4A5A548C" w14:textId="77777777" w:rsidR="00160B57" w:rsidRPr="00160B57" w:rsidRDefault="00160B57" w:rsidP="00160B57">
            <w:pPr>
              <w:spacing w:after="0" w:line="240" w:lineRule="auto"/>
              <w:jc w:val="center"/>
              <w:rPr>
                <w:rFonts w:eastAsia="Calibri" w:cs="Times New Roman"/>
              </w:rPr>
            </w:pPr>
            <w:r w:rsidRPr="00160B57">
              <w:rPr>
                <w:rFonts w:eastAsia="Calibri" w:cs="Times New Roman"/>
                <w:b/>
                <w:bCs/>
                <w:color w:val="000000"/>
              </w:rPr>
              <w:t>Overall (1.5 and 3T)</w:t>
            </w:r>
          </w:p>
        </w:tc>
        <w:tc>
          <w:tcPr>
            <w:tcW w:w="20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66A643E" w14:textId="77777777" w:rsidR="00160B57" w:rsidRPr="00160B57" w:rsidRDefault="00160B57" w:rsidP="00160B57">
            <w:pPr>
              <w:spacing w:after="0" w:line="240" w:lineRule="auto"/>
              <w:jc w:val="center"/>
              <w:rPr>
                <w:rFonts w:eastAsia="Calibri" w:cs="Times New Roman"/>
              </w:rPr>
            </w:pPr>
            <w:r w:rsidRPr="00160B57">
              <w:rPr>
                <w:rFonts w:eastAsia="Calibri" w:cs="Times New Roman"/>
                <w:b/>
                <w:bCs/>
                <w:color w:val="000000"/>
              </w:rPr>
              <w:t>3T Specific</w:t>
            </w:r>
          </w:p>
        </w:tc>
      </w:tr>
      <w:tr w:rsidR="00160B57" w:rsidRPr="00160B57" w14:paraId="3121C650" w14:textId="77777777" w:rsidTr="00160B57">
        <w:trPr>
          <w:trHeight w:val="337"/>
        </w:trPr>
        <w:tc>
          <w:tcPr>
            <w:tcW w:w="7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90B94" w14:textId="77777777" w:rsidR="00160B57" w:rsidRPr="00160B57" w:rsidRDefault="00160B57" w:rsidP="00160B57">
            <w:pPr>
              <w:spacing w:after="0" w:line="240" w:lineRule="auto"/>
              <w:rPr>
                <w:rFonts w:eastAsia="Calibri" w:cs="Times New Roman"/>
              </w:rPr>
            </w:pPr>
            <w:r w:rsidRPr="00160B57">
              <w:rPr>
                <w:rFonts w:eastAsia="Calibri" w:cs="Times New Roman"/>
              </w:rPr>
              <w:t>Referrals for 3T MRI  </w:t>
            </w:r>
          </w:p>
        </w:tc>
        <w:tc>
          <w:tcPr>
            <w:tcW w:w="2070" w:type="dxa"/>
            <w:tcBorders>
              <w:top w:val="nil"/>
              <w:left w:val="nil"/>
              <w:bottom w:val="single" w:sz="8" w:space="0" w:color="auto"/>
              <w:right w:val="single" w:sz="8" w:space="0" w:color="auto"/>
            </w:tcBorders>
            <w:hideMark/>
          </w:tcPr>
          <w:p w14:paraId="06FE0E53" w14:textId="77777777" w:rsidR="00160B57" w:rsidRPr="00160B57" w:rsidRDefault="00160B57" w:rsidP="00160B57">
            <w:pPr>
              <w:spacing w:after="0" w:line="240" w:lineRule="auto"/>
              <w:jc w:val="center"/>
              <w:rPr>
                <w:rFonts w:eastAsia="Calibri" w:cs="Times New Roman"/>
              </w:rPr>
            </w:pPr>
            <w:r w:rsidRPr="00160B57">
              <w:rPr>
                <w:rFonts w:eastAsia="Calibri" w:cs="Times New Roman"/>
              </w:rPr>
              <w:t>NA</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5B784CA9" w14:textId="77777777" w:rsidR="00160B57" w:rsidRPr="00160B57" w:rsidRDefault="00160B57" w:rsidP="00160B57">
            <w:pPr>
              <w:spacing w:after="0" w:line="240" w:lineRule="auto"/>
              <w:jc w:val="center"/>
              <w:rPr>
                <w:rFonts w:eastAsia="Calibri" w:cs="Times New Roman"/>
              </w:rPr>
            </w:pPr>
            <w:r w:rsidRPr="00160B57">
              <w:rPr>
                <w:rFonts w:eastAsia="Calibri" w:cs="Times New Roman"/>
                <w:b/>
                <w:bCs/>
              </w:rPr>
              <w:t>1,558</w:t>
            </w:r>
          </w:p>
        </w:tc>
      </w:tr>
      <w:tr w:rsidR="00160B57" w:rsidRPr="00160B57" w14:paraId="37DFED4B" w14:textId="77777777" w:rsidTr="00160B57">
        <w:trPr>
          <w:trHeight w:val="337"/>
        </w:trPr>
        <w:tc>
          <w:tcPr>
            <w:tcW w:w="7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1B982" w14:textId="77777777" w:rsidR="00160B57" w:rsidRPr="00160B57" w:rsidRDefault="00160B57" w:rsidP="00160B57">
            <w:pPr>
              <w:spacing w:after="0" w:line="240" w:lineRule="auto"/>
              <w:rPr>
                <w:rFonts w:eastAsia="Calibri" w:cs="Times New Roman"/>
              </w:rPr>
            </w:pPr>
            <w:r w:rsidRPr="00160B57">
              <w:rPr>
                <w:rFonts w:eastAsia="Calibri" w:cs="Times New Roman"/>
              </w:rPr>
              <w:t>Patient transfers for MRI scans </w:t>
            </w:r>
          </w:p>
        </w:tc>
        <w:tc>
          <w:tcPr>
            <w:tcW w:w="2070" w:type="dxa"/>
            <w:tcBorders>
              <w:top w:val="nil"/>
              <w:left w:val="nil"/>
              <w:bottom w:val="single" w:sz="8" w:space="0" w:color="auto"/>
              <w:right w:val="single" w:sz="8" w:space="0" w:color="auto"/>
            </w:tcBorders>
            <w:hideMark/>
          </w:tcPr>
          <w:p w14:paraId="5DF6B73F" w14:textId="77777777" w:rsidR="00160B57" w:rsidRPr="00160B57" w:rsidRDefault="00160B57" w:rsidP="00160B57">
            <w:pPr>
              <w:spacing w:after="0" w:line="240" w:lineRule="auto"/>
              <w:jc w:val="center"/>
              <w:rPr>
                <w:rFonts w:eastAsia="Calibri" w:cs="Times New Roman"/>
              </w:rPr>
            </w:pPr>
            <w:r w:rsidRPr="00160B57">
              <w:rPr>
                <w:rFonts w:eastAsia="Calibri" w:cs="Times New Roman"/>
              </w:rPr>
              <w:t>NA</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5CE0D1DD" w14:textId="77777777" w:rsidR="00160B57" w:rsidRPr="00160B57" w:rsidRDefault="00160B57" w:rsidP="00160B57">
            <w:pPr>
              <w:spacing w:after="0" w:line="240" w:lineRule="auto"/>
              <w:jc w:val="center"/>
              <w:rPr>
                <w:rFonts w:eastAsia="Calibri" w:cs="Times New Roman"/>
              </w:rPr>
            </w:pPr>
            <w:r w:rsidRPr="00160B57">
              <w:rPr>
                <w:rFonts w:eastAsia="Calibri" w:cs="Times New Roman"/>
                <w:b/>
                <w:bCs/>
              </w:rPr>
              <w:t>196</w:t>
            </w:r>
          </w:p>
        </w:tc>
      </w:tr>
      <w:tr w:rsidR="00160B57" w:rsidRPr="00160B57" w14:paraId="59C9F10B" w14:textId="77777777" w:rsidTr="00160B57">
        <w:trPr>
          <w:trHeight w:val="337"/>
        </w:trPr>
        <w:tc>
          <w:tcPr>
            <w:tcW w:w="7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F2034" w14:textId="77777777" w:rsidR="00160B57" w:rsidRPr="00160B57" w:rsidRDefault="00160B57" w:rsidP="00160B57">
            <w:pPr>
              <w:spacing w:after="0" w:line="240" w:lineRule="auto"/>
              <w:rPr>
                <w:rFonts w:eastAsia="Calibri" w:cs="Times New Roman"/>
              </w:rPr>
            </w:pPr>
            <w:r w:rsidRPr="00160B57">
              <w:rPr>
                <w:rFonts w:eastAsia="Calibri" w:cs="Times New Roman"/>
              </w:rPr>
              <w:lastRenderedPageBreak/>
              <w:t>Breast Cancer Program </w:t>
            </w:r>
          </w:p>
        </w:tc>
        <w:tc>
          <w:tcPr>
            <w:tcW w:w="2070" w:type="dxa"/>
            <w:tcBorders>
              <w:top w:val="nil"/>
              <w:left w:val="nil"/>
              <w:bottom w:val="single" w:sz="8" w:space="0" w:color="auto"/>
              <w:right w:val="single" w:sz="8" w:space="0" w:color="auto"/>
            </w:tcBorders>
            <w:hideMark/>
          </w:tcPr>
          <w:p w14:paraId="07A32916" w14:textId="77777777" w:rsidR="00160B57" w:rsidRPr="00160B57" w:rsidRDefault="00160B57" w:rsidP="00160B57">
            <w:pPr>
              <w:spacing w:after="0" w:line="240" w:lineRule="auto"/>
              <w:jc w:val="center"/>
              <w:rPr>
                <w:rFonts w:eastAsia="Calibri" w:cs="Times New Roman"/>
              </w:rPr>
            </w:pPr>
            <w:r w:rsidRPr="00160B57">
              <w:rPr>
                <w:rFonts w:eastAsia="Calibri" w:cs="Times New Roman"/>
              </w:rPr>
              <w:t>NA</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196BDB54" w14:textId="77777777" w:rsidR="00160B57" w:rsidRPr="00160B57" w:rsidRDefault="00160B57" w:rsidP="00160B57">
            <w:pPr>
              <w:spacing w:after="0" w:line="240" w:lineRule="auto"/>
              <w:jc w:val="center"/>
              <w:rPr>
                <w:rFonts w:eastAsia="Calibri" w:cs="Times New Roman"/>
              </w:rPr>
            </w:pPr>
            <w:r w:rsidRPr="00160B57">
              <w:rPr>
                <w:rFonts w:eastAsia="Calibri" w:cs="Times New Roman"/>
                <w:b/>
                <w:bCs/>
              </w:rPr>
              <w:t>1622</w:t>
            </w:r>
          </w:p>
        </w:tc>
      </w:tr>
      <w:tr w:rsidR="00160B57" w:rsidRPr="00160B57" w14:paraId="62DAB596" w14:textId="77777777" w:rsidTr="00160B57">
        <w:trPr>
          <w:trHeight w:val="421"/>
        </w:trPr>
        <w:tc>
          <w:tcPr>
            <w:tcW w:w="7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1106F" w14:textId="77777777" w:rsidR="00160B57" w:rsidRPr="00160B57" w:rsidRDefault="00160B57" w:rsidP="00160B57">
            <w:pPr>
              <w:spacing w:after="0" w:line="240" w:lineRule="auto"/>
              <w:rPr>
                <w:rFonts w:eastAsia="Calibri" w:cs="Times New Roman"/>
              </w:rPr>
            </w:pPr>
            <w:r w:rsidRPr="00160B57">
              <w:rPr>
                <w:rFonts w:eastAsia="Calibri" w:cs="Times New Roman"/>
              </w:rPr>
              <w:t>Aging Population </w:t>
            </w:r>
          </w:p>
        </w:tc>
        <w:tc>
          <w:tcPr>
            <w:tcW w:w="2070" w:type="dxa"/>
            <w:tcBorders>
              <w:top w:val="nil"/>
              <w:left w:val="nil"/>
              <w:bottom w:val="single" w:sz="8" w:space="0" w:color="auto"/>
              <w:right w:val="single" w:sz="8" w:space="0" w:color="auto"/>
            </w:tcBorders>
            <w:hideMark/>
          </w:tcPr>
          <w:p w14:paraId="7C503934" w14:textId="77777777" w:rsidR="00160B57" w:rsidRPr="00160B57" w:rsidRDefault="00160B57" w:rsidP="00160B57">
            <w:pPr>
              <w:autoSpaceDE w:val="0"/>
              <w:autoSpaceDN w:val="0"/>
              <w:spacing w:after="0" w:line="240" w:lineRule="auto"/>
              <w:jc w:val="center"/>
              <w:rPr>
                <w:rFonts w:eastAsia="Calibri" w:cs="Times New Roman"/>
              </w:rPr>
            </w:pPr>
            <w:r w:rsidRPr="00160B57">
              <w:rPr>
                <w:rFonts w:eastAsia="Calibri" w:cs="Times New Roman"/>
                <w:b/>
                <w:bCs/>
              </w:rPr>
              <w:t>199</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2CAF79A7" w14:textId="77777777" w:rsidR="00160B57" w:rsidRPr="00160B57" w:rsidRDefault="00160B57" w:rsidP="00160B57">
            <w:pPr>
              <w:autoSpaceDE w:val="0"/>
              <w:autoSpaceDN w:val="0"/>
              <w:spacing w:after="0" w:line="240" w:lineRule="auto"/>
              <w:jc w:val="center"/>
              <w:rPr>
                <w:rFonts w:eastAsia="Calibri" w:cs="Times New Roman"/>
              </w:rPr>
            </w:pPr>
            <w:r w:rsidRPr="00160B57">
              <w:rPr>
                <w:rFonts w:eastAsia="Calibri" w:cs="Times New Roman"/>
              </w:rPr>
              <w:t>NA</w:t>
            </w:r>
          </w:p>
        </w:tc>
      </w:tr>
      <w:tr w:rsidR="00160B57" w:rsidRPr="00160B57" w14:paraId="2B362A1B" w14:textId="77777777" w:rsidTr="00160B57">
        <w:trPr>
          <w:trHeight w:val="997"/>
        </w:trPr>
        <w:tc>
          <w:tcPr>
            <w:tcW w:w="7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524FD" w14:textId="77777777" w:rsidR="00160B57" w:rsidRPr="00160B57" w:rsidRDefault="00160B57" w:rsidP="00160B57">
            <w:pPr>
              <w:spacing w:after="0" w:line="240" w:lineRule="auto"/>
              <w:rPr>
                <w:rFonts w:eastAsia="Calibri" w:cs="Times New Roman"/>
              </w:rPr>
            </w:pPr>
            <w:r w:rsidRPr="00160B57">
              <w:rPr>
                <w:rFonts w:eastAsia="Calibri" w:cs="Times New Roman"/>
              </w:rPr>
              <w:t xml:space="preserve">Additional services that will contribute to projected scan volume: </w:t>
            </w:r>
          </w:p>
          <w:p w14:paraId="5818F485" w14:textId="77777777" w:rsidR="00160B57" w:rsidRPr="00160B57" w:rsidRDefault="00160B57" w:rsidP="00160B57">
            <w:pPr>
              <w:spacing w:after="0" w:line="240" w:lineRule="auto"/>
              <w:ind w:left="144"/>
              <w:rPr>
                <w:rFonts w:eastAsia="Calibri" w:cs="Times New Roman"/>
              </w:rPr>
            </w:pPr>
            <w:r w:rsidRPr="00160B57">
              <w:rPr>
                <w:rFonts w:eastAsia="Calibri" w:cs="Times New Roman"/>
              </w:rPr>
              <w:t xml:space="preserve">Neuro imaging, perfusion brain tumor imaging, seizure imaging, inflammatory </w:t>
            </w:r>
            <w:proofErr w:type="spellStart"/>
            <w:r w:rsidRPr="00160B57">
              <w:rPr>
                <w:rFonts w:eastAsia="Calibri" w:cs="Times New Roman"/>
              </w:rPr>
              <w:t>arthropathies</w:t>
            </w:r>
            <w:proofErr w:type="spellEnd"/>
            <w:r w:rsidRPr="00160B57">
              <w:rPr>
                <w:rFonts w:eastAsia="Calibri" w:cs="Times New Roman"/>
              </w:rPr>
              <w:t xml:space="preserve">, small joint MRI, improved pediatric imaging, MR </w:t>
            </w:r>
            <w:proofErr w:type="spellStart"/>
            <w:r w:rsidRPr="00160B57">
              <w:rPr>
                <w:rFonts w:eastAsia="Calibri" w:cs="Times New Roman"/>
              </w:rPr>
              <w:t>Enterography</w:t>
            </w:r>
            <w:proofErr w:type="spellEnd"/>
            <w:r w:rsidRPr="00160B57">
              <w:rPr>
                <w:rFonts w:eastAsia="Calibri" w:cs="Times New Roman"/>
              </w:rPr>
              <w:t>, and acute abdomen MRI.   </w:t>
            </w:r>
          </w:p>
        </w:tc>
        <w:tc>
          <w:tcPr>
            <w:tcW w:w="2070" w:type="dxa"/>
            <w:tcBorders>
              <w:top w:val="nil"/>
              <w:left w:val="nil"/>
              <w:bottom w:val="single" w:sz="8" w:space="0" w:color="auto"/>
              <w:right w:val="single" w:sz="8" w:space="0" w:color="auto"/>
            </w:tcBorders>
            <w:hideMark/>
          </w:tcPr>
          <w:p w14:paraId="506980D6" w14:textId="77777777" w:rsidR="00160B57" w:rsidRPr="00160B57" w:rsidRDefault="00160B57" w:rsidP="00160B57">
            <w:pPr>
              <w:spacing w:after="0" w:line="240" w:lineRule="auto"/>
              <w:jc w:val="center"/>
              <w:rPr>
                <w:rFonts w:eastAsia="Calibri" w:cs="Times New Roman"/>
              </w:rPr>
            </w:pPr>
            <w:r w:rsidRPr="00160B57">
              <w:rPr>
                <w:rFonts w:eastAsia="Calibri" w:cs="Times New Roman"/>
              </w:rPr>
              <w:t>NA</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7A806882" w14:textId="77777777" w:rsidR="00160B57" w:rsidRPr="00160B57" w:rsidRDefault="00160B57" w:rsidP="00160B57">
            <w:pPr>
              <w:spacing w:after="0" w:line="240" w:lineRule="auto"/>
              <w:jc w:val="center"/>
              <w:rPr>
                <w:rFonts w:eastAsia="Calibri" w:cs="Times New Roman"/>
              </w:rPr>
            </w:pPr>
            <w:r w:rsidRPr="00160B57">
              <w:rPr>
                <w:rFonts w:eastAsia="Calibri" w:cs="Times New Roman"/>
                <w:b/>
                <w:bCs/>
              </w:rPr>
              <w:t>720</w:t>
            </w:r>
          </w:p>
        </w:tc>
      </w:tr>
      <w:tr w:rsidR="00160B57" w:rsidRPr="00160B57" w14:paraId="747292FB" w14:textId="77777777" w:rsidTr="00160B57">
        <w:trPr>
          <w:trHeight w:val="675"/>
        </w:trPr>
        <w:tc>
          <w:tcPr>
            <w:tcW w:w="7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A106B" w14:textId="77777777" w:rsidR="00160B57" w:rsidRPr="00160B57" w:rsidRDefault="00160B57" w:rsidP="00160B57">
            <w:pPr>
              <w:spacing w:after="0" w:line="240" w:lineRule="auto"/>
              <w:rPr>
                <w:rFonts w:eastAsia="Calibri" w:cs="Times New Roman"/>
              </w:rPr>
            </w:pPr>
            <w:r w:rsidRPr="00160B57">
              <w:rPr>
                <w:rFonts w:eastAsia="Calibri" w:cs="Times New Roman"/>
              </w:rPr>
              <w:t>A decrease in inpatient and Emergency patient wait times for MRI will lead to reductions in overall length of stay, and an increase in the number of patients served. </w:t>
            </w:r>
          </w:p>
        </w:tc>
        <w:tc>
          <w:tcPr>
            <w:tcW w:w="2070" w:type="dxa"/>
            <w:tcBorders>
              <w:top w:val="nil"/>
              <w:left w:val="nil"/>
              <w:bottom w:val="single" w:sz="8" w:space="0" w:color="auto"/>
              <w:right w:val="single" w:sz="8" w:space="0" w:color="auto"/>
            </w:tcBorders>
            <w:hideMark/>
          </w:tcPr>
          <w:p w14:paraId="2F54C512" w14:textId="77777777" w:rsidR="00160B57" w:rsidRPr="00160B57" w:rsidRDefault="00160B57" w:rsidP="00160B57">
            <w:pPr>
              <w:spacing w:after="0" w:line="240" w:lineRule="auto"/>
              <w:jc w:val="center"/>
              <w:rPr>
                <w:rFonts w:eastAsia="Calibri" w:cs="Times New Roman"/>
              </w:rPr>
            </w:pPr>
            <w:r w:rsidRPr="00160B57">
              <w:rPr>
                <w:rFonts w:eastAsia="Calibri" w:cs="Times New Roman"/>
                <w:b/>
                <w:bCs/>
              </w:rPr>
              <w:t>1,182</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6219021A" w14:textId="77777777" w:rsidR="00160B57" w:rsidRPr="00160B57" w:rsidRDefault="00160B57" w:rsidP="00160B57">
            <w:pPr>
              <w:spacing w:after="0" w:line="240" w:lineRule="auto"/>
              <w:jc w:val="center"/>
              <w:rPr>
                <w:rFonts w:eastAsia="Calibri" w:cs="Times New Roman"/>
              </w:rPr>
            </w:pPr>
            <w:r w:rsidRPr="00160B57">
              <w:rPr>
                <w:rFonts w:eastAsia="Calibri" w:cs="Times New Roman"/>
              </w:rPr>
              <w:t>NA</w:t>
            </w:r>
          </w:p>
        </w:tc>
      </w:tr>
      <w:tr w:rsidR="00160B57" w:rsidRPr="00160B57" w14:paraId="35FCABC1" w14:textId="77777777" w:rsidTr="00160B57">
        <w:trPr>
          <w:trHeight w:val="412"/>
        </w:trPr>
        <w:tc>
          <w:tcPr>
            <w:tcW w:w="7010"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6A7DAAD5" w14:textId="77777777" w:rsidR="00160B57" w:rsidRPr="00160B57" w:rsidRDefault="00160B57" w:rsidP="00160B57">
            <w:pPr>
              <w:spacing w:after="0" w:line="240" w:lineRule="auto"/>
              <w:rPr>
                <w:rFonts w:eastAsia="Calibri" w:cs="Times New Roman"/>
              </w:rPr>
            </w:pPr>
            <w:r w:rsidRPr="00160B57">
              <w:rPr>
                <w:rFonts w:eastAsia="Calibri" w:cs="Times New Roman"/>
                <w:color w:val="000000"/>
              </w:rPr>
              <w:t>Totals</w:t>
            </w:r>
          </w:p>
        </w:tc>
        <w:tc>
          <w:tcPr>
            <w:tcW w:w="2070" w:type="dxa"/>
            <w:tcBorders>
              <w:top w:val="nil"/>
              <w:left w:val="nil"/>
              <w:bottom w:val="single" w:sz="8" w:space="0" w:color="auto"/>
              <w:right w:val="single" w:sz="8" w:space="0" w:color="auto"/>
            </w:tcBorders>
            <w:shd w:val="clear" w:color="auto" w:fill="D5DCE4"/>
            <w:hideMark/>
          </w:tcPr>
          <w:p w14:paraId="720F8CC3" w14:textId="77777777" w:rsidR="00160B57" w:rsidRPr="00160B57" w:rsidRDefault="00160B57" w:rsidP="00160B57">
            <w:pPr>
              <w:spacing w:after="0" w:line="240" w:lineRule="auto"/>
              <w:jc w:val="center"/>
              <w:rPr>
                <w:rFonts w:eastAsia="Calibri" w:cs="Times New Roman"/>
              </w:rPr>
            </w:pPr>
            <w:r w:rsidRPr="00160B57">
              <w:rPr>
                <w:rFonts w:eastAsia="Calibri" w:cs="Times New Roman"/>
                <w:b/>
                <w:bCs/>
                <w:color w:val="000000"/>
              </w:rPr>
              <w:t>1,381</w:t>
            </w:r>
          </w:p>
        </w:tc>
        <w:tc>
          <w:tcPr>
            <w:tcW w:w="207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5997F772" w14:textId="77777777" w:rsidR="00160B57" w:rsidRPr="00160B57" w:rsidRDefault="00160B57" w:rsidP="00160B57">
            <w:pPr>
              <w:spacing w:after="0" w:line="240" w:lineRule="auto"/>
              <w:jc w:val="center"/>
              <w:rPr>
                <w:rFonts w:eastAsia="Calibri" w:cs="Times New Roman"/>
              </w:rPr>
            </w:pPr>
            <w:r w:rsidRPr="00160B57">
              <w:rPr>
                <w:rFonts w:eastAsia="Calibri" w:cs="Times New Roman"/>
                <w:b/>
                <w:bCs/>
                <w:color w:val="000000"/>
              </w:rPr>
              <w:t>4,096</w:t>
            </w:r>
          </w:p>
        </w:tc>
      </w:tr>
      <w:tr w:rsidR="00160B57" w:rsidRPr="00160B57" w14:paraId="6AA89AEC" w14:textId="77777777" w:rsidTr="00160B57">
        <w:trPr>
          <w:trHeight w:val="349"/>
        </w:trPr>
        <w:tc>
          <w:tcPr>
            <w:tcW w:w="7010" w:type="dxa"/>
            <w:tcBorders>
              <w:top w:val="nil"/>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3955CEB3" w14:textId="77777777" w:rsidR="00160B57" w:rsidRPr="00160B57" w:rsidRDefault="00160B57" w:rsidP="00160B57">
            <w:pPr>
              <w:spacing w:after="0" w:line="240" w:lineRule="auto"/>
              <w:rPr>
                <w:rFonts w:eastAsia="Calibri" w:cs="Times New Roman"/>
              </w:rPr>
            </w:pPr>
            <w:r w:rsidRPr="00160B57">
              <w:rPr>
                <w:rFonts w:eastAsia="Calibri" w:cs="Times New Roman"/>
                <w:color w:val="000000"/>
              </w:rPr>
              <w:t>Combined Totals</w:t>
            </w:r>
          </w:p>
        </w:tc>
        <w:tc>
          <w:tcPr>
            <w:tcW w:w="4140" w:type="dxa"/>
            <w:gridSpan w:val="2"/>
            <w:tcBorders>
              <w:top w:val="nil"/>
              <w:left w:val="nil"/>
              <w:bottom w:val="single" w:sz="8" w:space="0" w:color="auto"/>
              <w:right w:val="single" w:sz="8" w:space="0" w:color="auto"/>
            </w:tcBorders>
            <w:shd w:val="clear" w:color="auto" w:fill="ACB9CA"/>
            <w:hideMark/>
          </w:tcPr>
          <w:p w14:paraId="2BE77CB9" w14:textId="77777777" w:rsidR="00160B57" w:rsidRPr="00160B57" w:rsidRDefault="00160B57" w:rsidP="00160B57">
            <w:pPr>
              <w:spacing w:after="0" w:line="240" w:lineRule="auto"/>
              <w:jc w:val="center"/>
              <w:rPr>
                <w:rFonts w:eastAsia="Calibri" w:cs="Times New Roman"/>
              </w:rPr>
            </w:pPr>
            <w:r w:rsidRPr="00160B57">
              <w:rPr>
                <w:rFonts w:eastAsia="Calibri" w:cs="Times New Roman"/>
                <w:b/>
                <w:bCs/>
                <w:color w:val="000000"/>
              </w:rPr>
              <w:t>5,477</w:t>
            </w:r>
          </w:p>
        </w:tc>
      </w:tr>
    </w:tbl>
    <w:bookmarkEnd w:id="0"/>
    <w:p w14:paraId="614C4824" w14:textId="77777777" w:rsidR="00160B57" w:rsidRPr="00160B57" w:rsidRDefault="00160B57" w:rsidP="00160B57">
      <w:pPr>
        <w:spacing w:after="0" w:line="240" w:lineRule="auto"/>
        <w:rPr>
          <w:rFonts w:eastAsia="Calibri" w:cs="Times New Roman"/>
        </w:rPr>
      </w:pPr>
      <w:r w:rsidRPr="00160B57">
        <w:rPr>
          <w:rFonts w:eastAsia="Calibri" w:cs="Times New Roman"/>
        </w:rPr>
        <w:t> </w:t>
      </w:r>
    </w:p>
    <w:p w14:paraId="26E092FF" w14:textId="77777777" w:rsidR="00222465" w:rsidRPr="00FC6A16" w:rsidRDefault="00222465" w:rsidP="00222465">
      <w:pPr>
        <w:rPr>
          <w:rFonts w:cstheme="minorHAnsi"/>
          <w:b/>
          <w:bCs/>
        </w:rPr>
      </w:pPr>
    </w:p>
    <w:sectPr w:rsidR="00222465" w:rsidRPr="00FC6A16" w:rsidSect="004B678F">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A1766" w14:textId="77777777" w:rsidR="007B4D4B" w:rsidRDefault="007B4D4B" w:rsidP="00231103">
      <w:pPr>
        <w:spacing w:after="0" w:line="240" w:lineRule="auto"/>
      </w:pPr>
      <w:r>
        <w:separator/>
      </w:r>
    </w:p>
  </w:endnote>
  <w:endnote w:type="continuationSeparator" w:id="0">
    <w:p w14:paraId="036DD790" w14:textId="77777777" w:rsidR="007B4D4B" w:rsidRDefault="007B4D4B" w:rsidP="0023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878915"/>
      <w:docPartObj>
        <w:docPartGallery w:val="Page Numbers (Bottom of Page)"/>
        <w:docPartUnique/>
      </w:docPartObj>
    </w:sdtPr>
    <w:sdtEndPr>
      <w:rPr>
        <w:noProof/>
      </w:rPr>
    </w:sdtEndPr>
    <w:sdtContent>
      <w:p w14:paraId="0D149475" w14:textId="6E558639" w:rsidR="00632AEC" w:rsidRDefault="00632AEC">
        <w:pPr>
          <w:pStyle w:val="Footer"/>
          <w:jc w:val="center"/>
        </w:pPr>
        <w:r>
          <w:fldChar w:fldCharType="begin"/>
        </w:r>
        <w:r>
          <w:instrText xml:space="preserve"> PAGE   \* MERGEFORMAT </w:instrText>
        </w:r>
        <w:r>
          <w:fldChar w:fldCharType="separate"/>
        </w:r>
        <w:r w:rsidR="006834DB">
          <w:rPr>
            <w:noProof/>
          </w:rPr>
          <w:t>3</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17ED3" w14:textId="77777777" w:rsidR="007B4D4B" w:rsidRDefault="007B4D4B" w:rsidP="00231103">
      <w:pPr>
        <w:spacing w:after="0" w:line="240" w:lineRule="auto"/>
      </w:pPr>
      <w:r>
        <w:separator/>
      </w:r>
    </w:p>
  </w:footnote>
  <w:footnote w:type="continuationSeparator" w:id="0">
    <w:p w14:paraId="7C187880" w14:textId="77777777" w:rsidR="007B4D4B" w:rsidRDefault="007B4D4B" w:rsidP="0023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605D" w14:textId="0979BD16" w:rsidR="00D223EB" w:rsidRPr="00D223EB" w:rsidRDefault="00D223EB" w:rsidP="00D223EB">
    <w:pPr>
      <w:pStyle w:val="Header"/>
      <w:pBdr>
        <w:bottom w:val="single" w:sz="4" w:space="1" w:color="auto"/>
      </w:pBdr>
      <w:jc w:val="center"/>
      <w:rPr>
        <w:b/>
        <w:bCs/>
        <w:sz w:val="28"/>
        <w:szCs w:val="28"/>
      </w:rPr>
    </w:pPr>
    <w:r w:rsidRPr="00D223EB">
      <w:rPr>
        <w:b/>
        <w:bCs/>
        <w:sz w:val="28"/>
        <w:szCs w:val="28"/>
      </w:rPr>
      <w:t>South Shore Health System, Inc.</w:t>
    </w:r>
  </w:p>
  <w:p w14:paraId="78DC6D8E" w14:textId="610AE225" w:rsidR="00D223EB" w:rsidRPr="00D223EB" w:rsidRDefault="00D223EB" w:rsidP="00D223EB">
    <w:pPr>
      <w:pStyle w:val="Header"/>
      <w:pBdr>
        <w:bottom w:val="single" w:sz="4" w:space="1" w:color="auto"/>
      </w:pBdr>
      <w:jc w:val="center"/>
      <w:rPr>
        <w:sz w:val="28"/>
        <w:szCs w:val="28"/>
      </w:rPr>
    </w:pPr>
    <w:proofErr w:type="spellStart"/>
    <w:r w:rsidRPr="00D223EB">
      <w:rPr>
        <w:sz w:val="28"/>
        <w:szCs w:val="28"/>
      </w:rPr>
      <w:t>DoN</w:t>
    </w:r>
    <w:proofErr w:type="spellEnd"/>
    <w:r w:rsidRPr="00D223EB">
      <w:rPr>
        <w:sz w:val="28"/>
        <w:szCs w:val="28"/>
      </w:rPr>
      <w:t xml:space="preserve"> #21040109-HS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F5F"/>
    <w:multiLevelType w:val="hybridMultilevel"/>
    <w:tmpl w:val="25CC5ABE"/>
    <w:lvl w:ilvl="0" w:tplc="1F52F8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904E8"/>
    <w:multiLevelType w:val="multilevel"/>
    <w:tmpl w:val="F574F4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C70BBB"/>
    <w:multiLevelType w:val="hybridMultilevel"/>
    <w:tmpl w:val="DCB49C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1D6DA6"/>
    <w:multiLevelType w:val="hybridMultilevel"/>
    <w:tmpl w:val="5ED47D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CD09B6"/>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D1C23"/>
    <w:multiLevelType w:val="multilevel"/>
    <w:tmpl w:val="47D62B38"/>
    <w:lvl w:ilvl="0">
      <w:start w:val="1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7E32D7"/>
    <w:multiLevelType w:val="multilevel"/>
    <w:tmpl w:val="5B682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64F2237"/>
    <w:multiLevelType w:val="hybridMultilevel"/>
    <w:tmpl w:val="09683A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A20EA3"/>
    <w:multiLevelType w:val="hybridMultilevel"/>
    <w:tmpl w:val="0CCEB5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739B2"/>
    <w:multiLevelType w:val="hybridMultilevel"/>
    <w:tmpl w:val="A204FC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6"/>
  </w:num>
  <w:num w:numId="4">
    <w:abstractNumId w:val="5"/>
  </w:num>
  <w:num w:numId="5">
    <w:abstractNumId w:val="14"/>
  </w:num>
  <w:num w:numId="6">
    <w:abstractNumId w:val="9"/>
  </w:num>
  <w:num w:numId="7">
    <w:abstractNumId w:val="7"/>
  </w:num>
  <w:num w:numId="8">
    <w:abstractNumId w:val="4"/>
  </w:num>
  <w:num w:numId="9">
    <w:abstractNumId w:val="8"/>
  </w:num>
  <w:num w:numId="10">
    <w:abstractNumId w:val="1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 w:numId="16">
    <w:abstractNumId w:val="0"/>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5C"/>
    <w:rsid w:val="000037BD"/>
    <w:rsid w:val="000057EC"/>
    <w:rsid w:val="00005930"/>
    <w:rsid w:val="00012279"/>
    <w:rsid w:val="00025521"/>
    <w:rsid w:val="00032FF5"/>
    <w:rsid w:val="0004645C"/>
    <w:rsid w:val="00054FF4"/>
    <w:rsid w:val="00064206"/>
    <w:rsid w:val="00073DC9"/>
    <w:rsid w:val="00074092"/>
    <w:rsid w:val="00076CB2"/>
    <w:rsid w:val="000862E1"/>
    <w:rsid w:val="000B1D01"/>
    <w:rsid w:val="00104A04"/>
    <w:rsid w:val="00106D23"/>
    <w:rsid w:val="0012232D"/>
    <w:rsid w:val="00154A10"/>
    <w:rsid w:val="00160B57"/>
    <w:rsid w:val="00176547"/>
    <w:rsid w:val="00176C56"/>
    <w:rsid w:val="001871CC"/>
    <w:rsid w:val="00191DAC"/>
    <w:rsid w:val="00192CFC"/>
    <w:rsid w:val="001B3A91"/>
    <w:rsid w:val="001C2783"/>
    <w:rsid w:val="001C5BF3"/>
    <w:rsid w:val="001E21D7"/>
    <w:rsid w:val="001F27B7"/>
    <w:rsid w:val="001F667D"/>
    <w:rsid w:val="00222465"/>
    <w:rsid w:val="00226A63"/>
    <w:rsid w:val="00231103"/>
    <w:rsid w:val="0025349C"/>
    <w:rsid w:val="00274E7B"/>
    <w:rsid w:val="0027783A"/>
    <w:rsid w:val="002A5E73"/>
    <w:rsid w:val="002F7B99"/>
    <w:rsid w:val="003030AA"/>
    <w:rsid w:val="00303EE3"/>
    <w:rsid w:val="00306307"/>
    <w:rsid w:val="003103B0"/>
    <w:rsid w:val="00312A19"/>
    <w:rsid w:val="003620FB"/>
    <w:rsid w:val="00366918"/>
    <w:rsid w:val="00366DCC"/>
    <w:rsid w:val="00380361"/>
    <w:rsid w:val="003A4882"/>
    <w:rsid w:val="003B5953"/>
    <w:rsid w:val="003D50D2"/>
    <w:rsid w:val="0042031C"/>
    <w:rsid w:val="004B1CE6"/>
    <w:rsid w:val="004B678F"/>
    <w:rsid w:val="004C2AE3"/>
    <w:rsid w:val="004D0BF9"/>
    <w:rsid w:val="004D293C"/>
    <w:rsid w:val="004E166A"/>
    <w:rsid w:val="004F432A"/>
    <w:rsid w:val="004F6BB4"/>
    <w:rsid w:val="00514ECB"/>
    <w:rsid w:val="00527788"/>
    <w:rsid w:val="005301FC"/>
    <w:rsid w:val="00530477"/>
    <w:rsid w:val="00554CF4"/>
    <w:rsid w:val="00555A05"/>
    <w:rsid w:val="00561790"/>
    <w:rsid w:val="00561BCC"/>
    <w:rsid w:val="00587600"/>
    <w:rsid w:val="005941A3"/>
    <w:rsid w:val="005977E8"/>
    <w:rsid w:val="005A2F6B"/>
    <w:rsid w:val="005D77D5"/>
    <w:rsid w:val="00610F50"/>
    <w:rsid w:val="006117D0"/>
    <w:rsid w:val="00632AEC"/>
    <w:rsid w:val="00636A3D"/>
    <w:rsid w:val="006403D2"/>
    <w:rsid w:val="00643D57"/>
    <w:rsid w:val="0065372D"/>
    <w:rsid w:val="006560F8"/>
    <w:rsid w:val="006814E7"/>
    <w:rsid w:val="006834DB"/>
    <w:rsid w:val="006A25D2"/>
    <w:rsid w:val="006B0549"/>
    <w:rsid w:val="006B5BEF"/>
    <w:rsid w:val="006C552B"/>
    <w:rsid w:val="006D650D"/>
    <w:rsid w:val="006E279C"/>
    <w:rsid w:val="006F4EF5"/>
    <w:rsid w:val="0071402E"/>
    <w:rsid w:val="007230BC"/>
    <w:rsid w:val="0073404F"/>
    <w:rsid w:val="00734A0C"/>
    <w:rsid w:val="00740B16"/>
    <w:rsid w:val="00743F50"/>
    <w:rsid w:val="00771621"/>
    <w:rsid w:val="00785253"/>
    <w:rsid w:val="00795B9D"/>
    <w:rsid w:val="00795E61"/>
    <w:rsid w:val="007B4D4B"/>
    <w:rsid w:val="007B5C83"/>
    <w:rsid w:val="007D67FF"/>
    <w:rsid w:val="007E0AC9"/>
    <w:rsid w:val="007F5301"/>
    <w:rsid w:val="007F6742"/>
    <w:rsid w:val="00815464"/>
    <w:rsid w:val="008443E7"/>
    <w:rsid w:val="00851136"/>
    <w:rsid w:val="0086021D"/>
    <w:rsid w:val="00862AF4"/>
    <w:rsid w:val="00876CE8"/>
    <w:rsid w:val="008A7920"/>
    <w:rsid w:val="008A7D64"/>
    <w:rsid w:val="008B7668"/>
    <w:rsid w:val="008C1253"/>
    <w:rsid w:val="008C698B"/>
    <w:rsid w:val="008D5182"/>
    <w:rsid w:val="008D5359"/>
    <w:rsid w:val="008F1860"/>
    <w:rsid w:val="00911747"/>
    <w:rsid w:val="00914855"/>
    <w:rsid w:val="009317D3"/>
    <w:rsid w:val="00935106"/>
    <w:rsid w:val="0093616A"/>
    <w:rsid w:val="009366A5"/>
    <w:rsid w:val="00937C51"/>
    <w:rsid w:val="00937DF4"/>
    <w:rsid w:val="0094528E"/>
    <w:rsid w:val="00964903"/>
    <w:rsid w:val="009910CE"/>
    <w:rsid w:val="009B122A"/>
    <w:rsid w:val="009C2396"/>
    <w:rsid w:val="009E2663"/>
    <w:rsid w:val="009E2754"/>
    <w:rsid w:val="009E7577"/>
    <w:rsid w:val="009F3886"/>
    <w:rsid w:val="00A0160C"/>
    <w:rsid w:val="00A15C5C"/>
    <w:rsid w:val="00A27C1B"/>
    <w:rsid w:val="00A44911"/>
    <w:rsid w:val="00A628AF"/>
    <w:rsid w:val="00A63B34"/>
    <w:rsid w:val="00A82823"/>
    <w:rsid w:val="00A83C91"/>
    <w:rsid w:val="00A84E87"/>
    <w:rsid w:val="00A9164D"/>
    <w:rsid w:val="00A97218"/>
    <w:rsid w:val="00AB56AA"/>
    <w:rsid w:val="00AE1F14"/>
    <w:rsid w:val="00AE2E70"/>
    <w:rsid w:val="00AE7CBF"/>
    <w:rsid w:val="00AF01F5"/>
    <w:rsid w:val="00B15D82"/>
    <w:rsid w:val="00B47C7E"/>
    <w:rsid w:val="00B851A8"/>
    <w:rsid w:val="00BA1F76"/>
    <w:rsid w:val="00BB0F4E"/>
    <w:rsid w:val="00BD3B34"/>
    <w:rsid w:val="00BD5D70"/>
    <w:rsid w:val="00BE67C3"/>
    <w:rsid w:val="00BF349C"/>
    <w:rsid w:val="00C3642C"/>
    <w:rsid w:val="00C42388"/>
    <w:rsid w:val="00C5224B"/>
    <w:rsid w:val="00CC4C68"/>
    <w:rsid w:val="00CC71D1"/>
    <w:rsid w:val="00CD6122"/>
    <w:rsid w:val="00CE2D5F"/>
    <w:rsid w:val="00CF2AD9"/>
    <w:rsid w:val="00CF3097"/>
    <w:rsid w:val="00D054A2"/>
    <w:rsid w:val="00D11BF8"/>
    <w:rsid w:val="00D223EB"/>
    <w:rsid w:val="00D279F2"/>
    <w:rsid w:val="00D63B4A"/>
    <w:rsid w:val="00D75C50"/>
    <w:rsid w:val="00D851C5"/>
    <w:rsid w:val="00D866CA"/>
    <w:rsid w:val="00D93BBE"/>
    <w:rsid w:val="00DB685D"/>
    <w:rsid w:val="00DC3F91"/>
    <w:rsid w:val="00DE7675"/>
    <w:rsid w:val="00DF07AB"/>
    <w:rsid w:val="00DF2366"/>
    <w:rsid w:val="00E33041"/>
    <w:rsid w:val="00E54D9E"/>
    <w:rsid w:val="00E5594A"/>
    <w:rsid w:val="00E56B19"/>
    <w:rsid w:val="00E73075"/>
    <w:rsid w:val="00E86ACC"/>
    <w:rsid w:val="00E92D51"/>
    <w:rsid w:val="00E932CC"/>
    <w:rsid w:val="00E973AC"/>
    <w:rsid w:val="00EA0562"/>
    <w:rsid w:val="00EB63FE"/>
    <w:rsid w:val="00EC7F18"/>
    <w:rsid w:val="00EF43C6"/>
    <w:rsid w:val="00F065A1"/>
    <w:rsid w:val="00F14148"/>
    <w:rsid w:val="00F2425E"/>
    <w:rsid w:val="00F2668C"/>
    <w:rsid w:val="00F273E5"/>
    <w:rsid w:val="00F35DC5"/>
    <w:rsid w:val="00F37114"/>
    <w:rsid w:val="00F648BC"/>
    <w:rsid w:val="00F76C99"/>
    <w:rsid w:val="00F8212F"/>
    <w:rsid w:val="00F9073C"/>
    <w:rsid w:val="00F956B0"/>
    <w:rsid w:val="00FA2790"/>
    <w:rsid w:val="00FA59CA"/>
    <w:rsid w:val="00FA5F90"/>
    <w:rsid w:val="00FB3938"/>
    <w:rsid w:val="00FC6A16"/>
    <w:rsid w:val="00FD1088"/>
    <w:rsid w:val="00FD1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D1842"/>
  <w15:docId w15:val="{D239C0BB-8F8D-4A9E-8B48-347EE126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semiHidden/>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semiHidden/>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98204">
      <w:bodyDiv w:val="1"/>
      <w:marLeft w:val="0"/>
      <w:marRight w:val="0"/>
      <w:marTop w:val="0"/>
      <w:marBottom w:val="0"/>
      <w:divBdr>
        <w:top w:val="none" w:sz="0" w:space="0" w:color="auto"/>
        <w:left w:val="none" w:sz="0" w:space="0" w:color="auto"/>
        <w:bottom w:val="none" w:sz="0" w:space="0" w:color="auto"/>
        <w:right w:val="none" w:sz="0" w:space="0" w:color="auto"/>
      </w:divBdr>
    </w:div>
    <w:div w:id="291718842">
      <w:bodyDiv w:val="1"/>
      <w:marLeft w:val="0"/>
      <w:marRight w:val="0"/>
      <w:marTop w:val="0"/>
      <w:marBottom w:val="0"/>
      <w:divBdr>
        <w:top w:val="none" w:sz="0" w:space="0" w:color="auto"/>
        <w:left w:val="none" w:sz="0" w:space="0" w:color="auto"/>
        <w:bottom w:val="none" w:sz="0" w:space="0" w:color="auto"/>
        <w:right w:val="none" w:sz="0" w:space="0" w:color="auto"/>
      </w:divBdr>
    </w:div>
    <w:div w:id="513032124">
      <w:bodyDiv w:val="1"/>
      <w:marLeft w:val="0"/>
      <w:marRight w:val="0"/>
      <w:marTop w:val="0"/>
      <w:marBottom w:val="0"/>
      <w:divBdr>
        <w:top w:val="none" w:sz="0" w:space="0" w:color="auto"/>
        <w:left w:val="none" w:sz="0" w:space="0" w:color="auto"/>
        <w:bottom w:val="none" w:sz="0" w:space="0" w:color="auto"/>
        <w:right w:val="none" w:sz="0" w:space="0" w:color="auto"/>
      </w:divBdr>
    </w:div>
    <w:div w:id="709113025">
      <w:bodyDiv w:val="1"/>
      <w:marLeft w:val="0"/>
      <w:marRight w:val="0"/>
      <w:marTop w:val="0"/>
      <w:marBottom w:val="0"/>
      <w:divBdr>
        <w:top w:val="none" w:sz="0" w:space="0" w:color="auto"/>
        <w:left w:val="none" w:sz="0" w:space="0" w:color="auto"/>
        <w:bottom w:val="none" w:sz="0" w:space="0" w:color="auto"/>
        <w:right w:val="none" w:sz="0" w:space="0" w:color="auto"/>
      </w:divBdr>
    </w:div>
    <w:div w:id="1123037635">
      <w:bodyDiv w:val="1"/>
      <w:marLeft w:val="0"/>
      <w:marRight w:val="0"/>
      <w:marTop w:val="0"/>
      <w:marBottom w:val="0"/>
      <w:divBdr>
        <w:top w:val="none" w:sz="0" w:space="0" w:color="auto"/>
        <w:left w:val="none" w:sz="0" w:space="0" w:color="auto"/>
        <w:bottom w:val="none" w:sz="0" w:space="0" w:color="auto"/>
        <w:right w:val="none" w:sz="0" w:space="0" w:color="auto"/>
      </w:divBdr>
    </w:div>
    <w:div w:id="126657924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07863-6954-4A1B-AE03-67557C81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Cioffari-Macphee, Diana (DPH)</cp:lastModifiedBy>
  <cp:revision>4</cp:revision>
  <dcterms:created xsi:type="dcterms:W3CDTF">2021-09-27T19:38:00Z</dcterms:created>
  <dcterms:modified xsi:type="dcterms:W3CDTF">2021-09-28T16:56:00Z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