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E0195" w14:textId="77777777" w:rsidR="00D223EB" w:rsidRDefault="00D223EB" w:rsidP="00D223EB">
      <w:pPr>
        <w:jc w:val="center"/>
        <w:rPr>
          <w:rFonts w:ascii="Garamond" w:hAnsi="Garamond"/>
          <w:b/>
          <w:bCs/>
        </w:rPr>
      </w:pPr>
      <w:bookmarkStart w:id="0" w:name="_GoBack"/>
      <w:bookmarkEnd w:id="0"/>
    </w:p>
    <w:p w14:paraId="1E6A601F" w14:textId="364C3473" w:rsidR="00D223EB" w:rsidRPr="00054FF4" w:rsidRDefault="00D223EB" w:rsidP="00FF498A">
      <w:pPr>
        <w:pStyle w:val="Heading1"/>
      </w:pPr>
      <w:r w:rsidRPr="00054FF4">
        <w:t xml:space="preserve">APPLICANT </w:t>
      </w:r>
      <w:r w:rsidR="00FB37BD">
        <w:t>RESPONSES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DoN staff at </w:t>
      </w:r>
      <w:hyperlink r:id="rId11"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Caption w:val="Question Guidelines"/>
        <w:tblDescription w:val="Question Guidelines"/>
      </w:tblPr>
      <w:tblGrid>
        <w:gridCol w:w="9350"/>
      </w:tblGrid>
      <w:tr w:rsidR="00D223EB" w:rsidRPr="00054FF4" w14:paraId="57106F2B" w14:textId="77777777" w:rsidTr="00003D2E">
        <w:trPr>
          <w:trHeight w:val="2807"/>
          <w:tblHeader/>
          <w:jc w:val="center"/>
        </w:trPr>
        <w:tc>
          <w:tcPr>
            <w:tcW w:w="9350" w:type="dxa"/>
          </w:tcPr>
          <w:p w14:paraId="0D6A2228" w14:textId="77777777" w:rsidR="00D223EB" w:rsidRPr="00054FF4" w:rsidRDefault="00D223EB" w:rsidP="00BA186B">
            <w:pPr>
              <w:rPr>
                <w:rFonts w:cstheme="minorHAnsi"/>
                <w:bCs/>
              </w:rPr>
            </w:pPr>
            <w:r w:rsidRPr="00054FF4">
              <w:rPr>
                <w:rFonts w:cstheme="minorHAnsi"/>
                <w:bCs/>
              </w:rPr>
              <w:t xml:space="preserve">While you may submit each answer as available, please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provide </w:t>
            </w:r>
          </w:p>
          <w:p w14:paraId="77AFC609" w14:textId="1CDCB293" w:rsidR="00D223EB" w:rsidRPr="00054FF4" w:rsidRDefault="00D223EB" w:rsidP="00D223EB">
            <w:pPr>
              <w:pStyle w:val="ListParagraph"/>
              <w:numPr>
                <w:ilvl w:val="0"/>
                <w:numId w:val="4"/>
              </w:numPr>
              <w:rPr>
                <w:rFonts w:cstheme="minorHAnsi"/>
                <w:bCs/>
              </w:rPr>
            </w:pPr>
            <w:r w:rsidRPr="00054FF4">
              <w:rPr>
                <w:rFonts w:cstheme="minorHAnsi"/>
                <w:bCs/>
              </w:rPr>
              <w:t xml:space="preserve">Submit responses using the above application title and number as a running header and page numbers in the footer </w:t>
            </w:r>
          </w:p>
          <w:p w14:paraId="2D4D3A49" w14:textId="16346E22" w:rsidR="00D223EB" w:rsidRDefault="00D223EB" w:rsidP="00D223EB">
            <w:pPr>
              <w:pStyle w:val="ListParagraph"/>
              <w:numPr>
                <w:ilvl w:val="0"/>
                <w:numId w:val="4"/>
              </w:numPr>
              <w:rPr>
                <w:rFonts w:cstheme="minorHAnsi"/>
                <w:bCs/>
              </w:rPr>
            </w:pPr>
            <w:r w:rsidRPr="00054FF4">
              <w:rPr>
                <w:rFonts w:cstheme="minorHAnsi"/>
                <w:bCs/>
              </w:rPr>
              <w:t xml:space="preserve">When providing the answer to the final question, submit all questions and answers in one final document </w:t>
            </w:r>
          </w:p>
          <w:p w14:paraId="7471D694" w14:textId="4E41EFDD" w:rsidR="0091602B" w:rsidRPr="00054FF4" w:rsidRDefault="0091602B" w:rsidP="00D223EB">
            <w:pPr>
              <w:pStyle w:val="ListParagraph"/>
              <w:numPr>
                <w:ilvl w:val="0"/>
                <w:numId w:val="4"/>
              </w:numPr>
              <w:rPr>
                <w:rFonts w:cstheme="minorHAnsi"/>
                <w:bCs/>
              </w:rPr>
            </w:pPr>
            <w:r w:rsidRPr="0091602B">
              <w:rPr>
                <w:rFonts w:cstheme="minorHAnsi"/>
                <w:bCs/>
              </w:rPr>
              <w:t>Whenever possible, include a table with the response</w:t>
            </w:r>
          </w:p>
          <w:p w14:paraId="6BFCFD3D" w14:textId="77777777" w:rsidR="00D223EB" w:rsidRPr="00101CDC" w:rsidRDefault="00AE2FFA" w:rsidP="0091602B">
            <w:pPr>
              <w:pStyle w:val="ListParagraph"/>
              <w:numPr>
                <w:ilvl w:val="0"/>
                <w:numId w:val="4"/>
              </w:numPr>
              <w:rPr>
                <w:rFonts w:cstheme="minorHAnsi"/>
                <w:b/>
              </w:rPr>
            </w:pPr>
            <w:r w:rsidRPr="00443E95">
              <w:rPr>
                <w:rFonts w:cstheme="minorHAnsi"/>
                <w:b/>
                <w:bCs/>
              </w:rPr>
              <w:t>Responses must be available in PDF and source document (Excel preferred for data and Word for narrative).</w:t>
            </w:r>
          </w:p>
          <w:p w14:paraId="552712FE" w14:textId="39C0975C" w:rsidR="00101CDC" w:rsidRPr="00FB37BD" w:rsidRDefault="00101CDC" w:rsidP="00FB37BD">
            <w:pPr>
              <w:ind w:left="360"/>
              <w:rPr>
                <w:rFonts w:cstheme="minorHAnsi"/>
                <w:b/>
              </w:rPr>
            </w:pPr>
          </w:p>
        </w:tc>
      </w:tr>
    </w:tbl>
    <w:p w14:paraId="2758094D" w14:textId="77777777" w:rsidR="00032FF5" w:rsidRDefault="00032FF5"/>
    <w:p w14:paraId="24E7A98A" w14:textId="24908231" w:rsidR="00743F50" w:rsidRPr="00832D3A" w:rsidRDefault="00911747" w:rsidP="007F6742">
      <w:pPr>
        <w:tabs>
          <w:tab w:val="left" w:pos="4455"/>
        </w:tabs>
        <w:rPr>
          <w:rFonts w:cstheme="minorHAnsi"/>
          <w:b/>
          <w:bCs/>
          <w:sz w:val="28"/>
          <w:szCs w:val="28"/>
        </w:rPr>
      </w:pPr>
      <w:r w:rsidRPr="00832D3A">
        <w:rPr>
          <w:rFonts w:cstheme="minorHAnsi"/>
          <w:b/>
          <w:bCs/>
          <w:sz w:val="28"/>
          <w:szCs w:val="28"/>
        </w:rPr>
        <w:t>FACTOR 1</w:t>
      </w:r>
      <w:r w:rsidR="007F6742" w:rsidRPr="00832D3A">
        <w:rPr>
          <w:rFonts w:cstheme="minorHAnsi"/>
          <w:b/>
          <w:bCs/>
          <w:sz w:val="28"/>
          <w:szCs w:val="28"/>
        </w:rPr>
        <w:tab/>
      </w:r>
    </w:p>
    <w:p w14:paraId="109F1696" w14:textId="77777777" w:rsidR="00911747" w:rsidRPr="00832D3A" w:rsidRDefault="00911747" w:rsidP="00911747">
      <w:pPr>
        <w:rPr>
          <w:rFonts w:cstheme="minorHAnsi"/>
          <w:b/>
          <w:bCs/>
          <w:i/>
          <w:iCs/>
        </w:rPr>
      </w:pPr>
      <w:r w:rsidRPr="00832D3A">
        <w:rPr>
          <w:rFonts w:cstheme="minorHAnsi"/>
          <w:b/>
          <w:bCs/>
          <w:i/>
          <w:iCs/>
        </w:rPr>
        <w:t>Factor 1a. Patient Panel and Need</w:t>
      </w:r>
    </w:p>
    <w:p w14:paraId="12A911C9" w14:textId="73488E0C" w:rsidR="000358DA" w:rsidRPr="00832D3A" w:rsidRDefault="00121DD1" w:rsidP="00226A63">
      <w:pPr>
        <w:pStyle w:val="ListParagraph"/>
        <w:numPr>
          <w:ilvl w:val="0"/>
          <w:numId w:val="5"/>
        </w:numPr>
        <w:rPr>
          <w:rFonts w:cstheme="minorHAnsi"/>
          <w:b/>
          <w:bCs/>
        </w:rPr>
      </w:pPr>
      <w:r w:rsidRPr="00832D3A">
        <w:rPr>
          <w:rFonts w:cstheme="minorHAnsi"/>
          <w:b/>
          <w:bCs/>
        </w:rPr>
        <w:t>R</w:t>
      </w:r>
      <w:r w:rsidR="00E95536" w:rsidRPr="00832D3A">
        <w:rPr>
          <w:rFonts w:cstheme="minorHAnsi"/>
          <w:b/>
          <w:bCs/>
        </w:rPr>
        <w:t xml:space="preserve">ace/ethnicity data for South Shore Health System and South Shore Health System MRI patients contain the category “Other” (pgs. 4 and 5). Provide a definition of this category. </w:t>
      </w:r>
    </w:p>
    <w:p w14:paraId="417E47E3" w14:textId="77777777" w:rsidR="00415823" w:rsidRPr="00832D3A" w:rsidRDefault="00415823" w:rsidP="00415823">
      <w:pPr>
        <w:pStyle w:val="ListParagraph"/>
        <w:rPr>
          <w:rFonts w:cstheme="minorHAnsi"/>
        </w:rPr>
      </w:pPr>
    </w:p>
    <w:p w14:paraId="493BF987" w14:textId="67366E41" w:rsidR="000E604E" w:rsidRPr="00832D3A" w:rsidRDefault="00FB37BD" w:rsidP="00FB37BD">
      <w:pPr>
        <w:pStyle w:val="ListParagraph"/>
        <w:numPr>
          <w:ilvl w:val="1"/>
          <w:numId w:val="17"/>
        </w:numPr>
        <w:rPr>
          <w:rFonts w:cstheme="minorHAnsi"/>
          <w:bCs/>
        </w:rPr>
      </w:pPr>
      <w:r w:rsidRPr="00832D3A">
        <w:rPr>
          <w:rFonts w:cstheme="minorHAnsi"/>
          <w:bCs/>
        </w:rPr>
        <w:t xml:space="preserve">The </w:t>
      </w:r>
      <w:r w:rsidR="006D430F" w:rsidRPr="00832D3A">
        <w:rPr>
          <w:rFonts w:cstheme="minorHAnsi"/>
          <w:bCs/>
        </w:rPr>
        <w:t>Race</w:t>
      </w:r>
      <w:r w:rsidRPr="00832D3A">
        <w:rPr>
          <w:rFonts w:cstheme="minorHAnsi"/>
          <w:bCs/>
        </w:rPr>
        <w:t>/</w:t>
      </w:r>
      <w:r w:rsidR="006D430F" w:rsidRPr="00832D3A">
        <w:rPr>
          <w:rFonts w:cstheme="minorHAnsi"/>
          <w:bCs/>
        </w:rPr>
        <w:t xml:space="preserve">ethnicity </w:t>
      </w:r>
      <w:r w:rsidR="0083468F" w:rsidRPr="00832D3A">
        <w:rPr>
          <w:rFonts w:cstheme="minorHAnsi"/>
          <w:bCs/>
        </w:rPr>
        <w:t xml:space="preserve">categorized as “Other” is </w:t>
      </w:r>
      <w:r w:rsidR="000E604E" w:rsidRPr="00832D3A">
        <w:rPr>
          <w:rFonts w:cstheme="minorHAnsi"/>
          <w:bCs/>
        </w:rPr>
        <w:t>identified by our patients.</w:t>
      </w:r>
      <w:r w:rsidRPr="00832D3A">
        <w:rPr>
          <w:rFonts w:cstheme="minorHAnsi"/>
          <w:bCs/>
        </w:rPr>
        <w:t xml:space="preserve"> </w:t>
      </w:r>
      <w:r w:rsidR="000E604E" w:rsidRPr="00832D3A">
        <w:rPr>
          <w:rFonts w:cstheme="minorHAnsi"/>
          <w:bCs/>
        </w:rPr>
        <w:t xml:space="preserve">For Race, </w:t>
      </w:r>
      <w:r w:rsidR="00660C8D" w:rsidRPr="00832D3A">
        <w:rPr>
          <w:rFonts w:cstheme="minorHAnsi"/>
          <w:bCs/>
        </w:rPr>
        <w:t xml:space="preserve">the system used by </w:t>
      </w:r>
      <w:r w:rsidRPr="00832D3A">
        <w:rPr>
          <w:rFonts w:cstheme="minorHAnsi"/>
          <w:bCs/>
        </w:rPr>
        <w:t xml:space="preserve">South Shore Health </w:t>
      </w:r>
      <w:r w:rsidR="007F4F1C" w:rsidRPr="00832D3A">
        <w:rPr>
          <w:rFonts w:cstheme="minorHAnsi"/>
          <w:bCs/>
        </w:rPr>
        <w:t xml:space="preserve">System </w:t>
      </w:r>
      <w:r w:rsidRPr="00832D3A">
        <w:rPr>
          <w:rFonts w:cstheme="minorHAnsi"/>
          <w:bCs/>
        </w:rPr>
        <w:t>(“SSH</w:t>
      </w:r>
      <w:r w:rsidR="007F4F1C" w:rsidRPr="00832D3A">
        <w:rPr>
          <w:rFonts w:cstheme="minorHAnsi"/>
          <w:bCs/>
        </w:rPr>
        <w:t>S</w:t>
      </w:r>
      <w:r w:rsidRPr="00832D3A">
        <w:rPr>
          <w:rFonts w:cstheme="minorHAnsi"/>
          <w:bCs/>
        </w:rPr>
        <w:t>”) has the</w:t>
      </w:r>
      <w:r w:rsidR="00660C8D" w:rsidRPr="00832D3A">
        <w:rPr>
          <w:rFonts w:cstheme="minorHAnsi"/>
          <w:bCs/>
        </w:rPr>
        <w:t xml:space="preserve"> </w:t>
      </w:r>
      <w:r w:rsidR="000E604E" w:rsidRPr="00832D3A">
        <w:rPr>
          <w:rFonts w:cstheme="minorHAnsi"/>
          <w:bCs/>
        </w:rPr>
        <w:t xml:space="preserve">following options to select: American Indian or Alaska Native, Asian, Black or African American, Decline to Answer, Native Hawaiian or Other Pacific Islander, Other, Unknown, White Caucasian.  If the patient does not fit the above options, </w:t>
      </w:r>
      <w:r w:rsidR="00101CDC" w:rsidRPr="00832D3A">
        <w:rPr>
          <w:rFonts w:cstheme="minorHAnsi"/>
          <w:bCs/>
        </w:rPr>
        <w:t>“</w:t>
      </w:r>
      <w:r w:rsidR="000E604E" w:rsidRPr="00832D3A">
        <w:rPr>
          <w:rFonts w:cstheme="minorHAnsi"/>
          <w:bCs/>
        </w:rPr>
        <w:t>Other</w:t>
      </w:r>
      <w:r w:rsidR="00101CDC" w:rsidRPr="00832D3A">
        <w:rPr>
          <w:rFonts w:cstheme="minorHAnsi"/>
          <w:bCs/>
        </w:rPr>
        <w:t>”</w:t>
      </w:r>
      <w:r w:rsidR="000E604E" w:rsidRPr="00832D3A">
        <w:rPr>
          <w:rFonts w:cstheme="minorHAnsi"/>
          <w:bCs/>
        </w:rPr>
        <w:t xml:space="preserve"> is typically used.  </w:t>
      </w:r>
      <w:r w:rsidR="00101CDC" w:rsidRPr="00832D3A">
        <w:rPr>
          <w:rFonts w:cstheme="minorHAnsi"/>
          <w:bCs/>
        </w:rPr>
        <w:t>“</w:t>
      </w:r>
      <w:r w:rsidR="000E604E" w:rsidRPr="00832D3A">
        <w:rPr>
          <w:rFonts w:cstheme="minorHAnsi"/>
          <w:bCs/>
        </w:rPr>
        <w:t>Other</w:t>
      </w:r>
      <w:r w:rsidR="00101CDC" w:rsidRPr="00832D3A">
        <w:rPr>
          <w:rFonts w:cstheme="minorHAnsi"/>
          <w:bCs/>
        </w:rPr>
        <w:t>”</w:t>
      </w:r>
      <w:r w:rsidR="000E604E" w:rsidRPr="00832D3A">
        <w:rPr>
          <w:rFonts w:cstheme="minorHAnsi"/>
          <w:bCs/>
        </w:rPr>
        <w:t xml:space="preserve"> is not broken out in </w:t>
      </w:r>
      <w:r w:rsidR="00660C8D" w:rsidRPr="00832D3A">
        <w:rPr>
          <w:rFonts w:cstheme="minorHAnsi"/>
          <w:bCs/>
        </w:rPr>
        <w:t>SSH’s</w:t>
      </w:r>
      <w:r w:rsidR="000E604E" w:rsidRPr="00832D3A">
        <w:rPr>
          <w:rFonts w:cstheme="minorHAnsi"/>
          <w:bCs/>
        </w:rPr>
        <w:t xml:space="preserve"> system.</w:t>
      </w:r>
      <w:r w:rsidRPr="00832D3A">
        <w:rPr>
          <w:rFonts w:cstheme="minorHAnsi"/>
          <w:bCs/>
        </w:rPr>
        <w:t xml:space="preserve"> </w:t>
      </w:r>
    </w:p>
    <w:p w14:paraId="7F1A61DD" w14:textId="352DCBD1" w:rsidR="007F4F1C" w:rsidRPr="00832D3A" w:rsidRDefault="000E604E" w:rsidP="000516F1">
      <w:pPr>
        <w:ind w:left="1440"/>
        <w:rPr>
          <w:rFonts w:cstheme="minorHAnsi"/>
          <w:bCs/>
        </w:rPr>
      </w:pPr>
      <w:r w:rsidRPr="00832D3A">
        <w:rPr>
          <w:rFonts w:cstheme="minorHAnsi"/>
          <w:bCs/>
        </w:rPr>
        <w:t xml:space="preserve">For Ethnicity, </w:t>
      </w:r>
      <w:r w:rsidR="00FB37BD" w:rsidRPr="00832D3A">
        <w:rPr>
          <w:rFonts w:cstheme="minorHAnsi"/>
          <w:bCs/>
        </w:rPr>
        <w:t>SSH provides numerous options; however,</w:t>
      </w:r>
      <w:r w:rsidRPr="00832D3A">
        <w:rPr>
          <w:rFonts w:cstheme="minorHAnsi"/>
          <w:bCs/>
        </w:rPr>
        <w:t xml:space="preserve"> “Other” is not an option.  Images of </w:t>
      </w:r>
      <w:r w:rsidR="00FB37BD" w:rsidRPr="00832D3A">
        <w:rPr>
          <w:rFonts w:cstheme="minorHAnsi"/>
          <w:bCs/>
        </w:rPr>
        <w:t xml:space="preserve">the SSH </w:t>
      </w:r>
      <w:r w:rsidRPr="00832D3A">
        <w:rPr>
          <w:rFonts w:cstheme="minorHAnsi"/>
          <w:bCs/>
        </w:rPr>
        <w:t xml:space="preserve">system are below </w:t>
      </w:r>
      <w:r w:rsidR="00FB37BD" w:rsidRPr="00832D3A">
        <w:rPr>
          <w:rFonts w:cstheme="minorHAnsi"/>
          <w:bCs/>
        </w:rPr>
        <w:t>for reference</w:t>
      </w:r>
      <w:r w:rsidR="007F4F1C" w:rsidRPr="00832D3A">
        <w:rPr>
          <w:rFonts w:cstheme="minorHAnsi"/>
          <w:bCs/>
        </w:rPr>
        <w:t xml:space="preserve"> (Figure 1)</w:t>
      </w:r>
      <w:r w:rsidRPr="00832D3A">
        <w:rPr>
          <w:rFonts w:cstheme="minorHAnsi"/>
          <w:bCs/>
        </w:rPr>
        <w:t>.</w:t>
      </w:r>
    </w:p>
    <w:p w14:paraId="7911CBDC" w14:textId="3AC6A91D" w:rsidR="007F4F1C" w:rsidRPr="00832D3A" w:rsidRDefault="007F4F1C" w:rsidP="00FB37BD">
      <w:pPr>
        <w:ind w:left="1440"/>
        <w:rPr>
          <w:rFonts w:cstheme="minorHAnsi"/>
          <w:bCs/>
        </w:rPr>
      </w:pPr>
    </w:p>
    <w:p w14:paraId="31685867" w14:textId="5826B6E1" w:rsidR="007F4F1C" w:rsidRPr="00832D3A" w:rsidRDefault="007F4F1C" w:rsidP="00AD3E6E">
      <w:pPr>
        <w:rPr>
          <w:rFonts w:cstheme="minorHAnsi"/>
          <w:bCs/>
        </w:rPr>
      </w:pPr>
    </w:p>
    <w:p w14:paraId="239F6C92" w14:textId="2C2B2350" w:rsidR="007F4F1C" w:rsidRPr="00832D3A" w:rsidRDefault="007F4F1C" w:rsidP="00210FAD">
      <w:pPr>
        <w:ind w:left="1440" w:hanging="270"/>
        <w:rPr>
          <w:rFonts w:cstheme="minorHAnsi"/>
          <w:bCs/>
        </w:rPr>
      </w:pPr>
      <w:r w:rsidRPr="00832D3A">
        <w:rPr>
          <w:rFonts w:cstheme="minorHAnsi"/>
          <w:bCs/>
        </w:rPr>
        <w:t>Figure 1. South Shore Health System EMR System Images</w:t>
      </w:r>
    </w:p>
    <w:p w14:paraId="01BE0AF6" w14:textId="437D2DD3" w:rsidR="000E604E" w:rsidRPr="00210FAD" w:rsidRDefault="00EB3022" w:rsidP="000E604E">
      <w:pPr>
        <w:ind w:left="360" w:firstLine="720"/>
        <w:rPr>
          <w:rFonts w:eastAsia="Times New Roman" w:cstheme="minorHAnsi"/>
        </w:rPr>
      </w:pPr>
      <w:r>
        <w:rPr>
          <w:rFonts w:cstheme="minorHAnsi"/>
          <w:noProof/>
        </w:rPr>
        <w:lastRenderedPageBreak/>
        <w:drawing>
          <wp:inline distT="0" distB="0" distL="0" distR="0" wp14:anchorId="325B888A" wp14:editId="7FBF5C36">
            <wp:extent cx="2076450" cy="2628900"/>
            <wp:effectExtent l="0" t="0" r="0" b="0"/>
            <wp:docPr id="1" name="Picture 1" descr="cid:image001.png@01D76D83.3FB97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6D83.3FB970E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6450" cy="2628900"/>
                    </a:xfrm>
                    <a:prstGeom prst="rect">
                      <a:avLst/>
                    </a:prstGeom>
                    <a:noFill/>
                    <a:ln>
                      <a:noFill/>
                    </a:ln>
                  </pic:spPr>
                </pic:pic>
              </a:graphicData>
            </a:graphic>
          </wp:inline>
        </w:drawing>
      </w:r>
      <w:r w:rsidR="000E604E" w:rsidRPr="00210FAD">
        <w:rPr>
          <w:rFonts w:cstheme="minorHAnsi"/>
        </w:rPr>
        <w:t xml:space="preserve"> </w:t>
      </w:r>
      <w:r w:rsidR="00AD3E6E">
        <w:rPr>
          <w:rFonts w:cstheme="minorHAnsi"/>
        </w:rPr>
        <w:t xml:space="preserve"> </w:t>
      </w:r>
      <w:r w:rsidR="00101CDC" w:rsidRPr="00210FAD">
        <w:rPr>
          <w:rFonts w:cstheme="minorHAnsi"/>
        </w:rPr>
        <w:t xml:space="preserve"> </w:t>
      </w:r>
      <w:r>
        <w:rPr>
          <w:rFonts w:eastAsia="Times New Roman" w:cstheme="minorHAnsi"/>
          <w:noProof/>
        </w:rPr>
        <w:drawing>
          <wp:inline distT="0" distB="0" distL="0" distR="0" wp14:anchorId="26435222" wp14:editId="28C56AE1">
            <wp:extent cx="2838450" cy="2743200"/>
            <wp:effectExtent l="0" t="0" r="0" b="0"/>
            <wp:docPr id="2" name="Picture 2" descr="cid:image002.png@01D76D83.3FB97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76D83.3FB970E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743200"/>
                    </a:xfrm>
                    <a:prstGeom prst="rect">
                      <a:avLst/>
                    </a:prstGeom>
                    <a:noFill/>
                    <a:ln>
                      <a:noFill/>
                    </a:ln>
                  </pic:spPr>
                </pic:pic>
              </a:graphicData>
            </a:graphic>
          </wp:inline>
        </w:drawing>
      </w:r>
    </w:p>
    <w:p w14:paraId="1E577344" w14:textId="77777777" w:rsidR="00E95536" w:rsidRPr="00832D3A" w:rsidRDefault="00E95536" w:rsidP="00E95536">
      <w:pPr>
        <w:pStyle w:val="ListParagraph"/>
        <w:rPr>
          <w:rFonts w:cstheme="minorHAnsi"/>
        </w:rPr>
      </w:pPr>
    </w:p>
    <w:p w14:paraId="7E084A4C" w14:textId="6B3B5FC7" w:rsidR="00D80EC9" w:rsidRPr="00210FAD" w:rsidRDefault="00D80EC9" w:rsidP="00AB61DC">
      <w:pPr>
        <w:pStyle w:val="ListParagraph"/>
        <w:numPr>
          <w:ilvl w:val="0"/>
          <w:numId w:val="5"/>
        </w:numPr>
        <w:rPr>
          <w:rFonts w:cstheme="minorHAnsi"/>
          <w:b/>
          <w:bCs/>
        </w:rPr>
      </w:pPr>
      <w:r w:rsidRPr="00210FAD">
        <w:rPr>
          <w:rFonts w:cstheme="minorHAnsi"/>
          <w:b/>
          <w:bCs/>
        </w:rPr>
        <w:t>Provide the payer mix for SSHS MRI patients</w:t>
      </w:r>
      <w:r w:rsidR="00CA6DF5" w:rsidRPr="00210FAD">
        <w:rPr>
          <w:rFonts w:cstheme="minorHAnsi"/>
          <w:b/>
          <w:bCs/>
        </w:rPr>
        <w:t>.</w:t>
      </w:r>
      <w:r w:rsidRPr="00210FAD">
        <w:rPr>
          <w:rFonts w:cstheme="minorHAnsi"/>
          <w:b/>
          <w:bCs/>
        </w:rPr>
        <w:t xml:space="preserve"> </w:t>
      </w:r>
    </w:p>
    <w:p w14:paraId="5FD64143" w14:textId="77777777" w:rsidR="00415823" w:rsidRPr="00210FAD" w:rsidRDefault="00415823" w:rsidP="00415823">
      <w:pPr>
        <w:pStyle w:val="ListParagraph"/>
        <w:rPr>
          <w:rFonts w:cstheme="minorHAnsi"/>
        </w:rPr>
      </w:pPr>
    </w:p>
    <w:p w14:paraId="4410B86C" w14:textId="0DF67075" w:rsidR="003718FD" w:rsidRPr="00210FAD" w:rsidRDefault="00A62330" w:rsidP="00A62330">
      <w:pPr>
        <w:pStyle w:val="ListParagraph"/>
        <w:numPr>
          <w:ilvl w:val="1"/>
          <w:numId w:val="30"/>
        </w:numPr>
        <w:rPr>
          <w:rFonts w:cstheme="minorHAnsi"/>
          <w:bCs/>
        </w:rPr>
      </w:pPr>
      <w:r w:rsidRPr="00210FAD">
        <w:rPr>
          <w:rFonts w:cstheme="minorHAnsi"/>
          <w:bCs/>
        </w:rPr>
        <w:t>Please see below table with payer mix for SSHS MRI Patients.</w:t>
      </w:r>
      <w:r w:rsidR="00130176" w:rsidRPr="00210FAD">
        <w:rPr>
          <w:rFonts w:cstheme="minorHAnsi"/>
          <w:bCs/>
        </w:rPr>
        <w:t xml:space="preserve"> </w:t>
      </w:r>
    </w:p>
    <w:p w14:paraId="4244FB6A" w14:textId="6B6DF336" w:rsidR="007F4F1C" w:rsidRPr="00210FAD" w:rsidRDefault="007F4F1C" w:rsidP="007F4F1C">
      <w:pPr>
        <w:pStyle w:val="ListParagraph"/>
        <w:ind w:left="1440"/>
        <w:rPr>
          <w:rFonts w:cstheme="minorHAnsi"/>
          <w:bCs/>
        </w:rPr>
      </w:pPr>
    </w:p>
    <w:p w14:paraId="7418596C" w14:textId="65AE47FA" w:rsidR="007F4F1C" w:rsidRDefault="007F4F1C">
      <w:pPr>
        <w:pStyle w:val="ListParagraph"/>
        <w:ind w:left="1440"/>
        <w:rPr>
          <w:rFonts w:cstheme="minorHAnsi"/>
          <w:b/>
        </w:rPr>
      </w:pPr>
      <w:r w:rsidRPr="00210FAD">
        <w:rPr>
          <w:rFonts w:cstheme="minorHAnsi"/>
          <w:b/>
        </w:rPr>
        <w:t xml:space="preserve">Table 1: SSHS MRI Payer Mix </w:t>
      </w:r>
      <w:r w:rsidR="004B4607">
        <w:rPr>
          <w:rFonts w:cstheme="minorHAnsi"/>
          <w:b/>
        </w:rPr>
        <w:t>for FY20</w:t>
      </w:r>
    </w:p>
    <w:tbl>
      <w:tblPr>
        <w:tblStyle w:val="TableGrid"/>
        <w:tblW w:w="7465" w:type="dxa"/>
        <w:jc w:val="center"/>
        <w:tblLayout w:type="fixed"/>
        <w:tblLook w:val="04A0" w:firstRow="1" w:lastRow="0" w:firstColumn="1" w:lastColumn="0" w:noHBand="0" w:noVBand="1"/>
        <w:tblCaption w:val="Table 1: SSHS MRI Payer Mix "/>
        <w:tblDescription w:val="Table 1: SSHS MRI Payer Mix "/>
      </w:tblPr>
      <w:tblGrid>
        <w:gridCol w:w="2245"/>
        <w:gridCol w:w="887"/>
        <w:gridCol w:w="3163"/>
        <w:gridCol w:w="1170"/>
      </w:tblGrid>
      <w:tr w:rsidR="008B182B" w14:paraId="7094E7DB" w14:textId="77777777" w:rsidTr="00060298">
        <w:trPr>
          <w:trHeight w:val="208"/>
          <w:tblHeader/>
          <w:jc w:val="center"/>
        </w:trPr>
        <w:tc>
          <w:tcPr>
            <w:tcW w:w="2245" w:type="dxa"/>
            <w:tcBorders>
              <w:top w:val="single" w:sz="4" w:space="0" w:color="auto"/>
              <w:left w:val="single" w:sz="4" w:space="0" w:color="auto"/>
              <w:bottom w:val="nil"/>
              <w:right w:val="nil"/>
            </w:tcBorders>
          </w:tcPr>
          <w:p w14:paraId="58DDCF8D" w14:textId="77777777" w:rsidR="008B182B" w:rsidRPr="00704AC9" w:rsidRDefault="008B182B" w:rsidP="00955CA4">
            <w:pPr>
              <w:pStyle w:val="ListParagraph"/>
              <w:ind w:left="0"/>
            </w:pPr>
            <w:r w:rsidRPr="00704AC9">
              <w:t xml:space="preserve">ACO and APM </w:t>
            </w:r>
            <w:r w:rsidRPr="00CE76E2">
              <w:t>Contracts</w:t>
            </w:r>
          </w:p>
        </w:tc>
        <w:tc>
          <w:tcPr>
            <w:tcW w:w="887" w:type="dxa"/>
            <w:tcBorders>
              <w:top w:val="single" w:sz="4" w:space="0" w:color="auto"/>
              <w:left w:val="nil"/>
              <w:bottom w:val="nil"/>
              <w:right w:val="single" w:sz="4" w:space="0" w:color="auto"/>
            </w:tcBorders>
          </w:tcPr>
          <w:p w14:paraId="722C03FE" w14:textId="021C8377" w:rsidR="008B182B" w:rsidRPr="00111BB4" w:rsidRDefault="008B182B" w:rsidP="00955CA4">
            <w:pPr>
              <w:pStyle w:val="ListParagraph"/>
              <w:ind w:left="0"/>
              <w:jc w:val="center"/>
            </w:pPr>
            <w:r>
              <w:t>4.4%</w:t>
            </w:r>
          </w:p>
        </w:tc>
        <w:tc>
          <w:tcPr>
            <w:tcW w:w="4333" w:type="dxa"/>
            <w:gridSpan w:val="2"/>
            <w:tcBorders>
              <w:left w:val="single" w:sz="4" w:space="0" w:color="auto"/>
            </w:tcBorders>
            <w:shd w:val="clear" w:color="auto" w:fill="D9D9D9" w:themeFill="background1" w:themeFillShade="D9"/>
          </w:tcPr>
          <w:p w14:paraId="1DA225E8" w14:textId="08B66CB8" w:rsidR="008B182B" w:rsidRDefault="008B182B" w:rsidP="00955CA4">
            <w:pPr>
              <w:pStyle w:val="ListParagraph"/>
              <w:ind w:left="0"/>
            </w:pPr>
            <w:r w:rsidRPr="00704AC9">
              <w:t>Non-ACO and Non-APM Contracts</w:t>
            </w:r>
          </w:p>
        </w:tc>
      </w:tr>
      <w:tr w:rsidR="00210FAD" w14:paraId="2A12E062" w14:textId="77777777" w:rsidTr="00CE76E2">
        <w:trPr>
          <w:jc w:val="center"/>
        </w:trPr>
        <w:tc>
          <w:tcPr>
            <w:tcW w:w="2245" w:type="dxa"/>
            <w:tcBorders>
              <w:top w:val="nil"/>
              <w:left w:val="single" w:sz="4" w:space="0" w:color="auto"/>
              <w:bottom w:val="nil"/>
              <w:right w:val="nil"/>
            </w:tcBorders>
          </w:tcPr>
          <w:p w14:paraId="1B8FADB4" w14:textId="77777777" w:rsidR="00210FAD" w:rsidRPr="00704AC9" w:rsidRDefault="00210FAD" w:rsidP="00955CA4">
            <w:pPr>
              <w:pStyle w:val="ListParagraph"/>
              <w:ind w:left="0"/>
            </w:pPr>
          </w:p>
        </w:tc>
        <w:tc>
          <w:tcPr>
            <w:tcW w:w="887" w:type="dxa"/>
            <w:tcBorders>
              <w:top w:val="nil"/>
              <w:left w:val="nil"/>
              <w:bottom w:val="nil"/>
              <w:right w:val="single" w:sz="4" w:space="0" w:color="auto"/>
            </w:tcBorders>
          </w:tcPr>
          <w:p w14:paraId="09D525E1" w14:textId="77777777" w:rsidR="00210FAD" w:rsidRPr="00111BB4" w:rsidRDefault="00210FAD" w:rsidP="00955CA4">
            <w:pPr>
              <w:pStyle w:val="ListParagraph"/>
              <w:ind w:left="0"/>
              <w:jc w:val="center"/>
            </w:pPr>
          </w:p>
        </w:tc>
        <w:tc>
          <w:tcPr>
            <w:tcW w:w="3163" w:type="dxa"/>
            <w:tcBorders>
              <w:left w:val="single" w:sz="4" w:space="0" w:color="auto"/>
            </w:tcBorders>
          </w:tcPr>
          <w:p w14:paraId="511AE3DB" w14:textId="77777777" w:rsidR="00210FAD" w:rsidRPr="00704AC9" w:rsidRDefault="00210FAD" w:rsidP="00955CA4">
            <w:pPr>
              <w:pStyle w:val="ListParagraph"/>
              <w:ind w:left="0"/>
            </w:pPr>
            <w:r w:rsidRPr="00704AC9">
              <w:t>Commercial PPO/Indemnity</w:t>
            </w:r>
          </w:p>
        </w:tc>
        <w:tc>
          <w:tcPr>
            <w:tcW w:w="1170" w:type="dxa"/>
          </w:tcPr>
          <w:p w14:paraId="1452083E" w14:textId="3B67B082" w:rsidR="00210FAD" w:rsidRPr="00111BB4" w:rsidRDefault="00210FAD" w:rsidP="00955CA4">
            <w:pPr>
              <w:pStyle w:val="ListParagraph"/>
              <w:ind w:left="0"/>
              <w:jc w:val="center"/>
            </w:pPr>
            <w:r>
              <w:t>20.6%</w:t>
            </w:r>
          </w:p>
        </w:tc>
      </w:tr>
      <w:tr w:rsidR="00210FAD" w14:paraId="03FE7E8F" w14:textId="77777777" w:rsidTr="004B4607">
        <w:trPr>
          <w:jc w:val="center"/>
        </w:trPr>
        <w:tc>
          <w:tcPr>
            <w:tcW w:w="2245" w:type="dxa"/>
            <w:tcBorders>
              <w:top w:val="nil"/>
              <w:left w:val="single" w:sz="4" w:space="0" w:color="auto"/>
              <w:bottom w:val="nil"/>
              <w:right w:val="nil"/>
            </w:tcBorders>
          </w:tcPr>
          <w:p w14:paraId="3136C95F" w14:textId="77777777" w:rsidR="00210FAD" w:rsidRPr="00704AC9" w:rsidRDefault="00210FAD" w:rsidP="00955CA4">
            <w:pPr>
              <w:pStyle w:val="ListParagraph"/>
              <w:ind w:left="0"/>
            </w:pPr>
          </w:p>
        </w:tc>
        <w:tc>
          <w:tcPr>
            <w:tcW w:w="887" w:type="dxa"/>
            <w:tcBorders>
              <w:top w:val="nil"/>
              <w:left w:val="nil"/>
              <w:bottom w:val="nil"/>
              <w:right w:val="single" w:sz="4" w:space="0" w:color="auto"/>
            </w:tcBorders>
          </w:tcPr>
          <w:p w14:paraId="4FCD4905" w14:textId="77777777" w:rsidR="00210FAD" w:rsidRPr="00111BB4" w:rsidRDefault="00210FAD" w:rsidP="00955CA4">
            <w:pPr>
              <w:pStyle w:val="ListParagraph"/>
              <w:ind w:left="0"/>
              <w:jc w:val="center"/>
            </w:pPr>
          </w:p>
        </w:tc>
        <w:tc>
          <w:tcPr>
            <w:tcW w:w="3163" w:type="dxa"/>
            <w:tcBorders>
              <w:left w:val="single" w:sz="4" w:space="0" w:color="auto"/>
            </w:tcBorders>
          </w:tcPr>
          <w:p w14:paraId="117732AA" w14:textId="77777777" w:rsidR="00210FAD" w:rsidRPr="00704AC9" w:rsidRDefault="00210FAD" w:rsidP="00955CA4">
            <w:pPr>
              <w:pStyle w:val="ListParagraph"/>
              <w:ind w:left="0"/>
            </w:pPr>
            <w:r w:rsidRPr="00704AC9">
              <w:t>Commercial HMO/POS</w:t>
            </w:r>
          </w:p>
        </w:tc>
        <w:tc>
          <w:tcPr>
            <w:tcW w:w="1170" w:type="dxa"/>
          </w:tcPr>
          <w:p w14:paraId="22AA8D61" w14:textId="68734F3F" w:rsidR="00210FAD" w:rsidRPr="00111BB4" w:rsidRDefault="00210FAD" w:rsidP="00955CA4">
            <w:pPr>
              <w:pStyle w:val="ListParagraph"/>
              <w:ind w:left="0"/>
              <w:jc w:val="center"/>
            </w:pPr>
            <w:r>
              <w:t>29.3%</w:t>
            </w:r>
          </w:p>
        </w:tc>
      </w:tr>
      <w:tr w:rsidR="00210FAD" w14:paraId="0E4B4101" w14:textId="77777777" w:rsidTr="004B4607">
        <w:trPr>
          <w:jc w:val="center"/>
        </w:trPr>
        <w:tc>
          <w:tcPr>
            <w:tcW w:w="2245" w:type="dxa"/>
            <w:tcBorders>
              <w:top w:val="nil"/>
              <w:left w:val="single" w:sz="4" w:space="0" w:color="auto"/>
              <w:bottom w:val="single" w:sz="4" w:space="0" w:color="auto"/>
              <w:right w:val="nil"/>
            </w:tcBorders>
          </w:tcPr>
          <w:p w14:paraId="5549EFE4" w14:textId="77777777" w:rsidR="00210FAD" w:rsidRPr="00704AC9" w:rsidRDefault="00210FAD" w:rsidP="00955CA4">
            <w:pPr>
              <w:pStyle w:val="ListParagraph"/>
              <w:ind w:left="0"/>
            </w:pPr>
          </w:p>
        </w:tc>
        <w:tc>
          <w:tcPr>
            <w:tcW w:w="887" w:type="dxa"/>
            <w:tcBorders>
              <w:top w:val="nil"/>
              <w:left w:val="nil"/>
              <w:bottom w:val="single" w:sz="4" w:space="0" w:color="auto"/>
              <w:right w:val="single" w:sz="4" w:space="0" w:color="auto"/>
            </w:tcBorders>
          </w:tcPr>
          <w:p w14:paraId="46E62A62" w14:textId="77777777" w:rsidR="00210FAD" w:rsidRPr="00111BB4" w:rsidRDefault="00210FAD" w:rsidP="00955CA4">
            <w:pPr>
              <w:pStyle w:val="ListParagraph"/>
              <w:ind w:left="0"/>
              <w:jc w:val="center"/>
            </w:pPr>
          </w:p>
        </w:tc>
        <w:tc>
          <w:tcPr>
            <w:tcW w:w="3163" w:type="dxa"/>
            <w:tcBorders>
              <w:left w:val="single" w:sz="4" w:space="0" w:color="auto"/>
            </w:tcBorders>
          </w:tcPr>
          <w:p w14:paraId="06F4C959" w14:textId="77777777" w:rsidR="00210FAD" w:rsidRPr="00704AC9" w:rsidRDefault="00210FAD" w:rsidP="00955CA4">
            <w:pPr>
              <w:pStyle w:val="ListParagraph"/>
              <w:ind w:left="0"/>
            </w:pPr>
            <w:r w:rsidRPr="00704AC9">
              <w:t>MassHealth</w:t>
            </w:r>
          </w:p>
        </w:tc>
        <w:tc>
          <w:tcPr>
            <w:tcW w:w="1170" w:type="dxa"/>
          </w:tcPr>
          <w:p w14:paraId="51142E91" w14:textId="608C02C2" w:rsidR="00210FAD" w:rsidRPr="00111BB4" w:rsidRDefault="00210FAD" w:rsidP="00955CA4">
            <w:pPr>
              <w:pStyle w:val="ListParagraph"/>
              <w:ind w:left="0"/>
              <w:jc w:val="center"/>
            </w:pPr>
            <w:r>
              <w:t>1.8%</w:t>
            </w:r>
          </w:p>
        </w:tc>
      </w:tr>
      <w:tr w:rsidR="00210FAD" w14:paraId="555FAC83" w14:textId="77777777" w:rsidTr="004B4607">
        <w:trPr>
          <w:jc w:val="center"/>
        </w:trPr>
        <w:tc>
          <w:tcPr>
            <w:tcW w:w="2245" w:type="dxa"/>
            <w:tcBorders>
              <w:top w:val="single" w:sz="4" w:space="0" w:color="auto"/>
              <w:left w:val="single" w:sz="4" w:space="0" w:color="auto"/>
              <w:bottom w:val="nil"/>
              <w:right w:val="nil"/>
            </w:tcBorders>
          </w:tcPr>
          <w:p w14:paraId="78096C0C" w14:textId="77777777" w:rsidR="00210FAD" w:rsidRPr="00704AC9" w:rsidRDefault="00210FAD" w:rsidP="00955CA4">
            <w:pPr>
              <w:pStyle w:val="ListParagraph"/>
              <w:ind w:left="0"/>
            </w:pPr>
            <w:r w:rsidRPr="00704AC9">
              <w:t>Non-ACO and Non-APM Contracts</w:t>
            </w:r>
          </w:p>
        </w:tc>
        <w:tc>
          <w:tcPr>
            <w:tcW w:w="887" w:type="dxa"/>
            <w:tcBorders>
              <w:top w:val="single" w:sz="4" w:space="0" w:color="auto"/>
              <w:left w:val="nil"/>
              <w:bottom w:val="nil"/>
              <w:right w:val="single" w:sz="4" w:space="0" w:color="auto"/>
            </w:tcBorders>
          </w:tcPr>
          <w:p w14:paraId="7F5283DE" w14:textId="228B6A19" w:rsidR="00210FAD" w:rsidRPr="00111BB4" w:rsidRDefault="00210FAD" w:rsidP="00955CA4">
            <w:pPr>
              <w:pStyle w:val="ListParagraph"/>
              <w:ind w:left="0"/>
              <w:jc w:val="center"/>
            </w:pPr>
            <w:r>
              <w:t>95.6%</w:t>
            </w:r>
          </w:p>
        </w:tc>
        <w:tc>
          <w:tcPr>
            <w:tcW w:w="3163" w:type="dxa"/>
            <w:tcBorders>
              <w:left w:val="single" w:sz="4" w:space="0" w:color="auto"/>
            </w:tcBorders>
          </w:tcPr>
          <w:p w14:paraId="1B99DBEE" w14:textId="5D52DC95" w:rsidR="00210FAD" w:rsidRPr="00704AC9" w:rsidRDefault="00210FAD" w:rsidP="00955CA4">
            <w:pPr>
              <w:pStyle w:val="ListParagraph"/>
              <w:ind w:left="0"/>
            </w:pPr>
            <w:r w:rsidRPr="00704AC9">
              <w:t>Managed Medicaid</w:t>
            </w:r>
          </w:p>
        </w:tc>
        <w:tc>
          <w:tcPr>
            <w:tcW w:w="1170" w:type="dxa"/>
          </w:tcPr>
          <w:p w14:paraId="6F4C18C8" w14:textId="025115DB" w:rsidR="00210FAD" w:rsidRPr="00111BB4" w:rsidRDefault="00210FAD" w:rsidP="00955CA4">
            <w:pPr>
              <w:pStyle w:val="ListParagraph"/>
              <w:ind w:left="0"/>
              <w:jc w:val="center"/>
            </w:pPr>
            <w:r>
              <w:t>1.1%</w:t>
            </w:r>
          </w:p>
        </w:tc>
      </w:tr>
      <w:tr w:rsidR="00210FAD" w14:paraId="7BC0A6A8" w14:textId="77777777" w:rsidTr="004B4607">
        <w:trPr>
          <w:jc w:val="center"/>
        </w:trPr>
        <w:tc>
          <w:tcPr>
            <w:tcW w:w="2245" w:type="dxa"/>
            <w:tcBorders>
              <w:top w:val="nil"/>
              <w:left w:val="single" w:sz="4" w:space="0" w:color="auto"/>
              <w:bottom w:val="nil"/>
              <w:right w:val="nil"/>
            </w:tcBorders>
          </w:tcPr>
          <w:p w14:paraId="526A012B" w14:textId="77777777" w:rsidR="00210FAD" w:rsidRDefault="00210FAD" w:rsidP="00955CA4">
            <w:pPr>
              <w:pStyle w:val="ListParagraph"/>
              <w:ind w:left="0"/>
              <w:rPr>
                <w:sz w:val="24"/>
                <w:szCs w:val="24"/>
              </w:rPr>
            </w:pPr>
          </w:p>
        </w:tc>
        <w:tc>
          <w:tcPr>
            <w:tcW w:w="887" w:type="dxa"/>
            <w:tcBorders>
              <w:top w:val="nil"/>
              <w:left w:val="nil"/>
              <w:bottom w:val="nil"/>
              <w:right w:val="single" w:sz="4" w:space="0" w:color="auto"/>
            </w:tcBorders>
          </w:tcPr>
          <w:p w14:paraId="5DD1EF78" w14:textId="77777777" w:rsidR="00210FAD" w:rsidRDefault="00210FAD" w:rsidP="00955CA4">
            <w:pPr>
              <w:pStyle w:val="ListParagraph"/>
              <w:ind w:left="0"/>
              <w:jc w:val="center"/>
              <w:rPr>
                <w:sz w:val="24"/>
                <w:szCs w:val="24"/>
              </w:rPr>
            </w:pPr>
          </w:p>
        </w:tc>
        <w:tc>
          <w:tcPr>
            <w:tcW w:w="3163" w:type="dxa"/>
            <w:tcBorders>
              <w:left w:val="single" w:sz="4" w:space="0" w:color="auto"/>
            </w:tcBorders>
          </w:tcPr>
          <w:p w14:paraId="59DCC7C0" w14:textId="77777777" w:rsidR="00210FAD" w:rsidRPr="00704AC9" w:rsidRDefault="00210FAD" w:rsidP="00955CA4">
            <w:pPr>
              <w:pStyle w:val="ListParagraph"/>
              <w:ind w:left="0"/>
            </w:pPr>
            <w:r w:rsidRPr="00704AC9">
              <w:t xml:space="preserve">Commercial Medicare </w:t>
            </w:r>
          </w:p>
        </w:tc>
        <w:tc>
          <w:tcPr>
            <w:tcW w:w="1170" w:type="dxa"/>
          </w:tcPr>
          <w:p w14:paraId="453E228F" w14:textId="13E6B165" w:rsidR="00210FAD" w:rsidRPr="00111BB4" w:rsidRDefault="00210FAD" w:rsidP="00955CA4">
            <w:pPr>
              <w:pStyle w:val="ListParagraph"/>
              <w:ind w:left="0"/>
              <w:jc w:val="center"/>
            </w:pPr>
            <w:r>
              <w:t>9.1%</w:t>
            </w:r>
          </w:p>
        </w:tc>
      </w:tr>
      <w:tr w:rsidR="00210FAD" w14:paraId="56C945A5" w14:textId="77777777" w:rsidTr="004B4607">
        <w:trPr>
          <w:jc w:val="center"/>
        </w:trPr>
        <w:tc>
          <w:tcPr>
            <w:tcW w:w="2245" w:type="dxa"/>
            <w:tcBorders>
              <w:top w:val="nil"/>
              <w:left w:val="single" w:sz="4" w:space="0" w:color="auto"/>
              <w:bottom w:val="nil"/>
              <w:right w:val="nil"/>
            </w:tcBorders>
          </w:tcPr>
          <w:p w14:paraId="28C66BA6" w14:textId="77777777" w:rsidR="00210FAD" w:rsidRDefault="00210FAD" w:rsidP="00210FAD">
            <w:pPr>
              <w:pStyle w:val="ListParagraph"/>
              <w:ind w:left="0"/>
              <w:rPr>
                <w:sz w:val="24"/>
                <w:szCs w:val="24"/>
              </w:rPr>
            </w:pPr>
          </w:p>
        </w:tc>
        <w:tc>
          <w:tcPr>
            <w:tcW w:w="887" w:type="dxa"/>
            <w:tcBorders>
              <w:top w:val="nil"/>
              <w:left w:val="nil"/>
              <w:bottom w:val="nil"/>
              <w:right w:val="single" w:sz="4" w:space="0" w:color="auto"/>
            </w:tcBorders>
          </w:tcPr>
          <w:p w14:paraId="0C116223" w14:textId="77777777" w:rsidR="00210FAD" w:rsidRDefault="00210FAD" w:rsidP="00210FAD">
            <w:pPr>
              <w:pStyle w:val="ListParagraph"/>
              <w:ind w:left="0"/>
              <w:jc w:val="center"/>
              <w:rPr>
                <w:sz w:val="24"/>
                <w:szCs w:val="24"/>
              </w:rPr>
            </w:pPr>
          </w:p>
        </w:tc>
        <w:tc>
          <w:tcPr>
            <w:tcW w:w="3163" w:type="dxa"/>
            <w:tcBorders>
              <w:left w:val="single" w:sz="4" w:space="0" w:color="auto"/>
            </w:tcBorders>
          </w:tcPr>
          <w:p w14:paraId="11EE9662" w14:textId="77777777" w:rsidR="00210FAD" w:rsidRPr="00704AC9" w:rsidRDefault="00210FAD" w:rsidP="00210FAD">
            <w:pPr>
              <w:pStyle w:val="ListParagraph"/>
              <w:ind w:left="0"/>
            </w:pPr>
            <w:r w:rsidRPr="00704AC9">
              <w:t>Medicare FFS</w:t>
            </w:r>
          </w:p>
        </w:tc>
        <w:tc>
          <w:tcPr>
            <w:tcW w:w="1170" w:type="dxa"/>
          </w:tcPr>
          <w:p w14:paraId="7A8EE3E2" w14:textId="3E7EF018" w:rsidR="00210FAD" w:rsidRPr="00111BB4" w:rsidRDefault="00210FAD" w:rsidP="00210FAD">
            <w:pPr>
              <w:pStyle w:val="ListParagraph"/>
              <w:ind w:left="0"/>
              <w:jc w:val="center"/>
            </w:pPr>
            <w:r>
              <w:t>33.5%</w:t>
            </w:r>
          </w:p>
        </w:tc>
      </w:tr>
      <w:tr w:rsidR="00210FAD" w14:paraId="47343FE0" w14:textId="77777777" w:rsidTr="004B4607">
        <w:trPr>
          <w:jc w:val="center"/>
        </w:trPr>
        <w:tc>
          <w:tcPr>
            <w:tcW w:w="2245" w:type="dxa"/>
            <w:tcBorders>
              <w:top w:val="nil"/>
              <w:left w:val="single" w:sz="4" w:space="0" w:color="auto"/>
              <w:bottom w:val="single" w:sz="4" w:space="0" w:color="auto"/>
              <w:right w:val="nil"/>
            </w:tcBorders>
          </w:tcPr>
          <w:p w14:paraId="02819E31" w14:textId="77777777" w:rsidR="00210FAD" w:rsidRDefault="00210FAD" w:rsidP="00210FAD">
            <w:pPr>
              <w:pStyle w:val="ListParagraph"/>
              <w:ind w:left="0"/>
              <w:rPr>
                <w:sz w:val="24"/>
                <w:szCs w:val="24"/>
              </w:rPr>
            </w:pPr>
          </w:p>
        </w:tc>
        <w:tc>
          <w:tcPr>
            <w:tcW w:w="887" w:type="dxa"/>
            <w:tcBorders>
              <w:top w:val="nil"/>
              <w:left w:val="nil"/>
              <w:bottom w:val="single" w:sz="4" w:space="0" w:color="auto"/>
              <w:right w:val="single" w:sz="4" w:space="0" w:color="auto"/>
            </w:tcBorders>
          </w:tcPr>
          <w:p w14:paraId="4EA0BDE1" w14:textId="77777777" w:rsidR="00210FAD" w:rsidRDefault="00210FAD" w:rsidP="00210FAD">
            <w:pPr>
              <w:pStyle w:val="ListParagraph"/>
              <w:ind w:left="0"/>
              <w:jc w:val="center"/>
              <w:rPr>
                <w:sz w:val="24"/>
                <w:szCs w:val="24"/>
              </w:rPr>
            </w:pPr>
          </w:p>
        </w:tc>
        <w:tc>
          <w:tcPr>
            <w:tcW w:w="3163" w:type="dxa"/>
            <w:tcBorders>
              <w:left w:val="single" w:sz="4" w:space="0" w:color="auto"/>
            </w:tcBorders>
          </w:tcPr>
          <w:p w14:paraId="07A13EB4" w14:textId="77777777" w:rsidR="00210FAD" w:rsidRPr="00704AC9" w:rsidRDefault="00210FAD" w:rsidP="00210FAD">
            <w:pPr>
              <w:pStyle w:val="ListParagraph"/>
              <w:ind w:left="0"/>
            </w:pPr>
            <w:r w:rsidRPr="00704AC9">
              <w:t xml:space="preserve">All Other </w:t>
            </w:r>
          </w:p>
        </w:tc>
        <w:tc>
          <w:tcPr>
            <w:tcW w:w="1170" w:type="dxa"/>
          </w:tcPr>
          <w:p w14:paraId="2294F2D3" w14:textId="1B85142D" w:rsidR="00210FAD" w:rsidRPr="00111BB4" w:rsidRDefault="00210FAD" w:rsidP="00210FAD">
            <w:pPr>
              <w:pStyle w:val="ListParagraph"/>
              <w:ind w:left="0"/>
              <w:jc w:val="center"/>
            </w:pPr>
            <w:r>
              <w:t>0.2%</w:t>
            </w:r>
          </w:p>
        </w:tc>
      </w:tr>
      <w:tr w:rsidR="00210FAD" w14:paraId="7EF4490E" w14:textId="77777777" w:rsidTr="004B4607">
        <w:trPr>
          <w:jc w:val="center"/>
        </w:trPr>
        <w:tc>
          <w:tcPr>
            <w:tcW w:w="2245" w:type="dxa"/>
            <w:tcBorders>
              <w:top w:val="single" w:sz="4" w:space="0" w:color="auto"/>
            </w:tcBorders>
            <w:shd w:val="clear" w:color="auto" w:fill="D9D9D9" w:themeFill="background1" w:themeFillShade="D9"/>
          </w:tcPr>
          <w:p w14:paraId="3A834932" w14:textId="77777777" w:rsidR="00210FAD" w:rsidRPr="00704AC9" w:rsidRDefault="00210FAD" w:rsidP="00210FAD">
            <w:pPr>
              <w:pStyle w:val="ListParagraph"/>
              <w:ind w:left="0"/>
              <w:rPr>
                <w:b/>
                <w:bCs/>
                <w:sz w:val="24"/>
                <w:szCs w:val="24"/>
              </w:rPr>
            </w:pPr>
            <w:r w:rsidRPr="00704AC9">
              <w:rPr>
                <w:b/>
                <w:bCs/>
                <w:sz w:val="24"/>
                <w:szCs w:val="24"/>
              </w:rPr>
              <w:t>TOTAL</w:t>
            </w:r>
          </w:p>
        </w:tc>
        <w:tc>
          <w:tcPr>
            <w:tcW w:w="887" w:type="dxa"/>
            <w:tcBorders>
              <w:top w:val="single" w:sz="4" w:space="0" w:color="auto"/>
            </w:tcBorders>
            <w:shd w:val="clear" w:color="auto" w:fill="D9D9D9" w:themeFill="background1" w:themeFillShade="D9"/>
          </w:tcPr>
          <w:p w14:paraId="0846ECE2" w14:textId="1E9B5C89" w:rsidR="00210FAD" w:rsidRPr="00704AC9" w:rsidRDefault="00210FAD" w:rsidP="00210FAD">
            <w:pPr>
              <w:pStyle w:val="ListParagraph"/>
              <w:ind w:left="0"/>
              <w:jc w:val="center"/>
            </w:pPr>
            <w:r>
              <w:t>100%</w:t>
            </w:r>
          </w:p>
        </w:tc>
        <w:tc>
          <w:tcPr>
            <w:tcW w:w="3163" w:type="dxa"/>
            <w:shd w:val="clear" w:color="auto" w:fill="D9D9D9" w:themeFill="background1" w:themeFillShade="D9"/>
          </w:tcPr>
          <w:p w14:paraId="23FA3F31" w14:textId="77777777" w:rsidR="00210FAD" w:rsidRPr="00704AC9" w:rsidRDefault="00210FAD" w:rsidP="00210FAD">
            <w:pPr>
              <w:pStyle w:val="ListParagraph"/>
              <w:ind w:left="0"/>
              <w:rPr>
                <w:b/>
                <w:bCs/>
              </w:rPr>
            </w:pPr>
            <w:r>
              <w:rPr>
                <w:b/>
                <w:bCs/>
              </w:rPr>
              <w:t>TOTAL</w:t>
            </w:r>
          </w:p>
        </w:tc>
        <w:tc>
          <w:tcPr>
            <w:tcW w:w="1170" w:type="dxa"/>
            <w:shd w:val="clear" w:color="auto" w:fill="D9D9D9" w:themeFill="background1" w:themeFillShade="D9"/>
            <w:vAlign w:val="bottom"/>
          </w:tcPr>
          <w:p w14:paraId="18C2A9AE" w14:textId="67770E67" w:rsidR="00210FAD" w:rsidRPr="00704AC9" w:rsidRDefault="00210FAD" w:rsidP="00210FAD">
            <w:pPr>
              <w:pStyle w:val="ListParagraph"/>
              <w:ind w:left="0"/>
              <w:jc w:val="center"/>
            </w:pPr>
            <w:r>
              <w:t>95.6%</w:t>
            </w:r>
          </w:p>
        </w:tc>
      </w:tr>
    </w:tbl>
    <w:p w14:paraId="1F174836" w14:textId="77777777" w:rsidR="00D80EC9" w:rsidRPr="000516F1" w:rsidRDefault="00D80EC9" w:rsidP="000516F1">
      <w:pPr>
        <w:rPr>
          <w:rFonts w:cstheme="minorHAnsi"/>
          <w:bCs/>
        </w:rPr>
      </w:pPr>
    </w:p>
    <w:p w14:paraId="45FAE69A" w14:textId="00A34629" w:rsidR="003A4882" w:rsidRPr="00832D3A" w:rsidRDefault="003A4882" w:rsidP="00226A63">
      <w:pPr>
        <w:pStyle w:val="ListParagraph"/>
        <w:numPr>
          <w:ilvl w:val="0"/>
          <w:numId w:val="5"/>
        </w:numPr>
        <w:rPr>
          <w:rFonts w:cstheme="minorHAnsi"/>
          <w:b/>
          <w:bCs/>
        </w:rPr>
      </w:pPr>
      <w:r w:rsidRPr="00832D3A">
        <w:rPr>
          <w:rFonts w:cstheme="minorHAnsi"/>
          <w:b/>
          <w:bCs/>
        </w:rPr>
        <w:t xml:space="preserve">South Shore Health MRI scans by location </w:t>
      </w:r>
      <w:r w:rsidR="00154A10" w:rsidRPr="00832D3A">
        <w:rPr>
          <w:rFonts w:cstheme="minorHAnsi"/>
          <w:b/>
          <w:bCs/>
        </w:rPr>
        <w:t>(pg.</w:t>
      </w:r>
      <w:r w:rsidR="006F4EF5" w:rsidRPr="00832D3A">
        <w:rPr>
          <w:rFonts w:cstheme="minorHAnsi"/>
          <w:b/>
          <w:bCs/>
        </w:rPr>
        <w:t>6</w:t>
      </w:r>
      <w:r w:rsidR="00154A10" w:rsidRPr="00832D3A">
        <w:rPr>
          <w:rFonts w:cstheme="minorHAnsi"/>
          <w:b/>
          <w:bCs/>
        </w:rPr>
        <w:t>)</w:t>
      </w:r>
    </w:p>
    <w:p w14:paraId="12C740C1" w14:textId="010BE5E3" w:rsidR="007F4F1C" w:rsidRPr="00832D3A" w:rsidRDefault="007F4F1C" w:rsidP="007F4F1C">
      <w:pPr>
        <w:pStyle w:val="ListParagraph"/>
        <w:rPr>
          <w:rFonts w:cstheme="minorHAnsi"/>
          <w:b/>
          <w:bCs/>
        </w:rPr>
      </w:pPr>
    </w:p>
    <w:p w14:paraId="407EF62A" w14:textId="019EB349" w:rsidR="007F4F1C" w:rsidRPr="00832D3A" w:rsidRDefault="007F4F1C" w:rsidP="00210FAD">
      <w:pPr>
        <w:pStyle w:val="ListParagraph"/>
        <w:ind w:left="1440" w:firstLine="630"/>
        <w:rPr>
          <w:rFonts w:cstheme="minorHAnsi"/>
          <w:b/>
          <w:bCs/>
        </w:rPr>
      </w:pPr>
      <w:r w:rsidRPr="00832D3A">
        <w:rPr>
          <w:rFonts w:cstheme="minorHAnsi"/>
          <w:b/>
          <w:bCs/>
        </w:rPr>
        <w:t xml:space="preserve">Table 2: SSHS Location of MRI Scans </w:t>
      </w:r>
    </w:p>
    <w:tbl>
      <w:tblPr>
        <w:tblStyle w:val="TableGrid"/>
        <w:tblW w:w="0" w:type="auto"/>
        <w:jc w:val="center"/>
        <w:tblLook w:val="04A0" w:firstRow="1" w:lastRow="0" w:firstColumn="1" w:lastColumn="0" w:noHBand="0" w:noVBand="1"/>
        <w:tblCaption w:val="Table 2: SSHS Location of MRI Scans "/>
        <w:tblDescription w:val="Table 2: SSHS Location of MRI Scans "/>
      </w:tblPr>
      <w:tblGrid>
        <w:gridCol w:w="3366"/>
        <w:gridCol w:w="878"/>
        <w:gridCol w:w="878"/>
        <w:gridCol w:w="878"/>
      </w:tblGrid>
      <w:tr w:rsidR="003A4882" w:rsidRPr="00832D3A" w14:paraId="6019837B" w14:textId="4A78FA89" w:rsidTr="00003D2E">
        <w:trPr>
          <w:tblHeader/>
          <w:jc w:val="center"/>
        </w:trPr>
        <w:tc>
          <w:tcPr>
            <w:tcW w:w="0" w:type="auto"/>
          </w:tcPr>
          <w:p w14:paraId="7510E18C" w14:textId="77777777" w:rsidR="003A4882" w:rsidRPr="00832D3A" w:rsidRDefault="003A4882">
            <w:pPr>
              <w:rPr>
                <w:rFonts w:cstheme="minorHAnsi"/>
              </w:rPr>
            </w:pPr>
          </w:p>
        </w:tc>
        <w:tc>
          <w:tcPr>
            <w:tcW w:w="0" w:type="auto"/>
            <w:shd w:val="clear" w:color="auto" w:fill="D9D9D9" w:themeFill="background1" w:themeFillShade="D9"/>
          </w:tcPr>
          <w:p w14:paraId="23A9BA29" w14:textId="77E3D18A" w:rsidR="003A4882" w:rsidRPr="000516F1" w:rsidRDefault="003A4882">
            <w:pPr>
              <w:rPr>
                <w:rFonts w:cstheme="minorHAnsi"/>
                <w:b/>
                <w:bCs/>
              </w:rPr>
            </w:pPr>
            <w:r w:rsidRPr="000516F1">
              <w:rPr>
                <w:rFonts w:cstheme="minorHAnsi"/>
                <w:b/>
                <w:bCs/>
              </w:rPr>
              <w:t>FY2018</w:t>
            </w:r>
          </w:p>
        </w:tc>
        <w:tc>
          <w:tcPr>
            <w:tcW w:w="0" w:type="auto"/>
            <w:shd w:val="clear" w:color="auto" w:fill="D9D9D9" w:themeFill="background1" w:themeFillShade="D9"/>
          </w:tcPr>
          <w:p w14:paraId="41578BF0" w14:textId="5AC90D43" w:rsidR="003A4882" w:rsidRPr="000516F1" w:rsidRDefault="003A4882">
            <w:pPr>
              <w:rPr>
                <w:rFonts w:cstheme="minorHAnsi"/>
                <w:b/>
                <w:bCs/>
              </w:rPr>
            </w:pPr>
            <w:r w:rsidRPr="000516F1">
              <w:rPr>
                <w:rFonts w:cstheme="minorHAnsi"/>
                <w:b/>
                <w:bCs/>
              </w:rPr>
              <w:t>FY2019</w:t>
            </w:r>
          </w:p>
        </w:tc>
        <w:tc>
          <w:tcPr>
            <w:tcW w:w="0" w:type="auto"/>
            <w:shd w:val="clear" w:color="auto" w:fill="D9D9D9" w:themeFill="background1" w:themeFillShade="D9"/>
          </w:tcPr>
          <w:p w14:paraId="56A0563F" w14:textId="2B6A4597" w:rsidR="003A4882" w:rsidRPr="000516F1" w:rsidRDefault="003A4882">
            <w:pPr>
              <w:rPr>
                <w:rFonts w:cstheme="minorHAnsi"/>
                <w:b/>
                <w:bCs/>
              </w:rPr>
            </w:pPr>
            <w:r w:rsidRPr="000516F1">
              <w:rPr>
                <w:rFonts w:cstheme="minorHAnsi"/>
                <w:b/>
                <w:bCs/>
              </w:rPr>
              <w:t>FY2020</w:t>
            </w:r>
          </w:p>
        </w:tc>
      </w:tr>
      <w:tr w:rsidR="003A4882" w:rsidRPr="00832D3A" w14:paraId="71DDD5BF" w14:textId="3B6C4B82" w:rsidTr="0071402E">
        <w:trPr>
          <w:jc w:val="center"/>
        </w:trPr>
        <w:tc>
          <w:tcPr>
            <w:tcW w:w="0" w:type="auto"/>
          </w:tcPr>
          <w:p w14:paraId="4DD5E24B" w14:textId="4D747FC4" w:rsidR="003A4882" w:rsidRPr="00832D3A" w:rsidRDefault="003A4882" w:rsidP="00740B16">
            <w:pPr>
              <w:rPr>
                <w:rFonts w:cstheme="minorHAnsi"/>
              </w:rPr>
            </w:pPr>
            <w:r w:rsidRPr="00832D3A">
              <w:rPr>
                <w:rFonts w:cstheme="minorHAnsi"/>
              </w:rPr>
              <w:t>South Shore Hospital Main Campus</w:t>
            </w:r>
          </w:p>
        </w:tc>
        <w:tc>
          <w:tcPr>
            <w:tcW w:w="0" w:type="auto"/>
          </w:tcPr>
          <w:p w14:paraId="21574492" w14:textId="1C518018" w:rsidR="003A4882" w:rsidRPr="00832D3A" w:rsidRDefault="003A4882" w:rsidP="00740B16">
            <w:pPr>
              <w:rPr>
                <w:rFonts w:cstheme="minorHAnsi"/>
              </w:rPr>
            </w:pPr>
            <w:r w:rsidRPr="00832D3A">
              <w:rPr>
                <w:rFonts w:cstheme="minorHAnsi"/>
              </w:rPr>
              <w:t xml:space="preserve">7,497 </w:t>
            </w:r>
          </w:p>
        </w:tc>
        <w:tc>
          <w:tcPr>
            <w:tcW w:w="0" w:type="auto"/>
          </w:tcPr>
          <w:p w14:paraId="2BEE490A" w14:textId="44213C30" w:rsidR="003A4882" w:rsidRPr="00832D3A" w:rsidRDefault="003A4882" w:rsidP="00740B16">
            <w:pPr>
              <w:rPr>
                <w:rFonts w:cstheme="minorHAnsi"/>
              </w:rPr>
            </w:pPr>
            <w:r w:rsidRPr="00832D3A">
              <w:rPr>
                <w:rFonts w:cstheme="minorHAnsi"/>
              </w:rPr>
              <w:t xml:space="preserve">7,471 </w:t>
            </w:r>
          </w:p>
        </w:tc>
        <w:tc>
          <w:tcPr>
            <w:tcW w:w="0" w:type="auto"/>
          </w:tcPr>
          <w:p w14:paraId="6F74E0B8" w14:textId="4A0ED6FA" w:rsidR="003A4882" w:rsidRPr="00832D3A" w:rsidRDefault="003A4882" w:rsidP="00740B16">
            <w:pPr>
              <w:rPr>
                <w:rFonts w:cstheme="minorHAnsi"/>
              </w:rPr>
            </w:pPr>
            <w:r w:rsidRPr="00832D3A">
              <w:rPr>
                <w:rFonts w:cstheme="minorHAnsi"/>
              </w:rPr>
              <w:t>6,497</w:t>
            </w:r>
          </w:p>
        </w:tc>
      </w:tr>
      <w:tr w:rsidR="003A4882" w:rsidRPr="00832D3A" w14:paraId="7396E6E5" w14:textId="4FE9A358" w:rsidTr="0071402E">
        <w:trPr>
          <w:jc w:val="center"/>
        </w:trPr>
        <w:tc>
          <w:tcPr>
            <w:tcW w:w="0" w:type="auto"/>
          </w:tcPr>
          <w:p w14:paraId="665DF798" w14:textId="19076928" w:rsidR="003A4882" w:rsidRPr="00832D3A" w:rsidRDefault="003A4882" w:rsidP="00740B16">
            <w:pPr>
              <w:rPr>
                <w:rFonts w:cstheme="minorHAnsi"/>
              </w:rPr>
            </w:pPr>
            <w:r w:rsidRPr="00832D3A">
              <w:rPr>
                <w:rFonts w:cstheme="minorHAnsi"/>
              </w:rPr>
              <w:t>Cancer Center</w:t>
            </w:r>
          </w:p>
        </w:tc>
        <w:tc>
          <w:tcPr>
            <w:tcW w:w="0" w:type="auto"/>
          </w:tcPr>
          <w:p w14:paraId="3DF0821F" w14:textId="6B293D52" w:rsidR="003A4882" w:rsidRPr="00832D3A" w:rsidRDefault="003A4882" w:rsidP="00740B16">
            <w:pPr>
              <w:rPr>
                <w:rFonts w:cstheme="minorHAnsi"/>
              </w:rPr>
            </w:pPr>
            <w:r w:rsidRPr="00832D3A">
              <w:rPr>
                <w:rFonts w:cstheme="minorHAnsi"/>
              </w:rPr>
              <w:t xml:space="preserve">4,019 </w:t>
            </w:r>
          </w:p>
        </w:tc>
        <w:tc>
          <w:tcPr>
            <w:tcW w:w="0" w:type="auto"/>
          </w:tcPr>
          <w:p w14:paraId="4EBCBB6C" w14:textId="4BD91513" w:rsidR="003A4882" w:rsidRPr="00832D3A" w:rsidRDefault="003A4882" w:rsidP="00740B16">
            <w:pPr>
              <w:rPr>
                <w:rFonts w:cstheme="minorHAnsi"/>
              </w:rPr>
            </w:pPr>
            <w:r w:rsidRPr="00832D3A">
              <w:rPr>
                <w:rFonts w:cstheme="minorHAnsi"/>
              </w:rPr>
              <w:t xml:space="preserve">4,386 </w:t>
            </w:r>
          </w:p>
        </w:tc>
        <w:tc>
          <w:tcPr>
            <w:tcW w:w="0" w:type="auto"/>
          </w:tcPr>
          <w:p w14:paraId="396F081C" w14:textId="620A47D3" w:rsidR="003A4882" w:rsidRPr="00832D3A" w:rsidRDefault="003A4882" w:rsidP="00740B16">
            <w:pPr>
              <w:rPr>
                <w:rFonts w:cstheme="minorHAnsi"/>
              </w:rPr>
            </w:pPr>
            <w:r w:rsidRPr="00832D3A">
              <w:rPr>
                <w:rFonts w:cstheme="minorHAnsi"/>
              </w:rPr>
              <w:t>4,285</w:t>
            </w:r>
          </w:p>
        </w:tc>
      </w:tr>
      <w:tr w:rsidR="003A4882" w:rsidRPr="00832D3A" w14:paraId="4C030D3F" w14:textId="28A8436B" w:rsidTr="0071402E">
        <w:trPr>
          <w:jc w:val="center"/>
        </w:trPr>
        <w:tc>
          <w:tcPr>
            <w:tcW w:w="0" w:type="auto"/>
          </w:tcPr>
          <w:p w14:paraId="7F24DF64" w14:textId="47576E67" w:rsidR="003A4882" w:rsidRPr="00832D3A" w:rsidRDefault="003A4882" w:rsidP="00740B16">
            <w:pPr>
              <w:rPr>
                <w:rFonts w:cstheme="minorHAnsi"/>
              </w:rPr>
            </w:pPr>
            <w:r w:rsidRPr="00832D3A">
              <w:rPr>
                <w:rFonts w:cstheme="minorHAnsi"/>
              </w:rPr>
              <w:t>South Shore Orthopedics</w:t>
            </w:r>
          </w:p>
        </w:tc>
        <w:tc>
          <w:tcPr>
            <w:tcW w:w="0" w:type="auto"/>
          </w:tcPr>
          <w:p w14:paraId="449AF770" w14:textId="3F726642" w:rsidR="003A4882" w:rsidRPr="00832D3A" w:rsidRDefault="003A4882" w:rsidP="00740B16">
            <w:pPr>
              <w:rPr>
                <w:rFonts w:cstheme="minorHAnsi"/>
              </w:rPr>
            </w:pPr>
            <w:r w:rsidRPr="00832D3A">
              <w:rPr>
                <w:rFonts w:cstheme="minorHAnsi"/>
              </w:rPr>
              <w:t xml:space="preserve">3,716 </w:t>
            </w:r>
          </w:p>
        </w:tc>
        <w:tc>
          <w:tcPr>
            <w:tcW w:w="0" w:type="auto"/>
          </w:tcPr>
          <w:p w14:paraId="08136420" w14:textId="33017E13" w:rsidR="003A4882" w:rsidRPr="00832D3A" w:rsidRDefault="003A4882" w:rsidP="00740B16">
            <w:pPr>
              <w:rPr>
                <w:rFonts w:cstheme="minorHAnsi"/>
              </w:rPr>
            </w:pPr>
            <w:r w:rsidRPr="00832D3A">
              <w:rPr>
                <w:rFonts w:cstheme="minorHAnsi"/>
              </w:rPr>
              <w:t xml:space="preserve">3,697 </w:t>
            </w:r>
          </w:p>
        </w:tc>
        <w:tc>
          <w:tcPr>
            <w:tcW w:w="0" w:type="auto"/>
          </w:tcPr>
          <w:p w14:paraId="6AF4CA55" w14:textId="5B4E5B25" w:rsidR="003A4882" w:rsidRPr="00832D3A" w:rsidRDefault="003A4882" w:rsidP="00740B16">
            <w:pPr>
              <w:rPr>
                <w:rFonts w:cstheme="minorHAnsi"/>
              </w:rPr>
            </w:pPr>
            <w:r w:rsidRPr="00832D3A">
              <w:rPr>
                <w:rFonts w:cstheme="minorHAnsi"/>
              </w:rPr>
              <w:t>3,315</w:t>
            </w:r>
          </w:p>
        </w:tc>
      </w:tr>
      <w:tr w:rsidR="003A4882" w:rsidRPr="00832D3A" w14:paraId="33E7CB15" w14:textId="5D5ED3F9" w:rsidTr="0071402E">
        <w:trPr>
          <w:jc w:val="center"/>
        </w:trPr>
        <w:tc>
          <w:tcPr>
            <w:tcW w:w="0" w:type="auto"/>
          </w:tcPr>
          <w:p w14:paraId="2C201928" w14:textId="0085599D" w:rsidR="003A4882" w:rsidRPr="00832D3A" w:rsidRDefault="003A4882">
            <w:pPr>
              <w:rPr>
                <w:rFonts w:cstheme="minorHAnsi"/>
              </w:rPr>
            </w:pPr>
            <w:r w:rsidRPr="00832D3A">
              <w:rPr>
                <w:rFonts w:cstheme="minorHAnsi"/>
              </w:rPr>
              <w:t>Total</w:t>
            </w:r>
          </w:p>
        </w:tc>
        <w:tc>
          <w:tcPr>
            <w:tcW w:w="0" w:type="auto"/>
          </w:tcPr>
          <w:p w14:paraId="6671E341" w14:textId="1248B5CB" w:rsidR="003A4882" w:rsidRPr="00832D3A" w:rsidRDefault="003A4882">
            <w:pPr>
              <w:rPr>
                <w:rFonts w:cstheme="minorHAnsi"/>
              </w:rPr>
            </w:pPr>
            <w:r w:rsidRPr="00210FAD">
              <w:rPr>
                <w:rFonts w:cstheme="minorHAnsi"/>
              </w:rPr>
              <w:fldChar w:fldCharType="begin"/>
            </w:r>
            <w:r w:rsidRPr="00832D3A">
              <w:rPr>
                <w:rFonts w:cstheme="minorHAnsi"/>
              </w:rPr>
              <w:instrText xml:space="preserve"> =SUM(ABOVE) </w:instrText>
            </w:r>
            <w:r w:rsidRPr="00210FAD">
              <w:rPr>
                <w:rFonts w:cstheme="minorHAnsi"/>
              </w:rPr>
              <w:fldChar w:fldCharType="separate"/>
            </w:r>
            <w:r w:rsidRPr="00832D3A">
              <w:rPr>
                <w:rFonts w:cstheme="minorHAnsi"/>
                <w:noProof/>
              </w:rPr>
              <w:t>15,232</w:t>
            </w:r>
            <w:r w:rsidRPr="00210FAD">
              <w:rPr>
                <w:rFonts w:cstheme="minorHAnsi"/>
              </w:rPr>
              <w:fldChar w:fldCharType="end"/>
            </w:r>
          </w:p>
        </w:tc>
        <w:tc>
          <w:tcPr>
            <w:tcW w:w="0" w:type="auto"/>
          </w:tcPr>
          <w:p w14:paraId="3A2818A5" w14:textId="65253DFE" w:rsidR="003A4882" w:rsidRPr="00832D3A" w:rsidRDefault="003A4882">
            <w:pPr>
              <w:rPr>
                <w:rFonts w:cstheme="minorHAnsi"/>
              </w:rPr>
            </w:pPr>
            <w:r w:rsidRPr="00210FAD">
              <w:rPr>
                <w:rFonts w:cstheme="minorHAnsi"/>
              </w:rPr>
              <w:fldChar w:fldCharType="begin"/>
            </w:r>
            <w:r w:rsidRPr="00832D3A">
              <w:rPr>
                <w:rFonts w:cstheme="minorHAnsi"/>
              </w:rPr>
              <w:instrText xml:space="preserve"> =SUM(ABOVE) </w:instrText>
            </w:r>
            <w:r w:rsidRPr="00210FAD">
              <w:rPr>
                <w:rFonts w:cstheme="minorHAnsi"/>
              </w:rPr>
              <w:fldChar w:fldCharType="separate"/>
            </w:r>
            <w:r w:rsidRPr="00832D3A">
              <w:rPr>
                <w:rFonts w:cstheme="minorHAnsi"/>
                <w:noProof/>
              </w:rPr>
              <w:t>15,554</w:t>
            </w:r>
            <w:r w:rsidRPr="00210FAD">
              <w:rPr>
                <w:rFonts w:cstheme="minorHAnsi"/>
              </w:rPr>
              <w:fldChar w:fldCharType="end"/>
            </w:r>
          </w:p>
        </w:tc>
        <w:tc>
          <w:tcPr>
            <w:tcW w:w="0" w:type="auto"/>
          </w:tcPr>
          <w:p w14:paraId="2F46383A" w14:textId="065A055B" w:rsidR="003A4882" w:rsidRPr="00832D3A" w:rsidRDefault="003A4882">
            <w:pPr>
              <w:rPr>
                <w:rFonts w:cstheme="minorHAnsi"/>
              </w:rPr>
            </w:pPr>
            <w:r w:rsidRPr="00210FAD">
              <w:rPr>
                <w:rFonts w:cstheme="minorHAnsi"/>
              </w:rPr>
              <w:fldChar w:fldCharType="begin"/>
            </w:r>
            <w:r w:rsidRPr="00832D3A">
              <w:rPr>
                <w:rFonts w:cstheme="minorHAnsi"/>
              </w:rPr>
              <w:instrText xml:space="preserve"> =SUM(ABOVE) </w:instrText>
            </w:r>
            <w:r w:rsidRPr="00210FAD">
              <w:rPr>
                <w:rFonts w:cstheme="minorHAnsi"/>
              </w:rPr>
              <w:fldChar w:fldCharType="separate"/>
            </w:r>
            <w:r w:rsidRPr="00832D3A">
              <w:rPr>
                <w:rFonts w:cstheme="minorHAnsi"/>
                <w:noProof/>
              </w:rPr>
              <w:t>14,097</w:t>
            </w:r>
            <w:r w:rsidRPr="00210FAD">
              <w:rPr>
                <w:rFonts w:cstheme="minorHAnsi"/>
              </w:rPr>
              <w:fldChar w:fldCharType="end"/>
            </w:r>
          </w:p>
        </w:tc>
      </w:tr>
    </w:tbl>
    <w:p w14:paraId="189BD789" w14:textId="77777777" w:rsidR="00AB56AA" w:rsidRPr="00832D3A" w:rsidRDefault="00AB56AA" w:rsidP="008A7D64">
      <w:pPr>
        <w:pStyle w:val="ListParagraph"/>
        <w:ind w:left="1440"/>
        <w:rPr>
          <w:rFonts w:cstheme="minorHAnsi"/>
        </w:rPr>
      </w:pPr>
    </w:p>
    <w:p w14:paraId="7163AE51" w14:textId="7293EE2D" w:rsidR="007F4F1C" w:rsidRPr="00AD3E6E" w:rsidRDefault="00AB56AA" w:rsidP="00AD3E6E">
      <w:pPr>
        <w:pStyle w:val="ListParagraph"/>
        <w:numPr>
          <w:ilvl w:val="1"/>
          <w:numId w:val="5"/>
        </w:numPr>
        <w:spacing w:line="240" w:lineRule="auto"/>
        <w:rPr>
          <w:rFonts w:cstheme="minorHAnsi"/>
          <w:b/>
          <w:bCs/>
        </w:rPr>
      </w:pPr>
      <w:r w:rsidRPr="00832D3A">
        <w:rPr>
          <w:rFonts w:cstheme="minorHAnsi"/>
          <w:b/>
          <w:bCs/>
        </w:rPr>
        <w:lastRenderedPageBreak/>
        <w:t>Provide the number of unique patients</w:t>
      </w:r>
      <w:r w:rsidR="002364A1" w:rsidRPr="00832D3A">
        <w:rPr>
          <w:rFonts w:cstheme="minorHAnsi"/>
          <w:b/>
          <w:bCs/>
        </w:rPr>
        <w:t xml:space="preserve"> at SSH Main campus, the Cancer Center, and South Shore Orthopedics</w:t>
      </w:r>
      <w:r w:rsidRPr="00832D3A">
        <w:rPr>
          <w:rFonts w:cstheme="minorHAnsi"/>
          <w:b/>
          <w:bCs/>
        </w:rPr>
        <w:t xml:space="preserve"> for </w:t>
      </w:r>
      <w:r w:rsidR="001703B0" w:rsidRPr="00832D3A">
        <w:rPr>
          <w:rFonts w:cstheme="minorHAnsi"/>
          <w:b/>
          <w:bCs/>
        </w:rPr>
        <w:t>FY19</w:t>
      </w:r>
      <w:r w:rsidRPr="00832D3A">
        <w:rPr>
          <w:rFonts w:cstheme="minorHAnsi"/>
          <w:b/>
          <w:bCs/>
        </w:rPr>
        <w:t>.</w:t>
      </w:r>
      <w:r w:rsidR="00AD3E6E">
        <w:rPr>
          <w:rFonts w:cstheme="minorHAnsi"/>
          <w:b/>
          <w:bCs/>
        </w:rPr>
        <w:t xml:space="preserve"> </w:t>
      </w:r>
    </w:p>
    <w:p w14:paraId="09B6E4FB" w14:textId="77777777" w:rsidR="00AB7030" w:rsidRPr="00054FF4" w:rsidRDefault="00AB7030" w:rsidP="00AB7030">
      <w:pPr>
        <w:pStyle w:val="Heading1"/>
      </w:pPr>
      <w:r w:rsidRPr="00054FF4">
        <w:t xml:space="preserve">APPLICANT </w:t>
      </w:r>
      <w:r>
        <w:t>RESPONSES</w:t>
      </w:r>
    </w:p>
    <w:p w14:paraId="1CFEE096" w14:textId="64D3B884" w:rsidR="007F4F1C" w:rsidRPr="00832D3A" w:rsidRDefault="007F4F1C" w:rsidP="00210FAD">
      <w:pPr>
        <w:pStyle w:val="ListParagraph"/>
        <w:spacing w:line="240" w:lineRule="auto"/>
        <w:ind w:left="1440" w:firstLine="630"/>
        <w:rPr>
          <w:rFonts w:cstheme="minorHAnsi"/>
          <w:b/>
          <w:bCs/>
        </w:rPr>
      </w:pPr>
      <w:r w:rsidRPr="00832D3A">
        <w:rPr>
          <w:rFonts w:cstheme="minorHAnsi"/>
          <w:b/>
          <w:bCs/>
        </w:rPr>
        <w:t xml:space="preserve">Table 3: Unique MRI Patients </w:t>
      </w:r>
      <w:r w:rsidR="00CE76E2">
        <w:rPr>
          <w:rFonts w:cstheme="minorHAnsi"/>
          <w:b/>
          <w:bCs/>
        </w:rPr>
        <w:t>for FY2019</w:t>
      </w:r>
    </w:p>
    <w:tbl>
      <w:tblPr>
        <w:tblStyle w:val="TableTheme"/>
        <w:tblW w:w="4860" w:type="dxa"/>
        <w:tblInd w:w="2155" w:type="dxa"/>
        <w:tblLook w:val="04A0" w:firstRow="1" w:lastRow="0" w:firstColumn="1" w:lastColumn="0" w:noHBand="0" w:noVBand="1"/>
        <w:tblCaption w:val="Table 3: Unique MRI Patients for FY2019"/>
        <w:tblDescription w:val="Table 3: Unique MRI Patients for FY2019"/>
      </w:tblPr>
      <w:tblGrid>
        <w:gridCol w:w="3420"/>
        <w:gridCol w:w="1440"/>
      </w:tblGrid>
      <w:tr w:rsidR="00926506" w:rsidRPr="00832D3A" w14:paraId="6CCFF904" w14:textId="77777777" w:rsidTr="006509FC">
        <w:trPr>
          <w:trHeight w:val="300"/>
          <w:tblHeader/>
        </w:trPr>
        <w:tc>
          <w:tcPr>
            <w:tcW w:w="3420" w:type="dxa"/>
            <w:noWrap/>
            <w:hideMark/>
          </w:tcPr>
          <w:p w14:paraId="25BC3A63" w14:textId="3E1EE0A9" w:rsidR="00926506" w:rsidRPr="00210FAD" w:rsidRDefault="0073425E">
            <w:pPr>
              <w:rPr>
                <w:rFonts w:cstheme="minorHAnsi"/>
                <w:bCs/>
              </w:rPr>
            </w:pPr>
            <w:r w:rsidRPr="00210FAD">
              <w:rPr>
                <w:rFonts w:cstheme="minorHAnsi"/>
                <w:bCs/>
              </w:rPr>
              <w:t>Cancer Center</w:t>
            </w:r>
            <w:r w:rsidR="00926506" w:rsidRPr="00210FAD">
              <w:rPr>
                <w:rFonts w:cstheme="minorHAnsi"/>
                <w:bCs/>
              </w:rPr>
              <w:t xml:space="preserve"> MR I</w:t>
            </w:r>
            <w:r w:rsidRPr="00210FAD">
              <w:rPr>
                <w:rFonts w:cstheme="minorHAnsi"/>
                <w:bCs/>
              </w:rPr>
              <w:t>maging</w:t>
            </w:r>
          </w:p>
        </w:tc>
        <w:tc>
          <w:tcPr>
            <w:tcW w:w="1440" w:type="dxa"/>
            <w:noWrap/>
            <w:hideMark/>
          </w:tcPr>
          <w:p w14:paraId="4118BB23" w14:textId="77777777" w:rsidR="00926506" w:rsidRPr="00210FAD" w:rsidRDefault="00926506" w:rsidP="0073425E">
            <w:pPr>
              <w:jc w:val="center"/>
              <w:rPr>
                <w:rFonts w:cstheme="minorHAnsi"/>
                <w:bCs/>
              </w:rPr>
            </w:pPr>
            <w:r w:rsidRPr="00210FAD">
              <w:rPr>
                <w:rFonts w:cstheme="minorHAnsi"/>
                <w:bCs/>
              </w:rPr>
              <w:t>3,432</w:t>
            </w:r>
          </w:p>
        </w:tc>
      </w:tr>
      <w:tr w:rsidR="00926506" w:rsidRPr="00832D3A" w14:paraId="5E598A09" w14:textId="77777777" w:rsidTr="00CE76E2">
        <w:trPr>
          <w:trHeight w:val="300"/>
        </w:trPr>
        <w:tc>
          <w:tcPr>
            <w:tcW w:w="3420" w:type="dxa"/>
            <w:noWrap/>
            <w:hideMark/>
          </w:tcPr>
          <w:p w14:paraId="0190FD5A" w14:textId="2C4781B5" w:rsidR="00926506" w:rsidRPr="00210FAD" w:rsidRDefault="0073425E">
            <w:pPr>
              <w:rPr>
                <w:rFonts w:cstheme="minorHAnsi"/>
                <w:bCs/>
              </w:rPr>
            </w:pPr>
            <w:r w:rsidRPr="00210FAD">
              <w:rPr>
                <w:rFonts w:cstheme="minorHAnsi"/>
                <w:bCs/>
              </w:rPr>
              <w:t xml:space="preserve">South Shore Orthopedics </w:t>
            </w:r>
            <w:r w:rsidR="00926506" w:rsidRPr="00210FAD">
              <w:rPr>
                <w:rFonts w:cstheme="minorHAnsi"/>
                <w:bCs/>
              </w:rPr>
              <w:t xml:space="preserve">MR </w:t>
            </w:r>
            <w:r w:rsidRPr="00210FAD">
              <w:rPr>
                <w:rFonts w:cstheme="minorHAnsi"/>
                <w:bCs/>
              </w:rPr>
              <w:t>Imaging</w:t>
            </w:r>
          </w:p>
        </w:tc>
        <w:tc>
          <w:tcPr>
            <w:tcW w:w="1440" w:type="dxa"/>
            <w:noWrap/>
            <w:hideMark/>
          </w:tcPr>
          <w:p w14:paraId="32541294" w14:textId="77777777" w:rsidR="00926506" w:rsidRPr="00210FAD" w:rsidRDefault="00926506" w:rsidP="0073425E">
            <w:pPr>
              <w:jc w:val="center"/>
              <w:rPr>
                <w:rFonts w:cstheme="minorHAnsi"/>
                <w:bCs/>
              </w:rPr>
            </w:pPr>
            <w:r w:rsidRPr="00210FAD">
              <w:rPr>
                <w:rFonts w:cstheme="minorHAnsi"/>
                <w:bCs/>
              </w:rPr>
              <w:t>3,164</w:t>
            </w:r>
          </w:p>
        </w:tc>
      </w:tr>
      <w:tr w:rsidR="00926506" w:rsidRPr="00832D3A" w14:paraId="408D754D" w14:textId="77777777" w:rsidTr="00CE76E2">
        <w:trPr>
          <w:trHeight w:val="224"/>
        </w:trPr>
        <w:tc>
          <w:tcPr>
            <w:tcW w:w="3420" w:type="dxa"/>
            <w:noWrap/>
            <w:hideMark/>
          </w:tcPr>
          <w:p w14:paraId="2C11718C" w14:textId="34BB59FF" w:rsidR="00926506" w:rsidRPr="00210FAD" w:rsidRDefault="0073425E">
            <w:pPr>
              <w:rPr>
                <w:rFonts w:cstheme="minorHAnsi"/>
                <w:bCs/>
              </w:rPr>
            </w:pPr>
            <w:r w:rsidRPr="00210FAD">
              <w:rPr>
                <w:rFonts w:cstheme="minorHAnsi"/>
                <w:bCs/>
              </w:rPr>
              <w:t>South Shore Hospital</w:t>
            </w:r>
            <w:r w:rsidR="00926506" w:rsidRPr="00210FAD">
              <w:rPr>
                <w:rFonts w:cstheme="minorHAnsi"/>
                <w:bCs/>
              </w:rPr>
              <w:t xml:space="preserve"> MR </w:t>
            </w:r>
            <w:r w:rsidRPr="00210FAD">
              <w:rPr>
                <w:rFonts w:cstheme="minorHAnsi"/>
                <w:bCs/>
              </w:rPr>
              <w:t>Imaging</w:t>
            </w:r>
          </w:p>
        </w:tc>
        <w:tc>
          <w:tcPr>
            <w:tcW w:w="1440" w:type="dxa"/>
            <w:noWrap/>
            <w:hideMark/>
          </w:tcPr>
          <w:p w14:paraId="343DC3CE" w14:textId="77777777" w:rsidR="00926506" w:rsidRPr="00210FAD" w:rsidRDefault="00926506" w:rsidP="0073425E">
            <w:pPr>
              <w:jc w:val="center"/>
              <w:rPr>
                <w:rFonts w:cstheme="minorHAnsi"/>
                <w:bCs/>
              </w:rPr>
            </w:pPr>
            <w:r w:rsidRPr="00210FAD">
              <w:rPr>
                <w:rFonts w:cstheme="minorHAnsi"/>
                <w:bCs/>
              </w:rPr>
              <w:t>4,896</w:t>
            </w:r>
          </w:p>
        </w:tc>
      </w:tr>
    </w:tbl>
    <w:p w14:paraId="65E86116" w14:textId="77777777" w:rsidR="00926506" w:rsidRPr="00832D3A" w:rsidRDefault="00926506" w:rsidP="00926506">
      <w:pPr>
        <w:pStyle w:val="ListParagraph"/>
        <w:spacing w:line="240" w:lineRule="auto"/>
        <w:ind w:left="2160"/>
        <w:rPr>
          <w:rFonts w:cstheme="minorHAnsi"/>
          <w:b/>
        </w:rPr>
      </w:pPr>
    </w:p>
    <w:p w14:paraId="34DD1478" w14:textId="77777777" w:rsidR="0083468F" w:rsidRPr="00832D3A" w:rsidRDefault="0083468F" w:rsidP="0083468F">
      <w:pPr>
        <w:pStyle w:val="ListParagraph"/>
        <w:spacing w:line="240" w:lineRule="auto"/>
        <w:ind w:left="2160"/>
        <w:rPr>
          <w:rFonts w:cstheme="minorHAnsi"/>
        </w:rPr>
      </w:pPr>
    </w:p>
    <w:p w14:paraId="313B0774" w14:textId="7413A35F" w:rsidR="0083468F" w:rsidRPr="00832D3A" w:rsidRDefault="007F6357" w:rsidP="00DF584A">
      <w:pPr>
        <w:pStyle w:val="ListParagraph"/>
        <w:numPr>
          <w:ilvl w:val="1"/>
          <w:numId w:val="5"/>
        </w:numPr>
        <w:spacing w:line="240" w:lineRule="auto"/>
        <w:rPr>
          <w:rFonts w:cstheme="minorHAnsi"/>
          <w:b/>
          <w:bCs/>
        </w:rPr>
      </w:pPr>
      <w:r w:rsidRPr="00832D3A">
        <w:rPr>
          <w:rFonts w:cstheme="minorHAnsi"/>
          <w:b/>
          <w:bCs/>
        </w:rPr>
        <w:t xml:space="preserve">The application states the addition of an MRI unit will address the imaging needs of an aging population. </w:t>
      </w:r>
      <w:r w:rsidR="003E5576" w:rsidRPr="00832D3A">
        <w:rPr>
          <w:rFonts w:cstheme="minorHAnsi"/>
          <w:b/>
          <w:bCs/>
        </w:rPr>
        <w:t>In order to understand Patient Panel utilization of MRI services by age, p</w:t>
      </w:r>
      <w:r w:rsidR="00AB56AA" w:rsidRPr="00832D3A">
        <w:rPr>
          <w:rFonts w:cstheme="minorHAnsi"/>
          <w:b/>
          <w:bCs/>
        </w:rPr>
        <w:t>rovide FY</w:t>
      </w:r>
      <w:r w:rsidR="002D7991" w:rsidRPr="00832D3A">
        <w:rPr>
          <w:rFonts w:cstheme="minorHAnsi"/>
          <w:b/>
          <w:bCs/>
        </w:rPr>
        <w:t>19</w:t>
      </w:r>
      <w:r w:rsidR="00AB56AA" w:rsidRPr="00832D3A">
        <w:rPr>
          <w:rFonts w:cstheme="minorHAnsi"/>
          <w:b/>
          <w:bCs/>
        </w:rPr>
        <w:t xml:space="preserve"> MRI data </w:t>
      </w:r>
      <w:r w:rsidR="003E5576" w:rsidRPr="00832D3A">
        <w:rPr>
          <w:rFonts w:cstheme="minorHAnsi"/>
          <w:b/>
          <w:bCs/>
        </w:rPr>
        <w:t xml:space="preserve">at South Shore Hospital Main Campus, Cancer Center, and South Shore Orthopedics, </w:t>
      </w:r>
      <w:r w:rsidR="00AB56AA" w:rsidRPr="00832D3A">
        <w:rPr>
          <w:rFonts w:cstheme="minorHAnsi"/>
          <w:b/>
          <w:bCs/>
        </w:rPr>
        <w:t xml:space="preserve">by </w:t>
      </w:r>
      <w:r w:rsidR="006F363D" w:rsidRPr="00832D3A">
        <w:rPr>
          <w:rFonts w:cstheme="minorHAnsi"/>
          <w:b/>
          <w:bCs/>
        </w:rPr>
        <w:t xml:space="preserve">the following </w:t>
      </w:r>
      <w:r w:rsidR="00AB56AA" w:rsidRPr="00832D3A">
        <w:rPr>
          <w:rFonts w:cstheme="minorHAnsi"/>
          <w:b/>
          <w:bCs/>
        </w:rPr>
        <w:t>age cohort</w:t>
      </w:r>
      <w:r w:rsidR="006F363D" w:rsidRPr="00832D3A">
        <w:rPr>
          <w:rFonts w:cstheme="minorHAnsi"/>
          <w:b/>
          <w:bCs/>
        </w:rPr>
        <w:t>s: 0-17, 18-</w:t>
      </w:r>
      <w:r w:rsidR="00E22CA0" w:rsidRPr="00832D3A">
        <w:rPr>
          <w:rFonts w:cstheme="minorHAnsi"/>
          <w:b/>
          <w:bCs/>
        </w:rPr>
        <w:t>54, 55-</w:t>
      </w:r>
      <w:r w:rsidR="006F363D" w:rsidRPr="00832D3A">
        <w:rPr>
          <w:rFonts w:cstheme="minorHAnsi"/>
          <w:b/>
          <w:bCs/>
        </w:rPr>
        <w:t>64, 65-74, 75-84, and 85+</w:t>
      </w:r>
      <w:r w:rsidR="00AB56AA" w:rsidRPr="00832D3A">
        <w:rPr>
          <w:rFonts w:cstheme="minorHAnsi"/>
          <w:b/>
          <w:bCs/>
        </w:rPr>
        <w:t xml:space="preserve">. </w:t>
      </w:r>
    </w:p>
    <w:p w14:paraId="406AF0BB" w14:textId="606B5410" w:rsidR="00926506" w:rsidRPr="00210FAD" w:rsidRDefault="007F4F1C" w:rsidP="00210FAD">
      <w:pPr>
        <w:spacing w:line="240" w:lineRule="auto"/>
        <w:ind w:firstLine="1440"/>
        <w:rPr>
          <w:rFonts w:cstheme="minorHAnsi"/>
          <w:b/>
        </w:rPr>
      </w:pPr>
      <w:r w:rsidRPr="00210FAD">
        <w:rPr>
          <w:rFonts w:cstheme="minorHAnsi"/>
          <w:b/>
        </w:rPr>
        <w:t xml:space="preserve">Table 4. SSHS MRI Patient Ages </w:t>
      </w:r>
    </w:p>
    <w:tbl>
      <w:tblPr>
        <w:tblStyle w:val="TableGrid"/>
        <w:tblW w:w="0" w:type="auto"/>
        <w:tblInd w:w="1548" w:type="dxa"/>
        <w:tblLook w:val="04A0" w:firstRow="1" w:lastRow="0" w:firstColumn="1" w:lastColumn="0" w:noHBand="0" w:noVBand="1"/>
        <w:tblCaption w:val="Table 4. SSHS MRI Patient Ages "/>
        <w:tblDescription w:val="Table 4. SSHS MRI Patient Ages "/>
      </w:tblPr>
      <w:tblGrid>
        <w:gridCol w:w="1350"/>
        <w:gridCol w:w="1530"/>
        <w:gridCol w:w="1620"/>
        <w:gridCol w:w="2340"/>
      </w:tblGrid>
      <w:tr w:rsidR="0073425E" w:rsidRPr="00832D3A" w14:paraId="2AA02574" w14:textId="16EE71D4" w:rsidTr="00003D2E">
        <w:trPr>
          <w:trHeight w:val="602"/>
          <w:tblHeader/>
        </w:trPr>
        <w:tc>
          <w:tcPr>
            <w:tcW w:w="1350" w:type="dxa"/>
          </w:tcPr>
          <w:p w14:paraId="186BCB8B" w14:textId="61640895" w:rsidR="0073425E" w:rsidRPr="00210FAD" w:rsidRDefault="0073425E" w:rsidP="00210FAD">
            <w:pPr>
              <w:jc w:val="center"/>
              <w:rPr>
                <w:rFonts w:cstheme="minorHAnsi"/>
                <w:b/>
                <w:bCs/>
              </w:rPr>
            </w:pPr>
            <w:r w:rsidRPr="00210FAD">
              <w:rPr>
                <w:rFonts w:cstheme="minorHAnsi"/>
                <w:b/>
                <w:bCs/>
              </w:rPr>
              <w:t>Age Cohort</w:t>
            </w:r>
          </w:p>
        </w:tc>
        <w:tc>
          <w:tcPr>
            <w:tcW w:w="1530" w:type="dxa"/>
          </w:tcPr>
          <w:p w14:paraId="7A6C5FB2" w14:textId="5F322D17" w:rsidR="0073425E" w:rsidRPr="00210FAD" w:rsidRDefault="0073425E" w:rsidP="00210FAD">
            <w:pPr>
              <w:jc w:val="center"/>
              <w:rPr>
                <w:rFonts w:cstheme="minorHAnsi"/>
                <w:b/>
                <w:bCs/>
              </w:rPr>
            </w:pPr>
            <w:r w:rsidRPr="00210FAD">
              <w:rPr>
                <w:rFonts w:cstheme="minorHAnsi"/>
                <w:b/>
                <w:bCs/>
              </w:rPr>
              <w:t>Cancer Center</w:t>
            </w:r>
          </w:p>
        </w:tc>
        <w:tc>
          <w:tcPr>
            <w:tcW w:w="1620" w:type="dxa"/>
          </w:tcPr>
          <w:p w14:paraId="6AF6C488" w14:textId="22F8BD79" w:rsidR="0073425E" w:rsidRPr="00210FAD" w:rsidRDefault="00660C8D" w:rsidP="00210FAD">
            <w:pPr>
              <w:jc w:val="center"/>
              <w:rPr>
                <w:rFonts w:cstheme="minorHAnsi"/>
                <w:b/>
                <w:bCs/>
              </w:rPr>
            </w:pPr>
            <w:r w:rsidRPr="00210FAD">
              <w:rPr>
                <w:rFonts w:cstheme="minorHAnsi"/>
                <w:b/>
                <w:bCs/>
              </w:rPr>
              <w:t>South Shore Orthopedics</w:t>
            </w:r>
          </w:p>
        </w:tc>
        <w:tc>
          <w:tcPr>
            <w:tcW w:w="2340" w:type="dxa"/>
          </w:tcPr>
          <w:p w14:paraId="6F789066" w14:textId="359249BB" w:rsidR="0073425E" w:rsidRPr="00210FAD" w:rsidRDefault="0073425E" w:rsidP="00210FAD">
            <w:pPr>
              <w:jc w:val="center"/>
              <w:rPr>
                <w:rFonts w:cstheme="minorHAnsi"/>
                <w:b/>
                <w:bCs/>
              </w:rPr>
            </w:pPr>
            <w:r w:rsidRPr="00210FAD">
              <w:rPr>
                <w:rFonts w:cstheme="minorHAnsi"/>
                <w:b/>
                <w:bCs/>
              </w:rPr>
              <w:t>S</w:t>
            </w:r>
            <w:r w:rsidR="00660C8D" w:rsidRPr="00210FAD">
              <w:rPr>
                <w:rFonts w:cstheme="minorHAnsi"/>
                <w:b/>
                <w:bCs/>
              </w:rPr>
              <w:t>outh Shore Hospital</w:t>
            </w:r>
            <w:r w:rsidRPr="00210FAD">
              <w:rPr>
                <w:rFonts w:cstheme="minorHAnsi"/>
                <w:b/>
                <w:bCs/>
              </w:rPr>
              <w:t xml:space="preserve"> </w:t>
            </w:r>
            <w:r w:rsidR="00660C8D" w:rsidRPr="00210FAD">
              <w:rPr>
                <w:rFonts w:cstheme="minorHAnsi"/>
                <w:b/>
                <w:bCs/>
              </w:rPr>
              <w:t>Main Campus</w:t>
            </w:r>
          </w:p>
        </w:tc>
      </w:tr>
      <w:tr w:rsidR="0073425E" w:rsidRPr="00832D3A" w14:paraId="623E0EC0" w14:textId="79FA62D5" w:rsidTr="00660C8D">
        <w:tc>
          <w:tcPr>
            <w:tcW w:w="1350" w:type="dxa"/>
          </w:tcPr>
          <w:p w14:paraId="5CC99B4C" w14:textId="3288C944" w:rsidR="0073425E" w:rsidRPr="00210FAD" w:rsidRDefault="0073425E" w:rsidP="0073425E">
            <w:pPr>
              <w:rPr>
                <w:rFonts w:cstheme="minorHAnsi"/>
              </w:rPr>
            </w:pPr>
            <w:r w:rsidRPr="00210FAD">
              <w:rPr>
                <w:rFonts w:cstheme="minorHAnsi"/>
              </w:rPr>
              <w:t>0-17</w:t>
            </w:r>
          </w:p>
        </w:tc>
        <w:tc>
          <w:tcPr>
            <w:tcW w:w="1530" w:type="dxa"/>
          </w:tcPr>
          <w:p w14:paraId="3D578960" w14:textId="449E086D" w:rsidR="0073425E" w:rsidRPr="00210FAD" w:rsidRDefault="0073425E" w:rsidP="00210FAD">
            <w:pPr>
              <w:jc w:val="center"/>
              <w:rPr>
                <w:rFonts w:cstheme="minorHAnsi"/>
              </w:rPr>
            </w:pPr>
            <w:r w:rsidRPr="00210FAD">
              <w:rPr>
                <w:rFonts w:cstheme="minorHAnsi"/>
              </w:rPr>
              <w:t>52</w:t>
            </w:r>
          </w:p>
        </w:tc>
        <w:tc>
          <w:tcPr>
            <w:tcW w:w="1620" w:type="dxa"/>
          </w:tcPr>
          <w:p w14:paraId="46B60E9F" w14:textId="529652B2" w:rsidR="0073425E" w:rsidRPr="00210FAD" w:rsidRDefault="0073425E" w:rsidP="00210FAD">
            <w:pPr>
              <w:jc w:val="center"/>
              <w:rPr>
                <w:rFonts w:cstheme="minorHAnsi"/>
              </w:rPr>
            </w:pPr>
            <w:r w:rsidRPr="00210FAD">
              <w:rPr>
                <w:rFonts w:cstheme="minorHAnsi"/>
              </w:rPr>
              <w:t>35</w:t>
            </w:r>
          </w:p>
        </w:tc>
        <w:tc>
          <w:tcPr>
            <w:tcW w:w="2340" w:type="dxa"/>
          </w:tcPr>
          <w:p w14:paraId="60CC3388" w14:textId="1EC548A6" w:rsidR="0073425E" w:rsidRPr="00210FAD" w:rsidRDefault="0073425E" w:rsidP="00210FAD">
            <w:pPr>
              <w:jc w:val="center"/>
              <w:rPr>
                <w:rFonts w:cstheme="minorHAnsi"/>
              </w:rPr>
            </w:pPr>
            <w:r w:rsidRPr="00210FAD">
              <w:rPr>
                <w:rFonts w:cstheme="minorHAnsi"/>
              </w:rPr>
              <w:t>92</w:t>
            </w:r>
          </w:p>
        </w:tc>
      </w:tr>
      <w:tr w:rsidR="0073425E" w:rsidRPr="00832D3A" w14:paraId="6E6DBF75" w14:textId="4E6D0433" w:rsidTr="00660C8D">
        <w:tc>
          <w:tcPr>
            <w:tcW w:w="1350" w:type="dxa"/>
          </w:tcPr>
          <w:p w14:paraId="01C8C4A7" w14:textId="7DB60573" w:rsidR="0073425E" w:rsidRPr="00210FAD" w:rsidRDefault="0073425E" w:rsidP="0073425E">
            <w:pPr>
              <w:rPr>
                <w:rFonts w:cstheme="minorHAnsi"/>
              </w:rPr>
            </w:pPr>
            <w:r w:rsidRPr="00210FAD">
              <w:rPr>
                <w:rFonts w:cstheme="minorHAnsi"/>
              </w:rPr>
              <w:t>18-54</w:t>
            </w:r>
          </w:p>
        </w:tc>
        <w:tc>
          <w:tcPr>
            <w:tcW w:w="1530" w:type="dxa"/>
          </w:tcPr>
          <w:p w14:paraId="0E2CF989" w14:textId="4AFC1466" w:rsidR="0073425E" w:rsidRPr="00210FAD" w:rsidRDefault="0073425E" w:rsidP="00210FAD">
            <w:pPr>
              <w:jc w:val="center"/>
              <w:rPr>
                <w:rFonts w:cstheme="minorHAnsi"/>
              </w:rPr>
            </w:pPr>
            <w:r w:rsidRPr="00210FAD">
              <w:rPr>
                <w:rFonts w:cstheme="minorHAnsi"/>
              </w:rPr>
              <w:t>1370</w:t>
            </w:r>
          </w:p>
        </w:tc>
        <w:tc>
          <w:tcPr>
            <w:tcW w:w="1620" w:type="dxa"/>
          </w:tcPr>
          <w:p w14:paraId="30BED514" w14:textId="6BEF4E41" w:rsidR="0073425E" w:rsidRPr="00210FAD" w:rsidRDefault="0073425E" w:rsidP="00210FAD">
            <w:pPr>
              <w:jc w:val="center"/>
              <w:rPr>
                <w:rFonts w:cstheme="minorHAnsi"/>
              </w:rPr>
            </w:pPr>
            <w:r w:rsidRPr="00210FAD">
              <w:rPr>
                <w:rFonts w:cstheme="minorHAnsi"/>
              </w:rPr>
              <w:t>1102</w:t>
            </w:r>
          </w:p>
        </w:tc>
        <w:tc>
          <w:tcPr>
            <w:tcW w:w="2340" w:type="dxa"/>
          </w:tcPr>
          <w:p w14:paraId="08B2C77A" w14:textId="1180C1DA" w:rsidR="0073425E" w:rsidRPr="00210FAD" w:rsidRDefault="0073425E" w:rsidP="00210FAD">
            <w:pPr>
              <w:jc w:val="center"/>
              <w:rPr>
                <w:rFonts w:cstheme="minorHAnsi"/>
              </w:rPr>
            </w:pPr>
            <w:r w:rsidRPr="00210FAD">
              <w:rPr>
                <w:rFonts w:cstheme="minorHAnsi"/>
              </w:rPr>
              <w:t>1324</w:t>
            </w:r>
          </w:p>
        </w:tc>
      </w:tr>
      <w:tr w:rsidR="0073425E" w:rsidRPr="00832D3A" w14:paraId="43E47A6D" w14:textId="39C74CF6" w:rsidTr="00660C8D">
        <w:tc>
          <w:tcPr>
            <w:tcW w:w="1350" w:type="dxa"/>
          </w:tcPr>
          <w:p w14:paraId="0356CF50" w14:textId="43A75E34" w:rsidR="0073425E" w:rsidRPr="00210FAD" w:rsidRDefault="0073425E" w:rsidP="0073425E">
            <w:pPr>
              <w:rPr>
                <w:rFonts w:cstheme="minorHAnsi"/>
              </w:rPr>
            </w:pPr>
            <w:r w:rsidRPr="00210FAD">
              <w:rPr>
                <w:rFonts w:cstheme="minorHAnsi"/>
              </w:rPr>
              <w:t>55-64</w:t>
            </w:r>
          </w:p>
        </w:tc>
        <w:tc>
          <w:tcPr>
            <w:tcW w:w="1530" w:type="dxa"/>
          </w:tcPr>
          <w:p w14:paraId="345BE171" w14:textId="06D5BFDE" w:rsidR="0073425E" w:rsidRPr="00210FAD" w:rsidRDefault="0073425E" w:rsidP="00210FAD">
            <w:pPr>
              <w:jc w:val="center"/>
              <w:rPr>
                <w:rFonts w:cstheme="minorHAnsi"/>
              </w:rPr>
            </w:pPr>
            <w:r w:rsidRPr="00210FAD">
              <w:rPr>
                <w:rFonts w:cstheme="minorHAnsi"/>
              </w:rPr>
              <w:t>815</w:t>
            </w:r>
          </w:p>
        </w:tc>
        <w:tc>
          <w:tcPr>
            <w:tcW w:w="1620" w:type="dxa"/>
          </w:tcPr>
          <w:p w14:paraId="7057796A" w14:textId="5699FA6A" w:rsidR="0073425E" w:rsidRPr="00210FAD" w:rsidRDefault="0073425E" w:rsidP="00210FAD">
            <w:pPr>
              <w:jc w:val="center"/>
              <w:rPr>
                <w:rFonts w:cstheme="minorHAnsi"/>
              </w:rPr>
            </w:pPr>
            <w:r w:rsidRPr="00210FAD">
              <w:rPr>
                <w:rFonts w:cstheme="minorHAnsi"/>
              </w:rPr>
              <w:t>725</w:t>
            </w:r>
          </w:p>
        </w:tc>
        <w:tc>
          <w:tcPr>
            <w:tcW w:w="2340" w:type="dxa"/>
          </w:tcPr>
          <w:p w14:paraId="0FFF1FC9" w14:textId="13998EDB" w:rsidR="0073425E" w:rsidRPr="00210FAD" w:rsidRDefault="0073425E" w:rsidP="00210FAD">
            <w:pPr>
              <w:jc w:val="center"/>
              <w:rPr>
                <w:rFonts w:cstheme="minorHAnsi"/>
              </w:rPr>
            </w:pPr>
            <w:r w:rsidRPr="00210FAD">
              <w:rPr>
                <w:rFonts w:cstheme="minorHAnsi"/>
              </w:rPr>
              <w:t>863</w:t>
            </w:r>
          </w:p>
        </w:tc>
      </w:tr>
      <w:tr w:rsidR="0073425E" w:rsidRPr="00832D3A" w14:paraId="448E0A08" w14:textId="6EE4629B" w:rsidTr="00660C8D">
        <w:tc>
          <w:tcPr>
            <w:tcW w:w="1350" w:type="dxa"/>
          </w:tcPr>
          <w:p w14:paraId="2F39814A" w14:textId="512E6C5B" w:rsidR="0073425E" w:rsidRPr="00210FAD" w:rsidRDefault="0073425E" w:rsidP="0073425E">
            <w:pPr>
              <w:rPr>
                <w:rFonts w:cstheme="minorHAnsi"/>
              </w:rPr>
            </w:pPr>
            <w:r w:rsidRPr="00210FAD">
              <w:rPr>
                <w:rFonts w:cstheme="minorHAnsi"/>
              </w:rPr>
              <w:t>65-74</w:t>
            </w:r>
          </w:p>
        </w:tc>
        <w:tc>
          <w:tcPr>
            <w:tcW w:w="1530" w:type="dxa"/>
          </w:tcPr>
          <w:p w14:paraId="4C21B79E" w14:textId="7CFFCE8C" w:rsidR="0073425E" w:rsidRPr="00210FAD" w:rsidRDefault="0073425E" w:rsidP="00210FAD">
            <w:pPr>
              <w:jc w:val="center"/>
              <w:rPr>
                <w:rFonts w:cstheme="minorHAnsi"/>
              </w:rPr>
            </w:pPr>
            <w:r w:rsidRPr="00210FAD">
              <w:rPr>
                <w:rFonts w:cstheme="minorHAnsi"/>
              </w:rPr>
              <w:t>680</w:t>
            </w:r>
          </w:p>
        </w:tc>
        <w:tc>
          <w:tcPr>
            <w:tcW w:w="1620" w:type="dxa"/>
          </w:tcPr>
          <w:p w14:paraId="17210366" w14:textId="6C289670" w:rsidR="0073425E" w:rsidRPr="00210FAD" w:rsidRDefault="0073425E" w:rsidP="00210FAD">
            <w:pPr>
              <w:jc w:val="center"/>
              <w:rPr>
                <w:rFonts w:cstheme="minorHAnsi"/>
              </w:rPr>
            </w:pPr>
            <w:r w:rsidRPr="00210FAD">
              <w:rPr>
                <w:rFonts w:cstheme="minorHAnsi"/>
              </w:rPr>
              <w:t>678</w:t>
            </w:r>
          </w:p>
        </w:tc>
        <w:tc>
          <w:tcPr>
            <w:tcW w:w="2340" w:type="dxa"/>
          </w:tcPr>
          <w:p w14:paraId="202C5E65" w14:textId="050A260D" w:rsidR="0073425E" w:rsidRPr="00210FAD" w:rsidRDefault="0073425E" w:rsidP="00210FAD">
            <w:pPr>
              <w:jc w:val="center"/>
              <w:rPr>
                <w:rFonts w:cstheme="minorHAnsi"/>
              </w:rPr>
            </w:pPr>
            <w:r w:rsidRPr="00210FAD">
              <w:rPr>
                <w:rFonts w:cstheme="minorHAnsi"/>
              </w:rPr>
              <w:t>1022</w:t>
            </w:r>
          </w:p>
        </w:tc>
      </w:tr>
      <w:tr w:rsidR="0073425E" w:rsidRPr="00832D3A" w14:paraId="6CC73C6F" w14:textId="6547C169" w:rsidTr="00660C8D">
        <w:tc>
          <w:tcPr>
            <w:tcW w:w="1350" w:type="dxa"/>
          </w:tcPr>
          <w:p w14:paraId="36E74B38" w14:textId="7CA3DBD9" w:rsidR="0073425E" w:rsidRPr="00210FAD" w:rsidRDefault="0073425E" w:rsidP="0073425E">
            <w:pPr>
              <w:rPr>
                <w:rFonts w:cstheme="minorHAnsi"/>
              </w:rPr>
            </w:pPr>
            <w:r w:rsidRPr="00210FAD">
              <w:rPr>
                <w:rFonts w:cstheme="minorHAnsi"/>
              </w:rPr>
              <w:t>75-84</w:t>
            </w:r>
          </w:p>
        </w:tc>
        <w:tc>
          <w:tcPr>
            <w:tcW w:w="1530" w:type="dxa"/>
          </w:tcPr>
          <w:p w14:paraId="623D8293" w14:textId="353611F0" w:rsidR="0073425E" w:rsidRPr="00210FAD" w:rsidRDefault="0073425E" w:rsidP="00210FAD">
            <w:pPr>
              <w:jc w:val="center"/>
              <w:rPr>
                <w:rFonts w:cstheme="minorHAnsi"/>
              </w:rPr>
            </w:pPr>
            <w:r w:rsidRPr="00210FAD">
              <w:rPr>
                <w:rFonts w:cstheme="minorHAnsi"/>
              </w:rPr>
              <w:t>408</w:t>
            </w:r>
          </w:p>
        </w:tc>
        <w:tc>
          <w:tcPr>
            <w:tcW w:w="1620" w:type="dxa"/>
          </w:tcPr>
          <w:p w14:paraId="7CF3B35F" w14:textId="6C203009" w:rsidR="0073425E" w:rsidRPr="00210FAD" w:rsidRDefault="0073425E" w:rsidP="00210FAD">
            <w:pPr>
              <w:jc w:val="center"/>
              <w:rPr>
                <w:rFonts w:cstheme="minorHAnsi"/>
              </w:rPr>
            </w:pPr>
            <w:r w:rsidRPr="00210FAD">
              <w:rPr>
                <w:rFonts w:cstheme="minorHAnsi"/>
              </w:rPr>
              <w:t>458</w:t>
            </w:r>
          </w:p>
        </w:tc>
        <w:tc>
          <w:tcPr>
            <w:tcW w:w="2340" w:type="dxa"/>
          </w:tcPr>
          <w:p w14:paraId="34DBCD4D" w14:textId="716286EE" w:rsidR="0073425E" w:rsidRPr="00210FAD" w:rsidRDefault="0073425E" w:rsidP="00210FAD">
            <w:pPr>
              <w:jc w:val="center"/>
              <w:rPr>
                <w:rFonts w:cstheme="minorHAnsi"/>
              </w:rPr>
            </w:pPr>
            <w:r w:rsidRPr="00210FAD">
              <w:rPr>
                <w:rFonts w:cstheme="minorHAnsi"/>
              </w:rPr>
              <w:t>954</w:t>
            </w:r>
          </w:p>
        </w:tc>
      </w:tr>
      <w:tr w:rsidR="0073425E" w:rsidRPr="00832D3A" w14:paraId="611AF30C" w14:textId="42318F04" w:rsidTr="00660C8D">
        <w:tc>
          <w:tcPr>
            <w:tcW w:w="1350" w:type="dxa"/>
          </w:tcPr>
          <w:p w14:paraId="5D5FC9F7" w14:textId="765AF2A2" w:rsidR="0073425E" w:rsidRPr="00210FAD" w:rsidRDefault="0073425E" w:rsidP="0073425E">
            <w:pPr>
              <w:rPr>
                <w:rFonts w:cstheme="minorHAnsi"/>
              </w:rPr>
            </w:pPr>
            <w:r w:rsidRPr="00210FAD">
              <w:rPr>
                <w:rFonts w:cstheme="minorHAnsi"/>
              </w:rPr>
              <w:t>85+</w:t>
            </w:r>
          </w:p>
        </w:tc>
        <w:tc>
          <w:tcPr>
            <w:tcW w:w="1530" w:type="dxa"/>
          </w:tcPr>
          <w:p w14:paraId="3ED3DEE6" w14:textId="1A1B37E0" w:rsidR="0073425E" w:rsidRPr="00210FAD" w:rsidRDefault="0073425E" w:rsidP="00210FAD">
            <w:pPr>
              <w:jc w:val="center"/>
              <w:rPr>
                <w:rFonts w:cstheme="minorHAnsi"/>
              </w:rPr>
            </w:pPr>
            <w:r w:rsidRPr="00210FAD">
              <w:rPr>
                <w:rFonts w:cstheme="minorHAnsi"/>
              </w:rPr>
              <w:t>107</w:t>
            </w:r>
          </w:p>
        </w:tc>
        <w:tc>
          <w:tcPr>
            <w:tcW w:w="1620" w:type="dxa"/>
          </w:tcPr>
          <w:p w14:paraId="4FD380D8" w14:textId="29DFB219" w:rsidR="0073425E" w:rsidRPr="00210FAD" w:rsidRDefault="0073425E" w:rsidP="00210FAD">
            <w:pPr>
              <w:jc w:val="center"/>
              <w:rPr>
                <w:rFonts w:cstheme="minorHAnsi"/>
              </w:rPr>
            </w:pPr>
            <w:r w:rsidRPr="00210FAD">
              <w:rPr>
                <w:rFonts w:cstheme="minorHAnsi"/>
              </w:rPr>
              <w:t>166</w:t>
            </w:r>
          </w:p>
        </w:tc>
        <w:tc>
          <w:tcPr>
            <w:tcW w:w="2340" w:type="dxa"/>
          </w:tcPr>
          <w:p w14:paraId="2CAED242" w14:textId="6BDF39DE" w:rsidR="0073425E" w:rsidRPr="00210FAD" w:rsidRDefault="0073425E" w:rsidP="00210FAD">
            <w:pPr>
              <w:jc w:val="center"/>
              <w:rPr>
                <w:rFonts w:cstheme="minorHAnsi"/>
              </w:rPr>
            </w:pPr>
            <w:r w:rsidRPr="00210FAD">
              <w:rPr>
                <w:rFonts w:cstheme="minorHAnsi"/>
              </w:rPr>
              <w:t>641</w:t>
            </w:r>
          </w:p>
        </w:tc>
      </w:tr>
      <w:tr w:rsidR="0073425E" w:rsidRPr="00832D3A" w14:paraId="3C492059" w14:textId="533FA757" w:rsidTr="00660C8D">
        <w:tc>
          <w:tcPr>
            <w:tcW w:w="1350" w:type="dxa"/>
          </w:tcPr>
          <w:p w14:paraId="4B01743E" w14:textId="7D832ACC" w:rsidR="0073425E" w:rsidRPr="00210FAD" w:rsidRDefault="0073425E" w:rsidP="0073425E">
            <w:pPr>
              <w:rPr>
                <w:rFonts w:cstheme="minorHAnsi"/>
                <w:b/>
                <w:bCs/>
              </w:rPr>
            </w:pPr>
            <w:r w:rsidRPr="00210FAD">
              <w:rPr>
                <w:rFonts w:cstheme="minorHAnsi"/>
                <w:b/>
                <w:bCs/>
              </w:rPr>
              <w:t xml:space="preserve">Total </w:t>
            </w:r>
          </w:p>
        </w:tc>
        <w:tc>
          <w:tcPr>
            <w:tcW w:w="1530" w:type="dxa"/>
          </w:tcPr>
          <w:p w14:paraId="11D53B1A" w14:textId="6864D9F1" w:rsidR="0073425E" w:rsidRPr="00210FAD" w:rsidRDefault="0073425E" w:rsidP="00210FAD">
            <w:pPr>
              <w:jc w:val="center"/>
              <w:rPr>
                <w:rFonts w:cstheme="minorHAnsi"/>
                <w:b/>
                <w:bCs/>
              </w:rPr>
            </w:pPr>
            <w:r w:rsidRPr="00210FAD">
              <w:rPr>
                <w:rFonts w:cstheme="minorHAnsi"/>
                <w:b/>
                <w:bCs/>
              </w:rPr>
              <w:t>3432</w:t>
            </w:r>
          </w:p>
        </w:tc>
        <w:tc>
          <w:tcPr>
            <w:tcW w:w="1620" w:type="dxa"/>
          </w:tcPr>
          <w:p w14:paraId="090A69A2" w14:textId="303DFF8B" w:rsidR="0073425E" w:rsidRPr="00210FAD" w:rsidRDefault="0073425E" w:rsidP="00210FAD">
            <w:pPr>
              <w:jc w:val="center"/>
              <w:rPr>
                <w:rFonts w:cstheme="minorHAnsi"/>
                <w:b/>
                <w:bCs/>
              </w:rPr>
            </w:pPr>
            <w:r w:rsidRPr="00210FAD">
              <w:rPr>
                <w:rFonts w:cstheme="minorHAnsi"/>
                <w:b/>
                <w:bCs/>
              </w:rPr>
              <w:t>3164</w:t>
            </w:r>
          </w:p>
        </w:tc>
        <w:tc>
          <w:tcPr>
            <w:tcW w:w="2340" w:type="dxa"/>
          </w:tcPr>
          <w:p w14:paraId="411D4A55" w14:textId="1D581B55" w:rsidR="0073425E" w:rsidRPr="00210FAD" w:rsidRDefault="0073425E" w:rsidP="00210FAD">
            <w:pPr>
              <w:jc w:val="center"/>
              <w:rPr>
                <w:rFonts w:cstheme="minorHAnsi"/>
                <w:b/>
                <w:bCs/>
              </w:rPr>
            </w:pPr>
            <w:r w:rsidRPr="00210FAD">
              <w:rPr>
                <w:rFonts w:cstheme="minorHAnsi"/>
                <w:b/>
                <w:bCs/>
              </w:rPr>
              <w:t>4896</w:t>
            </w:r>
          </w:p>
        </w:tc>
      </w:tr>
    </w:tbl>
    <w:p w14:paraId="2B5935D5" w14:textId="77777777" w:rsidR="006F2362" w:rsidRPr="00832D3A" w:rsidRDefault="006F2362" w:rsidP="006F2362">
      <w:pPr>
        <w:pStyle w:val="ListParagraph"/>
        <w:spacing w:line="240" w:lineRule="auto"/>
        <w:ind w:left="2160"/>
        <w:rPr>
          <w:rFonts w:cstheme="minorHAnsi"/>
          <w:b/>
          <w:color w:val="0070C0"/>
        </w:rPr>
      </w:pPr>
    </w:p>
    <w:p w14:paraId="5F83F695" w14:textId="77777777" w:rsidR="00415823" w:rsidRPr="00832D3A" w:rsidRDefault="00415823" w:rsidP="00415823">
      <w:pPr>
        <w:pStyle w:val="ListParagraph"/>
        <w:spacing w:line="240" w:lineRule="auto"/>
        <w:ind w:left="2160"/>
        <w:rPr>
          <w:rFonts w:cstheme="minorHAnsi"/>
          <w:b/>
          <w:highlight w:val="yellow"/>
        </w:rPr>
      </w:pPr>
    </w:p>
    <w:p w14:paraId="3D5A1F87" w14:textId="45868A2D" w:rsidR="00415823" w:rsidRPr="00AD3E6E" w:rsidRDefault="008A7D64" w:rsidP="00AD3E6E">
      <w:pPr>
        <w:pStyle w:val="ListParagraph"/>
        <w:numPr>
          <w:ilvl w:val="1"/>
          <w:numId w:val="5"/>
        </w:numPr>
        <w:spacing w:line="240" w:lineRule="auto"/>
        <w:rPr>
          <w:rFonts w:cstheme="minorHAnsi"/>
          <w:b/>
          <w:bCs/>
        </w:rPr>
      </w:pPr>
      <w:r w:rsidRPr="00832D3A">
        <w:rPr>
          <w:rFonts w:cstheme="minorHAnsi"/>
          <w:b/>
          <w:bCs/>
        </w:rPr>
        <w:t xml:space="preserve">Provide South Shore </w:t>
      </w:r>
      <w:r w:rsidR="009178DF" w:rsidRPr="00832D3A">
        <w:rPr>
          <w:rFonts w:cstheme="minorHAnsi"/>
          <w:b/>
          <w:bCs/>
        </w:rPr>
        <w:t xml:space="preserve">Hospital </w:t>
      </w:r>
      <w:r w:rsidRPr="00832D3A">
        <w:rPr>
          <w:rFonts w:cstheme="minorHAnsi"/>
          <w:b/>
          <w:bCs/>
        </w:rPr>
        <w:t xml:space="preserve">MRI scan volume </w:t>
      </w:r>
      <w:r w:rsidR="00C468E0" w:rsidRPr="00832D3A">
        <w:rPr>
          <w:rFonts w:cstheme="minorHAnsi"/>
          <w:b/>
          <w:bCs/>
        </w:rPr>
        <w:t xml:space="preserve">and unique patients </w:t>
      </w:r>
      <w:r w:rsidRPr="00832D3A">
        <w:rPr>
          <w:rFonts w:cstheme="minorHAnsi"/>
          <w:b/>
          <w:bCs/>
        </w:rPr>
        <w:t>by specialty</w:t>
      </w:r>
      <w:r w:rsidR="00C468E0" w:rsidRPr="00832D3A">
        <w:rPr>
          <w:rFonts w:cstheme="minorHAnsi"/>
          <w:b/>
          <w:bCs/>
        </w:rPr>
        <w:t xml:space="preserve"> for FY19.</w:t>
      </w:r>
      <w:r w:rsidRPr="00832D3A">
        <w:rPr>
          <w:rFonts w:cstheme="minorHAnsi"/>
          <w:b/>
          <w:bCs/>
        </w:rPr>
        <w:t xml:space="preserve"> </w:t>
      </w:r>
      <w:r w:rsidR="006D430F" w:rsidRPr="00832D3A">
        <w:rPr>
          <w:rFonts w:cstheme="minorHAnsi"/>
          <w:b/>
          <w:bCs/>
        </w:rPr>
        <w:t xml:space="preserve"> </w:t>
      </w:r>
    </w:p>
    <w:p w14:paraId="1FA82F4D" w14:textId="10284FF0" w:rsidR="0073425E" w:rsidRPr="00210FAD" w:rsidRDefault="00040F88" w:rsidP="00040F88">
      <w:pPr>
        <w:pStyle w:val="ListParagraph"/>
        <w:numPr>
          <w:ilvl w:val="2"/>
          <w:numId w:val="29"/>
        </w:numPr>
        <w:spacing w:line="240" w:lineRule="auto"/>
        <w:rPr>
          <w:rFonts w:cstheme="minorHAnsi"/>
          <w:bCs/>
        </w:rPr>
      </w:pPr>
      <w:r w:rsidRPr="00210FAD">
        <w:rPr>
          <w:rFonts w:cstheme="minorHAnsi"/>
          <w:bCs/>
        </w:rPr>
        <w:t xml:space="preserve">There were 7,472 total scans performed </w:t>
      </w:r>
      <w:r w:rsidR="0073425E" w:rsidRPr="00210FAD">
        <w:rPr>
          <w:rFonts w:cstheme="minorHAnsi"/>
          <w:bCs/>
        </w:rPr>
        <w:t xml:space="preserve">on 4,901 unique patients </w:t>
      </w:r>
      <w:r w:rsidRPr="00210FAD">
        <w:rPr>
          <w:rFonts w:cstheme="minorHAnsi"/>
          <w:bCs/>
        </w:rPr>
        <w:t xml:space="preserve">at SSH man campus in calendar year 2019. </w:t>
      </w:r>
      <w:r w:rsidR="003E379B" w:rsidRPr="00210FAD">
        <w:rPr>
          <w:rFonts w:cstheme="minorHAnsi"/>
          <w:bCs/>
        </w:rPr>
        <w:t xml:space="preserve">Specialties included: </w:t>
      </w:r>
    </w:p>
    <w:p w14:paraId="2640B4D8" w14:textId="1D64BC89" w:rsidR="0073425E" w:rsidRPr="00210FAD" w:rsidRDefault="003E379B" w:rsidP="0073425E">
      <w:pPr>
        <w:pStyle w:val="ListParagraph"/>
        <w:numPr>
          <w:ilvl w:val="3"/>
          <w:numId w:val="29"/>
        </w:numPr>
        <w:spacing w:line="240" w:lineRule="auto"/>
        <w:rPr>
          <w:rFonts w:cstheme="minorHAnsi"/>
          <w:bCs/>
        </w:rPr>
      </w:pPr>
      <w:r w:rsidRPr="00210FAD">
        <w:rPr>
          <w:rFonts w:cstheme="minorHAnsi"/>
          <w:bCs/>
        </w:rPr>
        <w:t xml:space="preserve">Neurological disease processes - </w:t>
      </w:r>
      <w:r w:rsidR="0073425E" w:rsidRPr="00210FAD">
        <w:rPr>
          <w:rFonts w:cstheme="minorHAnsi"/>
          <w:bCs/>
        </w:rPr>
        <w:t xml:space="preserve">3858 (78.7%) </w:t>
      </w:r>
    </w:p>
    <w:p w14:paraId="46430584" w14:textId="2B53A191" w:rsidR="0073425E" w:rsidRPr="00210FAD" w:rsidRDefault="003E379B" w:rsidP="0073425E">
      <w:pPr>
        <w:pStyle w:val="ListParagraph"/>
        <w:numPr>
          <w:ilvl w:val="3"/>
          <w:numId w:val="29"/>
        </w:numPr>
        <w:spacing w:line="240" w:lineRule="auto"/>
        <w:rPr>
          <w:rFonts w:cstheme="minorHAnsi"/>
          <w:bCs/>
        </w:rPr>
      </w:pPr>
      <w:r w:rsidRPr="00210FAD">
        <w:rPr>
          <w:rFonts w:cstheme="minorHAnsi"/>
          <w:bCs/>
        </w:rPr>
        <w:t xml:space="preserve">Abdominal/genitourinary disease process - </w:t>
      </w:r>
      <w:r w:rsidR="0073425E" w:rsidRPr="00210FAD">
        <w:rPr>
          <w:rFonts w:cstheme="minorHAnsi"/>
          <w:bCs/>
        </w:rPr>
        <w:t xml:space="preserve">684 patients (13.9%) </w:t>
      </w:r>
    </w:p>
    <w:p w14:paraId="4E05CFEC" w14:textId="3D16A30E" w:rsidR="00040F88" w:rsidRPr="00210FAD" w:rsidRDefault="003E379B" w:rsidP="0073425E">
      <w:pPr>
        <w:pStyle w:val="ListParagraph"/>
        <w:numPr>
          <w:ilvl w:val="3"/>
          <w:numId w:val="29"/>
        </w:numPr>
        <w:spacing w:line="240" w:lineRule="auto"/>
        <w:rPr>
          <w:rFonts w:cstheme="minorHAnsi"/>
          <w:bCs/>
        </w:rPr>
      </w:pPr>
      <w:r w:rsidRPr="00210FAD">
        <w:rPr>
          <w:rFonts w:cstheme="minorHAnsi"/>
          <w:bCs/>
        </w:rPr>
        <w:t xml:space="preserve">Musculoskeletal disease processes - </w:t>
      </w:r>
      <w:r w:rsidR="00040F88" w:rsidRPr="00210FAD">
        <w:rPr>
          <w:rFonts w:cstheme="minorHAnsi"/>
          <w:bCs/>
        </w:rPr>
        <w:t xml:space="preserve">359 patients </w:t>
      </w:r>
      <w:r w:rsidR="0073425E" w:rsidRPr="00210FAD">
        <w:rPr>
          <w:rFonts w:cstheme="minorHAnsi"/>
          <w:bCs/>
        </w:rPr>
        <w:t>(</w:t>
      </w:r>
      <w:r w:rsidR="00040F88" w:rsidRPr="00210FAD">
        <w:rPr>
          <w:rFonts w:cstheme="minorHAnsi"/>
          <w:bCs/>
        </w:rPr>
        <w:t>7.4 %</w:t>
      </w:r>
      <w:r w:rsidR="0073425E" w:rsidRPr="00210FAD">
        <w:rPr>
          <w:rFonts w:cstheme="minorHAnsi"/>
          <w:bCs/>
        </w:rPr>
        <w:t>)</w:t>
      </w:r>
      <w:r w:rsidR="00040F88" w:rsidRPr="00210FAD">
        <w:rPr>
          <w:rFonts w:cstheme="minorHAnsi"/>
          <w:bCs/>
        </w:rPr>
        <w:t xml:space="preserve"> </w:t>
      </w:r>
    </w:p>
    <w:p w14:paraId="67B7787E" w14:textId="77777777" w:rsidR="00415823" w:rsidRPr="00832D3A" w:rsidRDefault="00415823" w:rsidP="00415823">
      <w:pPr>
        <w:pStyle w:val="ListParagraph"/>
        <w:spacing w:line="240" w:lineRule="auto"/>
        <w:ind w:left="2160"/>
        <w:rPr>
          <w:rFonts w:cstheme="minorHAnsi"/>
          <w:b/>
          <w:highlight w:val="yellow"/>
        </w:rPr>
      </w:pPr>
    </w:p>
    <w:p w14:paraId="71903BCD" w14:textId="2AC6BA0E" w:rsidR="003E379B" w:rsidRPr="00210FAD" w:rsidRDefault="008A7D64" w:rsidP="00210FAD">
      <w:pPr>
        <w:pStyle w:val="ListParagraph"/>
        <w:numPr>
          <w:ilvl w:val="1"/>
          <w:numId w:val="5"/>
        </w:numPr>
        <w:spacing w:line="240" w:lineRule="auto"/>
        <w:rPr>
          <w:rFonts w:cstheme="minorHAnsi"/>
          <w:b/>
          <w:color w:val="0070C0"/>
        </w:rPr>
      </w:pPr>
      <w:r w:rsidRPr="00832D3A">
        <w:rPr>
          <w:rFonts w:cstheme="minorHAnsi"/>
          <w:b/>
          <w:bCs/>
        </w:rPr>
        <w:t xml:space="preserve">Provide data on operating capacity of the 3 units, including scans to reach maximum capacity, and hours of operation. </w:t>
      </w:r>
    </w:p>
    <w:p w14:paraId="2C004765" w14:textId="77777777" w:rsidR="006C387E" w:rsidRPr="00210FAD" w:rsidRDefault="00A50F97" w:rsidP="006C387E">
      <w:pPr>
        <w:ind w:left="1440"/>
        <w:rPr>
          <w:rFonts w:cstheme="minorHAnsi"/>
          <w:bCs/>
        </w:rPr>
      </w:pPr>
      <w:r w:rsidRPr="00210FAD">
        <w:rPr>
          <w:rFonts w:cstheme="minorHAnsi"/>
          <w:bCs/>
        </w:rPr>
        <w:t xml:space="preserve">The </w:t>
      </w:r>
      <w:r w:rsidR="004C5E71" w:rsidRPr="00210FAD">
        <w:rPr>
          <w:rFonts w:cstheme="minorHAnsi"/>
          <w:bCs/>
        </w:rPr>
        <w:t xml:space="preserve">table </w:t>
      </w:r>
      <w:r w:rsidRPr="00210FAD">
        <w:rPr>
          <w:rFonts w:cstheme="minorHAnsi"/>
          <w:bCs/>
        </w:rPr>
        <w:t xml:space="preserve">below provides each MRI center’s hours of operations, scan capacity, and the weekly average of scans using data from January 2021 through June 2021. As illustrated by the </w:t>
      </w:r>
      <w:r w:rsidR="004C5E71" w:rsidRPr="00210FAD">
        <w:rPr>
          <w:rFonts w:cstheme="minorHAnsi"/>
          <w:bCs/>
        </w:rPr>
        <w:t>table</w:t>
      </w:r>
      <w:r w:rsidRPr="00210FAD">
        <w:rPr>
          <w:rFonts w:cstheme="minorHAnsi"/>
          <w:bCs/>
        </w:rPr>
        <w:t xml:space="preserve">, each center is operating at nearly 100% capacity. </w:t>
      </w:r>
      <w:r w:rsidR="004C5E71" w:rsidRPr="00210FAD">
        <w:rPr>
          <w:rFonts w:cstheme="minorHAnsi"/>
          <w:bCs/>
        </w:rPr>
        <w:t>For each center, no-show</w:t>
      </w:r>
      <w:r w:rsidR="006C387E" w:rsidRPr="00210FAD">
        <w:rPr>
          <w:rFonts w:cstheme="minorHAnsi"/>
          <w:bCs/>
        </w:rPr>
        <w:t>s</w:t>
      </w:r>
      <w:r w:rsidR="004C5E71" w:rsidRPr="00210FAD">
        <w:rPr>
          <w:rFonts w:cstheme="minorHAnsi"/>
          <w:bCs/>
        </w:rPr>
        <w:t xml:space="preserve"> </w:t>
      </w:r>
      <w:r w:rsidR="006C387E" w:rsidRPr="00210FAD">
        <w:rPr>
          <w:rFonts w:cstheme="minorHAnsi"/>
          <w:bCs/>
        </w:rPr>
        <w:t xml:space="preserve">and/or last minute cancellations prevent the center from reaching 100% capacity. </w:t>
      </w:r>
    </w:p>
    <w:p w14:paraId="59B99601" w14:textId="2D8041E2" w:rsidR="00130176" w:rsidRPr="00210FAD" w:rsidRDefault="003E379B" w:rsidP="00210FAD">
      <w:pPr>
        <w:ind w:left="1440" w:hanging="450"/>
        <w:rPr>
          <w:rFonts w:cstheme="minorHAnsi"/>
          <w:b/>
        </w:rPr>
      </w:pPr>
      <w:r w:rsidRPr="00210FAD">
        <w:rPr>
          <w:rFonts w:cstheme="minorHAnsi"/>
          <w:bCs/>
          <w:color w:val="0070C0"/>
        </w:rPr>
        <w:t xml:space="preserve"> </w:t>
      </w:r>
      <w:r w:rsidR="007F4F1C" w:rsidRPr="00210FAD">
        <w:rPr>
          <w:rFonts w:cstheme="minorHAnsi"/>
          <w:b/>
        </w:rPr>
        <w:t xml:space="preserve">Table 5: SSHS MRI Operating Capacity </w:t>
      </w:r>
    </w:p>
    <w:tbl>
      <w:tblPr>
        <w:tblStyle w:val="TableGrid"/>
        <w:tblW w:w="8028" w:type="dxa"/>
        <w:jc w:val="center"/>
        <w:tblLook w:val="04A0" w:firstRow="1" w:lastRow="0" w:firstColumn="1" w:lastColumn="0" w:noHBand="0" w:noVBand="1"/>
        <w:tblCaption w:val="Table 5: SSHS MRI Operating Capacity "/>
        <w:tblDescription w:val="Table 5: SSHS MRI Operating Capacity "/>
      </w:tblPr>
      <w:tblGrid>
        <w:gridCol w:w="2135"/>
        <w:gridCol w:w="2126"/>
        <w:gridCol w:w="1517"/>
        <w:gridCol w:w="2250"/>
      </w:tblGrid>
      <w:tr w:rsidR="00A50F97" w:rsidRPr="00832D3A" w14:paraId="2E177238" w14:textId="77777777" w:rsidTr="00003D2E">
        <w:trPr>
          <w:tblHeader/>
          <w:jc w:val="center"/>
        </w:trPr>
        <w:tc>
          <w:tcPr>
            <w:tcW w:w="2135" w:type="dxa"/>
          </w:tcPr>
          <w:p w14:paraId="0AD7E20A" w14:textId="77777777" w:rsidR="00A50F97" w:rsidRPr="00210FAD" w:rsidRDefault="00A50F97" w:rsidP="00660C8D">
            <w:pPr>
              <w:rPr>
                <w:rFonts w:cstheme="minorHAnsi"/>
                <w:bCs/>
              </w:rPr>
            </w:pPr>
          </w:p>
        </w:tc>
        <w:tc>
          <w:tcPr>
            <w:tcW w:w="2126" w:type="dxa"/>
          </w:tcPr>
          <w:p w14:paraId="17074EFC" w14:textId="25783D85" w:rsidR="00A50F97" w:rsidRPr="00210FAD" w:rsidRDefault="00A50F97" w:rsidP="00660C8D">
            <w:pPr>
              <w:rPr>
                <w:rFonts w:cstheme="minorHAnsi"/>
                <w:b/>
              </w:rPr>
            </w:pPr>
            <w:r w:rsidRPr="00210FAD">
              <w:rPr>
                <w:rFonts w:cstheme="minorHAnsi"/>
                <w:b/>
              </w:rPr>
              <w:t>Days/Hours of Operation</w:t>
            </w:r>
          </w:p>
        </w:tc>
        <w:tc>
          <w:tcPr>
            <w:tcW w:w="1517" w:type="dxa"/>
          </w:tcPr>
          <w:p w14:paraId="0E6DD99D" w14:textId="2769693D" w:rsidR="00A50F97" w:rsidRPr="00210FAD" w:rsidRDefault="00A50F97" w:rsidP="00660C8D">
            <w:pPr>
              <w:rPr>
                <w:rFonts w:cstheme="minorHAnsi"/>
                <w:b/>
              </w:rPr>
            </w:pPr>
            <w:r w:rsidRPr="00210FAD">
              <w:rPr>
                <w:rFonts w:cstheme="minorHAnsi"/>
                <w:b/>
              </w:rPr>
              <w:t>Capacity Per Week</w:t>
            </w:r>
          </w:p>
        </w:tc>
        <w:tc>
          <w:tcPr>
            <w:tcW w:w="2250" w:type="dxa"/>
          </w:tcPr>
          <w:p w14:paraId="63DF0C62" w14:textId="77C1F074" w:rsidR="00A50F97" w:rsidRPr="00210FAD" w:rsidRDefault="00A50F97" w:rsidP="00660C8D">
            <w:pPr>
              <w:rPr>
                <w:rFonts w:cstheme="minorHAnsi"/>
                <w:b/>
              </w:rPr>
            </w:pPr>
            <w:r w:rsidRPr="00210FAD">
              <w:rPr>
                <w:rFonts w:cstheme="minorHAnsi"/>
                <w:b/>
              </w:rPr>
              <w:t xml:space="preserve">Average Exams/Week </w:t>
            </w:r>
            <w:r w:rsidRPr="00210FAD">
              <w:rPr>
                <w:rFonts w:cstheme="minorHAnsi"/>
                <w:bCs/>
                <w:i/>
                <w:iCs/>
              </w:rPr>
              <w:t>(Jan-Jun 2021)</w:t>
            </w:r>
          </w:p>
        </w:tc>
      </w:tr>
      <w:tr w:rsidR="00A50F97" w:rsidRPr="00832D3A" w14:paraId="268053FB" w14:textId="77777777" w:rsidTr="00A50F97">
        <w:trPr>
          <w:jc w:val="center"/>
        </w:trPr>
        <w:tc>
          <w:tcPr>
            <w:tcW w:w="2135" w:type="dxa"/>
          </w:tcPr>
          <w:p w14:paraId="54858EC8" w14:textId="17F21A1B" w:rsidR="00A50F97" w:rsidRPr="00210FAD" w:rsidRDefault="00A50F97" w:rsidP="00660C8D">
            <w:pPr>
              <w:rPr>
                <w:rFonts w:cstheme="minorHAnsi"/>
                <w:bCs/>
              </w:rPr>
            </w:pPr>
            <w:r w:rsidRPr="00210FAD">
              <w:rPr>
                <w:rFonts w:cstheme="minorHAnsi"/>
                <w:bCs/>
              </w:rPr>
              <w:t>Cancer Center</w:t>
            </w:r>
          </w:p>
        </w:tc>
        <w:tc>
          <w:tcPr>
            <w:tcW w:w="2126" w:type="dxa"/>
          </w:tcPr>
          <w:p w14:paraId="5A9A5565" w14:textId="77777777" w:rsidR="00A50F97" w:rsidRPr="00210FAD" w:rsidRDefault="00A50F97" w:rsidP="00660C8D">
            <w:pPr>
              <w:rPr>
                <w:rFonts w:cstheme="minorHAnsi"/>
                <w:bCs/>
              </w:rPr>
            </w:pPr>
            <w:r w:rsidRPr="00210FAD">
              <w:rPr>
                <w:rFonts w:cstheme="minorHAnsi"/>
                <w:bCs/>
              </w:rPr>
              <w:t>M-Th: 7am – 11pm</w:t>
            </w:r>
          </w:p>
          <w:p w14:paraId="22C37097" w14:textId="173F382F" w:rsidR="00A50F97" w:rsidRPr="00210FAD" w:rsidRDefault="00A50F97" w:rsidP="00660C8D">
            <w:pPr>
              <w:rPr>
                <w:rFonts w:cstheme="minorHAnsi"/>
                <w:bCs/>
              </w:rPr>
            </w:pPr>
            <w:r w:rsidRPr="00210FAD">
              <w:rPr>
                <w:rFonts w:cstheme="minorHAnsi"/>
                <w:bCs/>
              </w:rPr>
              <w:t xml:space="preserve">F-Sa: 7am – 3:30pm </w:t>
            </w:r>
          </w:p>
        </w:tc>
        <w:tc>
          <w:tcPr>
            <w:tcW w:w="1517" w:type="dxa"/>
          </w:tcPr>
          <w:p w14:paraId="3EC313D7" w14:textId="4F297524" w:rsidR="00A50F97" w:rsidRPr="00210FAD" w:rsidRDefault="00A50F97" w:rsidP="00660C8D">
            <w:pPr>
              <w:rPr>
                <w:rFonts w:cstheme="minorHAnsi"/>
                <w:bCs/>
              </w:rPr>
            </w:pPr>
            <w:r w:rsidRPr="00210FAD">
              <w:rPr>
                <w:rFonts w:cstheme="minorHAnsi"/>
                <w:bCs/>
              </w:rPr>
              <w:t>90 exams</w:t>
            </w:r>
          </w:p>
        </w:tc>
        <w:tc>
          <w:tcPr>
            <w:tcW w:w="2250" w:type="dxa"/>
          </w:tcPr>
          <w:p w14:paraId="17ACCC7B" w14:textId="66329C75" w:rsidR="00A50F97" w:rsidRPr="00210FAD" w:rsidRDefault="00A50F97" w:rsidP="00660C8D">
            <w:pPr>
              <w:rPr>
                <w:rFonts w:cstheme="minorHAnsi"/>
                <w:bCs/>
              </w:rPr>
            </w:pPr>
            <w:r w:rsidRPr="00210FAD">
              <w:rPr>
                <w:rFonts w:cstheme="minorHAnsi"/>
                <w:bCs/>
              </w:rPr>
              <w:t xml:space="preserve">89 exams </w:t>
            </w:r>
          </w:p>
        </w:tc>
      </w:tr>
      <w:tr w:rsidR="00A50F97" w:rsidRPr="00832D3A" w14:paraId="27729676" w14:textId="77777777" w:rsidTr="00A50F97">
        <w:trPr>
          <w:jc w:val="center"/>
        </w:trPr>
        <w:tc>
          <w:tcPr>
            <w:tcW w:w="2135" w:type="dxa"/>
          </w:tcPr>
          <w:p w14:paraId="2422933C" w14:textId="6D4E1D57" w:rsidR="00A50F97" w:rsidRPr="00210FAD" w:rsidRDefault="00A50F97" w:rsidP="00660C8D">
            <w:pPr>
              <w:rPr>
                <w:rFonts w:cstheme="minorHAnsi"/>
                <w:bCs/>
              </w:rPr>
            </w:pPr>
            <w:r w:rsidRPr="00210FAD">
              <w:rPr>
                <w:rFonts w:cstheme="minorHAnsi"/>
                <w:bCs/>
              </w:rPr>
              <w:t>South Shore Orthopedics</w:t>
            </w:r>
          </w:p>
        </w:tc>
        <w:tc>
          <w:tcPr>
            <w:tcW w:w="2126" w:type="dxa"/>
          </w:tcPr>
          <w:p w14:paraId="43D6A55D" w14:textId="77777777" w:rsidR="00A50F97" w:rsidRPr="00210FAD" w:rsidRDefault="00A50F97" w:rsidP="00660C8D">
            <w:pPr>
              <w:rPr>
                <w:rFonts w:cstheme="minorHAnsi"/>
                <w:bCs/>
              </w:rPr>
            </w:pPr>
            <w:r w:rsidRPr="00210FAD">
              <w:rPr>
                <w:rFonts w:cstheme="minorHAnsi"/>
                <w:bCs/>
              </w:rPr>
              <w:t>M-Th: 7am – 11pm</w:t>
            </w:r>
          </w:p>
          <w:p w14:paraId="5D773079" w14:textId="1C92C0EC" w:rsidR="00A50F97" w:rsidRPr="00210FAD" w:rsidRDefault="00A50F97" w:rsidP="00660C8D">
            <w:pPr>
              <w:rPr>
                <w:rFonts w:cstheme="minorHAnsi"/>
                <w:bCs/>
              </w:rPr>
            </w:pPr>
            <w:r w:rsidRPr="00210FAD">
              <w:rPr>
                <w:rFonts w:cstheme="minorHAnsi"/>
                <w:bCs/>
              </w:rPr>
              <w:t>F-Sa: 7am – 3:30pm</w:t>
            </w:r>
          </w:p>
        </w:tc>
        <w:tc>
          <w:tcPr>
            <w:tcW w:w="1517" w:type="dxa"/>
          </w:tcPr>
          <w:p w14:paraId="408B7D54" w14:textId="374DE560" w:rsidR="00A50F97" w:rsidRPr="00210FAD" w:rsidRDefault="00A50F97" w:rsidP="00660C8D">
            <w:pPr>
              <w:rPr>
                <w:rFonts w:cstheme="minorHAnsi"/>
                <w:bCs/>
              </w:rPr>
            </w:pPr>
            <w:r w:rsidRPr="00210FAD">
              <w:rPr>
                <w:rFonts w:cstheme="minorHAnsi"/>
                <w:bCs/>
              </w:rPr>
              <w:t xml:space="preserve">85 exams </w:t>
            </w:r>
          </w:p>
        </w:tc>
        <w:tc>
          <w:tcPr>
            <w:tcW w:w="2250" w:type="dxa"/>
          </w:tcPr>
          <w:p w14:paraId="7206F8F1" w14:textId="3EA91A55" w:rsidR="00A50F97" w:rsidRPr="00210FAD" w:rsidRDefault="00A50F97" w:rsidP="00660C8D">
            <w:pPr>
              <w:rPr>
                <w:rFonts w:cstheme="minorHAnsi"/>
                <w:bCs/>
              </w:rPr>
            </w:pPr>
            <w:r w:rsidRPr="00210FAD">
              <w:rPr>
                <w:rFonts w:cstheme="minorHAnsi"/>
                <w:bCs/>
              </w:rPr>
              <w:t xml:space="preserve">84 exams </w:t>
            </w:r>
          </w:p>
        </w:tc>
      </w:tr>
      <w:tr w:rsidR="00A50F97" w:rsidRPr="00832D3A" w14:paraId="484152E8" w14:textId="77777777" w:rsidTr="00A50F97">
        <w:trPr>
          <w:jc w:val="center"/>
        </w:trPr>
        <w:tc>
          <w:tcPr>
            <w:tcW w:w="2135" w:type="dxa"/>
          </w:tcPr>
          <w:p w14:paraId="72030607" w14:textId="00292437" w:rsidR="00A50F97" w:rsidRPr="00210FAD" w:rsidRDefault="00A50F97" w:rsidP="00660C8D">
            <w:pPr>
              <w:rPr>
                <w:rFonts w:cstheme="minorHAnsi"/>
                <w:bCs/>
              </w:rPr>
            </w:pPr>
            <w:r w:rsidRPr="00210FAD">
              <w:rPr>
                <w:rFonts w:cstheme="minorHAnsi"/>
                <w:bCs/>
              </w:rPr>
              <w:t xml:space="preserve">South Shore Hospital Main Campus </w:t>
            </w:r>
          </w:p>
        </w:tc>
        <w:tc>
          <w:tcPr>
            <w:tcW w:w="2126" w:type="dxa"/>
          </w:tcPr>
          <w:p w14:paraId="44FFD2EF" w14:textId="7730DA44" w:rsidR="00A50F97" w:rsidRPr="00210FAD" w:rsidRDefault="00A50F97" w:rsidP="00660C8D">
            <w:pPr>
              <w:rPr>
                <w:rFonts w:cstheme="minorHAnsi"/>
                <w:bCs/>
              </w:rPr>
            </w:pPr>
            <w:r w:rsidRPr="00210FAD">
              <w:rPr>
                <w:rFonts w:cstheme="minorHAnsi"/>
                <w:bCs/>
              </w:rPr>
              <w:t>Su-Sa: 7am – 11pm</w:t>
            </w:r>
          </w:p>
          <w:p w14:paraId="790B4096" w14:textId="30372DF6" w:rsidR="00A50F97" w:rsidRPr="00210FAD" w:rsidRDefault="00A50F97" w:rsidP="00660C8D">
            <w:pPr>
              <w:rPr>
                <w:rFonts w:cstheme="minorHAnsi"/>
                <w:bCs/>
              </w:rPr>
            </w:pPr>
          </w:p>
        </w:tc>
        <w:tc>
          <w:tcPr>
            <w:tcW w:w="1517" w:type="dxa"/>
          </w:tcPr>
          <w:p w14:paraId="3FB9B90C" w14:textId="476E3FD1" w:rsidR="00A50F97" w:rsidRPr="00210FAD" w:rsidRDefault="00A50F97" w:rsidP="00660C8D">
            <w:pPr>
              <w:rPr>
                <w:rFonts w:cstheme="minorHAnsi"/>
                <w:bCs/>
              </w:rPr>
            </w:pPr>
            <w:r w:rsidRPr="00210FAD">
              <w:rPr>
                <w:rFonts w:cstheme="minorHAnsi"/>
                <w:bCs/>
              </w:rPr>
              <w:t xml:space="preserve">136 exams </w:t>
            </w:r>
          </w:p>
        </w:tc>
        <w:tc>
          <w:tcPr>
            <w:tcW w:w="2250" w:type="dxa"/>
          </w:tcPr>
          <w:p w14:paraId="7AC34026" w14:textId="786402F2" w:rsidR="00A50F97" w:rsidRPr="00210FAD" w:rsidRDefault="00A50F97" w:rsidP="00660C8D">
            <w:pPr>
              <w:rPr>
                <w:rFonts w:cstheme="minorHAnsi"/>
                <w:bCs/>
              </w:rPr>
            </w:pPr>
            <w:r w:rsidRPr="00210FAD">
              <w:rPr>
                <w:rFonts w:cstheme="minorHAnsi"/>
                <w:bCs/>
              </w:rPr>
              <w:t xml:space="preserve">135 exams </w:t>
            </w:r>
          </w:p>
        </w:tc>
      </w:tr>
    </w:tbl>
    <w:p w14:paraId="53094F98" w14:textId="77777777" w:rsidR="006C387E" w:rsidRPr="00832D3A" w:rsidRDefault="006C387E" w:rsidP="00210FAD">
      <w:pPr>
        <w:rPr>
          <w:rFonts w:cstheme="minorHAnsi"/>
        </w:rPr>
      </w:pPr>
    </w:p>
    <w:p w14:paraId="174AA98A" w14:textId="06B25984" w:rsidR="005977E8" w:rsidRPr="00832D3A" w:rsidRDefault="005977E8" w:rsidP="005977E8">
      <w:pPr>
        <w:pStyle w:val="ListParagraph"/>
        <w:numPr>
          <w:ilvl w:val="0"/>
          <w:numId w:val="5"/>
        </w:numPr>
        <w:rPr>
          <w:rFonts w:cstheme="minorHAnsi"/>
          <w:b/>
        </w:rPr>
      </w:pPr>
      <w:r w:rsidRPr="00832D3A">
        <w:rPr>
          <w:rFonts w:cstheme="minorHAnsi"/>
          <w:b/>
        </w:rPr>
        <w:t xml:space="preserve">South Shore Health MRI scans by patient status </w:t>
      </w:r>
      <w:r w:rsidR="00F9073C" w:rsidRPr="00832D3A">
        <w:rPr>
          <w:rFonts w:cstheme="minorHAnsi"/>
          <w:b/>
        </w:rPr>
        <w:t>(pg.</w:t>
      </w:r>
      <w:r w:rsidR="006F4EF5" w:rsidRPr="00832D3A">
        <w:rPr>
          <w:rFonts w:cstheme="minorHAnsi"/>
          <w:b/>
        </w:rPr>
        <w:t>7</w:t>
      </w:r>
      <w:r w:rsidR="00F9073C" w:rsidRPr="00832D3A">
        <w:rPr>
          <w:rFonts w:cstheme="minorHAnsi"/>
          <w:b/>
        </w:rPr>
        <w:t>)</w:t>
      </w:r>
      <w:r w:rsidR="0083468F" w:rsidRPr="00832D3A">
        <w:rPr>
          <w:rFonts w:cstheme="minorHAnsi"/>
          <w:b/>
          <w:color w:val="FF0000"/>
        </w:rPr>
        <w:t xml:space="preserve"> </w:t>
      </w:r>
    </w:p>
    <w:p w14:paraId="1DF8CF3E" w14:textId="77777777" w:rsidR="00F9073C" w:rsidRPr="00832D3A" w:rsidRDefault="00F9073C" w:rsidP="00F9073C">
      <w:pPr>
        <w:pStyle w:val="ListParagraph"/>
        <w:ind w:left="1440"/>
        <w:rPr>
          <w:rFonts w:cstheme="minorHAnsi"/>
        </w:rPr>
      </w:pPr>
    </w:p>
    <w:p w14:paraId="5062D17C" w14:textId="19E311B6" w:rsidR="007F4F1C" w:rsidRPr="00AD3E6E" w:rsidRDefault="00F9073C" w:rsidP="00AD3E6E">
      <w:pPr>
        <w:pStyle w:val="ListParagraph"/>
        <w:numPr>
          <w:ilvl w:val="1"/>
          <w:numId w:val="5"/>
        </w:numPr>
        <w:rPr>
          <w:rFonts w:cstheme="minorHAnsi"/>
          <w:b/>
          <w:bCs/>
        </w:rPr>
      </w:pPr>
      <w:r w:rsidRPr="00832D3A">
        <w:rPr>
          <w:rFonts w:cstheme="minorHAnsi"/>
          <w:b/>
          <w:bCs/>
        </w:rPr>
        <w:t xml:space="preserve">Provide the number of unique patients for </w:t>
      </w:r>
      <w:r w:rsidR="001703B0" w:rsidRPr="00832D3A">
        <w:rPr>
          <w:rFonts w:cstheme="minorHAnsi"/>
          <w:b/>
          <w:bCs/>
        </w:rPr>
        <w:t>FY19.</w:t>
      </w:r>
      <w:r w:rsidR="006D430F" w:rsidRPr="00832D3A">
        <w:rPr>
          <w:rFonts w:cstheme="minorHAnsi"/>
          <w:b/>
          <w:bCs/>
        </w:rPr>
        <w:t xml:space="preserve">  </w:t>
      </w:r>
    </w:p>
    <w:p w14:paraId="794C72DC" w14:textId="747AAEBD" w:rsidR="007F4F1C" w:rsidRPr="00832D3A" w:rsidRDefault="007F4F1C" w:rsidP="00210FAD">
      <w:pPr>
        <w:pStyle w:val="ListParagraph"/>
        <w:spacing w:after="0"/>
        <w:ind w:left="1440" w:firstLine="360"/>
        <w:rPr>
          <w:rFonts w:cstheme="minorHAnsi"/>
          <w:b/>
          <w:bCs/>
        </w:rPr>
      </w:pPr>
      <w:r w:rsidRPr="00832D3A">
        <w:rPr>
          <w:rFonts w:cstheme="minorHAnsi"/>
          <w:b/>
          <w:bCs/>
        </w:rPr>
        <w:t xml:space="preserve">Table 6: FY2019 Unique MRI Patients </w:t>
      </w:r>
    </w:p>
    <w:tbl>
      <w:tblPr>
        <w:tblStyle w:val="TableGrid"/>
        <w:tblW w:w="0" w:type="auto"/>
        <w:jc w:val="center"/>
        <w:tblLook w:val="04A0" w:firstRow="1" w:lastRow="0" w:firstColumn="1" w:lastColumn="0" w:noHBand="0" w:noVBand="1"/>
        <w:tblCaption w:val="Table 6: FY2019 Unique MRI Patients "/>
        <w:tblDescription w:val="Table 6: FY2019 Unique MRI Patients "/>
      </w:tblPr>
      <w:tblGrid>
        <w:gridCol w:w="1746"/>
        <w:gridCol w:w="878"/>
        <w:gridCol w:w="878"/>
        <w:gridCol w:w="2167"/>
        <w:gridCol w:w="878"/>
      </w:tblGrid>
      <w:tr w:rsidR="006C387E" w:rsidRPr="00832D3A" w14:paraId="4CFB10CE" w14:textId="77777777" w:rsidTr="00003D2E">
        <w:trPr>
          <w:tblHeader/>
          <w:jc w:val="center"/>
        </w:trPr>
        <w:tc>
          <w:tcPr>
            <w:tcW w:w="0" w:type="auto"/>
          </w:tcPr>
          <w:p w14:paraId="67EA6ABF" w14:textId="77777777" w:rsidR="006C387E" w:rsidRPr="00832D3A" w:rsidRDefault="006C387E" w:rsidP="003E423A">
            <w:pPr>
              <w:rPr>
                <w:rFonts w:cstheme="minorHAnsi"/>
              </w:rPr>
            </w:pPr>
          </w:p>
        </w:tc>
        <w:tc>
          <w:tcPr>
            <w:tcW w:w="0" w:type="auto"/>
            <w:shd w:val="clear" w:color="auto" w:fill="D9D9D9" w:themeFill="background1" w:themeFillShade="D9"/>
          </w:tcPr>
          <w:p w14:paraId="270E0485" w14:textId="77777777" w:rsidR="006C387E" w:rsidRPr="00832D3A" w:rsidRDefault="006C387E" w:rsidP="003E423A">
            <w:pPr>
              <w:rPr>
                <w:rFonts w:cstheme="minorHAnsi"/>
                <w:b/>
                <w:bCs/>
              </w:rPr>
            </w:pPr>
            <w:r w:rsidRPr="00832D3A">
              <w:rPr>
                <w:rFonts w:cstheme="minorHAnsi"/>
                <w:b/>
                <w:bCs/>
              </w:rPr>
              <w:t>FY2018</w:t>
            </w:r>
          </w:p>
        </w:tc>
        <w:tc>
          <w:tcPr>
            <w:tcW w:w="0" w:type="auto"/>
            <w:shd w:val="clear" w:color="auto" w:fill="D9D9D9" w:themeFill="background1" w:themeFillShade="D9"/>
          </w:tcPr>
          <w:p w14:paraId="5FD021B4" w14:textId="77777777" w:rsidR="006C387E" w:rsidRPr="00832D3A" w:rsidRDefault="006C387E" w:rsidP="003E423A">
            <w:pPr>
              <w:rPr>
                <w:rFonts w:cstheme="minorHAnsi"/>
                <w:b/>
                <w:bCs/>
              </w:rPr>
            </w:pPr>
            <w:r w:rsidRPr="00832D3A">
              <w:rPr>
                <w:rFonts w:cstheme="minorHAnsi"/>
                <w:b/>
                <w:bCs/>
              </w:rPr>
              <w:t>FY2019</w:t>
            </w:r>
          </w:p>
        </w:tc>
        <w:tc>
          <w:tcPr>
            <w:tcW w:w="0" w:type="auto"/>
            <w:shd w:val="clear" w:color="auto" w:fill="F2F2F2" w:themeFill="background1" w:themeFillShade="F2"/>
          </w:tcPr>
          <w:p w14:paraId="4EA9E9DB" w14:textId="77777777" w:rsidR="006C387E" w:rsidRPr="00832D3A" w:rsidRDefault="006C387E" w:rsidP="003E423A">
            <w:pPr>
              <w:rPr>
                <w:rFonts w:cstheme="minorHAnsi"/>
                <w:b/>
                <w:bCs/>
              </w:rPr>
            </w:pPr>
            <w:r w:rsidRPr="00832D3A">
              <w:rPr>
                <w:rFonts w:cstheme="minorHAnsi"/>
                <w:b/>
                <w:bCs/>
              </w:rPr>
              <w:t>FY19 Unique patients</w:t>
            </w:r>
          </w:p>
        </w:tc>
        <w:tc>
          <w:tcPr>
            <w:tcW w:w="0" w:type="auto"/>
            <w:shd w:val="clear" w:color="auto" w:fill="D9D9D9" w:themeFill="background1" w:themeFillShade="D9"/>
          </w:tcPr>
          <w:p w14:paraId="677D4CE0" w14:textId="77777777" w:rsidR="006C387E" w:rsidRPr="00832D3A" w:rsidRDefault="006C387E" w:rsidP="003E423A">
            <w:pPr>
              <w:rPr>
                <w:rFonts w:cstheme="minorHAnsi"/>
                <w:b/>
                <w:bCs/>
              </w:rPr>
            </w:pPr>
            <w:r w:rsidRPr="00832D3A">
              <w:rPr>
                <w:rFonts w:cstheme="minorHAnsi"/>
                <w:b/>
                <w:bCs/>
              </w:rPr>
              <w:t>FY2020</w:t>
            </w:r>
          </w:p>
        </w:tc>
      </w:tr>
      <w:tr w:rsidR="006C387E" w:rsidRPr="00832D3A" w14:paraId="44268089" w14:textId="77777777" w:rsidTr="006C387E">
        <w:trPr>
          <w:jc w:val="center"/>
        </w:trPr>
        <w:tc>
          <w:tcPr>
            <w:tcW w:w="0" w:type="auto"/>
          </w:tcPr>
          <w:p w14:paraId="56C08A19" w14:textId="77777777" w:rsidR="006C387E" w:rsidRPr="00832D3A" w:rsidRDefault="006C387E" w:rsidP="003E423A">
            <w:pPr>
              <w:rPr>
                <w:rFonts w:cstheme="minorHAnsi"/>
              </w:rPr>
            </w:pPr>
            <w:r w:rsidRPr="00832D3A">
              <w:rPr>
                <w:rFonts w:cstheme="minorHAnsi"/>
              </w:rPr>
              <w:t>Inpatient Scans</w:t>
            </w:r>
          </w:p>
        </w:tc>
        <w:tc>
          <w:tcPr>
            <w:tcW w:w="0" w:type="auto"/>
          </w:tcPr>
          <w:p w14:paraId="337EC410" w14:textId="77777777" w:rsidR="006C387E" w:rsidRPr="00832D3A" w:rsidRDefault="006C387E" w:rsidP="003E423A">
            <w:pPr>
              <w:rPr>
                <w:rFonts w:cstheme="minorHAnsi"/>
              </w:rPr>
            </w:pPr>
            <w:r w:rsidRPr="00832D3A">
              <w:rPr>
                <w:rFonts w:cstheme="minorHAnsi"/>
              </w:rPr>
              <w:t xml:space="preserve">4,164 </w:t>
            </w:r>
          </w:p>
        </w:tc>
        <w:tc>
          <w:tcPr>
            <w:tcW w:w="0" w:type="auto"/>
          </w:tcPr>
          <w:p w14:paraId="213471A1" w14:textId="77777777" w:rsidR="006C387E" w:rsidRPr="00832D3A" w:rsidRDefault="006C387E" w:rsidP="003E423A">
            <w:pPr>
              <w:rPr>
                <w:rFonts w:cstheme="minorHAnsi"/>
              </w:rPr>
            </w:pPr>
            <w:r w:rsidRPr="00832D3A">
              <w:rPr>
                <w:rFonts w:cstheme="minorHAnsi"/>
              </w:rPr>
              <w:t xml:space="preserve">4,181 </w:t>
            </w:r>
          </w:p>
        </w:tc>
        <w:tc>
          <w:tcPr>
            <w:tcW w:w="0" w:type="auto"/>
            <w:shd w:val="clear" w:color="auto" w:fill="F2F2F2" w:themeFill="background1" w:themeFillShade="F2"/>
          </w:tcPr>
          <w:p w14:paraId="73F802D4" w14:textId="77777777" w:rsidR="006C387E" w:rsidRPr="00832D3A" w:rsidRDefault="006C387E" w:rsidP="003E423A">
            <w:pPr>
              <w:rPr>
                <w:rFonts w:cstheme="minorHAnsi"/>
                <w:b/>
                <w:bCs/>
              </w:rPr>
            </w:pPr>
            <w:r w:rsidRPr="00832D3A">
              <w:rPr>
                <w:rFonts w:cstheme="minorHAnsi"/>
                <w:b/>
                <w:bCs/>
              </w:rPr>
              <w:t>2,544</w:t>
            </w:r>
          </w:p>
        </w:tc>
        <w:tc>
          <w:tcPr>
            <w:tcW w:w="0" w:type="auto"/>
          </w:tcPr>
          <w:p w14:paraId="0C917AF3" w14:textId="77777777" w:rsidR="006C387E" w:rsidRPr="00832D3A" w:rsidRDefault="006C387E" w:rsidP="003E423A">
            <w:pPr>
              <w:rPr>
                <w:rFonts w:cstheme="minorHAnsi"/>
              </w:rPr>
            </w:pPr>
            <w:r w:rsidRPr="00832D3A">
              <w:rPr>
                <w:rFonts w:cstheme="minorHAnsi"/>
              </w:rPr>
              <w:t>3,839</w:t>
            </w:r>
          </w:p>
        </w:tc>
      </w:tr>
      <w:tr w:rsidR="006C387E" w:rsidRPr="00832D3A" w14:paraId="1BCDE4D8" w14:textId="77777777" w:rsidTr="006C387E">
        <w:trPr>
          <w:jc w:val="center"/>
        </w:trPr>
        <w:tc>
          <w:tcPr>
            <w:tcW w:w="0" w:type="auto"/>
          </w:tcPr>
          <w:p w14:paraId="141DF3D2" w14:textId="77777777" w:rsidR="006C387E" w:rsidRPr="00832D3A" w:rsidRDefault="006C387E" w:rsidP="003E423A">
            <w:pPr>
              <w:rPr>
                <w:rFonts w:cstheme="minorHAnsi"/>
              </w:rPr>
            </w:pPr>
            <w:r w:rsidRPr="00832D3A">
              <w:rPr>
                <w:rFonts w:cstheme="minorHAnsi"/>
              </w:rPr>
              <w:t>Outpatient Scans</w:t>
            </w:r>
          </w:p>
        </w:tc>
        <w:tc>
          <w:tcPr>
            <w:tcW w:w="0" w:type="auto"/>
          </w:tcPr>
          <w:p w14:paraId="5C1F6FEB" w14:textId="77777777" w:rsidR="006C387E" w:rsidRPr="00832D3A" w:rsidRDefault="006C387E" w:rsidP="003E423A">
            <w:pPr>
              <w:rPr>
                <w:rFonts w:cstheme="minorHAnsi"/>
              </w:rPr>
            </w:pPr>
            <w:r w:rsidRPr="00832D3A">
              <w:rPr>
                <w:rFonts w:cstheme="minorHAnsi"/>
              </w:rPr>
              <w:t xml:space="preserve">11,068 </w:t>
            </w:r>
          </w:p>
        </w:tc>
        <w:tc>
          <w:tcPr>
            <w:tcW w:w="0" w:type="auto"/>
          </w:tcPr>
          <w:p w14:paraId="3D155FCA" w14:textId="77777777" w:rsidR="006C387E" w:rsidRPr="00832D3A" w:rsidRDefault="006C387E" w:rsidP="003E423A">
            <w:pPr>
              <w:rPr>
                <w:rFonts w:cstheme="minorHAnsi"/>
              </w:rPr>
            </w:pPr>
            <w:r w:rsidRPr="00832D3A">
              <w:rPr>
                <w:rFonts w:cstheme="minorHAnsi"/>
              </w:rPr>
              <w:t xml:space="preserve">11,373 </w:t>
            </w:r>
          </w:p>
        </w:tc>
        <w:tc>
          <w:tcPr>
            <w:tcW w:w="0" w:type="auto"/>
            <w:shd w:val="clear" w:color="auto" w:fill="F2F2F2" w:themeFill="background1" w:themeFillShade="F2"/>
          </w:tcPr>
          <w:p w14:paraId="7808A4EB" w14:textId="77777777" w:rsidR="006C387E" w:rsidRPr="00832D3A" w:rsidRDefault="006C387E" w:rsidP="003E423A">
            <w:pPr>
              <w:rPr>
                <w:rFonts w:cstheme="minorHAnsi"/>
                <w:b/>
                <w:bCs/>
              </w:rPr>
            </w:pPr>
            <w:r w:rsidRPr="00832D3A">
              <w:rPr>
                <w:rFonts w:cstheme="minorHAnsi"/>
                <w:b/>
                <w:bCs/>
              </w:rPr>
              <w:t>8,293</w:t>
            </w:r>
          </w:p>
        </w:tc>
        <w:tc>
          <w:tcPr>
            <w:tcW w:w="0" w:type="auto"/>
          </w:tcPr>
          <w:p w14:paraId="7EABB1B8" w14:textId="77777777" w:rsidR="006C387E" w:rsidRPr="00832D3A" w:rsidRDefault="006C387E" w:rsidP="003E423A">
            <w:pPr>
              <w:rPr>
                <w:rFonts w:cstheme="minorHAnsi"/>
              </w:rPr>
            </w:pPr>
            <w:r w:rsidRPr="00832D3A">
              <w:rPr>
                <w:rFonts w:cstheme="minorHAnsi"/>
              </w:rPr>
              <w:t>10,258</w:t>
            </w:r>
          </w:p>
        </w:tc>
      </w:tr>
      <w:tr w:rsidR="006C387E" w:rsidRPr="00832D3A" w14:paraId="2CC9F649" w14:textId="77777777" w:rsidTr="006C387E">
        <w:trPr>
          <w:jc w:val="center"/>
        </w:trPr>
        <w:tc>
          <w:tcPr>
            <w:tcW w:w="0" w:type="auto"/>
          </w:tcPr>
          <w:p w14:paraId="44D0F5D4" w14:textId="77777777" w:rsidR="006C387E" w:rsidRPr="00832D3A" w:rsidRDefault="006C387E" w:rsidP="003E423A">
            <w:pPr>
              <w:rPr>
                <w:rFonts w:cstheme="minorHAnsi"/>
              </w:rPr>
            </w:pPr>
            <w:r w:rsidRPr="00832D3A">
              <w:rPr>
                <w:rFonts w:cstheme="minorHAnsi"/>
              </w:rPr>
              <w:t xml:space="preserve">Total </w:t>
            </w:r>
          </w:p>
        </w:tc>
        <w:tc>
          <w:tcPr>
            <w:tcW w:w="0" w:type="auto"/>
          </w:tcPr>
          <w:p w14:paraId="1F73AB2C" w14:textId="77777777" w:rsidR="006C387E" w:rsidRPr="00832D3A" w:rsidRDefault="006C387E" w:rsidP="003E423A">
            <w:pPr>
              <w:rPr>
                <w:rFonts w:cstheme="minorHAnsi"/>
              </w:rPr>
            </w:pPr>
            <w:r w:rsidRPr="00832D3A">
              <w:rPr>
                <w:rFonts w:cstheme="minorHAnsi"/>
              </w:rPr>
              <w:t xml:space="preserve">15,232 </w:t>
            </w:r>
          </w:p>
        </w:tc>
        <w:tc>
          <w:tcPr>
            <w:tcW w:w="0" w:type="auto"/>
          </w:tcPr>
          <w:p w14:paraId="337A72B4" w14:textId="77777777" w:rsidR="006C387E" w:rsidRPr="00832D3A" w:rsidRDefault="006C387E" w:rsidP="003E423A">
            <w:pPr>
              <w:rPr>
                <w:rFonts w:cstheme="minorHAnsi"/>
              </w:rPr>
            </w:pPr>
            <w:r w:rsidRPr="00832D3A">
              <w:rPr>
                <w:rFonts w:cstheme="minorHAnsi"/>
              </w:rPr>
              <w:t xml:space="preserve">15,554 </w:t>
            </w:r>
          </w:p>
        </w:tc>
        <w:tc>
          <w:tcPr>
            <w:tcW w:w="0" w:type="auto"/>
            <w:shd w:val="clear" w:color="auto" w:fill="F2F2F2" w:themeFill="background1" w:themeFillShade="F2"/>
          </w:tcPr>
          <w:p w14:paraId="7B8F344F" w14:textId="77777777" w:rsidR="006C387E" w:rsidRPr="00832D3A" w:rsidRDefault="006C387E" w:rsidP="003E423A">
            <w:pPr>
              <w:rPr>
                <w:rFonts w:cstheme="minorHAnsi"/>
                <w:b/>
                <w:bCs/>
              </w:rPr>
            </w:pPr>
            <w:r w:rsidRPr="00832D3A">
              <w:rPr>
                <w:rFonts w:cstheme="minorHAnsi"/>
                <w:b/>
                <w:bCs/>
              </w:rPr>
              <w:t>10,837</w:t>
            </w:r>
          </w:p>
        </w:tc>
        <w:tc>
          <w:tcPr>
            <w:tcW w:w="0" w:type="auto"/>
          </w:tcPr>
          <w:p w14:paraId="3FD6C17F" w14:textId="77777777" w:rsidR="006C387E" w:rsidRPr="00832D3A" w:rsidRDefault="006C387E" w:rsidP="003E423A">
            <w:pPr>
              <w:rPr>
                <w:rFonts w:cstheme="minorHAnsi"/>
              </w:rPr>
            </w:pPr>
            <w:r w:rsidRPr="00832D3A">
              <w:rPr>
                <w:rFonts w:cstheme="minorHAnsi"/>
              </w:rPr>
              <w:t>14,097</w:t>
            </w:r>
          </w:p>
        </w:tc>
      </w:tr>
    </w:tbl>
    <w:p w14:paraId="708CF9E8" w14:textId="49A8A2DF" w:rsidR="009317D3" w:rsidRPr="00210FAD" w:rsidRDefault="009317D3" w:rsidP="00210FAD">
      <w:pPr>
        <w:rPr>
          <w:rFonts w:cstheme="minorHAnsi"/>
          <w:b/>
          <w:bCs/>
        </w:rPr>
      </w:pPr>
    </w:p>
    <w:p w14:paraId="0D85C540" w14:textId="18CB3EED" w:rsidR="001C5BF3" w:rsidRPr="00832D3A" w:rsidRDefault="001C5BF3" w:rsidP="006C387E">
      <w:pPr>
        <w:pStyle w:val="ListParagraph"/>
        <w:numPr>
          <w:ilvl w:val="0"/>
          <w:numId w:val="5"/>
        </w:numPr>
        <w:rPr>
          <w:rFonts w:cstheme="minorHAnsi"/>
          <w:b/>
          <w:bCs/>
        </w:rPr>
      </w:pPr>
      <w:r w:rsidRPr="00832D3A">
        <w:rPr>
          <w:rFonts w:cstheme="minorHAnsi"/>
          <w:b/>
          <w:bCs/>
        </w:rPr>
        <w:t xml:space="preserve">Average Wait times </w:t>
      </w:r>
      <w:r w:rsidR="00D11BF8" w:rsidRPr="00832D3A">
        <w:rPr>
          <w:rFonts w:cstheme="minorHAnsi"/>
          <w:b/>
          <w:bCs/>
        </w:rPr>
        <w:t>(S</w:t>
      </w:r>
      <w:r w:rsidR="0027783A" w:rsidRPr="00832D3A">
        <w:rPr>
          <w:rFonts w:cstheme="minorHAnsi"/>
          <w:b/>
          <w:bCs/>
        </w:rPr>
        <w:t>outh Shore Hospital</w:t>
      </w:r>
      <w:r w:rsidR="00D11BF8" w:rsidRPr="00832D3A">
        <w:rPr>
          <w:rFonts w:cstheme="minorHAnsi"/>
          <w:b/>
          <w:bCs/>
        </w:rPr>
        <w:t>)</w:t>
      </w:r>
    </w:p>
    <w:p w14:paraId="4839BA6D" w14:textId="77777777" w:rsidR="007F4F1C" w:rsidRPr="00832D3A" w:rsidRDefault="007F4F1C" w:rsidP="00210FAD">
      <w:pPr>
        <w:pStyle w:val="ListParagraph"/>
        <w:rPr>
          <w:rFonts w:cstheme="minorHAnsi"/>
          <w:b/>
          <w:bCs/>
        </w:rPr>
      </w:pPr>
    </w:p>
    <w:p w14:paraId="701D6662" w14:textId="76B17337" w:rsidR="007F4F1C" w:rsidRPr="00832D3A" w:rsidRDefault="007F4F1C" w:rsidP="00210FAD">
      <w:pPr>
        <w:pStyle w:val="ListParagraph"/>
        <w:spacing w:after="0"/>
        <w:ind w:firstLine="994"/>
        <w:rPr>
          <w:rFonts w:cstheme="minorHAnsi"/>
          <w:b/>
          <w:bCs/>
        </w:rPr>
      </w:pPr>
      <w:r w:rsidRPr="00832D3A">
        <w:rPr>
          <w:rFonts w:cstheme="minorHAnsi"/>
          <w:b/>
          <w:bCs/>
        </w:rPr>
        <w:t xml:space="preserve">Table 7: SSHS Average Wait Time </w:t>
      </w:r>
    </w:p>
    <w:tbl>
      <w:tblPr>
        <w:tblStyle w:val="TableGrid"/>
        <w:tblW w:w="0" w:type="auto"/>
        <w:tblInd w:w="1800" w:type="dxa"/>
        <w:tblLook w:val="04A0" w:firstRow="1" w:lastRow="0" w:firstColumn="1" w:lastColumn="0" w:noHBand="0" w:noVBand="1"/>
        <w:tblCaption w:val="Table 7: SSHS Average Wait Time "/>
        <w:tblDescription w:val="Table 7: SSHS Average Wait Time "/>
      </w:tblPr>
      <w:tblGrid>
        <w:gridCol w:w="1987"/>
        <w:gridCol w:w="1620"/>
      </w:tblGrid>
      <w:tr w:rsidR="006C387E" w:rsidRPr="00832D3A" w14:paraId="33B6D6A3" w14:textId="77777777" w:rsidTr="00003D2E">
        <w:trPr>
          <w:tblHeader/>
        </w:trPr>
        <w:tc>
          <w:tcPr>
            <w:tcW w:w="0" w:type="auto"/>
          </w:tcPr>
          <w:p w14:paraId="27262EA1" w14:textId="77777777" w:rsidR="006C387E" w:rsidRPr="00832D3A" w:rsidRDefault="006C387E" w:rsidP="003E423A">
            <w:pPr>
              <w:rPr>
                <w:rFonts w:cstheme="minorHAnsi"/>
              </w:rPr>
            </w:pPr>
          </w:p>
        </w:tc>
        <w:tc>
          <w:tcPr>
            <w:tcW w:w="1620" w:type="dxa"/>
            <w:shd w:val="clear" w:color="auto" w:fill="auto"/>
          </w:tcPr>
          <w:p w14:paraId="7ED7B139" w14:textId="77777777" w:rsidR="006C387E" w:rsidRPr="00832D3A" w:rsidRDefault="006C387E" w:rsidP="003E423A">
            <w:pPr>
              <w:rPr>
                <w:rFonts w:cstheme="minorHAnsi"/>
                <w:b/>
                <w:bCs/>
              </w:rPr>
            </w:pPr>
            <w:r w:rsidRPr="00832D3A">
              <w:rPr>
                <w:rFonts w:cstheme="minorHAnsi"/>
                <w:b/>
                <w:bCs/>
              </w:rPr>
              <w:t>FY2020</w:t>
            </w:r>
          </w:p>
        </w:tc>
      </w:tr>
      <w:tr w:rsidR="006C387E" w:rsidRPr="00832D3A" w14:paraId="36F3FB7C" w14:textId="77777777" w:rsidTr="00210FAD">
        <w:tc>
          <w:tcPr>
            <w:tcW w:w="0" w:type="auto"/>
          </w:tcPr>
          <w:p w14:paraId="0854F9AB" w14:textId="77777777" w:rsidR="006C387E" w:rsidRPr="00832D3A" w:rsidRDefault="006C387E" w:rsidP="003E423A">
            <w:pPr>
              <w:rPr>
                <w:rFonts w:cstheme="minorHAnsi"/>
              </w:rPr>
            </w:pPr>
            <w:r w:rsidRPr="00832D3A">
              <w:rPr>
                <w:rFonts w:cstheme="minorHAnsi"/>
              </w:rPr>
              <w:t>Inpatient</w:t>
            </w:r>
          </w:p>
        </w:tc>
        <w:tc>
          <w:tcPr>
            <w:tcW w:w="1620" w:type="dxa"/>
          </w:tcPr>
          <w:p w14:paraId="3EFACF6A" w14:textId="77777777" w:rsidR="006C387E" w:rsidRPr="00832D3A" w:rsidRDefault="006C387E" w:rsidP="003E423A">
            <w:pPr>
              <w:rPr>
                <w:rFonts w:cstheme="minorHAnsi"/>
              </w:rPr>
            </w:pPr>
            <w:r w:rsidRPr="00832D3A">
              <w:rPr>
                <w:rFonts w:cstheme="minorHAnsi"/>
              </w:rPr>
              <w:t>24 hours</w:t>
            </w:r>
          </w:p>
        </w:tc>
      </w:tr>
      <w:tr w:rsidR="006C387E" w:rsidRPr="00832D3A" w14:paraId="04943131" w14:textId="77777777" w:rsidTr="00210FAD">
        <w:tc>
          <w:tcPr>
            <w:tcW w:w="0" w:type="auto"/>
            <w:shd w:val="clear" w:color="auto" w:fill="F2F2F2" w:themeFill="background1" w:themeFillShade="F2"/>
          </w:tcPr>
          <w:p w14:paraId="4903A60E" w14:textId="77777777" w:rsidR="006C387E" w:rsidRPr="00832D3A" w:rsidRDefault="006C387E" w:rsidP="003E423A">
            <w:pPr>
              <w:rPr>
                <w:rFonts w:cstheme="minorHAnsi"/>
                <w:b/>
                <w:bCs/>
              </w:rPr>
            </w:pPr>
            <w:r w:rsidRPr="00832D3A">
              <w:rPr>
                <w:rFonts w:cstheme="minorHAnsi"/>
                <w:b/>
                <w:bCs/>
              </w:rPr>
              <w:t>Outpatient</w:t>
            </w:r>
          </w:p>
        </w:tc>
        <w:tc>
          <w:tcPr>
            <w:tcW w:w="1620" w:type="dxa"/>
            <w:shd w:val="clear" w:color="auto" w:fill="F2F2F2" w:themeFill="background1" w:themeFillShade="F2"/>
          </w:tcPr>
          <w:p w14:paraId="2C06310B" w14:textId="77777777" w:rsidR="006C387E" w:rsidRPr="00832D3A" w:rsidRDefault="006C387E" w:rsidP="003E423A">
            <w:pPr>
              <w:rPr>
                <w:rFonts w:cstheme="minorHAnsi"/>
                <w:b/>
                <w:bCs/>
              </w:rPr>
            </w:pPr>
            <w:r w:rsidRPr="00832D3A">
              <w:rPr>
                <w:rFonts w:cstheme="minorHAnsi"/>
                <w:b/>
                <w:bCs/>
              </w:rPr>
              <w:t>6 days</w:t>
            </w:r>
          </w:p>
        </w:tc>
      </w:tr>
      <w:tr w:rsidR="006C387E" w:rsidRPr="00832D3A" w14:paraId="647C50F5" w14:textId="77777777" w:rsidTr="00210FAD">
        <w:tc>
          <w:tcPr>
            <w:tcW w:w="0" w:type="auto"/>
          </w:tcPr>
          <w:p w14:paraId="442FCF23" w14:textId="77777777" w:rsidR="006C387E" w:rsidRPr="00832D3A" w:rsidRDefault="006C387E" w:rsidP="003E423A">
            <w:pPr>
              <w:rPr>
                <w:rFonts w:cstheme="minorHAnsi"/>
              </w:rPr>
            </w:pPr>
            <w:r w:rsidRPr="00832D3A">
              <w:rPr>
                <w:rFonts w:cstheme="minorHAnsi"/>
              </w:rPr>
              <w:t xml:space="preserve">Emergency patients </w:t>
            </w:r>
          </w:p>
        </w:tc>
        <w:tc>
          <w:tcPr>
            <w:tcW w:w="1620" w:type="dxa"/>
          </w:tcPr>
          <w:p w14:paraId="792A3D3D" w14:textId="77777777" w:rsidR="006C387E" w:rsidRPr="00832D3A" w:rsidRDefault="006C387E" w:rsidP="003E423A">
            <w:pPr>
              <w:pStyle w:val="ListParagraph"/>
              <w:numPr>
                <w:ilvl w:val="0"/>
                <w:numId w:val="16"/>
              </w:numPr>
              <w:ind w:left="360"/>
              <w:rPr>
                <w:rFonts w:cstheme="minorHAnsi"/>
              </w:rPr>
            </w:pPr>
            <w:r w:rsidRPr="00832D3A">
              <w:rPr>
                <w:rFonts w:cstheme="minorHAnsi"/>
              </w:rPr>
              <w:t xml:space="preserve">hours </w:t>
            </w:r>
          </w:p>
        </w:tc>
      </w:tr>
    </w:tbl>
    <w:p w14:paraId="14CD6847" w14:textId="77777777" w:rsidR="006C387E" w:rsidRPr="00832D3A" w:rsidRDefault="006C387E" w:rsidP="006C387E">
      <w:pPr>
        <w:pStyle w:val="ListParagraph"/>
        <w:rPr>
          <w:rFonts w:cstheme="minorHAnsi"/>
          <w:b/>
          <w:bCs/>
        </w:rPr>
      </w:pPr>
    </w:p>
    <w:p w14:paraId="0347B95B" w14:textId="77777777" w:rsidR="006C387E" w:rsidRPr="00832D3A" w:rsidRDefault="006C387E" w:rsidP="006C387E">
      <w:pPr>
        <w:pStyle w:val="ListParagraph"/>
        <w:rPr>
          <w:rFonts w:cstheme="minorHAnsi"/>
          <w:b/>
          <w:bCs/>
        </w:rPr>
      </w:pPr>
    </w:p>
    <w:p w14:paraId="3BD0DB3E" w14:textId="1CC27ADF" w:rsidR="00D8570A" w:rsidRPr="00AD3E6E" w:rsidRDefault="00DF07AB" w:rsidP="00AD3E6E">
      <w:pPr>
        <w:pStyle w:val="ListParagraph"/>
        <w:numPr>
          <w:ilvl w:val="0"/>
          <w:numId w:val="7"/>
        </w:numPr>
        <w:spacing w:line="240" w:lineRule="auto"/>
        <w:ind w:left="1440"/>
        <w:rPr>
          <w:rFonts w:cstheme="minorHAnsi"/>
          <w:b/>
          <w:bCs/>
        </w:rPr>
      </w:pPr>
      <w:r w:rsidRPr="00832D3A">
        <w:rPr>
          <w:rFonts w:cstheme="minorHAnsi"/>
          <w:b/>
          <w:bCs/>
        </w:rPr>
        <w:t>The Application mentions average wait times for inpatients and emergency patients</w:t>
      </w:r>
      <w:r w:rsidR="00E61DF7" w:rsidRPr="00832D3A">
        <w:rPr>
          <w:rFonts w:cstheme="minorHAnsi"/>
          <w:b/>
          <w:bCs/>
        </w:rPr>
        <w:t xml:space="preserve"> at the main campus</w:t>
      </w:r>
      <w:r w:rsidR="006F4EF5" w:rsidRPr="00832D3A">
        <w:rPr>
          <w:rFonts w:cstheme="minorHAnsi"/>
          <w:b/>
          <w:bCs/>
        </w:rPr>
        <w:t xml:space="preserve"> (pg.7)</w:t>
      </w:r>
      <w:r w:rsidRPr="00832D3A">
        <w:rPr>
          <w:rFonts w:cstheme="minorHAnsi"/>
          <w:b/>
          <w:bCs/>
        </w:rPr>
        <w:t>. What is the a</w:t>
      </w:r>
      <w:r w:rsidR="00862AF4" w:rsidRPr="00832D3A">
        <w:rPr>
          <w:rFonts w:cstheme="minorHAnsi"/>
          <w:b/>
          <w:bCs/>
        </w:rPr>
        <w:t>verage wait time for outpatients</w:t>
      </w:r>
      <w:r w:rsidR="00B10DB9" w:rsidRPr="00832D3A">
        <w:rPr>
          <w:rFonts w:cstheme="minorHAnsi"/>
          <w:b/>
          <w:bCs/>
        </w:rPr>
        <w:t xml:space="preserve"> at the main campus</w:t>
      </w:r>
      <w:r w:rsidR="00862AF4" w:rsidRPr="00832D3A">
        <w:rPr>
          <w:rFonts w:cstheme="minorHAnsi"/>
          <w:b/>
          <w:bCs/>
        </w:rPr>
        <w:t>?</w:t>
      </w:r>
      <w:r w:rsidR="00CA6DF5" w:rsidRPr="00832D3A">
        <w:rPr>
          <w:rFonts w:cstheme="minorHAnsi"/>
          <w:b/>
          <w:bCs/>
        </w:rPr>
        <w:t xml:space="preserve"> </w:t>
      </w:r>
      <w:r w:rsidR="003134A6" w:rsidRPr="00832D3A">
        <w:rPr>
          <w:rFonts w:cstheme="minorHAnsi"/>
          <w:b/>
          <w:bCs/>
        </w:rPr>
        <w:t xml:space="preserve">Include a description of how wait time is calculated. </w:t>
      </w:r>
      <w:r w:rsidR="00477536" w:rsidRPr="00832D3A">
        <w:rPr>
          <w:rFonts w:cstheme="minorHAnsi"/>
          <w:b/>
          <w:bCs/>
        </w:rPr>
        <w:t xml:space="preserve"> </w:t>
      </w:r>
    </w:p>
    <w:p w14:paraId="2D464FC9" w14:textId="64AA8187" w:rsidR="00CC71D1" w:rsidRPr="00210FAD" w:rsidRDefault="00477536" w:rsidP="00210FAD">
      <w:pPr>
        <w:pStyle w:val="ListParagraph"/>
        <w:numPr>
          <w:ilvl w:val="1"/>
          <w:numId w:val="20"/>
        </w:numPr>
        <w:spacing w:line="240" w:lineRule="auto"/>
        <w:ind w:left="2160"/>
        <w:rPr>
          <w:rFonts w:cstheme="minorHAnsi"/>
          <w:bCs/>
        </w:rPr>
      </w:pPr>
      <w:r w:rsidRPr="00210FAD">
        <w:rPr>
          <w:rFonts w:cstheme="minorHAnsi"/>
          <w:bCs/>
        </w:rPr>
        <w:t xml:space="preserve">The average wait time for outpatients at SSH is 6 </w:t>
      </w:r>
      <w:r w:rsidR="00A62330" w:rsidRPr="00210FAD">
        <w:rPr>
          <w:rFonts w:cstheme="minorHAnsi"/>
          <w:bCs/>
        </w:rPr>
        <w:t xml:space="preserve">calendar </w:t>
      </w:r>
      <w:r w:rsidRPr="00210FAD">
        <w:rPr>
          <w:rFonts w:cstheme="minorHAnsi"/>
          <w:bCs/>
        </w:rPr>
        <w:t xml:space="preserve">days. This is calculated by </w:t>
      </w:r>
      <w:r w:rsidR="006C387E" w:rsidRPr="00210FAD">
        <w:rPr>
          <w:rFonts w:cstheme="minorHAnsi"/>
          <w:bCs/>
        </w:rPr>
        <w:t>determining</w:t>
      </w:r>
      <w:r w:rsidRPr="00210FAD">
        <w:rPr>
          <w:rFonts w:cstheme="minorHAnsi"/>
          <w:bCs/>
        </w:rPr>
        <w:t xml:space="preserve"> the span of time from the current day to the first available appointment at the SSH location. </w:t>
      </w:r>
    </w:p>
    <w:p w14:paraId="3F47D421" w14:textId="77777777" w:rsidR="00D8570A" w:rsidRPr="00832D3A" w:rsidRDefault="00D8570A" w:rsidP="00D8570A">
      <w:pPr>
        <w:pStyle w:val="ListParagraph"/>
        <w:spacing w:line="240" w:lineRule="auto"/>
        <w:ind w:left="2520"/>
        <w:rPr>
          <w:rFonts w:cstheme="minorHAnsi"/>
          <w:b/>
          <w:color w:val="0070C0"/>
        </w:rPr>
      </w:pPr>
    </w:p>
    <w:p w14:paraId="730DB529" w14:textId="78146D56" w:rsidR="0083468F" w:rsidRPr="00832D3A" w:rsidRDefault="00E375B1" w:rsidP="00DF584A">
      <w:pPr>
        <w:pStyle w:val="ListParagraph"/>
        <w:numPr>
          <w:ilvl w:val="0"/>
          <w:numId w:val="7"/>
        </w:numPr>
        <w:spacing w:line="240" w:lineRule="auto"/>
        <w:ind w:left="1440"/>
        <w:rPr>
          <w:rFonts w:cstheme="minorHAnsi"/>
          <w:b/>
          <w:bCs/>
        </w:rPr>
      </w:pPr>
      <w:r w:rsidRPr="00832D3A">
        <w:rPr>
          <w:rFonts w:cstheme="minorHAnsi"/>
          <w:b/>
          <w:bCs/>
        </w:rPr>
        <w:t xml:space="preserve">The Application states </w:t>
      </w:r>
      <w:r w:rsidR="00B10DB9" w:rsidRPr="00832D3A">
        <w:rPr>
          <w:rFonts w:cstheme="minorHAnsi"/>
          <w:b/>
          <w:bCs/>
        </w:rPr>
        <w:t xml:space="preserve">SSHS currently has three 1.5T MRI units, but </w:t>
      </w:r>
      <w:r w:rsidRPr="00832D3A">
        <w:rPr>
          <w:rFonts w:cstheme="minorHAnsi"/>
          <w:b/>
          <w:bCs/>
        </w:rPr>
        <w:t xml:space="preserve">demand has created significant wait times and inefficiencies for all MRI services (pg.6). </w:t>
      </w:r>
      <w:r w:rsidR="0073404F" w:rsidRPr="00832D3A">
        <w:rPr>
          <w:rFonts w:cstheme="minorHAnsi"/>
          <w:b/>
          <w:bCs/>
        </w:rPr>
        <w:t>Provide w</w:t>
      </w:r>
      <w:r w:rsidR="00E932CC" w:rsidRPr="00832D3A">
        <w:rPr>
          <w:rFonts w:cstheme="minorHAnsi"/>
          <w:b/>
          <w:bCs/>
        </w:rPr>
        <w:t>ait times at</w:t>
      </w:r>
      <w:r w:rsidR="0073404F" w:rsidRPr="00832D3A">
        <w:rPr>
          <w:rFonts w:cstheme="minorHAnsi"/>
          <w:b/>
          <w:bCs/>
        </w:rPr>
        <w:t xml:space="preserve"> the</w:t>
      </w:r>
      <w:r w:rsidR="00E932CC" w:rsidRPr="00832D3A">
        <w:rPr>
          <w:rFonts w:cstheme="minorHAnsi"/>
          <w:b/>
          <w:bCs/>
        </w:rPr>
        <w:t xml:space="preserve"> Cancer Center and South Shore Orthopedics</w:t>
      </w:r>
      <w:r w:rsidR="006B5BEF" w:rsidRPr="00832D3A">
        <w:rPr>
          <w:rFonts w:cstheme="minorHAnsi"/>
          <w:b/>
          <w:bCs/>
        </w:rPr>
        <w:t>.</w:t>
      </w:r>
      <w:r w:rsidR="00CF4A87" w:rsidRPr="00832D3A">
        <w:rPr>
          <w:rFonts w:cstheme="minorHAnsi"/>
          <w:b/>
          <w:bCs/>
        </w:rPr>
        <w:t xml:space="preserve"> Include a description of how wait time is calculated.</w:t>
      </w:r>
      <w:r w:rsidR="00477536" w:rsidRPr="00832D3A">
        <w:rPr>
          <w:rFonts w:cstheme="minorHAnsi"/>
          <w:b/>
          <w:bCs/>
        </w:rPr>
        <w:t xml:space="preserve"> </w:t>
      </w:r>
    </w:p>
    <w:p w14:paraId="42B37C38" w14:textId="77777777" w:rsidR="00D8570A" w:rsidRPr="00832D3A" w:rsidRDefault="00D8570A" w:rsidP="00D8570A">
      <w:pPr>
        <w:pStyle w:val="ListParagraph"/>
        <w:spacing w:line="240" w:lineRule="auto"/>
        <w:ind w:left="1440"/>
        <w:rPr>
          <w:rFonts w:cstheme="minorHAnsi"/>
        </w:rPr>
      </w:pPr>
    </w:p>
    <w:p w14:paraId="23BFE7E1" w14:textId="77527534" w:rsidR="00E932CC" w:rsidRPr="00832D3A" w:rsidRDefault="00477536" w:rsidP="00210FAD">
      <w:pPr>
        <w:pStyle w:val="ListParagraph"/>
        <w:numPr>
          <w:ilvl w:val="1"/>
          <w:numId w:val="21"/>
        </w:numPr>
        <w:tabs>
          <w:tab w:val="left" w:pos="2070"/>
          <w:tab w:val="left" w:pos="2160"/>
        </w:tabs>
        <w:spacing w:line="240" w:lineRule="auto"/>
        <w:ind w:left="2160" w:hanging="180"/>
        <w:rPr>
          <w:rFonts w:cstheme="minorHAnsi"/>
          <w:bCs/>
        </w:rPr>
      </w:pPr>
      <w:r w:rsidRPr="00832D3A">
        <w:rPr>
          <w:rFonts w:cstheme="minorHAnsi"/>
          <w:bCs/>
        </w:rPr>
        <w:t xml:space="preserve">The average wait time for outpatients at Cancer Center and South Shore Orthopedics is 6 </w:t>
      </w:r>
      <w:r w:rsidR="00A62330" w:rsidRPr="00832D3A">
        <w:rPr>
          <w:rFonts w:cstheme="minorHAnsi"/>
          <w:bCs/>
        </w:rPr>
        <w:t xml:space="preserve">calendar </w:t>
      </w:r>
      <w:r w:rsidRPr="00832D3A">
        <w:rPr>
          <w:rFonts w:cstheme="minorHAnsi"/>
          <w:bCs/>
        </w:rPr>
        <w:t xml:space="preserve">days. This is </w:t>
      </w:r>
      <w:r w:rsidRPr="00210FAD">
        <w:rPr>
          <w:rFonts w:cstheme="minorHAnsi"/>
          <w:bCs/>
        </w:rPr>
        <w:t xml:space="preserve">calculated </w:t>
      </w:r>
      <w:r w:rsidR="006C387E" w:rsidRPr="00210FAD">
        <w:rPr>
          <w:rFonts w:cstheme="minorHAnsi"/>
          <w:bCs/>
        </w:rPr>
        <w:t>by determining</w:t>
      </w:r>
      <w:r w:rsidRPr="00210FAD">
        <w:rPr>
          <w:rFonts w:cstheme="minorHAnsi"/>
          <w:bCs/>
        </w:rPr>
        <w:t xml:space="preserve"> the span of time from the current day to the first available appointment at the SSH location.</w:t>
      </w:r>
      <w:r w:rsidR="0083468F" w:rsidRPr="00210FAD">
        <w:rPr>
          <w:rFonts w:cstheme="minorHAnsi"/>
          <w:bCs/>
        </w:rPr>
        <w:t xml:space="preserve"> This is</w:t>
      </w:r>
      <w:r w:rsidR="0083468F" w:rsidRPr="00832D3A">
        <w:rPr>
          <w:rFonts w:cstheme="minorHAnsi"/>
          <w:bCs/>
        </w:rPr>
        <w:t xml:space="preserve"> the</w:t>
      </w:r>
      <w:r w:rsidRPr="00832D3A">
        <w:rPr>
          <w:rFonts w:cstheme="minorHAnsi"/>
          <w:bCs/>
        </w:rPr>
        <w:t xml:space="preserve"> same process for all patients.</w:t>
      </w:r>
    </w:p>
    <w:p w14:paraId="3AA8F4D9" w14:textId="77777777" w:rsidR="0073404F" w:rsidRPr="00832D3A" w:rsidRDefault="0073404F" w:rsidP="0073404F">
      <w:pPr>
        <w:pStyle w:val="ListParagraph"/>
        <w:ind w:left="1440"/>
        <w:rPr>
          <w:rFonts w:cstheme="minorHAnsi"/>
        </w:rPr>
      </w:pPr>
    </w:p>
    <w:p w14:paraId="688F2D3E" w14:textId="77777777" w:rsidR="001A458D" w:rsidRPr="00054FF4" w:rsidRDefault="001A458D" w:rsidP="001A458D">
      <w:pPr>
        <w:pStyle w:val="Heading1"/>
      </w:pPr>
      <w:r w:rsidRPr="00054FF4">
        <w:lastRenderedPageBreak/>
        <w:t xml:space="preserve">APPLICANT </w:t>
      </w:r>
      <w:r>
        <w:t>RESPONSES</w:t>
      </w:r>
    </w:p>
    <w:p w14:paraId="10174348" w14:textId="7C3813BF" w:rsidR="00561BCC" w:rsidRPr="00832D3A" w:rsidRDefault="00CC71D1" w:rsidP="005A2F6B">
      <w:pPr>
        <w:pStyle w:val="ListParagraph"/>
        <w:numPr>
          <w:ilvl w:val="0"/>
          <w:numId w:val="5"/>
        </w:numPr>
        <w:rPr>
          <w:rFonts w:cstheme="minorHAnsi"/>
          <w:b/>
          <w:bCs/>
        </w:rPr>
      </w:pPr>
      <w:r w:rsidRPr="00832D3A">
        <w:rPr>
          <w:rFonts w:cstheme="minorHAnsi"/>
          <w:b/>
          <w:bCs/>
        </w:rPr>
        <w:t>The application states t</w:t>
      </w:r>
      <w:r w:rsidR="00561BCC" w:rsidRPr="00832D3A">
        <w:rPr>
          <w:rFonts w:cstheme="minorHAnsi"/>
          <w:b/>
          <w:bCs/>
        </w:rPr>
        <w:t>here were 190 p</w:t>
      </w:r>
      <w:r w:rsidR="00BB0F4E" w:rsidRPr="00832D3A">
        <w:rPr>
          <w:rFonts w:cstheme="minorHAnsi"/>
          <w:b/>
          <w:bCs/>
        </w:rPr>
        <w:t xml:space="preserve">atient transfers </w:t>
      </w:r>
      <w:r w:rsidR="009F4524" w:rsidRPr="00832D3A">
        <w:rPr>
          <w:rFonts w:cstheme="minorHAnsi"/>
          <w:b/>
          <w:bCs/>
        </w:rPr>
        <w:t xml:space="preserve">from SSH to SSH’s outpatient MRI facilities </w:t>
      </w:r>
      <w:r w:rsidR="00561BCC" w:rsidRPr="00832D3A">
        <w:rPr>
          <w:rFonts w:cstheme="minorHAnsi"/>
          <w:b/>
          <w:bCs/>
        </w:rPr>
        <w:t>due to the following reasons:</w:t>
      </w:r>
      <w:r w:rsidR="005A2F6B" w:rsidRPr="00832D3A">
        <w:rPr>
          <w:rFonts w:cstheme="minorHAnsi"/>
          <w:b/>
          <w:bCs/>
        </w:rPr>
        <w:t xml:space="preserve"> </w:t>
      </w:r>
      <w:r w:rsidR="00561BCC" w:rsidRPr="00832D3A">
        <w:rPr>
          <w:rFonts w:cstheme="minorHAnsi"/>
          <w:b/>
          <w:bCs/>
        </w:rPr>
        <w:t>Weight limit on current unit</w:t>
      </w:r>
      <w:r w:rsidR="005A2F6B" w:rsidRPr="00832D3A">
        <w:rPr>
          <w:rFonts w:cstheme="minorHAnsi"/>
          <w:b/>
          <w:bCs/>
        </w:rPr>
        <w:t xml:space="preserve"> and a</w:t>
      </w:r>
      <w:r w:rsidR="00561BCC" w:rsidRPr="00832D3A">
        <w:rPr>
          <w:rFonts w:cstheme="minorHAnsi"/>
          <w:b/>
          <w:bCs/>
        </w:rPr>
        <w:t>ge of the unit (18 years old) requiring significant downtime for maintenance</w:t>
      </w:r>
      <w:r w:rsidR="005A2F6B" w:rsidRPr="00832D3A">
        <w:rPr>
          <w:rFonts w:cstheme="minorHAnsi"/>
          <w:b/>
          <w:bCs/>
        </w:rPr>
        <w:t xml:space="preserve"> (pg.7). </w:t>
      </w:r>
    </w:p>
    <w:p w14:paraId="0E5A8252" w14:textId="77777777" w:rsidR="006C387E" w:rsidRPr="00832D3A" w:rsidRDefault="006C387E" w:rsidP="006C387E">
      <w:pPr>
        <w:pStyle w:val="ListParagraph"/>
        <w:rPr>
          <w:rFonts w:cstheme="minorHAnsi"/>
          <w:b/>
          <w:bCs/>
        </w:rPr>
      </w:pPr>
    </w:p>
    <w:p w14:paraId="7D314714" w14:textId="4B74CA47" w:rsidR="00D8570A" w:rsidRPr="00832D3A" w:rsidRDefault="00CC71D1" w:rsidP="00DF584A">
      <w:pPr>
        <w:pStyle w:val="ListParagraph"/>
        <w:numPr>
          <w:ilvl w:val="1"/>
          <w:numId w:val="5"/>
        </w:numPr>
        <w:spacing w:line="240" w:lineRule="auto"/>
        <w:rPr>
          <w:rFonts w:cstheme="minorHAnsi"/>
          <w:b/>
          <w:bCs/>
        </w:rPr>
      </w:pPr>
      <w:r w:rsidRPr="00832D3A">
        <w:rPr>
          <w:rFonts w:cstheme="minorHAnsi"/>
          <w:b/>
          <w:bCs/>
        </w:rPr>
        <w:t xml:space="preserve">Provide </w:t>
      </w:r>
      <w:r w:rsidR="001D1521" w:rsidRPr="00832D3A">
        <w:rPr>
          <w:rFonts w:cstheme="minorHAnsi"/>
          <w:b/>
          <w:bCs/>
        </w:rPr>
        <w:t>the time period</w:t>
      </w:r>
      <w:r w:rsidRPr="00832D3A">
        <w:rPr>
          <w:rFonts w:cstheme="minorHAnsi"/>
          <w:b/>
          <w:bCs/>
        </w:rPr>
        <w:t xml:space="preserve"> for the transfer data</w:t>
      </w:r>
      <w:r w:rsidR="004D0BF9" w:rsidRPr="00832D3A">
        <w:rPr>
          <w:rFonts w:cstheme="minorHAnsi"/>
          <w:b/>
          <w:bCs/>
        </w:rPr>
        <w:t>.</w:t>
      </w:r>
      <w:r w:rsidR="00477536" w:rsidRPr="00832D3A">
        <w:rPr>
          <w:rFonts w:cstheme="minorHAnsi"/>
          <w:b/>
          <w:bCs/>
        </w:rPr>
        <w:t xml:space="preserve"> </w:t>
      </w:r>
    </w:p>
    <w:p w14:paraId="5A80DA50" w14:textId="77777777" w:rsidR="00D8570A" w:rsidRPr="00832D3A" w:rsidRDefault="00D8570A" w:rsidP="00D8570A">
      <w:pPr>
        <w:pStyle w:val="ListParagraph"/>
        <w:spacing w:line="240" w:lineRule="auto"/>
        <w:ind w:left="1440"/>
        <w:rPr>
          <w:rFonts w:cstheme="minorHAnsi"/>
        </w:rPr>
      </w:pPr>
    </w:p>
    <w:p w14:paraId="6FA5D5FF" w14:textId="39DBD5AB" w:rsidR="00CC71D1" w:rsidRPr="00832D3A" w:rsidRDefault="00477536" w:rsidP="00D8570A">
      <w:pPr>
        <w:pStyle w:val="ListParagraph"/>
        <w:numPr>
          <w:ilvl w:val="2"/>
          <w:numId w:val="39"/>
        </w:numPr>
        <w:spacing w:line="240" w:lineRule="auto"/>
        <w:rPr>
          <w:rFonts w:cstheme="minorHAnsi"/>
          <w:bCs/>
        </w:rPr>
      </w:pPr>
      <w:r w:rsidRPr="00832D3A">
        <w:rPr>
          <w:rFonts w:cstheme="minorHAnsi"/>
          <w:bCs/>
        </w:rPr>
        <w:t xml:space="preserve">190 </w:t>
      </w:r>
      <w:r w:rsidR="00D8570A" w:rsidRPr="00832D3A">
        <w:rPr>
          <w:rFonts w:cstheme="minorHAnsi"/>
          <w:bCs/>
        </w:rPr>
        <w:t xml:space="preserve">patients </w:t>
      </w:r>
      <w:r w:rsidR="00734315" w:rsidRPr="00832D3A">
        <w:rPr>
          <w:rFonts w:cstheme="minorHAnsi"/>
          <w:bCs/>
        </w:rPr>
        <w:t xml:space="preserve">were </w:t>
      </w:r>
      <w:r w:rsidRPr="00832D3A">
        <w:rPr>
          <w:rFonts w:cstheme="minorHAnsi"/>
          <w:bCs/>
        </w:rPr>
        <w:t xml:space="preserve">transferred </w:t>
      </w:r>
      <w:r w:rsidR="00A62330" w:rsidRPr="00832D3A">
        <w:rPr>
          <w:rFonts w:cstheme="minorHAnsi"/>
          <w:bCs/>
        </w:rPr>
        <w:t xml:space="preserve">in </w:t>
      </w:r>
      <w:r w:rsidRPr="00832D3A">
        <w:rPr>
          <w:rFonts w:cstheme="minorHAnsi"/>
          <w:bCs/>
        </w:rPr>
        <w:t>calendar year 2020</w:t>
      </w:r>
      <w:r w:rsidR="00F64C74" w:rsidRPr="00832D3A">
        <w:rPr>
          <w:rFonts w:cstheme="minorHAnsi"/>
          <w:bCs/>
        </w:rPr>
        <w:t xml:space="preserve">.  In calendar year 2019, </w:t>
      </w:r>
      <w:r w:rsidR="00734315" w:rsidRPr="00832D3A">
        <w:rPr>
          <w:rFonts w:cstheme="minorHAnsi"/>
          <w:bCs/>
        </w:rPr>
        <w:t xml:space="preserve">South Shore Hospital transferred </w:t>
      </w:r>
      <w:r w:rsidR="00F64C74" w:rsidRPr="00832D3A">
        <w:rPr>
          <w:rFonts w:cstheme="minorHAnsi"/>
          <w:bCs/>
        </w:rPr>
        <w:t xml:space="preserve">244 </w:t>
      </w:r>
      <w:r w:rsidR="00734315" w:rsidRPr="00832D3A">
        <w:rPr>
          <w:rFonts w:cstheme="minorHAnsi"/>
          <w:bCs/>
        </w:rPr>
        <w:t>patients to an outpatient MRI facility</w:t>
      </w:r>
      <w:r w:rsidR="00F64C74" w:rsidRPr="00832D3A">
        <w:rPr>
          <w:rFonts w:cstheme="minorHAnsi"/>
          <w:bCs/>
        </w:rPr>
        <w:t xml:space="preserve">.  Although </w:t>
      </w:r>
      <w:r w:rsidR="00101CDC" w:rsidRPr="00832D3A">
        <w:rPr>
          <w:rFonts w:cstheme="minorHAnsi"/>
          <w:bCs/>
        </w:rPr>
        <w:t xml:space="preserve">2020 was a pandemic year, inpatient volume </w:t>
      </w:r>
      <w:r w:rsidR="00734315" w:rsidRPr="00832D3A">
        <w:rPr>
          <w:rFonts w:cstheme="minorHAnsi"/>
          <w:bCs/>
        </w:rPr>
        <w:t>at</w:t>
      </w:r>
      <w:r w:rsidR="00101CDC" w:rsidRPr="00832D3A">
        <w:rPr>
          <w:rFonts w:cstheme="minorHAnsi"/>
          <w:bCs/>
        </w:rPr>
        <w:t xml:space="preserve"> the </w:t>
      </w:r>
      <w:r w:rsidR="00734315" w:rsidRPr="00832D3A">
        <w:rPr>
          <w:rFonts w:cstheme="minorHAnsi"/>
          <w:bCs/>
        </w:rPr>
        <w:t>H</w:t>
      </w:r>
      <w:r w:rsidR="00101CDC" w:rsidRPr="00832D3A">
        <w:rPr>
          <w:rFonts w:cstheme="minorHAnsi"/>
          <w:bCs/>
        </w:rPr>
        <w:t xml:space="preserve">ospital remained </w:t>
      </w:r>
      <w:r w:rsidR="00734315" w:rsidRPr="00832D3A">
        <w:rPr>
          <w:rFonts w:cstheme="minorHAnsi"/>
          <w:bCs/>
        </w:rPr>
        <w:t>roughly the same. Additionally,</w:t>
      </w:r>
      <w:r w:rsidR="00101CDC" w:rsidRPr="00832D3A">
        <w:rPr>
          <w:rFonts w:cstheme="minorHAnsi"/>
          <w:bCs/>
        </w:rPr>
        <w:t xml:space="preserve"> overall transfer volume did not change</w:t>
      </w:r>
      <w:r w:rsidRPr="00832D3A">
        <w:rPr>
          <w:rFonts w:cstheme="minorHAnsi"/>
          <w:bCs/>
        </w:rPr>
        <w:t xml:space="preserve">. </w:t>
      </w:r>
    </w:p>
    <w:p w14:paraId="05225546" w14:textId="77777777" w:rsidR="00D8570A" w:rsidRPr="00832D3A" w:rsidRDefault="00D8570A" w:rsidP="00D8570A">
      <w:pPr>
        <w:pStyle w:val="ListParagraph"/>
        <w:spacing w:line="240" w:lineRule="auto"/>
        <w:ind w:left="2160"/>
        <w:rPr>
          <w:rFonts w:cstheme="minorHAnsi"/>
          <w:b/>
        </w:rPr>
      </w:pPr>
    </w:p>
    <w:p w14:paraId="2BCC96A0" w14:textId="3411DD39" w:rsidR="00D8570A" w:rsidRPr="00210FAD" w:rsidRDefault="00E95536" w:rsidP="00DF584A">
      <w:pPr>
        <w:pStyle w:val="ListParagraph"/>
        <w:numPr>
          <w:ilvl w:val="1"/>
          <w:numId w:val="5"/>
        </w:numPr>
        <w:spacing w:line="240" w:lineRule="auto"/>
        <w:rPr>
          <w:rFonts w:cstheme="minorHAnsi"/>
          <w:b/>
          <w:bCs/>
        </w:rPr>
      </w:pPr>
      <w:r w:rsidRPr="00210FAD">
        <w:rPr>
          <w:rFonts w:cstheme="minorHAnsi"/>
          <w:b/>
          <w:bCs/>
        </w:rPr>
        <w:t>Provide transfer data by the reason for transfer</w:t>
      </w:r>
      <w:r w:rsidR="00127181" w:rsidRPr="00210FAD">
        <w:rPr>
          <w:rFonts w:cstheme="minorHAnsi"/>
          <w:b/>
          <w:bCs/>
        </w:rPr>
        <w:t>.</w:t>
      </w:r>
      <w:r w:rsidR="00477536" w:rsidRPr="00210FAD">
        <w:rPr>
          <w:rFonts w:cstheme="minorHAnsi"/>
          <w:b/>
          <w:bCs/>
        </w:rPr>
        <w:t xml:space="preserve"> </w:t>
      </w:r>
    </w:p>
    <w:p w14:paraId="2C6091C0" w14:textId="77777777" w:rsidR="00D8570A" w:rsidRPr="00832D3A" w:rsidRDefault="00D8570A" w:rsidP="00D8570A">
      <w:pPr>
        <w:pStyle w:val="ListParagraph"/>
        <w:spacing w:line="240" w:lineRule="auto"/>
        <w:ind w:left="1440"/>
        <w:rPr>
          <w:rFonts w:cstheme="minorHAnsi"/>
        </w:rPr>
      </w:pPr>
    </w:p>
    <w:p w14:paraId="23D622B3" w14:textId="6AB36EC8" w:rsidR="004D0BF9" w:rsidRPr="00210FAD" w:rsidRDefault="00734315" w:rsidP="00D8570A">
      <w:pPr>
        <w:pStyle w:val="ListParagraph"/>
        <w:numPr>
          <w:ilvl w:val="2"/>
          <w:numId w:val="40"/>
        </w:numPr>
        <w:spacing w:line="240" w:lineRule="auto"/>
        <w:rPr>
          <w:rFonts w:cstheme="minorHAnsi"/>
          <w:bCs/>
        </w:rPr>
      </w:pPr>
      <w:r w:rsidRPr="00832D3A">
        <w:rPr>
          <w:rFonts w:cstheme="minorHAnsi"/>
          <w:bCs/>
        </w:rPr>
        <w:t xml:space="preserve">The reason for each patient’s transfer is not tracked in their medical record. </w:t>
      </w:r>
      <w:r w:rsidR="00D8570A" w:rsidRPr="00210FAD">
        <w:rPr>
          <w:rFonts w:cstheme="minorHAnsi"/>
          <w:bCs/>
        </w:rPr>
        <w:t xml:space="preserve">The most common reasons </w:t>
      </w:r>
      <w:r w:rsidR="007F5B13" w:rsidRPr="00210FAD">
        <w:rPr>
          <w:rFonts w:cstheme="minorHAnsi"/>
          <w:bCs/>
        </w:rPr>
        <w:t xml:space="preserve">for </w:t>
      </w:r>
      <w:r w:rsidR="00D8570A" w:rsidRPr="00210FAD">
        <w:rPr>
          <w:rFonts w:cstheme="minorHAnsi"/>
          <w:bCs/>
        </w:rPr>
        <w:t xml:space="preserve">patient </w:t>
      </w:r>
      <w:r w:rsidR="007F5B13" w:rsidRPr="00210FAD">
        <w:rPr>
          <w:rFonts w:cstheme="minorHAnsi"/>
          <w:bCs/>
        </w:rPr>
        <w:t>transfer</w:t>
      </w:r>
      <w:r w:rsidR="00D8570A" w:rsidRPr="00210FAD">
        <w:rPr>
          <w:rFonts w:cstheme="minorHAnsi"/>
          <w:bCs/>
        </w:rPr>
        <w:t>s</w:t>
      </w:r>
      <w:r w:rsidR="007F5B13" w:rsidRPr="00210FAD">
        <w:rPr>
          <w:rFonts w:cstheme="minorHAnsi"/>
          <w:bCs/>
        </w:rPr>
        <w:t xml:space="preserve"> are as follows: </w:t>
      </w:r>
      <w:r w:rsidRPr="00832D3A">
        <w:rPr>
          <w:rFonts w:cstheme="minorHAnsi"/>
          <w:bCs/>
        </w:rPr>
        <w:t>(1) P</w:t>
      </w:r>
      <w:r w:rsidR="007F5B13" w:rsidRPr="00210FAD">
        <w:rPr>
          <w:rFonts w:cstheme="minorHAnsi"/>
          <w:bCs/>
        </w:rPr>
        <w:t>atient over table limit at SSH</w:t>
      </w:r>
      <w:r w:rsidRPr="00832D3A">
        <w:rPr>
          <w:rFonts w:cstheme="minorHAnsi"/>
          <w:bCs/>
        </w:rPr>
        <w:t>; (2)P</w:t>
      </w:r>
      <w:r w:rsidR="007F5B13" w:rsidRPr="00210FAD">
        <w:rPr>
          <w:rFonts w:cstheme="minorHAnsi"/>
          <w:bCs/>
        </w:rPr>
        <w:t>atient do</w:t>
      </w:r>
      <w:r w:rsidRPr="00832D3A">
        <w:rPr>
          <w:rFonts w:cstheme="minorHAnsi"/>
          <w:bCs/>
        </w:rPr>
        <w:t>es</w:t>
      </w:r>
      <w:r w:rsidR="007F5B13" w:rsidRPr="00210FAD">
        <w:rPr>
          <w:rFonts w:cstheme="minorHAnsi"/>
          <w:bCs/>
        </w:rPr>
        <w:t xml:space="preserve"> not physically fit inside the MRI scanner at SSH due to body hab</w:t>
      </w:r>
      <w:r w:rsidR="00A62330" w:rsidRPr="00210FAD">
        <w:rPr>
          <w:rFonts w:cstheme="minorHAnsi"/>
          <w:bCs/>
        </w:rPr>
        <w:t>i</w:t>
      </w:r>
      <w:r w:rsidR="007F5B13" w:rsidRPr="00210FAD">
        <w:rPr>
          <w:rFonts w:cstheme="minorHAnsi"/>
          <w:bCs/>
        </w:rPr>
        <w:t>tus</w:t>
      </w:r>
      <w:r w:rsidRPr="00832D3A">
        <w:rPr>
          <w:rFonts w:cstheme="minorHAnsi"/>
          <w:bCs/>
        </w:rPr>
        <w:t>;</w:t>
      </w:r>
      <w:r w:rsidR="007F5B13" w:rsidRPr="00210FAD">
        <w:rPr>
          <w:rFonts w:cstheme="minorHAnsi"/>
          <w:bCs/>
        </w:rPr>
        <w:t xml:space="preserve"> </w:t>
      </w:r>
      <w:r w:rsidR="00D8570A" w:rsidRPr="00210FAD">
        <w:rPr>
          <w:rFonts w:cstheme="minorHAnsi"/>
          <w:bCs/>
        </w:rPr>
        <w:t xml:space="preserve">and </w:t>
      </w:r>
      <w:r w:rsidRPr="00832D3A">
        <w:rPr>
          <w:rFonts w:cstheme="minorHAnsi"/>
          <w:bCs/>
        </w:rPr>
        <w:t>(3) P</w:t>
      </w:r>
      <w:r w:rsidRPr="00210FAD">
        <w:rPr>
          <w:rFonts w:cstheme="minorHAnsi"/>
          <w:bCs/>
        </w:rPr>
        <w:t>atient</w:t>
      </w:r>
      <w:r w:rsidRPr="00832D3A">
        <w:rPr>
          <w:rFonts w:cstheme="minorHAnsi"/>
          <w:bCs/>
        </w:rPr>
        <w:t xml:space="preserve"> </w:t>
      </w:r>
      <w:r w:rsidR="007F5B13" w:rsidRPr="00210FAD">
        <w:rPr>
          <w:rFonts w:cstheme="minorHAnsi"/>
          <w:bCs/>
        </w:rPr>
        <w:t>ha</w:t>
      </w:r>
      <w:r w:rsidRPr="00832D3A">
        <w:rPr>
          <w:rFonts w:cstheme="minorHAnsi"/>
          <w:bCs/>
        </w:rPr>
        <w:t>s</w:t>
      </w:r>
      <w:r w:rsidR="007F5B13" w:rsidRPr="00210FAD">
        <w:rPr>
          <w:rFonts w:cstheme="minorHAnsi"/>
          <w:bCs/>
        </w:rPr>
        <w:t xml:space="preserve"> sever</w:t>
      </w:r>
      <w:r w:rsidR="00A62330" w:rsidRPr="00210FAD">
        <w:rPr>
          <w:rFonts w:cstheme="minorHAnsi"/>
          <w:bCs/>
        </w:rPr>
        <w:t>e</w:t>
      </w:r>
      <w:r w:rsidR="007F5B13" w:rsidRPr="00210FAD">
        <w:rPr>
          <w:rFonts w:cstheme="minorHAnsi"/>
          <w:bCs/>
        </w:rPr>
        <w:t xml:space="preserve"> claustrophobia </w:t>
      </w:r>
      <w:r w:rsidR="00D8570A" w:rsidRPr="00210FAD">
        <w:rPr>
          <w:rFonts w:cstheme="minorHAnsi"/>
          <w:bCs/>
        </w:rPr>
        <w:t>(</w:t>
      </w:r>
      <w:r w:rsidR="007F5B13" w:rsidRPr="00210FAD">
        <w:rPr>
          <w:rFonts w:cstheme="minorHAnsi"/>
          <w:bCs/>
        </w:rPr>
        <w:t>the scanner at Cancer Center is shorter in length and wider providing the sense or a more open space</w:t>
      </w:r>
      <w:r w:rsidR="00D8570A" w:rsidRPr="00210FAD">
        <w:rPr>
          <w:rFonts w:cstheme="minorHAnsi"/>
          <w:bCs/>
        </w:rPr>
        <w:t>)</w:t>
      </w:r>
      <w:r w:rsidR="007F5B13" w:rsidRPr="00210FAD">
        <w:rPr>
          <w:rFonts w:cstheme="minorHAnsi"/>
          <w:bCs/>
        </w:rPr>
        <w:t xml:space="preserve">. </w:t>
      </w:r>
    </w:p>
    <w:p w14:paraId="7ACA5AF5" w14:textId="77777777" w:rsidR="00D8570A" w:rsidRPr="00832D3A" w:rsidRDefault="00D8570A" w:rsidP="00D8570A">
      <w:pPr>
        <w:pStyle w:val="ListParagraph"/>
        <w:spacing w:line="240" w:lineRule="auto"/>
        <w:ind w:left="2160"/>
        <w:rPr>
          <w:rFonts w:cstheme="minorHAnsi"/>
          <w:b/>
          <w:color w:val="0070C0"/>
        </w:rPr>
      </w:pPr>
    </w:p>
    <w:p w14:paraId="552F446A" w14:textId="77F228D8" w:rsidR="00D8570A" w:rsidRPr="00210FAD" w:rsidRDefault="008F1860" w:rsidP="00DF584A">
      <w:pPr>
        <w:pStyle w:val="ListParagraph"/>
        <w:numPr>
          <w:ilvl w:val="1"/>
          <w:numId w:val="5"/>
        </w:numPr>
        <w:spacing w:line="240" w:lineRule="auto"/>
        <w:rPr>
          <w:rFonts w:cstheme="minorHAnsi"/>
          <w:b/>
          <w:bCs/>
        </w:rPr>
      </w:pPr>
      <w:r w:rsidRPr="00210FAD">
        <w:rPr>
          <w:rFonts w:cstheme="minorHAnsi"/>
          <w:b/>
          <w:bCs/>
        </w:rPr>
        <w:t xml:space="preserve">How much downtime </w:t>
      </w:r>
      <w:r w:rsidR="00192CFC" w:rsidRPr="00210FAD">
        <w:rPr>
          <w:rFonts w:cstheme="minorHAnsi"/>
          <w:b/>
          <w:bCs/>
        </w:rPr>
        <w:t xml:space="preserve">is there </w:t>
      </w:r>
      <w:r w:rsidRPr="00210FAD">
        <w:rPr>
          <w:rFonts w:cstheme="minorHAnsi"/>
          <w:b/>
          <w:bCs/>
        </w:rPr>
        <w:t xml:space="preserve">on the existing </w:t>
      </w:r>
      <w:r w:rsidR="00192CFC" w:rsidRPr="00210FAD">
        <w:rPr>
          <w:rFonts w:cstheme="minorHAnsi"/>
          <w:b/>
          <w:bCs/>
        </w:rPr>
        <w:t xml:space="preserve">MRI </w:t>
      </w:r>
      <w:r w:rsidRPr="00210FAD">
        <w:rPr>
          <w:rFonts w:cstheme="minorHAnsi"/>
          <w:b/>
          <w:bCs/>
        </w:rPr>
        <w:t>unit?</w:t>
      </w:r>
      <w:r w:rsidR="002257E2" w:rsidRPr="00210FAD">
        <w:rPr>
          <w:rFonts w:cstheme="minorHAnsi"/>
          <w:b/>
          <w:bCs/>
        </w:rPr>
        <w:t xml:space="preserve"> Include a description of how it is calculated.</w:t>
      </w:r>
      <w:r w:rsidR="007F5B13" w:rsidRPr="00210FAD">
        <w:rPr>
          <w:rFonts w:cstheme="minorHAnsi"/>
          <w:b/>
          <w:bCs/>
        </w:rPr>
        <w:t xml:space="preserve"> </w:t>
      </w:r>
    </w:p>
    <w:p w14:paraId="2015DE0E" w14:textId="77777777" w:rsidR="00350A43" w:rsidRPr="00832D3A" w:rsidRDefault="00350A43" w:rsidP="00350A43">
      <w:pPr>
        <w:pStyle w:val="ListParagraph"/>
        <w:spacing w:line="240" w:lineRule="auto"/>
        <w:ind w:left="1440"/>
        <w:rPr>
          <w:rFonts w:cstheme="minorHAnsi"/>
        </w:rPr>
      </w:pPr>
    </w:p>
    <w:p w14:paraId="4ABCDDB8" w14:textId="170D44C3" w:rsidR="008F1860" w:rsidRPr="00210FAD" w:rsidRDefault="00D8570A" w:rsidP="00D8570A">
      <w:pPr>
        <w:pStyle w:val="ListParagraph"/>
        <w:numPr>
          <w:ilvl w:val="2"/>
          <w:numId w:val="41"/>
        </w:numPr>
        <w:spacing w:line="240" w:lineRule="auto"/>
        <w:rPr>
          <w:rFonts w:cstheme="minorHAnsi"/>
          <w:bCs/>
        </w:rPr>
      </w:pPr>
      <w:r w:rsidRPr="00210FAD">
        <w:rPr>
          <w:rFonts w:cstheme="minorHAnsi"/>
          <w:bCs/>
        </w:rPr>
        <w:t>There is</w:t>
      </w:r>
      <w:r w:rsidR="007F5B13" w:rsidRPr="00210FAD">
        <w:rPr>
          <w:rFonts w:cstheme="minorHAnsi"/>
          <w:bCs/>
        </w:rPr>
        <w:t xml:space="preserve"> 4% downtime</w:t>
      </w:r>
      <w:r w:rsidRPr="00210FAD">
        <w:rPr>
          <w:rFonts w:cstheme="minorHAnsi"/>
          <w:bCs/>
        </w:rPr>
        <w:t xml:space="preserve"> on the existing MRI Unit</w:t>
      </w:r>
      <w:r w:rsidR="00407D6B" w:rsidRPr="00832D3A">
        <w:rPr>
          <w:rFonts w:cstheme="minorHAnsi"/>
          <w:bCs/>
        </w:rPr>
        <w:t xml:space="preserve"> as </w:t>
      </w:r>
      <w:r w:rsidR="00A62330" w:rsidRPr="00210FAD">
        <w:rPr>
          <w:rFonts w:cstheme="minorHAnsi"/>
          <w:bCs/>
        </w:rPr>
        <w:t xml:space="preserve">validated by GE Service reports. </w:t>
      </w:r>
      <w:r w:rsidR="00407D6B" w:rsidRPr="00832D3A">
        <w:rPr>
          <w:rFonts w:cstheme="minorHAnsi"/>
          <w:bCs/>
        </w:rPr>
        <w:t xml:space="preserve">Additionally, </w:t>
      </w:r>
      <w:r w:rsidRPr="00210FAD">
        <w:rPr>
          <w:rFonts w:cstheme="minorHAnsi"/>
          <w:bCs/>
        </w:rPr>
        <w:t xml:space="preserve">calculations by </w:t>
      </w:r>
      <w:r w:rsidR="00407D6B" w:rsidRPr="00832D3A">
        <w:rPr>
          <w:rFonts w:cstheme="minorHAnsi"/>
          <w:bCs/>
        </w:rPr>
        <w:t xml:space="preserve">the SSH </w:t>
      </w:r>
      <w:r w:rsidRPr="00210FAD">
        <w:rPr>
          <w:rFonts w:cstheme="minorHAnsi"/>
          <w:bCs/>
        </w:rPr>
        <w:t xml:space="preserve">clinical team </w:t>
      </w:r>
      <w:r w:rsidR="00407D6B" w:rsidRPr="00832D3A">
        <w:rPr>
          <w:rFonts w:cstheme="minorHAnsi"/>
          <w:bCs/>
        </w:rPr>
        <w:t>also reflect that out of 5,824 hours a year of operation (</w:t>
      </w:r>
      <w:r w:rsidR="007F5B13" w:rsidRPr="00210FAD">
        <w:rPr>
          <w:rFonts w:cstheme="minorHAnsi"/>
          <w:bCs/>
        </w:rPr>
        <w:t>16 cases a day, 7 days a week, 52 weeks</w:t>
      </w:r>
      <w:r w:rsidR="00407D6B" w:rsidRPr="00832D3A">
        <w:rPr>
          <w:rFonts w:cstheme="minorHAnsi"/>
          <w:bCs/>
        </w:rPr>
        <w:t xml:space="preserve">), there are approximately </w:t>
      </w:r>
      <w:r w:rsidR="007F5B13" w:rsidRPr="00210FAD">
        <w:rPr>
          <w:rFonts w:cstheme="minorHAnsi"/>
          <w:bCs/>
        </w:rPr>
        <w:t>232 hours of downtime a year</w:t>
      </w:r>
      <w:r w:rsidR="00407D6B" w:rsidRPr="00832D3A">
        <w:rPr>
          <w:rFonts w:cstheme="minorHAnsi"/>
          <w:bCs/>
        </w:rPr>
        <w:t>, which is 3.98% of the machine’s operating capacity. Downtime is</w:t>
      </w:r>
      <w:r w:rsidR="007F5B13" w:rsidRPr="00210FAD">
        <w:rPr>
          <w:rFonts w:cstheme="minorHAnsi"/>
          <w:bCs/>
        </w:rPr>
        <w:t xml:space="preserve"> calculated by tallying the number of per annum the scanner is unavailable due to scheduled or unscheduled downtime. </w:t>
      </w:r>
    </w:p>
    <w:p w14:paraId="4CFC54AF" w14:textId="77777777" w:rsidR="00CC71D1" w:rsidRPr="00832D3A" w:rsidRDefault="00CC71D1" w:rsidP="00CC71D1">
      <w:pPr>
        <w:pStyle w:val="ListParagraph"/>
        <w:ind w:left="1440"/>
        <w:rPr>
          <w:rFonts w:cstheme="minorHAnsi"/>
        </w:rPr>
      </w:pPr>
    </w:p>
    <w:p w14:paraId="197AFE79" w14:textId="4E788EA1" w:rsidR="001F667D" w:rsidRPr="00832D3A" w:rsidRDefault="00A84E87" w:rsidP="008F1860">
      <w:pPr>
        <w:pStyle w:val="ListParagraph"/>
        <w:numPr>
          <w:ilvl w:val="0"/>
          <w:numId w:val="5"/>
        </w:numPr>
        <w:rPr>
          <w:rFonts w:cstheme="minorHAnsi"/>
          <w:b/>
          <w:bCs/>
        </w:rPr>
      </w:pPr>
      <w:r w:rsidRPr="00210FAD">
        <w:rPr>
          <w:rFonts w:cstheme="minorHAnsi"/>
          <w:b/>
          <w:bCs/>
        </w:rPr>
        <w:t>The application states that in 2020, approximately 975 patients were referred outside of S</w:t>
      </w:r>
      <w:r w:rsidR="0027783A" w:rsidRPr="00210FAD">
        <w:rPr>
          <w:rFonts w:cstheme="minorHAnsi"/>
          <w:b/>
          <w:bCs/>
        </w:rPr>
        <w:t>outh Shore Health System</w:t>
      </w:r>
      <w:r w:rsidRPr="00210FAD">
        <w:rPr>
          <w:rFonts w:cstheme="minorHAnsi"/>
          <w:b/>
          <w:bCs/>
        </w:rPr>
        <w:t xml:space="preserve"> for MR</w:t>
      </w:r>
      <w:r w:rsidR="00A83C91" w:rsidRPr="00210FAD">
        <w:rPr>
          <w:rFonts w:cstheme="minorHAnsi"/>
          <w:b/>
          <w:bCs/>
        </w:rPr>
        <w:t>I</w:t>
      </w:r>
      <w:r w:rsidRPr="00210FAD">
        <w:rPr>
          <w:rFonts w:cstheme="minorHAnsi"/>
          <w:b/>
          <w:bCs/>
        </w:rPr>
        <w:t xml:space="preserve"> imaging of the prostate (pg.</w:t>
      </w:r>
      <w:r w:rsidR="005A2F6B" w:rsidRPr="00210FAD">
        <w:rPr>
          <w:rFonts w:cstheme="minorHAnsi"/>
          <w:b/>
          <w:bCs/>
        </w:rPr>
        <w:t>8</w:t>
      </w:r>
      <w:r w:rsidRPr="00210FAD">
        <w:rPr>
          <w:rFonts w:cstheme="minorHAnsi"/>
          <w:b/>
          <w:bCs/>
        </w:rPr>
        <w:t xml:space="preserve">). </w:t>
      </w:r>
    </w:p>
    <w:p w14:paraId="020486E4" w14:textId="77777777" w:rsidR="00407D6B" w:rsidRPr="00210FAD" w:rsidRDefault="00407D6B" w:rsidP="00210FAD">
      <w:pPr>
        <w:pStyle w:val="ListParagraph"/>
        <w:rPr>
          <w:rFonts w:cstheme="minorHAnsi"/>
          <w:b/>
          <w:bCs/>
        </w:rPr>
      </w:pPr>
    </w:p>
    <w:p w14:paraId="5EF2351E" w14:textId="6B200EF7" w:rsidR="00D8570A" w:rsidRPr="00AD3E6E" w:rsidRDefault="00BC4163" w:rsidP="00AD3E6E">
      <w:pPr>
        <w:pStyle w:val="ListParagraph"/>
        <w:numPr>
          <w:ilvl w:val="1"/>
          <w:numId w:val="5"/>
        </w:numPr>
        <w:spacing w:line="240" w:lineRule="auto"/>
        <w:rPr>
          <w:rFonts w:cstheme="minorHAnsi"/>
          <w:b/>
          <w:bCs/>
        </w:rPr>
      </w:pPr>
      <w:r w:rsidRPr="00210FAD">
        <w:rPr>
          <w:rFonts w:cstheme="minorHAnsi"/>
          <w:b/>
          <w:bCs/>
        </w:rPr>
        <w:t>Does this number represent</w:t>
      </w:r>
      <w:r w:rsidR="0094528E" w:rsidRPr="00210FAD">
        <w:rPr>
          <w:rFonts w:cstheme="minorHAnsi"/>
          <w:b/>
          <w:bCs/>
        </w:rPr>
        <w:t xml:space="preserve"> the total n</w:t>
      </w:r>
      <w:r w:rsidR="00192CFC" w:rsidRPr="00210FAD">
        <w:rPr>
          <w:rFonts w:cstheme="minorHAnsi"/>
          <w:b/>
          <w:bCs/>
        </w:rPr>
        <w:t>umber of patient referrals outside of S</w:t>
      </w:r>
      <w:r w:rsidR="0027783A" w:rsidRPr="00210FAD">
        <w:rPr>
          <w:rFonts w:cstheme="minorHAnsi"/>
          <w:b/>
          <w:bCs/>
        </w:rPr>
        <w:t>outh Shore Health System</w:t>
      </w:r>
      <w:r w:rsidR="0094528E" w:rsidRPr="00210FAD">
        <w:rPr>
          <w:rFonts w:cstheme="minorHAnsi"/>
          <w:b/>
          <w:bCs/>
        </w:rPr>
        <w:t xml:space="preserve"> for</w:t>
      </w:r>
      <w:r w:rsidR="00A57344" w:rsidRPr="00210FAD">
        <w:rPr>
          <w:rFonts w:cstheme="minorHAnsi"/>
          <w:b/>
          <w:bCs/>
        </w:rPr>
        <w:t xml:space="preserve"> MRI </w:t>
      </w:r>
      <w:r w:rsidR="0094528E" w:rsidRPr="00210FAD">
        <w:rPr>
          <w:rFonts w:cstheme="minorHAnsi"/>
          <w:b/>
          <w:bCs/>
        </w:rPr>
        <w:t>imaging in 2020?</w:t>
      </w:r>
      <w:r w:rsidR="00A57344" w:rsidRPr="00210FAD">
        <w:rPr>
          <w:rFonts w:cstheme="minorHAnsi"/>
          <w:b/>
          <w:bCs/>
        </w:rPr>
        <w:t xml:space="preserve"> If</w:t>
      </w:r>
      <w:r w:rsidRPr="00210FAD">
        <w:rPr>
          <w:rFonts w:cstheme="minorHAnsi"/>
          <w:b/>
          <w:bCs/>
        </w:rPr>
        <w:t xml:space="preserve"> not, provide the total number referred outside of SSHS for MRI imaging in 2020. </w:t>
      </w:r>
      <w:r w:rsidR="007F5B13" w:rsidRPr="00210FAD">
        <w:rPr>
          <w:rFonts w:cstheme="minorHAnsi"/>
          <w:b/>
          <w:bCs/>
        </w:rPr>
        <w:t xml:space="preserve"> </w:t>
      </w:r>
    </w:p>
    <w:p w14:paraId="7289C5F8" w14:textId="2CF566F2" w:rsidR="00D8570A" w:rsidRPr="00AD3E6E" w:rsidRDefault="00E26298" w:rsidP="00AD3E6E">
      <w:pPr>
        <w:pStyle w:val="ListParagraph"/>
        <w:numPr>
          <w:ilvl w:val="2"/>
          <w:numId w:val="42"/>
        </w:numPr>
        <w:spacing w:line="240" w:lineRule="auto"/>
        <w:rPr>
          <w:rFonts w:cstheme="minorHAnsi"/>
          <w:bCs/>
        </w:rPr>
      </w:pPr>
      <w:r w:rsidRPr="00832D3A">
        <w:rPr>
          <w:rFonts w:cstheme="minorHAnsi"/>
          <w:bCs/>
        </w:rPr>
        <w:t xml:space="preserve">No. </w:t>
      </w:r>
      <w:r w:rsidR="00D76DC1" w:rsidRPr="00210FAD">
        <w:rPr>
          <w:rFonts w:cstheme="minorHAnsi"/>
          <w:bCs/>
        </w:rPr>
        <w:t xml:space="preserve">The total number of patients referred outside of SSH </w:t>
      </w:r>
      <w:r w:rsidRPr="00832D3A">
        <w:rPr>
          <w:rFonts w:cstheme="minorHAnsi"/>
          <w:bCs/>
        </w:rPr>
        <w:t>was 1,512</w:t>
      </w:r>
      <w:r w:rsidR="00D76DC1" w:rsidRPr="00210FAD">
        <w:rPr>
          <w:rFonts w:cstheme="minorHAnsi"/>
          <w:bCs/>
        </w:rPr>
        <w:t xml:space="preserve"> for FY 2020. </w:t>
      </w:r>
      <w:r w:rsidRPr="00832D3A">
        <w:rPr>
          <w:rFonts w:cstheme="minorHAnsi"/>
          <w:bCs/>
        </w:rPr>
        <w:t xml:space="preserve">This includes 984 patients transferred for MR imaging of the prostate (approximately 82 patients per month) and </w:t>
      </w:r>
      <w:r w:rsidR="007F5B13" w:rsidRPr="00210FAD">
        <w:rPr>
          <w:rFonts w:cstheme="minorHAnsi"/>
          <w:bCs/>
        </w:rPr>
        <w:t xml:space="preserve">528 </w:t>
      </w:r>
      <w:r w:rsidRPr="00832D3A">
        <w:rPr>
          <w:rFonts w:cstheme="minorHAnsi"/>
          <w:bCs/>
        </w:rPr>
        <w:t xml:space="preserve">patients for all other imaging needs (approximately 44 patients per month. </w:t>
      </w:r>
      <w:r w:rsidRPr="00832D3A">
        <w:rPr>
          <w:rFonts w:cstheme="minorHAnsi"/>
          <w:bCs/>
        </w:rPr>
        <w:tab/>
      </w:r>
    </w:p>
    <w:p w14:paraId="28AFB403" w14:textId="020C66D9" w:rsidR="00D8570A" w:rsidRPr="00210FAD" w:rsidRDefault="00CC71D1" w:rsidP="00DF584A">
      <w:pPr>
        <w:pStyle w:val="ListParagraph"/>
        <w:numPr>
          <w:ilvl w:val="1"/>
          <w:numId w:val="5"/>
        </w:numPr>
        <w:spacing w:line="240" w:lineRule="auto"/>
        <w:rPr>
          <w:rFonts w:cstheme="minorHAnsi"/>
          <w:b/>
          <w:bCs/>
        </w:rPr>
      </w:pPr>
      <w:r w:rsidRPr="00210FAD">
        <w:rPr>
          <w:rFonts w:cstheme="minorHAnsi"/>
          <w:b/>
          <w:bCs/>
        </w:rPr>
        <w:t xml:space="preserve">The application states </w:t>
      </w:r>
      <w:r w:rsidR="001F667D" w:rsidRPr="00210FAD">
        <w:rPr>
          <w:rFonts w:cstheme="minorHAnsi"/>
          <w:b/>
          <w:bCs/>
        </w:rPr>
        <w:t xml:space="preserve">that with </w:t>
      </w:r>
      <w:r w:rsidRPr="00210FAD">
        <w:rPr>
          <w:rFonts w:cstheme="minorHAnsi"/>
          <w:b/>
          <w:bCs/>
        </w:rPr>
        <w:t>the addition of a 3T MRI unit, fewer patients will need to be transferred for MRI or admitted longer, thereby further reducing the Hospital’s costs</w:t>
      </w:r>
      <w:r w:rsidR="00FA5F90" w:rsidRPr="00210FAD">
        <w:rPr>
          <w:rFonts w:cstheme="minorHAnsi"/>
          <w:b/>
          <w:bCs/>
        </w:rPr>
        <w:t xml:space="preserve"> (pg.7)</w:t>
      </w:r>
      <w:r w:rsidRPr="00210FAD">
        <w:rPr>
          <w:rFonts w:cstheme="minorHAnsi"/>
          <w:b/>
          <w:bCs/>
        </w:rPr>
        <w:t>. By how much will the Proposed Project reduce the need to transfer patients for imaging?</w:t>
      </w:r>
      <w:r w:rsidR="00D76DC1" w:rsidRPr="00210FAD">
        <w:rPr>
          <w:rFonts w:cstheme="minorHAnsi"/>
          <w:b/>
          <w:bCs/>
        </w:rPr>
        <w:t xml:space="preserve"> </w:t>
      </w:r>
    </w:p>
    <w:p w14:paraId="30D2427D" w14:textId="77777777" w:rsidR="00D8570A" w:rsidRPr="00832D3A" w:rsidRDefault="00D8570A" w:rsidP="00D8570A">
      <w:pPr>
        <w:pStyle w:val="ListParagraph"/>
        <w:spacing w:line="240" w:lineRule="auto"/>
        <w:ind w:left="1440"/>
        <w:rPr>
          <w:rFonts w:cstheme="minorHAnsi"/>
        </w:rPr>
      </w:pPr>
    </w:p>
    <w:p w14:paraId="1F90320A" w14:textId="2C5EAE6C" w:rsidR="00CC71D1" w:rsidRPr="00AD3E6E" w:rsidRDefault="00D76DC1" w:rsidP="00AD3E6E">
      <w:pPr>
        <w:pStyle w:val="ListParagraph"/>
        <w:numPr>
          <w:ilvl w:val="2"/>
          <w:numId w:val="43"/>
        </w:numPr>
        <w:spacing w:line="240" w:lineRule="auto"/>
        <w:rPr>
          <w:rFonts w:cstheme="minorHAnsi"/>
          <w:bCs/>
        </w:rPr>
      </w:pPr>
      <w:r w:rsidRPr="00210FAD">
        <w:rPr>
          <w:rFonts w:cstheme="minorHAnsi"/>
          <w:bCs/>
        </w:rPr>
        <w:t xml:space="preserve">The </w:t>
      </w:r>
      <w:r w:rsidR="00D8570A" w:rsidRPr="00210FAD">
        <w:rPr>
          <w:rFonts w:cstheme="minorHAnsi"/>
          <w:bCs/>
        </w:rPr>
        <w:t>proposed</w:t>
      </w:r>
      <w:r w:rsidRPr="00210FAD">
        <w:rPr>
          <w:rFonts w:cstheme="minorHAnsi"/>
          <w:bCs/>
        </w:rPr>
        <w:t xml:space="preserve"> project is to greatly reduce or completely eliminate the need to transfer the patients to SSHS outside facilities.  The new scanners located at SSH will be able to accommodate all the reasons for transfers as noted above in Factor 1.1a section 6b.  </w:t>
      </w:r>
    </w:p>
    <w:p w14:paraId="10CA8208" w14:textId="64E27BC6" w:rsidR="00D9049B" w:rsidRPr="00D9049B" w:rsidRDefault="001A458D" w:rsidP="00D9049B">
      <w:pPr>
        <w:pStyle w:val="Heading1"/>
      </w:pPr>
      <w:r w:rsidRPr="00054FF4">
        <w:lastRenderedPageBreak/>
        <w:t xml:space="preserve">APPLICANT </w:t>
      </w:r>
      <w:r>
        <w:t>RESPONSES</w:t>
      </w:r>
    </w:p>
    <w:p w14:paraId="34D7C426" w14:textId="40611285" w:rsidR="002F7B99" w:rsidRPr="00210FAD" w:rsidRDefault="002F7B99" w:rsidP="00561BCC">
      <w:pPr>
        <w:pStyle w:val="ListParagraph"/>
        <w:numPr>
          <w:ilvl w:val="0"/>
          <w:numId w:val="5"/>
        </w:numPr>
        <w:spacing w:after="0" w:line="240" w:lineRule="auto"/>
        <w:rPr>
          <w:rFonts w:cstheme="minorHAnsi"/>
          <w:b/>
        </w:rPr>
      </w:pPr>
      <w:r w:rsidRPr="00210FAD">
        <w:rPr>
          <w:rFonts w:cstheme="minorHAnsi"/>
          <w:b/>
        </w:rPr>
        <w:t>Projected MRI Scans at Main Campus</w:t>
      </w:r>
      <w:r w:rsidR="00F8212F" w:rsidRPr="00210FAD">
        <w:rPr>
          <w:rFonts w:cstheme="minorHAnsi"/>
          <w:b/>
        </w:rPr>
        <w:t xml:space="preserve"> – South Shore Hospital (SSH)</w:t>
      </w:r>
      <w:r w:rsidR="00F956B0" w:rsidRPr="00210FAD">
        <w:rPr>
          <w:rFonts w:cstheme="minorHAnsi"/>
          <w:b/>
        </w:rPr>
        <w:t xml:space="preserve"> (pg.</w:t>
      </w:r>
      <w:r w:rsidR="00064206" w:rsidRPr="00210FAD">
        <w:rPr>
          <w:rFonts w:cstheme="minorHAnsi"/>
          <w:b/>
        </w:rPr>
        <w:t>8</w:t>
      </w:r>
      <w:r w:rsidR="00F956B0" w:rsidRPr="00210FAD">
        <w:rPr>
          <w:rFonts w:cstheme="minorHAnsi"/>
          <w:b/>
        </w:rPr>
        <w:t>)</w:t>
      </w:r>
    </w:p>
    <w:p w14:paraId="29268635" w14:textId="541B9C1B" w:rsidR="00192CFC" w:rsidRPr="00832D3A" w:rsidRDefault="00192CFC" w:rsidP="00561BCC">
      <w:pPr>
        <w:spacing w:after="0" w:line="240" w:lineRule="auto"/>
        <w:rPr>
          <w:rFonts w:cstheme="minorHAnsi"/>
        </w:rPr>
      </w:pPr>
    </w:p>
    <w:p w14:paraId="4240A73A" w14:textId="7206B6E3" w:rsidR="00F06CB1" w:rsidRPr="00210FAD" w:rsidRDefault="00F06CB1" w:rsidP="00210FAD">
      <w:pPr>
        <w:spacing w:after="0" w:line="240" w:lineRule="auto"/>
        <w:ind w:firstLine="360"/>
        <w:rPr>
          <w:rFonts w:cstheme="minorHAnsi"/>
          <w:b/>
          <w:bCs/>
        </w:rPr>
      </w:pPr>
      <w:r w:rsidRPr="00210FAD">
        <w:rPr>
          <w:rFonts w:cstheme="minorHAnsi"/>
          <w:b/>
          <w:bCs/>
        </w:rPr>
        <w:t xml:space="preserve">Table </w:t>
      </w:r>
      <w:r w:rsidR="007F4F1C" w:rsidRPr="00832D3A">
        <w:rPr>
          <w:rFonts w:cstheme="minorHAnsi"/>
          <w:b/>
          <w:bCs/>
        </w:rPr>
        <w:t xml:space="preserve">8: </w:t>
      </w:r>
      <w:r w:rsidR="00C936C7" w:rsidRPr="00832D3A">
        <w:rPr>
          <w:rFonts w:cstheme="minorHAnsi"/>
          <w:b/>
          <w:bCs/>
        </w:rPr>
        <w:t>MRI Projects at SSH Main Campus</w:t>
      </w:r>
    </w:p>
    <w:tbl>
      <w:tblPr>
        <w:tblStyle w:val="TableGrid"/>
        <w:tblW w:w="0" w:type="auto"/>
        <w:jc w:val="center"/>
        <w:tblLook w:val="04A0" w:firstRow="1" w:lastRow="0" w:firstColumn="1" w:lastColumn="0" w:noHBand="0" w:noVBand="1"/>
        <w:tblCaption w:val="Table 8: MRI Projects at SSH Main Campus"/>
        <w:tblDescription w:val="Table 8: MRI Projects at SSH Main Campus"/>
      </w:tblPr>
      <w:tblGrid>
        <w:gridCol w:w="1558"/>
        <w:gridCol w:w="1558"/>
        <w:gridCol w:w="1558"/>
        <w:gridCol w:w="1558"/>
        <w:gridCol w:w="1559"/>
        <w:gridCol w:w="1559"/>
      </w:tblGrid>
      <w:tr w:rsidR="003620FB" w:rsidRPr="00832D3A" w14:paraId="713DEE02" w14:textId="77777777" w:rsidTr="00003D2E">
        <w:trPr>
          <w:tblHeader/>
          <w:jc w:val="center"/>
        </w:trPr>
        <w:tc>
          <w:tcPr>
            <w:tcW w:w="1558" w:type="dxa"/>
          </w:tcPr>
          <w:p w14:paraId="49675B06" w14:textId="77777777" w:rsidR="003620FB" w:rsidRPr="00832D3A" w:rsidRDefault="003620FB" w:rsidP="00561BCC">
            <w:pPr>
              <w:rPr>
                <w:rFonts w:cstheme="minorHAnsi"/>
              </w:rPr>
            </w:pPr>
          </w:p>
        </w:tc>
        <w:tc>
          <w:tcPr>
            <w:tcW w:w="1558" w:type="dxa"/>
            <w:shd w:val="clear" w:color="auto" w:fill="D9D9D9" w:themeFill="background1" w:themeFillShade="D9"/>
          </w:tcPr>
          <w:p w14:paraId="1D1BDB89" w14:textId="486BD1D3" w:rsidR="003620FB" w:rsidRPr="00832D3A" w:rsidRDefault="003620FB" w:rsidP="00771621">
            <w:pPr>
              <w:jc w:val="center"/>
              <w:rPr>
                <w:rFonts w:cstheme="minorHAnsi"/>
                <w:b/>
                <w:bCs/>
              </w:rPr>
            </w:pPr>
            <w:r w:rsidRPr="00832D3A">
              <w:rPr>
                <w:rFonts w:cstheme="minorHAnsi"/>
                <w:b/>
                <w:bCs/>
              </w:rPr>
              <w:t>Year 1</w:t>
            </w:r>
          </w:p>
        </w:tc>
        <w:tc>
          <w:tcPr>
            <w:tcW w:w="1558" w:type="dxa"/>
            <w:shd w:val="clear" w:color="auto" w:fill="D9D9D9" w:themeFill="background1" w:themeFillShade="D9"/>
          </w:tcPr>
          <w:p w14:paraId="50C1CEE4" w14:textId="0B572C7E" w:rsidR="003620FB" w:rsidRPr="00832D3A" w:rsidRDefault="003620FB" w:rsidP="00771621">
            <w:pPr>
              <w:jc w:val="center"/>
              <w:rPr>
                <w:rFonts w:cstheme="minorHAnsi"/>
                <w:b/>
                <w:bCs/>
              </w:rPr>
            </w:pPr>
            <w:r w:rsidRPr="00832D3A">
              <w:rPr>
                <w:rFonts w:cstheme="minorHAnsi"/>
                <w:b/>
                <w:bCs/>
              </w:rPr>
              <w:t>Year 2</w:t>
            </w:r>
          </w:p>
        </w:tc>
        <w:tc>
          <w:tcPr>
            <w:tcW w:w="1558" w:type="dxa"/>
            <w:shd w:val="clear" w:color="auto" w:fill="D9D9D9" w:themeFill="background1" w:themeFillShade="D9"/>
          </w:tcPr>
          <w:p w14:paraId="362ADC8B" w14:textId="52CBAD49" w:rsidR="003620FB" w:rsidRPr="00832D3A" w:rsidRDefault="003620FB" w:rsidP="00771621">
            <w:pPr>
              <w:jc w:val="center"/>
              <w:rPr>
                <w:rFonts w:cstheme="minorHAnsi"/>
                <w:b/>
                <w:bCs/>
              </w:rPr>
            </w:pPr>
            <w:r w:rsidRPr="00832D3A">
              <w:rPr>
                <w:rFonts w:cstheme="minorHAnsi"/>
                <w:b/>
                <w:bCs/>
              </w:rPr>
              <w:t>Year 3</w:t>
            </w:r>
          </w:p>
        </w:tc>
        <w:tc>
          <w:tcPr>
            <w:tcW w:w="1559" w:type="dxa"/>
            <w:shd w:val="clear" w:color="auto" w:fill="D9D9D9" w:themeFill="background1" w:themeFillShade="D9"/>
          </w:tcPr>
          <w:p w14:paraId="255B8090" w14:textId="6132435B" w:rsidR="003620FB" w:rsidRPr="00832D3A" w:rsidRDefault="003620FB" w:rsidP="00771621">
            <w:pPr>
              <w:jc w:val="center"/>
              <w:rPr>
                <w:rFonts w:cstheme="minorHAnsi"/>
                <w:b/>
                <w:bCs/>
              </w:rPr>
            </w:pPr>
            <w:r w:rsidRPr="00832D3A">
              <w:rPr>
                <w:rFonts w:cstheme="minorHAnsi"/>
                <w:b/>
                <w:bCs/>
              </w:rPr>
              <w:t>Year 4</w:t>
            </w:r>
          </w:p>
        </w:tc>
        <w:tc>
          <w:tcPr>
            <w:tcW w:w="1559" w:type="dxa"/>
            <w:shd w:val="clear" w:color="auto" w:fill="D9D9D9" w:themeFill="background1" w:themeFillShade="D9"/>
          </w:tcPr>
          <w:p w14:paraId="425FD367" w14:textId="7F47E7F8" w:rsidR="003620FB" w:rsidRPr="00832D3A" w:rsidRDefault="003620FB" w:rsidP="00771621">
            <w:pPr>
              <w:jc w:val="center"/>
              <w:rPr>
                <w:rFonts w:cstheme="minorHAnsi"/>
                <w:b/>
                <w:bCs/>
              </w:rPr>
            </w:pPr>
            <w:r w:rsidRPr="00832D3A">
              <w:rPr>
                <w:rFonts w:cstheme="minorHAnsi"/>
                <w:b/>
                <w:bCs/>
              </w:rPr>
              <w:t>Year 5</w:t>
            </w:r>
          </w:p>
        </w:tc>
      </w:tr>
      <w:tr w:rsidR="003620FB" w:rsidRPr="00832D3A" w14:paraId="2EF3D47F" w14:textId="77777777" w:rsidTr="00210FAD">
        <w:trPr>
          <w:jc w:val="center"/>
        </w:trPr>
        <w:tc>
          <w:tcPr>
            <w:tcW w:w="1558" w:type="dxa"/>
          </w:tcPr>
          <w:p w14:paraId="6FE0A987" w14:textId="12C2039B" w:rsidR="003620FB" w:rsidRPr="00832D3A" w:rsidRDefault="003620FB" w:rsidP="00561BCC">
            <w:pPr>
              <w:rPr>
                <w:rFonts w:cstheme="minorHAnsi"/>
                <w:b/>
                <w:bCs/>
              </w:rPr>
            </w:pPr>
            <w:r w:rsidRPr="00832D3A">
              <w:rPr>
                <w:rFonts w:cstheme="minorHAnsi"/>
                <w:b/>
                <w:bCs/>
              </w:rPr>
              <w:t>SSH 3T MRI</w:t>
            </w:r>
          </w:p>
        </w:tc>
        <w:tc>
          <w:tcPr>
            <w:tcW w:w="1558" w:type="dxa"/>
          </w:tcPr>
          <w:p w14:paraId="18D481FA" w14:textId="688C4C36" w:rsidR="003620FB" w:rsidRPr="00832D3A" w:rsidRDefault="002F7B99" w:rsidP="00771621">
            <w:pPr>
              <w:jc w:val="center"/>
              <w:rPr>
                <w:rFonts w:cstheme="minorHAnsi"/>
              </w:rPr>
            </w:pPr>
            <w:r w:rsidRPr="00832D3A">
              <w:rPr>
                <w:rFonts w:cstheme="minorHAnsi"/>
              </w:rPr>
              <w:t>6,720</w:t>
            </w:r>
          </w:p>
        </w:tc>
        <w:tc>
          <w:tcPr>
            <w:tcW w:w="1558" w:type="dxa"/>
          </w:tcPr>
          <w:p w14:paraId="2B8B16E2" w14:textId="7138B99F" w:rsidR="003620FB" w:rsidRPr="00832D3A" w:rsidRDefault="002F7B99" w:rsidP="00771621">
            <w:pPr>
              <w:jc w:val="center"/>
              <w:rPr>
                <w:rFonts w:cstheme="minorHAnsi"/>
              </w:rPr>
            </w:pPr>
            <w:r w:rsidRPr="00832D3A">
              <w:rPr>
                <w:rFonts w:cstheme="minorHAnsi"/>
              </w:rPr>
              <w:t>6,854</w:t>
            </w:r>
          </w:p>
        </w:tc>
        <w:tc>
          <w:tcPr>
            <w:tcW w:w="1558" w:type="dxa"/>
          </w:tcPr>
          <w:p w14:paraId="11F9A562" w14:textId="2C81481B" w:rsidR="003620FB" w:rsidRPr="00832D3A" w:rsidRDefault="002F7B99" w:rsidP="00771621">
            <w:pPr>
              <w:jc w:val="center"/>
              <w:rPr>
                <w:rFonts w:cstheme="minorHAnsi"/>
              </w:rPr>
            </w:pPr>
            <w:r w:rsidRPr="00832D3A">
              <w:rPr>
                <w:rFonts w:cstheme="minorHAnsi"/>
              </w:rPr>
              <w:t>6,991</w:t>
            </w:r>
          </w:p>
        </w:tc>
        <w:tc>
          <w:tcPr>
            <w:tcW w:w="1559" w:type="dxa"/>
          </w:tcPr>
          <w:p w14:paraId="314A6CCE" w14:textId="02D0C22F" w:rsidR="003620FB" w:rsidRPr="00832D3A" w:rsidRDefault="002F7B99" w:rsidP="00771621">
            <w:pPr>
              <w:jc w:val="center"/>
              <w:rPr>
                <w:rFonts w:cstheme="minorHAnsi"/>
              </w:rPr>
            </w:pPr>
            <w:r w:rsidRPr="00832D3A">
              <w:rPr>
                <w:rFonts w:cstheme="minorHAnsi"/>
              </w:rPr>
              <w:t>7,131</w:t>
            </w:r>
          </w:p>
        </w:tc>
        <w:tc>
          <w:tcPr>
            <w:tcW w:w="1559" w:type="dxa"/>
          </w:tcPr>
          <w:p w14:paraId="0F3CEA43" w14:textId="403D169B" w:rsidR="003620FB" w:rsidRPr="00832D3A" w:rsidRDefault="002F7B99" w:rsidP="00771621">
            <w:pPr>
              <w:jc w:val="center"/>
              <w:rPr>
                <w:rFonts w:cstheme="minorHAnsi"/>
              </w:rPr>
            </w:pPr>
            <w:r w:rsidRPr="00832D3A">
              <w:rPr>
                <w:rFonts w:cstheme="minorHAnsi"/>
              </w:rPr>
              <w:t>7,273</w:t>
            </w:r>
          </w:p>
        </w:tc>
      </w:tr>
      <w:tr w:rsidR="003620FB" w:rsidRPr="00832D3A" w14:paraId="3A86D754" w14:textId="77777777" w:rsidTr="00210FAD">
        <w:trPr>
          <w:jc w:val="center"/>
        </w:trPr>
        <w:tc>
          <w:tcPr>
            <w:tcW w:w="1558" w:type="dxa"/>
          </w:tcPr>
          <w:p w14:paraId="5B2BE2E7" w14:textId="5AEE0D92" w:rsidR="003620FB" w:rsidRPr="00832D3A" w:rsidRDefault="003620FB" w:rsidP="00561BCC">
            <w:pPr>
              <w:rPr>
                <w:rFonts w:cstheme="minorHAnsi"/>
                <w:b/>
                <w:bCs/>
              </w:rPr>
            </w:pPr>
            <w:r w:rsidRPr="00832D3A">
              <w:rPr>
                <w:rFonts w:cstheme="minorHAnsi"/>
                <w:b/>
                <w:bCs/>
              </w:rPr>
              <w:t>SSH 1.5T MRI</w:t>
            </w:r>
          </w:p>
        </w:tc>
        <w:tc>
          <w:tcPr>
            <w:tcW w:w="1558" w:type="dxa"/>
          </w:tcPr>
          <w:p w14:paraId="3DAC9ECC" w14:textId="4793BF4F" w:rsidR="003620FB" w:rsidRPr="00832D3A" w:rsidRDefault="002F7B99" w:rsidP="00771621">
            <w:pPr>
              <w:jc w:val="center"/>
              <w:rPr>
                <w:rFonts w:cstheme="minorHAnsi"/>
              </w:rPr>
            </w:pPr>
            <w:r w:rsidRPr="00832D3A">
              <w:rPr>
                <w:rFonts w:cstheme="minorHAnsi"/>
              </w:rPr>
              <w:t>6,295</w:t>
            </w:r>
          </w:p>
        </w:tc>
        <w:tc>
          <w:tcPr>
            <w:tcW w:w="1558" w:type="dxa"/>
          </w:tcPr>
          <w:p w14:paraId="2254BAA6" w14:textId="4332DAD9" w:rsidR="003620FB" w:rsidRPr="00832D3A" w:rsidRDefault="002F7B99" w:rsidP="00771621">
            <w:pPr>
              <w:jc w:val="center"/>
              <w:rPr>
                <w:rFonts w:cstheme="minorHAnsi"/>
              </w:rPr>
            </w:pPr>
            <w:r w:rsidRPr="00832D3A">
              <w:rPr>
                <w:rFonts w:cstheme="minorHAnsi"/>
              </w:rPr>
              <w:t>6,421</w:t>
            </w:r>
          </w:p>
        </w:tc>
        <w:tc>
          <w:tcPr>
            <w:tcW w:w="1558" w:type="dxa"/>
          </w:tcPr>
          <w:p w14:paraId="2789312C" w14:textId="4797FD67" w:rsidR="003620FB" w:rsidRPr="00832D3A" w:rsidRDefault="002F7B99" w:rsidP="00771621">
            <w:pPr>
              <w:jc w:val="center"/>
              <w:rPr>
                <w:rFonts w:cstheme="minorHAnsi"/>
              </w:rPr>
            </w:pPr>
            <w:r w:rsidRPr="00832D3A">
              <w:rPr>
                <w:rFonts w:cstheme="minorHAnsi"/>
              </w:rPr>
              <w:t>6,549</w:t>
            </w:r>
          </w:p>
        </w:tc>
        <w:tc>
          <w:tcPr>
            <w:tcW w:w="1559" w:type="dxa"/>
          </w:tcPr>
          <w:p w14:paraId="553027AB" w14:textId="340FAD5C" w:rsidR="003620FB" w:rsidRPr="00832D3A" w:rsidRDefault="002F7B99" w:rsidP="00771621">
            <w:pPr>
              <w:jc w:val="center"/>
              <w:rPr>
                <w:rFonts w:cstheme="minorHAnsi"/>
              </w:rPr>
            </w:pPr>
            <w:r w:rsidRPr="00832D3A">
              <w:rPr>
                <w:rFonts w:cstheme="minorHAnsi"/>
              </w:rPr>
              <w:t>6,680</w:t>
            </w:r>
          </w:p>
        </w:tc>
        <w:tc>
          <w:tcPr>
            <w:tcW w:w="1559" w:type="dxa"/>
          </w:tcPr>
          <w:p w14:paraId="336EBE49" w14:textId="03D9AB5A" w:rsidR="003620FB" w:rsidRPr="00832D3A" w:rsidRDefault="002F7B99" w:rsidP="00771621">
            <w:pPr>
              <w:jc w:val="center"/>
              <w:rPr>
                <w:rFonts w:cstheme="minorHAnsi"/>
              </w:rPr>
            </w:pPr>
            <w:r w:rsidRPr="00832D3A">
              <w:rPr>
                <w:rFonts w:cstheme="minorHAnsi"/>
              </w:rPr>
              <w:t>6,814</w:t>
            </w:r>
          </w:p>
        </w:tc>
      </w:tr>
      <w:tr w:rsidR="003620FB" w:rsidRPr="00832D3A" w14:paraId="6FFD7ACC" w14:textId="77777777" w:rsidTr="00210FAD">
        <w:trPr>
          <w:jc w:val="center"/>
        </w:trPr>
        <w:tc>
          <w:tcPr>
            <w:tcW w:w="1558" w:type="dxa"/>
          </w:tcPr>
          <w:p w14:paraId="61FF7F11" w14:textId="2AD00300" w:rsidR="003620FB" w:rsidRPr="00832D3A" w:rsidRDefault="003620FB" w:rsidP="00561BCC">
            <w:pPr>
              <w:rPr>
                <w:rFonts w:cstheme="minorHAnsi"/>
                <w:b/>
                <w:bCs/>
              </w:rPr>
            </w:pPr>
            <w:r w:rsidRPr="00832D3A">
              <w:rPr>
                <w:rFonts w:cstheme="minorHAnsi"/>
                <w:b/>
                <w:bCs/>
              </w:rPr>
              <w:t>Total</w:t>
            </w:r>
          </w:p>
        </w:tc>
        <w:tc>
          <w:tcPr>
            <w:tcW w:w="1558" w:type="dxa"/>
          </w:tcPr>
          <w:p w14:paraId="21BA88F1" w14:textId="26B27A2C" w:rsidR="003620FB" w:rsidRPr="00832D3A" w:rsidRDefault="00306307" w:rsidP="00771621">
            <w:pPr>
              <w:jc w:val="center"/>
              <w:rPr>
                <w:rFonts w:cstheme="minorHAnsi"/>
              </w:rPr>
            </w:pPr>
            <w:r w:rsidRPr="00210FAD">
              <w:rPr>
                <w:rFonts w:cstheme="minorHAnsi"/>
              </w:rPr>
              <w:fldChar w:fldCharType="begin"/>
            </w:r>
            <w:r w:rsidRPr="00832D3A">
              <w:rPr>
                <w:rFonts w:cstheme="minorHAnsi"/>
              </w:rPr>
              <w:instrText xml:space="preserve"> =SUM(ABOVE) </w:instrText>
            </w:r>
            <w:r w:rsidRPr="00210FAD">
              <w:rPr>
                <w:rFonts w:cstheme="minorHAnsi"/>
              </w:rPr>
              <w:fldChar w:fldCharType="separate"/>
            </w:r>
            <w:r w:rsidRPr="00832D3A">
              <w:rPr>
                <w:rFonts w:cstheme="minorHAnsi"/>
                <w:noProof/>
              </w:rPr>
              <w:t>13,015</w:t>
            </w:r>
            <w:r w:rsidRPr="00210FAD">
              <w:rPr>
                <w:rFonts w:cstheme="minorHAnsi"/>
              </w:rPr>
              <w:fldChar w:fldCharType="end"/>
            </w:r>
          </w:p>
        </w:tc>
        <w:tc>
          <w:tcPr>
            <w:tcW w:w="1558" w:type="dxa"/>
          </w:tcPr>
          <w:p w14:paraId="0C245042" w14:textId="081B4B34" w:rsidR="003620FB" w:rsidRPr="00832D3A" w:rsidRDefault="00306307" w:rsidP="00771621">
            <w:pPr>
              <w:jc w:val="center"/>
              <w:rPr>
                <w:rFonts w:cstheme="minorHAnsi"/>
              </w:rPr>
            </w:pPr>
            <w:r w:rsidRPr="00210FAD">
              <w:rPr>
                <w:rFonts w:cstheme="minorHAnsi"/>
              </w:rPr>
              <w:fldChar w:fldCharType="begin"/>
            </w:r>
            <w:r w:rsidRPr="00832D3A">
              <w:rPr>
                <w:rFonts w:cstheme="minorHAnsi"/>
              </w:rPr>
              <w:instrText xml:space="preserve"> =SUM(ABOVE) </w:instrText>
            </w:r>
            <w:r w:rsidRPr="00210FAD">
              <w:rPr>
                <w:rFonts w:cstheme="minorHAnsi"/>
              </w:rPr>
              <w:fldChar w:fldCharType="separate"/>
            </w:r>
            <w:r w:rsidRPr="00832D3A">
              <w:rPr>
                <w:rFonts w:cstheme="minorHAnsi"/>
                <w:noProof/>
              </w:rPr>
              <w:t>13,275</w:t>
            </w:r>
            <w:r w:rsidRPr="00210FAD">
              <w:rPr>
                <w:rFonts w:cstheme="minorHAnsi"/>
              </w:rPr>
              <w:fldChar w:fldCharType="end"/>
            </w:r>
          </w:p>
        </w:tc>
        <w:tc>
          <w:tcPr>
            <w:tcW w:w="1558" w:type="dxa"/>
          </w:tcPr>
          <w:p w14:paraId="6827AB1F" w14:textId="1922729D" w:rsidR="003620FB" w:rsidRPr="00832D3A" w:rsidRDefault="00306307" w:rsidP="00771621">
            <w:pPr>
              <w:jc w:val="center"/>
              <w:rPr>
                <w:rFonts w:cstheme="minorHAnsi"/>
              </w:rPr>
            </w:pPr>
            <w:r w:rsidRPr="00210FAD">
              <w:rPr>
                <w:rFonts w:cstheme="minorHAnsi"/>
              </w:rPr>
              <w:fldChar w:fldCharType="begin"/>
            </w:r>
            <w:r w:rsidRPr="00832D3A">
              <w:rPr>
                <w:rFonts w:cstheme="minorHAnsi"/>
              </w:rPr>
              <w:instrText xml:space="preserve"> =SUM(ABOVE) </w:instrText>
            </w:r>
            <w:r w:rsidRPr="00210FAD">
              <w:rPr>
                <w:rFonts w:cstheme="minorHAnsi"/>
              </w:rPr>
              <w:fldChar w:fldCharType="separate"/>
            </w:r>
            <w:r w:rsidRPr="00832D3A">
              <w:rPr>
                <w:rFonts w:cstheme="minorHAnsi"/>
                <w:noProof/>
              </w:rPr>
              <w:t>13,</w:t>
            </w:r>
            <w:r w:rsidR="004A1BB1" w:rsidRPr="00832D3A">
              <w:rPr>
                <w:rFonts w:cstheme="minorHAnsi"/>
                <w:noProof/>
              </w:rPr>
              <w:t>6</w:t>
            </w:r>
            <w:r w:rsidRPr="00832D3A">
              <w:rPr>
                <w:rFonts w:cstheme="minorHAnsi"/>
                <w:noProof/>
              </w:rPr>
              <w:t>40</w:t>
            </w:r>
            <w:r w:rsidRPr="00210FAD">
              <w:rPr>
                <w:rFonts w:cstheme="minorHAnsi"/>
              </w:rPr>
              <w:fldChar w:fldCharType="end"/>
            </w:r>
          </w:p>
        </w:tc>
        <w:tc>
          <w:tcPr>
            <w:tcW w:w="1559" w:type="dxa"/>
          </w:tcPr>
          <w:p w14:paraId="54DCB879" w14:textId="1206364D" w:rsidR="003620FB" w:rsidRPr="00832D3A" w:rsidRDefault="00306307" w:rsidP="00771621">
            <w:pPr>
              <w:jc w:val="center"/>
              <w:rPr>
                <w:rFonts w:cstheme="minorHAnsi"/>
              </w:rPr>
            </w:pPr>
            <w:r w:rsidRPr="00210FAD">
              <w:rPr>
                <w:rFonts w:cstheme="minorHAnsi"/>
              </w:rPr>
              <w:fldChar w:fldCharType="begin"/>
            </w:r>
            <w:r w:rsidRPr="00832D3A">
              <w:rPr>
                <w:rFonts w:cstheme="minorHAnsi"/>
              </w:rPr>
              <w:instrText xml:space="preserve"> =SUM(ABOVE) </w:instrText>
            </w:r>
            <w:r w:rsidRPr="00210FAD">
              <w:rPr>
                <w:rFonts w:cstheme="minorHAnsi"/>
              </w:rPr>
              <w:fldChar w:fldCharType="separate"/>
            </w:r>
            <w:r w:rsidRPr="00832D3A">
              <w:rPr>
                <w:rFonts w:cstheme="minorHAnsi"/>
                <w:noProof/>
              </w:rPr>
              <w:t>13,811</w:t>
            </w:r>
            <w:r w:rsidRPr="00210FAD">
              <w:rPr>
                <w:rFonts w:cstheme="minorHAnsi"/>
              </w:rPr>
              <w:fldChar w:fldCharType="end"/>
            </w:r>
          </w:p>
        </w:tc>
        <w:tc>
          <w:tcPr>
            <w:tcW w:w="1559" w:type="dxa"/>
          </w:tcPr>
          <w:p w14:paraId="329DEF98" w14:textId="594372F7" w:rsidR="003620FB" w:rsidRPr="00832D3A" w:rsidRDefault="00306307" w:rsidP="00771621">
            <w:pPr>
              <w:jc w:val="center"/>
              <w:rPr>
                <w:rFonts w:cstheme="minorHAnsi"/>
              </w:rPr>
            </w:pPr>
            <w:r w:rsidRPr="00210FAD">
              <w:rPr>
                <w:rFonts w:cstheme="minorHAnsi"/>
              </w:rPr>
              <w:fldChar w:fldCharType="begin"/>
            </w:r>
            <w:r w:rsidRPr="00832D3A">
              <w:rPr>
                <w:rFonts w:cstheme="minorHAnsi"/>
              </w:rPr>
              <w:instrText xml:space="preserve"> =SUM(ABOVE) </w:instrText>
            </w:r>
            <w:r w:rsidRPr="00210FAD">
              <w:rPr>
                <w:rFonts w:cstheme="minorHAnsi"/>
              </w:rPr>
              <w:fldChar w:fldCharType="separate"/>
            </w:r>
            <w:r w:rsidRPr="00832D3A">
              <w:rPr>
                <w:rFonts w:cstheme="minorHAnsi"/>
                <w:noProof/>
              </w:rPr>
              <w:t>14,087</w:t>
            </w:r>
            <w:r w:rsidRPr="00210FAD">
              <w:rPr>
                <w:rFonts w:cstheme="minorHAnsi"/>
              </w:rPr>
              <w:fldChar w:fldCharType="end"/>
            </w:r>
          </w:p>
        </w:tc>
      </w:tr>
    </w:tbl>
    <w:p w14:paraId="4015F49A" w14:textId="1F2453A8" w:rsidR="00192CFC" w:rsidRPr="00832D3A" w:rsidRDefault="00192CFC" w:rsidP="00561BCC">
      <w:pPr>
        <w:spacing w:after="0" w:line="240" w:lineRule="auto"/>
        <w:rPr>
          <w:rFonts w:cstheme="minorHAnsi"/>
        </w:rPr>
      </w:pPr>
    </w:p>
    <w:p w14:paraId="07B55EF7" w14:textId="5EE8DC11" w:rsidR="005D4A3B" w:rsidRPr="00210FAD" w:rsidRDefault="00012279" w:rsidP="00C421F9">
      <w:pPr>
        <w:pStyle w:val="ListParagraph"/>
        <w:numPr>
          <w:ilvl w:val="0"/>
          <w:numId w:val="8"/>
        </w:numPr>
        <w:spacing w:after="0" w:line="240" w:lineRule="auto"/>
        <w:ind w:left="1440"/>
        <w:rPr>
          <w:rFonts w:cstheme="minorHAnsi"/>
          <w:b/>
          <w:bCs/>
        </w:rPr>
      </w:pPr>
      <w:r w:rsidRPr="00210FAD">
        <w:rPr>
          <w:rFonts w:cstheme="minorHAnsi"/>
          <w:b/>
          <w:bCs/>
        </w:rPr>
        <w:t>Explain (with data) how you calculated the projected MRI scans at the main campus. What factors were taken into consideration</w:t>
      </w:r>
      <w:r w:rsidR="001F667D" w:rsidRPr="00210FAD">
        <w:rPr>
          <w:rFonts w:cstheme="minorHAnsi"/>
          <w:b/>
          <w:bCs/>
        </w:rPr>
        <w:t>?</w:t>
      </w:r>
      <w:r w:rsidR="00EA5971" w:rsidRPr="00210FAD">
        <w:rPr>
          <w:rFonts w:cstheme="minorHAnsi"/>
          <w:b/>
          <w:bCs/>
        </w:rPr>
        <w:t xml:space="preserve"> </w:t>
      </w:r>
    </w:p>
    <w:p w14:paraId="264F4E58" w14:textId="77777777" w:rsidR="005D4A3B" w:rsidRPr="00832D3A" w:rsidRDefault="005D4A3B" w:rsidP="005D4A3B">
      <w:pPr>
        <w:pStyle w:val="ListParagraph"/>
        <w:spacing w:after="0" w:line="240" w:lineRule="auto"/>
        <w:ind w:left="1440"/>
        <w:rPr>
          <w:rFonts w:cstheme="minorHAnsi"/>
        </w:rPr>
      </w:pPr>
    </w:p>
    <w:p w14:paraId="04D4E5A8" w14:textId="090DE9C8" w:rsidR="005C0DA7" w:rsidRPr="00210FAD" w:rsidRDefault="00D022DD" w:rsidP="00EF7CE9">
      <w:pPr>
        <w:pStyle w:val="BodyText"/>
        <w:numPr>
          <w:ilvl w:val="1"/>
          <w:numId w:val="44"/>
        </w:numPr>
        <w:ind w:left="1800"/>
        <w:rPr>
          <w:rFonts w:asciiTheme="minorHAnsi" w:hAnsiTheme="minorHAnsi" w:cstheme="minorHAnsi"/>
          <w:bCs/>
          <w:sz w:val="22"/>
          <w:szCs w:val="22"/>
        </w:rPr>
      </w:pPr>
      <w:r w:rsidRPr="00210FAD">
        <w:rPr>
          <w:rFonts w:asciiTheme="minorHAnsi" w:hAnsiTheme="minorHAnsi" w:cstheme="minorHAnsi"/>
          <w:bCs/>
          <w:sz w:val="22"/>
          <w:szCs w:val="22"/>
        </w:rPr>
        <w:t>SSH</w:t>
      </w:r>
      <w:r w:rsidR="0055432E" w:rsidRPr="00210FAD">
        <w:rPr>
          <w:rFonts w:asciiTheme="minorHAnsi" w:hAnsiTheme="minorHAnsi" w:cstheme="minorHAnsi"/>
          <w:bCs/>
          <w:sz w:val="22"/>
          <w:szCs w:val="22"/>
        </w:rPr>
        <w:t xml:space="preserve"> used data </w:t>
      </w:r>
      <w:r w:rsidR="005C0DA7" w:rsidRPr="00210FAD">
        <w:rPr>
          <w:rFonts w:asciiTheme="minorHAnsi" w:hAnsiTheme="minorHAnsi" w:cstheme="minorHAnsi"/>
          <w:bCs/>
          <w:sz w:val="22"/>
          <w:szCs w:val="22"/>
        </w:rPr>
        <w:t>from</w:t>
      </w:r>
      <w:r w:rsidR="0055432E" w:rsidRPr="00210FAD">
        <w:rPr>
          <w:rFonts w:asciiTheme="minorHAnsi" w:hAnsiTheme="minorHAnsi" w:cstheme="minorHAnsi"/>
          <w:bCs/>
          <w:sz w:val="22"/>
          <w:szCs w:val="22"/>
        </w:rPr>
        <w:t xml:space="preserve"> its </w:t>
      </w:r>
      <w:r w:rsidRPr="00210FAD">
        <w:rPr>
          <w:rFonts w:asciiTheme="minorHAnsi" w:hAnsiTheme="minorHAnsi" w:cstheme="minorHAnsi"/>
          <w:bCs/>
          <w:sz w:val="22"/>
          <w:szCs w:val="22"/>
        </w:rPr>
        <w:t xml:space="preserve">health information system </w:t>
      </w:r>
      <w:r w:rsidR="0055432E" w:rsidRPr="00210FAD">
        <w:rPr>
          <w:rFonts w:asciiTheme="minorHAnsi" w:hAnsiTheme="minorHAnsi" w:cstheme="minorHAnsi"/>
          <w:bCs/>
          <w:sz w:val="22"/>
          <w:szCs w:val="22"/>
        </w:rPr>
        <w:t xml:space="preserve">to project the MRI volume at the </w:t>
      </w:r>
      <w:r w:rsidRPr="00210FAD">
        <w:rPr>
          <w:rFonts w:asciiTheme="minorHAnsi" w:hAnsiTheme="minorHAnsi" w:cstheme="minorHAnsi"/>
          <w:bCs/>
          <w:sz w:val="22"/>
          <w:szCs w:val="22"/>
        </w:rPr>
        <w:t>Hospital’s M</w:t>
      </w:r>
      <w:r w:rsidR="0055432E" w:rsidRPr="00210FAD">
        <w:rPr>
          <w:rFonts w:asciiTheme="minorHAnsi" w:hAnsiTheme="minorHAnsi" w:cstheme="minorHAnsi"/>
          <w:bCs/>
          <w:sz w:val="22"/>
          <w:szCs w:val="22"/>
        </w:rPr>
        <w:t xml:space="preserve">ain </w:t>
      </w:r>
      <w:r w:rsidRPr="00210FAD">
        <w:rPr>
          <w:rFonts w:asciiTheme="minorHAnsi" w:hAnsiTheme="minorHAnsi" w:cstheme="minorHAnsi"/>
          <w:bCs/>
          <w:sz w:val="22"/>
          <w:szCs w:val="22"/>
        </w:rPr>
        <w:t>C</w:t>
      </w:r>
      <w:r w:rsidR="0055432E" w:rsidRPr="00210FAD">
        <w:rPr>
          <w:rFonts w:asciiTheme="minorHAnsi" w:hAnsiTheme="minorHAnsi" w:cstheme="minorHAnsi"/>
          <w:bCs/>
          <w:sz w:val="22"/>
          <w:szCs w:val="22"/>
        </w:rPr>
        <w:t xml:space="preserve">ampus. </w:t>
      </w:r>
      <w:r w:rsidR="005C0DA7" w:rsidRPr="00210FAD">
        <w:rPr>
          <w:rFonts w:asciiTheme="minorHAnsi" w:hAnsiTheme="minorHAnsi" w:cstheme="minorHAnsi"/>
          <w:bCs/>
          <w:sz w:val="22"/>
          <w:szCs w:val="22"/>
        </w:rPr>
        <w:t xml:space="preserve">First, SSHS looked at scan volume and determined the Main Campus has been operating above capacity for the past four years (Table 9.) Moreover, wait times have increased year-over-year during the same time period (Table 10). In addition to right-sizing operating capacity for the Main Campus MRI, SSHS also anticipates wait times for both admitted and emergency patients will be reduced (Table 11). </w:t>
      </w:r>
    </w:p>
    <w:p w14:paraId="70A768D7" w14:textId="0FCE0FF2" w:rsidR="0055432E" w:rsidRPr="00832D3A" w:rsidRDefault="0055432E" w:rsidP="0055432E">
      <w:pPr>
        <w:pStyle w:val="BodyText"/>
        <w:ind w:left="2520"/>
        <w:rPr>
          <w:rFonts w:asciiTheme="minorHAnsi" w:hAnsiTheme="minorHAnsi" w:cstheme="minorHAnsi"/>
          <w:b/>
          <w:color w:val="0070C0"/>
          <w:sz w:val="22"/>
          <w:szCs w:val="22"/>
        </w:rPr>
      </w:pPr>
    </w:p>
    <w:p w14:paraId="6F467E78" w14:textId="650CC173" w:rsidR="00D022DD" w:rsidRPr="00832D3A" w:rsidRDefault="00F06CB1" w:rsidP="00210FAD">
      <w:pPr>
        <w:pStyle w:val="BodyText"/>
        <w:ind w:left="2520" w:hanging="1350"/>
        <w:rPr>
          <w:rFonts w:asciiTheme="minorHAnsi" w:hAnsiTheme="minorHAnsi" w:cstheme="minorHAnsi"/>
          <w:b/>
          <w:sz w:val="22"/>
          <w:szCs w:val="22"/>
        </w:rPr>
      </w:pPr>
      <w:r w:rsidRPr="00210FAD">
        <w:rPr>
          <w:rFonts w:asciiTheme="minorHAnsi" w:hAnsiTheme="minorHAnsi" w:cstheme="minorHAnsi"/>
          <w:b/>
          <w:sz w:val="22"/>
          <w:szCs w:val="22"/>
        </w:rPr>
        <w:t xml:space="preserve">Table </w:t>
      </w:r>
      <w:r w:rsidR="0033361E" w:rsidRPr="00832D3A">
        <w:rPr>
          <w:rFonts w:asciiTheme="minorHAnsi" w:hAnsiTheme="minorHAnsi" w:cstheme="minorHAnsi"/>
          <w:b/>
          <w:sz w:val="22"/>
          <w:szCs w:val="22"/>
        </w:rPr>
        <w:t>9</w:t>
      </w:r>
      <w:r w:rsidRPr="00210FAD">
        <w:rPr>
          <w:rFonts w:asciiTheme="minorHAnsi" w:hAnsiTheme="minorHAnsi" w:cstheme="minorHAnsi"/>
          <w:b/>
          <w:sz w:val="22"/>
          <w:szCs w:val="22"/>
        </w:rPr>
        <w:t>: MRI Volume at S</w:t>
      </w:r>
      <w:r w:rsidRPr="00832D3A">
        <w:rPr>
          <w:rFonts w:asciiTheme="minorHAnsi" w:hAnsiTheme="minorHAnsi" w:cstheme="minorHAnsi"/>
          <w:b/>
          <w:sz w:val="22"/>
          <w:szCs w:val="22"/>
        </w:rPr>
        <w:t>outh Shore Hospital</w:t>
      </w:r>
      <w:r w:rsidRPr="00210FAD">
        <w:rPr>
          <w:rFonts w:asciiTheme="minorHAnsi" w:hAnsiTheme="minorHAnsi" w:cstheme="minorHAnsi"/>
          <w:b/>
          <w:sz w:val="22"/>
          <w:szCs w:val="22"/>
        </w:rPr>
        <w:t xml:space="preserve"> Main Campus</w:t>
      </w:r>
    </w:p>
    <w:tbl>
      <w:tblPr>
        <w:tblStyle w:val="TableGrid"/>
        <w:tblW w:w="0" w:type="auto"/>
        <w:jc w:val="center"/>
        <w:tblLook w:val="04A0" w:firstRow="1" w:lastRow="0" w:firstColumn="1" w:lastColumn="0" w:noHBand="0" w:noVBand="1"/>
        <w:tblCaption w:val="Table 9: MRI Volume at South Shore Hospital Main Campus"/>
        <w:tblDescription w:val="Table 9: MRI Volume at South Shore Hospital Main Campus"/>
      </w:tblPr>
      <w:tblGrid>
        <w:gridCol w:w="1646"/>
        <w:gridCol w:w="1476"/>
        <w:gridCol w:w="1476"/>
        <w:gridCol w:w="1476"/>
        <w:gridCol w:w="1476"/>
      </w:tblGrid>
      <w:tr w:rsidR="00F06CB1" w:rsidRPr="00832D3A" w14:paraId="4CCC1DF4" w14:textId="77777777" w:rsidTr="00003D2E">
        <w:trPr>
          <w:tblHeader/>
          <w:jc w:val="center"/>
        </w:trPr>
        <w:tc>
          <w:tcPr>
            <w:tcW w:w="1646" w:type="dxa"/>
          </w:tcPr>
          <w:p w14:paraId="30C6A25C" w14:textId="21F0EDD1" w:rsidR="0055432E" w:rsidRPr="00210FAD" w:rsidRDefault="0055432E"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Year</w:t>
            </w:r>
          </w:p>
        </w:tc>
        <w:tc>
          <w:tcPr>
            <w:tcW w:w="1476" w:type="dxa"/>
            <w:shd w:val="clear" w:color="auto" w:fill="D9D9D9" w:themeFill="background1" w:themeFillShade="D9"/>
          </w:tcPr>
          <w:p w14:paraId="4F4F813B" w14:textId="75A0C16A" w:rsidR="0055432E" w:rsidRPr="000516F1" w:rsidRDefault="0055432E" w:rsidP="00210FAD">
            <w:pPr>
              <w:pStyle w:val="BodyText"/>
              <w:ind w:left="0"/>
              <w:jc w:val="center"/>
              <w:rPr>
                <w:rFonts w:asciiTheme="minorHAnsi" w:hAnsiTheme="minorHAnsi" w:cstheme="minorHAnsi"/>
                <w:b/>
                <w:sz w:val="22"/>
                <w:szCs w:val="22"/>
              </w:rPr>
            </w:pPr>
            <w:r w:rsidRPr="000516F1">
              <w:rPr>
                <w:rFonts w:asciiTheme="minorHAnsi" w:hAnsiTheme="minorHAnsi" w:cstheme="minorHAnsi"/>
                <w:b/>
                <w:sz w:val="22"/>
                <w:szCs w:val="22"/>
              </w:rPr>
              <w:t>2017</w:t>
            </w:r>
          </w:p>
        </w:tc>
        <w:tc>
          <w:tcPr>
            <w:tcW w:w="1476" w:type="dxa"/>
            <w:shd w:val="clear" w:color="auto" w:fill="D9D9D9" w:themeFill="background1" w:themeFillShade="D9"/>
          </w:tcPr>
          <w:p w14:paraId="381D9E29" w14:textId="08E2C2BF" w:rsidR="0055432E" w:rsidRPr="000516F1" w:rsidRDefault="0055432E" w:rsidP="00210FAD">
            <w:pPr>
              <w:pStyle w:val="BodyText"/>
              <w:ind w:left="0"/>
              <w:jc w:val="center"/>
              <w:rPr>
                <w:rFonts w:asciiTheme="minorHAnsi" w:hAnsiTheme="minorHAnsi" w:cstheme="minorHAnsi"/>
                <w:b/>
                <w:sz w:val="22"/>
                <w:szCs w:val="22"/>
              </w:rPr>
            </w:pPr>
            <w:r w:rsidRPr="000516F1">
              <w:rPr>
                <w:rFonts w:asciiTheme="minorHAnsi" w:hAnsiTheme="minorHAnsi" w:cstheme="minorHAnsi"/>
                <w:b/>
                <w:sz w:val="22"/>
                <w:szCs w:val="22"/>
              </w:rPr>
              <w:t>2018</w:t>
            </w:r>
          </w:p>
        </w:tc>
        <w:tc>
          <w:tcPr>
            <w:tcW w:w="1476" w:type="dxa"/>
            <w:shd w:val="clear" w:color="auto" w:fill="D9D9D9" w:themeFill="background1" w:themeFillShade="D9"/>
          </w:tcPr>
          <w:p w14:paraId="634949AF" w14:textId="3F8704BC" w:rsidR="0055432E" w:rsidRPr="000516F1" w:rsidRDefault="0055432E" w:rsidP="00210FAD">
            <w:pPr>
              <w:pStyle w:val="BodyText"/>
              <w:ind w:left="0"/>
              <w:jc w:val="center"/>
              <w:rPr>
                <w:rFonts w:asciiTheme="minorHAnsi" w:hAnsiTheme="minorHAnsi" w:cstheme="minorHAnsi"/>
                <w:b/>
                <w:sz w:val="22"/>
                <w:szCs w:val="22"/>
              </w:rPr>
            </w:pPr>
            <w:r w:rsidRPr="000516F1">
              <w:rPr>
                <w:rFonts w:asciiTheme="minorHAnsi" w:hAnsiTheme="minorHAnsi" w:cstheme="minorHAnsi"/>
                <w:b/>
                <w:sz w:val="22"/>
                <w:szCs w:val="22"/>
              </w:rPr>
              <w:t>2019</w:t>
            </w:r>
          </w:p>
        </w:tc>
        <w:tc>
          <w:tcPr>
            <w:tcW w:w="1476" w:type="dxa"/>
            <w:shd w:val="clear" w:color="auto" w:fill="D9D9D9" w:themeFill="background1" w:themeFillShade="D9"/>
          </w:tcPr>
          <w:p w14:paraId="0D9CA0A9" w14:textId="13DE352B" w:rsidR="0055432E" w:rsidRPr="000516F1" w:rsidRDefault="0055432E" w:rsidP="00210FAD">
            <w:pPr>
              <w:pStyle w:val="BodyText"/>
              <w:ind w:left="0"/>
              <w:jc w:val="center"/>
              <w:rPr>
                <w:rFonts w:asciiTheme="minorHAnsi" w:hAnsiTheme="minorHAnsi" w:cstheme="minorHAnsi"/>
                <w:b/>
                <w:sz w:val="22"/>
                <w:szCs w:val="22"/>
              </w:rPr>
            </w:pPr>
            <w:r w:rsidRPr="000516F1">
              <w:rPr>
                <w:rFonts w:asciiTheme="minorHAnsi" w:hAnsiTheme="minorHAnsi" w:cstheme="minorHAnsi"/>
                <w:b/>
                <w:sz w:val="22"/>
                <w:szCs w:val="22"/>
              </w:rPr>
              <w:t>2020</w:t>
            </w:r>
          </w:p>
        </w:tc>
      </w:tr>
      <w:tr w:rsidR="00F06CB1" w:rsidRPr="00832D3A" w14:paraId="28D41B89" w14:textId="77777777" w:rsidTr="00D022DD">
        <w:trPr>
          <w:jc w:val="center"/>
        </w:trPr>
        <w:tc>
          <w:tcPr>
            <w:tcW w:w="1646" w:type="dxa"/>
          </w:tcPr>
          <w:p w14:paraId="4DA5FA13" w14:textId="558ABCFD" w:rsidR="0055432E" w:rsidRPr="00210FAD" w:rsidRDefault="0055432E"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 of Scans</w:t>
            </w:r>
          </w:p>
        </w:tc>
        <w:tc>
          <w:tcPr>
            <w:tcW w:w="1476" w:type="dxa"/>
          </w:tcPr>
          <w:p w14:paraId="73777BF9" w14:textId="4A03ED9D" w:rsidR="0055432E" w:rsidRPr="00210FAD" w:rsidRDefault="0055432E"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7,284</w:t>
            </w:r>
          </w:p>
        </w:tc>
        <w:tc>
          <w:tcPr>
            <w:tcW w:w="1476" w:type="dxa"/>
          </w:tcPr>
          <w:p w14:paraId="49DBEDD3" w14:textId="7723087A" w:rsidR="0055432E" w:rsidRPr="00210FAD" w:rsidRDefault="0055432E"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7,497</w:t>
            </w:r>
          </w:p>
        </w:tc>
        <w:tc>
          <w:tcPr>
            <w:tcW w:w="1476" w:type="dxa"/>
          </w:tcPr>
          <w:p w14:paraId="153FA6EC" w14:textId="0E3CD941" w:rsidR="0055432E" w:rsidRPr="00210FAD" w:rsidRDefault="0055432E"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7,471</w:t>
            </w:r>
          </w:p>
        </w:tc>
        <w:tc>
          <w:tcPr>
            <w:tcW w:w="1476" w:type="dxa"/>
          </w:tcPr>
          <w:p w14:paraId="45F37B75" w14:textId="6BEA3AE5" w:rsidR="0055432E" w:rsidRPr="00210FAD" w:rsidRDefault="0055432E"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6,497</w:t>
            </w:r>
          </w:p>
        </w:tc>
      </w:tr>
    </w:tbl>
    <w:p w14:paraId="26CC3DA0" w14:textId="3CCAE949" w:rsidR="00F06CB1" w:rsidRPr="00210FAD" w:rsidRDefault="00F06CB1" w:rsidP="0055432E">
      <w:pPr>
        <w:pStyle w:val="BodyText"/>
        <w:rPr>
          <w:rFonts w:asciiTheme="minorHAnsi" w:hAnsiTheme="minorHAnsi" w:cstheme="minorHAnsi"/>
          <w:bCs/>
          <w:sz w:val="22"/>
          <w:szCs w:val="22"/>
        </w:rPr>
      </w:pPr>
    </w:p>
    <w:p w14:paraId="4871078B" w14:textId="627E5452" w:rsidR="0055432E" w:rsidRPr="00210FAD" w:rsidRDefault="00F06CB1" w:rsidP="00210FAD">
      <w:pPr>
        <w:pStyle w:val="BodyText"/>
        <w:ind w:firstLine="994"/>
        <w:rPr>
          <w:rFonts w:asciiTheme="minorHAnsi" w:hAnsiTheme="minorHAnsi" w:cstheme="minorHAnsi"/>
          <w:b/>
          <w:sz w:val="22"/>
          <w:szCs w:val="22"/>
        </w:rPr>
      </w:pPr>
      <w:r w:rsidRPr="00210FAD">
        <w:rPr>
          <w:rFonts w:asciiTheme="minorHAnsi" w:hAnsiTheme="minorHAnsi" w:cstheme="minorHAnsi"/>
          <w:b/>
          <w:sz w:val="22"/>
          <w:szCs w:val="22"/>
        </w:rPr>
        <w:t xml:space="preserve">Table </w:t>
      </w:r>
      <w:r w:rsidR="0033361E" w:rsidRPr="00210FAD">
        <w:rPr>
          <w:rFonts w:asciiTheme="minorHAnsi" w:hAnsiTheme="minorHAnsi" w:cstheme="minorHAnsi"/>
          <w:b/>
          <w:sz w:val="22"/>
          <w:szCs w:val="22"/>
        </w:rPr>
        <w:t>10</w:t>
      </w:r>
      <w:r w:rsidR="0055432E" w:rsidRPr="00210FAD">
        <w:rPr>
          <w:rFonts w:asciiTheme="minorHAnsi" w:hAnsiTheme="minorHAnsi" w:cstheme="minorHAnsi"/>
          <w:b/>
          <w:sz w:val="22"/>
          <w:szCs w:val="22"/>
        </w:rPr>
        <w:t xml:space="preserve">: </w:t>
      </w:r>
      <w:r w:rsidRPr="00832D3A">
        <w:rPr>
          <w:rFonts w:asciiTheme="minorHAnsi" w:hAnsiTheme="minorHAnsi" w:cstheme="minorHAnsi"/>
          <w:b/>
          <w:sz w:val="22"/>
          <w:szCs w:val="22"/>
        </w:rPr>
        <w:t>Wait Times for Emergency and Inpatients at South Shore Hospital Main Campus</w:t>
      </w:r>
    </w:p>
    <w:tbl>
      <w:tblPr>
        <w:tblStyle w:val="TableGrid"/>
        <w:tblW w:w="0" w:type="auto"/>
        <w:jc w:val="center"/>
        <w:tblLook w:val="04A0" w:firstRow="1" w:lastRow="0" w:firstColumn="1" w:lastColumn="0" w:noHBand="0" w:noVBand="1"/>
        <w:tblCaption w:val="Table 10: Wait Times for Emergency and Inpatients at South Shore Hospital Main Campus"/>
        <w:tblDescription w:val="Table 10: Wait Times for Emergency and Inpatients at South Shore Hospital Main Campus"/>
      </w:tblPr>
      <w:tblGrid>
        <w:gridCol w:w="1646"/>
        <w:gridCol w:w="1476"/>
        <w:gridCol w:w="1476"/>
        <w:gridCol w:w="1476"/>
        <w:gridCol w:w="1476"/>
      </w:tblGrid>
      <w:tr w:rsidR="00F06CB1" w:rsidRPr="00832D3A" w14:paraId="6BFE608F" w14:textId="77777777" w:rsidTr="00003D2E">
        <w:trPr>
          <w:tblHeader/>
          <w:jc w:val="center"/>
        </w:trPr>
        <w:tc>
          <w:tcPr>
            <w:tcW w:w="1646" w:type="dxa"/>
          </w:tcPr>
          <w:p w14:paraId="07C356F9" w14:textId="2375AE60" w:rsidR="00F06CB1" w:rsidRPr="00832D3A" w:rsidRDefault="00F06CB1" w:rsidP="003E423A">
            <w:pPr>
              <w:pStyle w:val="BodyText"/>
              <w:ind w:left="0"/>
              <w:jc w:val="center"/>
              <w:rPr>
                <w:rFonts w:asciiTheme="minorHAnsi" w:hAnsiTheme="minorHAnsi" w:cstheme="minorHAnsi"/>
                <w:bCs/>
                <w:sz w:val="22"/>
                <w:szCs w:val="22"/>
              </w:rPr>
            </w:pPr>
            <w:r w:rsidRPr="00832D3A">
              <w:rPr>
                <w:rFonts w:asciiTheme="minorHAnsi" w:hAnsiTheme="minorHAnsi" w:cstheme="minorHAnsi"/>
                <w:bCs/>
                <w:sz w:val="22"/>
                <w:szCs w:val="22"/>
              </w:rPr>
              <w:t>Year</w:t>
            </w:r>
          </w:p>
        </w:tc>
        <w:tc>
          <w:tcPr>
            <w:tcW w:w="1476" w:type="dxa"/>
            <w:shd w:val="clear" w:color="auto" w:fill="D9D9D9" w:themeFill="background1" w:themeFillShade="D9"/>
          </w:tcPr>
          <w:p w14:paraId="6BEC3E09" w14:textId="77777777" w:rsidR="00F06CB1" w:rsidRPr="000516F1" w:rsidRDefault="00F06CB1" w:rsidP="003E423A">
            <w:pPr>
              <w:pStyle w:val="BodyText"/>
              <w:ind w:left="0"/>
              <w:jc w:val="center"/>
              <w:rPr>
                <w:rFonts w:asciiTheme="minorHAnsi" w:hAnsiTheme="minorHAnsi" w:cstheme="minorHAnsi"/>
                <w:b/>
                <w:sz w:val="22"/>
                <w:szCs w:val="22"/>
              </w:rPr>
            </w:pPr>
            <w:r w:rsidRPr="000516F1">
              <w:rPr>
                <w:rFonts w:asciiTheme="minorHAnsi" w:hAnsiTheme="minorHAnsi" w:cstheme="minorHAnsi"/>
                <w:b/>
                <w:sz w:val="22"/>
                <w:szCs w:val="22"/>
              </w:rPr>
              <w:t>2017</w:t>
            </w:r>
          </w:p>
        </w:tc>
        <w:tc>
          <w:tcPr>
            <w:tcW w:w="1476" w:type="dxa"/>
            <w:shd w:val="clear" w:color="auto" w:fill="D9D9D9" w:themeFill="background1" w:themeFillShade="D9"/>
          </w:tcPr>
          <w:p w14:paraId="6114C638" w14:textId="77777777" w:rsidR="00F06CB1" w:rsidRPr="000516F1" w:rsidRDefault="00F06CB1" w:rsidP="003E423A">
            <w:pPr>
              <w:pStyle w:val="BodyText"/>
              <w:ind w:left="0"/>
              <w:jc w:val="center"/>
              <w:rPr>
                <w:rFonts w:asciiTheme="minorHAnsi" w:hAnsiTheme="minorHAnsi" w:cstheme="minorHAnsi"/>
                <w:b/>
                <w:sz w:val="22"/>
                <w:szCs w:val="22"/>
              </w:rPr>
            </w:pPr>
            <w:r w:rsidRPr="000516F1">
              <w:rPr>
                <w:rFonts w:asciiTheme="minorHAnsi" w:hAnsiTheme="minorHAnsi" w:cstheme="minorHAnsi"/>
                <w:b/>
                <w:sz w:val="22"/>
                <w:szCs w:val="22"/>
              </w:rPr>
              <w:t>2018</w:t>
            </w:r>
          </w:p>
        </w:tc>
        <w:tc>
          <w:tcPr>
            <w:tcW w:w="1476" w:type="dxa"/>
            <w:shd w:val="clear" w:color="auto" w:fill="D9D9D9" w:themeFill="background1" w:themeFillShade="D9"/>
          </w:tcPr>
          <w:p w14:paraId="7505425C" w14:textId="77777777" w:rsidR="00F06CB1" w:rsidRPr="000516F1" w:rsidRDefault="00F06CB1" w:rsidP="003E423A">
            <w:pPr>
              <w:pStyle w:val="BodyText"/>
              <w:ind w:left="0"/>
              <w:jc w:val="center"/>
              <w:rPr>
                <w:rFonts w:asciiTheme="minorHAnsi" w:hAnsiTheme="minorHAnsi" w:cstheme="minorHAnsi"/>
                <w:b/>
                <w:sz w:val="22"/>
                <w:szCs w:val="22"/>
              </w:rPr>
            </w:pPr>
            <w:r w:rsidRPr="000516F1">
              <w:rPr>
                <w:rFonts w:asciiTheme="minorHAnsi" w:hAnsiTheme="minorHAnsi" w:cstheme="minorHAnsi"/>
                <w:b/>
                <w:sz w:val="22"/>
                <w:szCs w:val="22"/>
              </w:rPr>
              <w:t>2019</w:t>
            </w:r>
          </w:p>
        </w:tc>
        <w:tc>
          <w:tcPr>
            <w:tcW w:w="1476" w:type="dxa"/>
            <w:shd w:val="clear" w:color="auto" w:fill="D9D9D9" w:themeFill="background1" w:themeFillShade="D9"/>
          </w:tcPr>
          <w:p w14:paraId="65CFB277" w14:textId="77777777" w:rsidR="00F06CB1" w:rsidRPr="000516F1" w:rsidRDefault="00F06CB1" w:rsidP="003E423A">
            <w:pPr>
              <w:pStyle w:val="BodyText"/>
              <w:ind w:left="0"/>
              <w:jc w:val="center"/>
              <w:rPr>
                <w:rFonts w:asciiTheme="minorHAnsi" w:hAnsiTheme="minorHAnsi" w:cstheme="minorHAnsi"/>
                <w:b/>
                <w:sz w:val="22"/>
                <w:szCs w:val="22"/>
              </w:rPr>
            </w:pPr>
            <w:r w:rsidRPr="000516F1">
              <w:rPr>
                <w:rFonts w:asciiTheme="minorHAnsi" w:hAnsiTheme="minorHAnsi" w:cstheme="minorHAnsi"/>
                <w:b/>
                <w:sz w:val="22"/>
                <w:szCs w:val="22"/>
              </w:rPr>
              <w:t>2020</w:t>
            </w:r>
          </w:p>
        </w:tc>
      </w:tr>
      <w:tr w:rsidR="00F06CB1" w:rsidRPr="00832D3A" w14:paraId="1FBF1930" w14:textId="77777777" w:rsidTr="003E423A">
        <w:trPr>
          <w:jc w:val="center"/>
        </w:trPr>
        <w:tc>
          <w:tcPr>
            <w:tcW w:w="1646" w:type="dxa"/>
          </w:tcPr>
          <w:p w14:paraId="18CB4C48" w14:textId="68C39A81" w:rsidR="00F06CB1" w:rsidRPr="00832D3A" w:rsidRDefault="00F06CB1" w:rsidP="003E423A">
            <w:pPr>
              <w:pStyle w:val="BodyText"/>
              <w:ind w:left="0"/>
              <w:jc w:val="center"/>
              <w:rPr>
                <w:rFonts w:asciiTheme="minorHAnsi" w:hAnsiTheme="minorHAnsi" w:cstheme="minorHAnsi"/>
                <w:bCs/>
                <w:sz w:val="22"/>
                <w:szCs w:val="22"/>
              </w:rPr>
            </w:pPr>
            <w:r w:rsidRPr="00832D3A">
              <w:rPr>
                <w:rFonts w:asciiTheme="minorHAnsi" w:hAnsiTheme="minorHAnsi" w:cstheme="minorHAnsi"/>
                <w:bCs/>
                <w:sz w:val="22"/>
                <w:szCs w:val="22"/>
              </w:rPr>
              <w:t>Hours Order to Exam</w:t>
            </w:r>
          </w:p>
        </w:tc>
        <w:tc>
          <w:tcPr>
            <w:tcW w:w="1476" w:type="dxa"/>
          </w:tcPr>
          <w:p w14:paraId="4A3A2339" w14:textId="487590AC" w:rsidR="00F06CB1" w:rsidRPr="00832D3A" w:rsidRDefault="00F06CB1" w:rsidP="003E423A">
            <w:pPr>
              <w:pStyle w:val="BodyText"/>
              <w:ind w:left="0"/>
              <w:jc w:val="center"/>
              <w:rPr>
                <w:rFonts w:asciiTheme="minorHAnsi" w:hAnsiTheme="minorHAnsi" w:cstheme="minorHAnsi"/>
                <w:bCs/>
                <w:sz w:val="22"/>
                <w:szCs w:val="22"/>
              </w:rPr>
            </w:pPr>
            <w:r w:rsidRPr="00832D3A">
              <w:rPr>
                <w:rFonts w:asciiTheme="minorHAnsi" w:hAnsiTheme="minorHAnsi" w:cstheme="minorHAnsi"/>
                <w:bCs/>
                <w:sz w:val="22"/>
                <w:szCs w:val="22"/>
              </w:rPr>
              <w:t>13.75</w:t>
            </w:r>
          </w:p>
        </w:tc>
        <w:tc>
          <w:tcPr>
            <w:tcW w:w="1476" w:type="dxa"/>
          </w:tcPr>
          <w:p w14:paraId="33661CF9" w14:textId="0AB69B2F" w:rsidR="00F06CB1" w:rsidRPr="00832D3A" w:rsidRDefault="00F06CB1" w:rsidP="003E423A">
            <w:pPr>
              <w:pStyle w:val="BodyText"/>
              <w:ind w:left="0"/>
              <w:jc w:val="center"/>
              <w:rPr>
                <w:rFonts w:asciiTheme="minorHAnsi" w:hAnsiTheme="minorHAnsi" w:cstheme="minorHAnsi"/>
                <w:bCs/>
                <w:sz w:val="22"/>
                <w:szCs w:val="22"/>
              </w:rPr>
            </w:pPr>
            <w:r w:rsidRPr="00832D3A">
              <w:rPr>
                <w:rFonts w:asciiTheme="minorHAnsi" w:hAnsiTheme="minorHAnsi" w:cstheme="minorHAnsi"/>
                <w:bCs/>
                <w:sz w:val="22"/>
                <w:szCs w:val="22"/>
              </w:rPr>
              <w:t>14</w:t>
            </w:r>
          </w:p>
        </w:tc>
        <w:tc>
          <w:tcPr>
            <w:tcW w:w="1476" w:type="dxa"/>
          </w:tcPr>
          <w:p w14:paraId="6F723912" w14:textId="6D69633A" w:rsidR="00F06CB1" w:rsidRPr="00832D3A" w:rsidRDefault="00F06CB1" w:rsidP="003E423A">
            <w:pPr>
              <w:pStyle w:val="BodyText"/>
              <w:ind w:left="0"/>
              <w:jc w:val="center"/>
              <w:rPr>
                <w:rFonts w:asciiTheme="minorHAnsi" w:hAnsiTheme="minorHAnsi" w:cstheme="minorHAnsi"/>
                <w:bCs/>
                <w:sz w:val="22"/>
                <w:szCs w:val="22"/>
              </w:rPr>
            </w:pPr>
            <w:r w:rsidRPr="00832D3A">
              <w:rPr>
                <w:rFonts w:asciiTheme="minorHAnsi" w:hAnsiTheme="minorHAnsi" w:cstheme="minorHAnsi"/>
                <w:bCs/>
                <w:sz w:val="22"/>
                <w:szCs w:val="22"/>
              </w:rPr>
              <w:t>18</w:t>
            </w:r>
          </w:p>
        </w:tc>
        <w:tc>
          <w:tcPr>
            <w:tcW w:w="1476" w:type="dxa"/>
          </w:tcPr>
          <w:p w14:paraId="0C0465B9" w14:textId="1F3B187F" w:rsidR="00F06CB1" w:rsidRPr="00832D3A" w:rsidRDefault="00F06CB1" w:rsidP="003E423A">
            <w:pPr>
              <w:pStyle w:val="BodyText"/>
              <w:ind w:left="0"/>
              <w:jc w:val="center"/>
              <w:rPr>
                <w:rFonts w:asciiTheme="minorHAnsi" w:hAnsiTheme="minorHAnsi" w:cstheme="minorHAnsi"/>
                <w:bCs/>
                <w:sz w:val="22"/>
                <w:szCs w:val="22"/>
              </w:rPr>
            </w:pPr>
            <w:r w:rsidRPr="00832D3A">
              <w:rPr>
                <w:rFonts w:asciiTheme="minorHAnsi" w:hAnsiTheme="minorHAnsi" w:cstheme="minorHAnsi"/>
                <w:bCs/>
                <w:sz w:val="22"/>
                <w:szCs w:val="22"/>
              </w:rPr>
              <w:t>15.5</w:t>
            </w:r>
          </w:p>
        </w:tc>
      </w:tr>
    </w:tbl>
    <w:p w14:paraId="27151013" w14:textId="77777777" w:rsidR="00040F88" w:rsidRPr="00832D3A" w:rsidRDefault="00040F88" w:rsidP="0055432E">
      <w:pPr>
        <w:pStyle w:val="BodyText"/>
        <w:ind w:left="2336" w:firstLine="184"/>
        <w:rPr>
          <w:rFonts w:asciiTheme="minorHAnsi" w:hAnsiTheme="minorHAnsi" w:cstheme="minorHAnsi"/>
          <w:b/>
          <w:color w:val="0070C0"/>
          <w:sz w:val="22"/>
          <w:szCs w:val="22"/>
        </w:rPr>
      </w:pPr>
    </w:p>
    <w:p w14:paraId="3C28E193" w14:textId="1F811564" w:rsidR="00F06CB1" w:rsidRPr="00210FAD" w:rsidRDefault="00BE7E11" w:rsidP="00210FAD">
      <w:pPr>
        <w:pStyle w:val="BodyText"/>
        <w:ind w:left="2336" w:hanging="1166"/>
        <w:rPr>
          <w:rFonts w:asciiTheme="minorHAnsi" w:hAnsiTheme="minorHAnsi" w:cstheme="minorHAnsi"/>
          <w:b/>
          <w:sz w:val="22"/>
          <w:szCs w:val="22"/>
        </w:rPr>
      </w:pPr>
      <w:r w:rsidRPr="00832D3A">
        <w:rPr>
          <w:rFonts w:asciiTheme="minorHAnsi" w:hAnsiTheme="minorHAnsi" w:cstheme="minorHAnsi"/>
          <w:b/>
          <w:sz w:val="22"/>
          <w:szCs w:val="22"/>
        </w:rPr>
        <w:t xml:space="preserve">Table </w:t>
      </w:r>
      <w:r w:rsidR="0033361E" w:rsidRPr="00210FAD">
        <w:rPr>
          <w:rFonts w:asciiTheme="minorHAnsi" w:hAnsiTheme="minorHAnsi" w:cstheme="minorHAnsi"/>
          <w:b/>
          <w:sz w:val="22"/>
          <w:szCs w:val="22"/>
        </w:rPr>
        <w:t>11</w:t>
      </w:r>
      <w:r w:rsidR="0055432E" w:rsidRPr="00210FAD">
        <w:rPr>
          <w:rFonts w:asciiTheme="minorHAnsi" w:hAnsiTheme="minorHAnsi" w:cstheme="minorHAnsi"/>
          <w:b/>
          <w:sz w:val="22"/>
          <w:szCs w:val="22"/>
        </w:rPr>
        <w:t>: Projected Wait times</w:t>
      </w:r>
      <w:r w:rsidRPr="00832D3A">
        <w:rPr>
          <w:rFonts w:asciiTheme="minorHAnsi" w:hAnsiTheme="minorHAnsi" w:cstheme="minorHAnsi"/>
          <w:b/>
          <w:sz w:val="22"/>
          <w:szCs w:val="22"/>
        </w:rPr>
        <w:t xml:space="preserve"> Following Implementation </w:t>
      </w:r>
    </w:p>
    <w:tbl>
      <w:tblPr>
        <w:tblStyle w:val="TableGrid"/>
        <w:tblW w:w="0" w:type="auto"/>
        <w:jc w:val="center"/>
        <w:tblLook w:val="04A0" w:firstRow="1" w:lastRow="0" w:firstColumn="1" w:lastColumn="0" w:noHBand="0" w:noVBand="1"/>
        <w:tblCaption w:val="Table 11: Projected Wait times Following Implementation "/>
        <w:tblDescription w:val="Table 11: Projected Wait times Following Implementation "/>
      </w:tblPr>
      <w:tblGrid>
        <w:gridCol w:w="1901"/>
        <w:gridCol w:w="1923"/>
        <w:gridCol w:w="1923"/>
        <w:gridCol w:w="1868"/>
      </w:tblGrid>
      <w:tr w:rsidR="00BE7E11" w:rsidRPr="00832D3A" w14:paraId="082F1BB1" w14:textId="77777777" w:rsidTr="00003D2E">
        <w:trPr>
          <w:tblHeader/>
          <w:jc w:val="center"/>
        </w:trPr>
        <w:tc>
          <w:tcPr>
            <w:tcW w:w="1901" w:type="dxa"/>
          </w:tcPr>
          <w:p w14:paraId="424240C1" w14:textId="77777777" w:rsidR="00F06CB1" w:rsidRPr="00210FAD" w:rsidRDefault="00F06CB1" w:rsidP="0055432E">
            <w:pPr>
              <w:pStyle w:val="BodyText"/>
              <w:ind w:left="0"/>
              <w:rPr>
                <w:rFonts w:asciiTheme="minorHAnsi" w:hAnsiTheme="minorHAnsi" w:cstheme="minorHAnsi"/>
                <w:b/>
                <w:sz w:val="22"/>
                <w:szCs w:val="22"/>
              </w:rPr>
            </w:pPr>
          </w:p>
        </w:tc>
        <w:tc>
          <w:tcPr>
            <w:tcW w:w="1923" w:type="dxa"/>
            <w:shd w:val="clear" w:color="auto" w:fill="D9D9D9" w:themeFill="background1" w:themeFillShade="D9"/>
          </w:tcPr>
          <w:p w14:paraId="02BAFE50" w14:textId="5BE1CE19" w:rsidR="00F06CB1" w:rsidRPr="000516F1" w:rsidRDefault="00F06CB1" w:rsidP="00210FAD">
            <w:pPr>
              <w:pStyle w:val="BodyText"/>
              <w:ind w:left="0"/>
              <w:jc w:val="center"/>
              <w:rPr>
                <w:rFonts w:asciiTheme="minorHAnsi" w:hAnsiTheme="minorHAnsi" w:cstheme="minorHAnsi"/>
                <w:b/>
                <w:sz w:val="22"/>
                <w:szCs w:val="22"/>
              </w:rPr>
            </w:pPr>
            <w:r w:rsidRPr="000516F1">
              <w:rPr>
                <w:rFonts w:asciiTheme="minorHAnsi" w:hAnsiTheme="minorHAnsi" w:cstheme="minorHAnsi"/>
                <w:b/>
                <w:sz w:val="22"/>
                <w:szCs w:val="22"/>
              </w:rPr>
              <w:t>Year 1</w:t>
            </w:r>
          </w:p>
        </w:tc>
        <w:tc>
          <w:tcPr>
            <w:tcW w:w="1923" w:type="dxa"/>
            <w:shd w:val="clear" w:color="auto" w:fill="D9D9D9" w:themeFill="background1" w:themeFillShade="D9"/>
          </w:tcPr>
          <w:p w14:paraId="5ABB0081" w14:textId="04346964" w:rsidR="00F06CB1" w:rsidRPr="000516F1" w:rsidRDefault="00F06CB1" w:rsidP="00210FAD">
            <w:pPr>
              <w:pStyle w:val="BodyText"/>
              <w:ind w:left="0"/>
              <w:jc w:val="center"/>
              <w:rPr>
                <w:rFonts w:asciiTheme="minorHAnsi" w:hAnsiTheme="minorHAnsi" w:cstheme="minorHAnsi"/>
                <w:b/>
                <w:sz w:val="22"/>
                <w:szCs w:val="22"/>
              </w:rPr>
            </w:pPr>
            <w:r w:rsidRPr="000516F1">
              <w:rPr>
                <w:rFonts w:asciiTheme="minorHAnsi" w:hAnsiTheme="minorHAnsi" w:cstheme="minorHAnsi"/>
                <w:b/>
                <w:sz w:val="22"/>
                <w:szCs w:val="22"/>
              </w:rPr>
              <w:t>Year 2</w:t>
            </w:r>
          </w:p>
        </w:tc>
        <w:tc>
          <w:tcPr>
            <w:tcW w:w="1868" w:type="dxa"/>
            <w:shd w:val="clear" w:color="auto" w:fill="D9D9D9" w:themeFill="background1" w:themeFillShade="D9"/>
          </w:tcPr>
          <w:p w14:paraId="530F2C9B" w14:textId="4A40B785" w:rsidR="00F06CB1" w:rsidRPr="000516F1" w:rsidRDefault="00F06CB1" w:rsidP="00210FAD">
            <w:pPr>
              <w:pStyle w:val="BodyText"/>
              <w:ind w:left="0"/>
              <w:jc w:val="center"/>
              <w:rPr>
                <w:rFonts w:asciiTheme="minorHAnsi" w:hAnsiTheme="minorHAnsi" w:cstheme="minorHAnsi"/>
                <w:b/>
                <w:sz w:val="22"/>
                <w:szCs w:val="22"/>
              </w:rPr>
            </w:pPr>
            <w:r w:rsidRPr="000516F1">
              <w:rPr>
                <w:rFonts w:asciiTheme="minorHAnsi" w:hAnsiTheme="minorHAnsi" w:cstheme="minorHAnsi"/>
                <w:b/>
                <w:sz w:val="22"/>
                <w:szCs w:val="22"/>
              </w:rPr>
              <w:t>Year 3</w:t>
            </w:r>
          </w:p>
        </w:tc>
      </w:tr>
      <w:tr w:rsidR="00BE7E11" w:rsidRPr="00832D3A" w14:paraId="2E220FC7" w14:textId="77777777" w:rsidTr="00210FAD">
        <w:trPr>
          <w:jc w:val="center"/>
        </w:trPr>
        <w:tc>
          <w:tcPr>
            <w:tcW w:w="1901" w:type="dxa"/>
          </w:tcPr>
          <w:p w14:paraId="1245FF90" w14:textId="0FC3DF5B" w:rsidR="00F06CB1" w:rsidRPr="00210FAD" w:rsidRDefault="00F06CB1" w:rsidP="0055432E">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Admitted Patients</w:t>
            </w:r>
          </w:p>
        </w:tc>
        <w:tc>
          <w:tcPr>
            <w:tcW w:w="1923" w:type="dxa"/>
            <w:vAlign w:val="center"/>
          </w:tcPr>
          <w:p w14:paraId="2269FBE0" w14:textId="4451CC66" w:rsidR="00F06CB1" w:rsidRPr="00210FAD" w:rsidRDefault="00F06CB1"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14</w:t>
            </w:r>
          </w:p>
        </w:tc>
        <w:tc>
          <w:tcPr>
            <w:tcW w:w="1923" w:type="dxa"/>
            <w:vAlign w:val="center"/>
          </w:tcPr>
          <w:p w14:paraId="56F07B91" w14:textId="5EEC55FB" w:rsidR="00F06CB1" w:rsidRPr="00210FAD" w:rsidRDefault="00F06CB1"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12</w:t>
            </w:r>
          </w:p>
        </w:tc>
        <w:tc>
          <w:tcPr>
            <w:tcW w:w="1868" w:type="dxa"/>
            <w:vAlign w:val="center"/>
          </w:tcPr>
          <w:p w14:paraId="62C1568B" w14:textId="2BAB63B7" w:rsidR="00F06CB1" w:rsidRPr="00210FAD" w:rsidRDefault="00F06CB1"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8</w:t>
            </w:r>
          </w:p>
        </w:tc>
      </w:tr>
      <w:tr w:rsidR="00BE7E11" w:rsidRPr="00832D3A" w14:paraId="16455B27" w14:textId="77777777" w:rsidTr="00210FAD">
        <w:trPr>
          <w:trHeight w:val="458"/>
          <w:jc w:val="center"/>
        </w:trPr>
        <w:tc>
          <w:tcPr>
            <w:tcW w:w="1901" w:type="dxa"/>
          </w:tcPr>
          <w:p w14:paraId="6BC413BE" w14:textId="5DF75611" w:rsidR="00F06CB1" w:rsidRPr="00210FAD" w:rsidRDefault="00F06CB1" w:rsidP="0055432E">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 xml:space="preserve">Emergency and Observations </w:t>
            </w:r>
          </w:p>
        </w:tc>
        <w:tc>
          <w:tcPr>
            <w:tcW w:w="1923" w:type="dxa"/>
            <w:vAlign w:val="center"/>
          </w:tcPr>
          <w:p w14:paraId="5C3640AE" w14:textId="691D1BAD" w:rsidR="00F06CB1" w:rsidRPr="00210FAD" w:rsidRDefault="00F06CB1"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8</w:t>
            </w:r>
          </w:p>
        </w:tc>
        <w:tc>
          <w:tcPr>
            <w:tcW w:w="1923" w:type="dxa"/>
            <w:vAlign w:val="center"/>
          </w:tcPr>
          <w:p w14:paraId="285C3957" w14:textId="1CBB9E88" w:rsidR="00F06CB1" w:rsidRPr="00210FAD" w:rsidRDefault="00F06CB1"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6</w:t>
            </w:r>
          </w:p>
        </w:tc>
        <w:tc>
          <w:tcPr>
            <w:tcW w:w="1868" w:type="dxa"/>
            <w:vAlign w:val="center"/>
          </w:tcPr>
          <w:p w14:paraId="7510882F" w14:textId="64BD8359" w:rsidR="00F06CB1" w:rsidRPr="00210FAD" w:rsidRDefault="00F06CB1" w:rsidP="00210FAD">
            <w:pPr>
              <w:pStyle w:val="BodyText"/>
              <w:ind w:left="0"/>
              <w:jc w:val="center"/>
              <w:rPr>
                <w:rFonts w:asciiTheme="minorHAnsi" w:hAnsiTheme="minorHAnsi" w:cstheme="minorHAnsi"/>
                <w:bCs/>
                <w:sz w:val="22"/>
                <w:szCs w:val="22"/>
              </w:rPr>
            </w:pPr>
            <w:r w:rsidRPr="00210FAD">
              <w:rPr>
                <w:rFonts w:asciiTheme="minorHAnsi" w:hAnsiTheme="minorHAnsi" w:cstheme="minorHAnsi"/>
                <w:bCs/>
                <w:sz w:val="22"/>
                <w:szCs w:val="22"/>
              </w:rPr>
              <w:t>6</w:t>
            </w:r>
          </w:p>
        </w:tc>
      </w:tr>
    </w:tbl>
    <w:p w14:paraId="6D2124E9" w14:textId="2B91E1DA" w:rsidR="00F06CB1" w:rsidRPr="00832D3A" w:rsidRDefault="00F06CB1" w:rsidP="0055432E">
      <w:pPr>
        <w:pStyle w:val="BodyText"/>
        <w:ind w:left="2336" w:firstLine="184"/>
        <w:rPr>
          <w:rFonts w:asciiTheme="minorHAnsi" w:hAnsiTheme="minorHAnsi" w:cstheme="minorHAnsi"/>
          <w:b/>
          <w:color w:val="0070C0"/>
          <w:sz w:val="22"/>
          <w:szCs w:val="22"/>
        </w:rPr>
      </w:pPr>
    </w:p>
    <w:p w14:paraId="16922E8E" w14:textId="77777777" w:rsidR="00F06CB1" w:rsidRPr="00832D3A" w:rsidRDefault="00F06CB1" w:rsidP="0055432E">
      <w:pPr>
        <w:pStyle w:val="BodyText"/>
        <w:ind w:left="2336" w:firstLine="184"/>
        <w:rPr>
          <w:rFonts w:asciiTheme="minorHAnsi" w:hAnsiTheme="minorHAnsi" w:cstheme="minorHAnsi"/>
          <w:b/>
          <w:color w:val="0070C0"/>
          <w:sz w:val="22"/>
          <w:szCs w:val="22"/>
        </w:rPr>
      </w:pPr>
    </w:p>
    <w:p w14:paraId="34621CEA" w14:textId="77777777" w:rsidR="0055432E" w:rsidRPr="00210FAD" w:rsidRDefault="0055432E" w:rsidP="00210FAD">
      <w:pPr>
        <w:pStyle w:val="BodyText"/>
        <w:ind w:left="0"/>
        <w:rPr>
          <w:rFonts w:asciiTheme="minorHAnsi" w:hAnsiTheme="minorHAnsi" w:cstheme="minorHAnsi"/>
          <w:bCs/>
          <w:color w:val="0070C0"/>
          <w:sz w:val="22"/>
          <w:szCs w:val="22"/>
        </w:rPr>
      </w:pPr>
    </w:p>
    <w:p w14:paraId="3D5BE16F" w14:textId="77777777" w:rsidR="00A71346" w:rsidRPr="00832D3A" w:rsidRDefault="00A71346" w:rsidP="00BE7E11">
      <w:pPr>
        <w:pStyle w:val="ListParagraph"/>
        <w:numPr>
          <w:ilvl w:val="1"/>
          <w:numId w:val="44"/>
        </w:numPr>
        <w:spacing w:after="0" w:line="240" w:lineRule="auto"/>
        <w:ind w:left="1800"/>
        <w:rPr>
          <w:rFonts w:cstheme="minorHAnsi"/>
          <w:bCs/>
        </w:rPr>
      </w:pPr>
      <w:r w:rsidRPr="00210FAD">
        <w:rPr>
          <w:rFonts w:cstheme="minorHAnsi"/>
          <w:bCs/>
        </w:rPr>
        <w:t xml:space="preserve">Additionally, </w:t>
      </w:r>
      <w:r w:rsidRPr="00832D3A">
        <w:rPr>
          <w:rFonts w:cstheme="minorHAnsi"/>
          <w:bCs/>
        </w:rPr>
        <w:t xml:space="preserve">SSHS anticipates an additional 1,700 scans at the Main Campus because of the 3T scanner. As discussed above, 1,512 patients were referred outside of the System and another 190 were transferred to off-campus facilities. Those patients will no longer need to be transferred with the addition of a larger, more advanced MRI unit. </w:t>
      </w:r>
    </w:p>
    <w:p w14:paraId="79B5A97D" w14:textId="77777777" w:rsidR="0067758C" w:rsidRPr="0067758C" w:rsidRDefault="00BE7E11" w:rsidP="00A71346">
      <w:pPr>
        <w:pStyle w:val="ListParagraph"/>
        <w:numPr>
          <w:ilvl w:val="1"/>
          <w:numId w:val="44"/>
        </w:numPr>
        <w:spacing w:after="0" w:line="240" w:lineRule="auto"/>
        <w:ind w:left="1800"/>
        <w:rPr>
          <w:rFonts w:cstheme="minorHAnsi"/>
          <w:bCs/>
        </w:rPr>
      </w:pPr>
      <w:r w:rsidRPr="00210FAD">
        <w:rPr>
          <w:rFonts w:cstheme="minorHAnsi"/>
          <w:bCs/>
        </w:rPr>
        <w:t>SSH considered p</w:t>
      </w:r>
      <w:r w:rsidR="00040F88" w:rsidRPr="00210FAD">
        <w:rPr>
          <w:rFonts w:cstheme="minorHAnsi"/>
          <w:bCs/>
        </w:rPr>
        <w:t xml:space="preserve">opulation growth </w:t>
      </w:r>
      <w:r w:rsidRPr="00210FAD">
        <w:rPr>
          <w:rFonts w:cstheme="minorHAnsi"/>
          <w:bCs/>
        </w:rPr>
        <w:t xml:space="preserve">as </w:t>
      </w:r>
      <w:r w:rsidR="00040F88" w:rsidRPr="00210FAD">
        <w:rPr>
          <w:rFonts w:cstheme="minorHAnsi"/>
          <w:bCs/>
        </w:rPr>
        <w:t xml:space="preserve">a </w:t>
      </w:r>
      <w:r w:rsidR="00A71346" w:rsidRPr="00832D3A">
        <w:rPr>
          <w:rFonts w:cstheme="minorHAnsi"/>
          <w:bCs/>
        </w:rPr>
        <w:t xml:space="preserve">primary </w:t>
      </w:r>
      <w:r w:rsidR="00040F88" w:rsidRPr="00210FAD">
        <w:rPr>
          <w:rFonts w:cstheme="minorHAnsi"/>
          <w:bCs/>
        </w:rPr>
        <w:t xml:space="preserve">factor SSHS in </w:t>
      </w:r>
      <w:r w:rsidRPr="00210FAD">
        <w:rPr>
          <w:rFonts w:cstheme="minorHAnsi"/>
          <w:bCs/>
        </w:rPr>
        <w:t xml:space="preserve">calculating scan volume </w:t>
      </w:r>
      <w:r w:rsidR="00040F88" w:rsidRPr="00210FAD">
        <w:rPr>
          <w:rFonts w:cstheme="minorHAnsi"/>
          <w:bCs/>
        </w:rPr>
        <w:t xml:space="preserve">projections at the Main Campus. </w:t>
      </w:r>
      <w:r w:rsidR="00040F88" w:rsidRPr="00210FAD">
        <w:rPr>
          <w:rFonts w:cstheme="minorHAnsi"/>
          <w:bCs/>
          <w:w w:val="95"/>
        </w:rPr>
        <w:t xml:space="preserve">According to the University of Massachusetts Donahue Institute’s Long Term Population Projections for Massachusetts Regions and Municipalities, the statewide population is projected to grow a total of 11.8% from 2010 through 2035. </w:t>
      </w:r>
      <w:r w:rsidRPr="00210FAD">
        <w:rPr>
          <w:rFonts w:cstheme="minorHAnsi"/>
          <w:bCs/>
          <w:w w:val="95"/>
        </w:rPr>
        <w:t xml:space="preserve">Moreover, </w:t>
      </w:r>
      <w:r w:rsidR="00040F88" w:rsidRPr="00210FAD">
        <w:rPr>
          <w:rFonts w:cstheme="minorHAnsi"/>
          <w:bCs/>
          <w:w w:val="95"/>
        </w:rPr>
        <w:t xml:space="preserve">the bulk of the Commonwealth’s population growth is </w:t>
      </w:r>
      <w:r w:rsidRPr="00210FAD">
        <w:rPr>
          <w:rFonts w:cstheme="minorHAnsi"/>
          <w:bCs/>
          <w:w w:val="95"/>
        </w:rPr>
        <w:t xml:space="preserve">expected to </w:t>
      </w:r>
      <w:r w:rsidR="00040F88" w:rsidRPr="00210FAD">
        <w:rPr>
          <w:rFonts w:cstheme="minorHAnsi"/>
          <w:bCs/>
          <w:w w:val="95"/>
        </w:rPr>
        <w:t>cluster around residents that are 50 or older. Between 2015 and 2035 the Commonwealth 65+population is expected to increase at a higher rate compared to all other age groups. By 2035</w:t>
      </w:r>
      <w:r w:rsidRPr="00210FAD">
        <w:rPr>
          <w:rFonts w:cstheme="minorHAnsi"/>
          <w:bCs/>
          <w:w w:val="95"/>
        </w:rPr>
        <w:t>,</w:t>
      </w:r>
      <w:r w:rsidR="00040F88" w:rsidRPr="00210FAD">
        <w:rPr>
          <w:rFonts w:cstheme="minorHAnsi"/>
          <w:bCs/>
          <w:w w:val="95"/>
        </w:rPr>
        <w:t xml:space="preserve"> the 65+ population will </w:t>
      </w:r>
    </w:p>
    <w:p w14:paraId="4EDE8AD7" w14:textId="7CC52920" w:rsidR="0067758C" w:rsidRPr="0067758C" w:rsidRDefault="0067758C" w:rsidP="003541FE">
      <w:pPr>
        <w:pStyle w:val="Heading1"/>
      </w:pPr>
      <w:r w:rsidRPr="00054FF4">
        <w:lastRenderedPageBreak/>
        <w:t xml:space="preserve">APPLICANT </w:t>
      </w:r>
      <w:r>
        <w:t>RESPONSES</w:t>
      </w:r>
    </w:p>
    <w:p w14:paraId="3F0E35DF" w14:textId="5A74D364" w:rsidR="007800A9" w:rsidRPr="00210FAD" w:rsidRDefault="00040F88" w:rsidP="0067758C">
      <w:pPr>
        <w:pStyle w:val="ListParagraph"/>
        <w:spacing w:after="0" w:line="240" w:lineRule="auto"/>
        <w:ind w:left="1800"/>
        <w:rPr>
          <w:rFonts w:cstheme="minorHAnsi"/>
          <w:bCs/>
        </w:rPr>
      </w:pPr>
      <w:r w:rsidRPr="00210FAD">
        <w:rPr>
          <w:rFonts w:cstheme="minorHAnsi"/>
          <w:bCs/>
          <w:w w:val="95"/>
        </w:rPr>
        <w:t>represent approximately a quarter of the Massachusetts</w:t>
      </w:r>
      <w:r w:rsidR="00BE7E11" w:rsidRPr="00210FAD">
        <w:rPr>
          <w:rFonts w:cstheme="minorHAnsi"/>
          <w:bCs/>
          <w:w w:val="95"/>
        </w:rPr>
        <w:t>’</w:t>
      </w:r>
      <w:r w:rsidRPr="00210FAD">
        <w:rPr>
          <w:rFonts w:cstheme="minorHAnsi"/>
          <w:bCs/>
          <w:w w:val="95"/>
        </w:rPr>
        <w:t xml:space="preserve"> </w:t>
      </w:r>
      <w:r w:rsidR="00BE7E11" w:rsidRPr="00210FAD">
        <w:rPr>
          <w:rFonts w:cstheme="minorHAnsi"/>
          <w:bCs/>
          <w:w w:val="95"/>
        </w:rPr>
        <w:t>p</w:t>
      </w:r>
      <w:r w:rsidRPr="00210FAD">
        <w:rPr>
          <w:rFonts w:cstheme="minorHAnsi"/>
          <w:bCs/>
          <w:w w:val="95"/>
        </w:rPr>
        <w:t xml:space="preserve">opulation. </w:t>
      </w:r>
      <w:r w:rsidR="007800A9" w:rsidRPr="00210FAD">
        <w:rPr>
          <w:rFonts w:cstheme="minorHAnsi"/>
          <w:bCs/>
          <w:w w:val="95"/>
        </w:rPr>
        <w:t xml:space="preserve">Given the majority of MRI patients at South Shore Hospital are </w:t>
      </w:r>
      <w:r w:rsidR="00A71346" w:rsidRPr="00210FAD">
        <w:rPr>
          <w:rFonts w:cstheme="minorHAnsi"/>
          <w:bCs/>
          <w:w w:val="95"/>
        </w:rPr>
        <w:t>older adults</w:t>
      </w:r>
      <w:r w:rsidR="00087DD0" w:rsidRPr="00210FAD">
        <w:rPr>
          <w:rFonts w:cstheme="minorHAnsi"/>
          <w:bCs/>
          <w:w w:val="95"/>
        </w:rPr>
        <w:t>, SSH believes th</w:t>
      </w:r>
      <w:r w:rsidR="00A71346" w:rsidRPr="00210FAD">
        <w:rPr>
          <w:rFonts w:cstheme="minorHAnsi"/>
          <w:bCs/>
          <w:w w:val="95"/>
        </w:rPr>
        <w:t xml:space="preserve">e need for MR imaging will only increase as its patient population continues to age. </w:t>
      </w:r>
      <w:r w:rsidR="00087DD0" w:rsidRPr="00210FAD">
        <w:rPr>
          <w:rFonts w:cstheme="minorHAnsi"/>
          <w:bCs/>
          <w:w w:val="95"/>
        </w:rPr>
        <w:t xml:space="preserve"> </w:t>
      </w:r>
    </w:p>
    <w:p w14:paraId="0F4A9DCE" w14:textId="2E43F47E" w:rsidR="00820AF9" w:rsidRPr="00210FAD" w:rsidRDefault="006A11E8" w:rsidP="00210FAD">
      <w:pPr>
        <w:pStyle w:val="BodyText"/>
        <w:numPr>
          <w:ilvl w:val="1"/>
          <w:numId w:val="44"/>
        </w:numPr>
        <w:ind w:left="1800"/>
        <w:rPr>
          <w:rFonts w:asciiTheme="minorHAnsi" w:hAnsiTheme="minorHAnsi" w:cstheme="minorHAnsi"/>
          <w:bCs/>
          <w:sz w:val="22"/>
          <w:szCs w:val="22"/>
        </w:rPr>
      </w:pPr>
      <w:r w:rsidRPr="00210FAD">
        <w:rPr>
          <w:rFonts w:asciiTheme="minorHAnsi" w:hAnsiTheme="minorHAnsi" w:cstheme="minorHAnsi"/>
          <w:bCs/>
          <w:sz w:val="22"/>
          <w:szCs w:val="22"/>
        </w:rPr>
        <w:t xml:space="preserve">Lastly, </w:t>
      </w:r>
      <w:r w:rsidR="00820AF9" w:rsidRPr="00210FAD">
        <w:rPr>
          <w:rFonts w:asciiTheme="minorHAnsi" w:hAnsiTheme="minorHAnsi" w:cstheme="minorHAnsi"/>
          <w:bCs/>
          <w:sz w:val="22"/>
          <w:szCs w:val="22"/>
        </w:rPr>
        <w:t xml:space="preserve">SSH has experienced growth </w:t>
      </w:r>
      <w:r w:rsidRPr="00210FAD">
        <w:rPr>
          <w:rFonts w:asciiTheme="minorHAnsi" w:hAnsiTheme="minorHAnsi" w:cstheme="minorHAnsi"/>
          <w:bCs/>
          <w:sz w:val="22"/>
          <w:szCs w:val="22"/>
        </w:rPr>
        <w:t>in its</w:t>
      </w:r>
      <w:r w:rsidR="00820AF9" w:rsidRPr="00210FAD">
        <w:rPr>
          <w:rFonts w:asciiTheme="minorHAnsi" w:hAnsiTheme="minorHAnsi" w:cstheme="minorHAnsi"/>
          <w:bCs/>
          <w:sz w:val="22"/>
          <w:szCs w:val="22"/>
        </w:rPr>
        <w:t xml:space="preserve"> breast care program </w:t>
      </w:r>
      <w:r w:rsidRPr="00210FAD">
        <w:rPr>
          <w:rFonts w:asciiTheme="minorHAnsi" w:hAnsiTheme="minorHAnsi" w:cstheme="minorHAnsi"/>
          <w:bCs/>
          <w:sz w:val="22"/>
          <w:szCs w:val="22"/>
        </w:rPr>
        <w:t>at the Cancer Center</w:t>
      </w:r>
      <w:r w:rsidR="00820AF9" w:rsidRPr="00210FAD">
        <w:rPr>
          <w:rFonts w:asciiTheme="minorHAnsi" w:hAnsiTheme="minorHAnsi" w:cstheme="minorHAnsi"/>
          <w:bCs/>
          <w:sz w:val="22"/>
          <w:szCs w:val="22"/>
        </w:rPr>
        <w:t>. Data demonstrates a 150% increase over the past 4 year</w:t>
      </w:r>
      <w:r w:rsidR="00040F88" w:rsidRPr="00210FAD">
        <w:rPr>
          <w:rFonts w:asciiTheme="minorHAnsi" w:hAnsiTheme="minorHAnsi" w:cstheme="minorHAnsi"/>
          <w:bCs/>
          <w:sz w:val="22"/>
          <w:szCs w:val="22"/>
        </w:rPr>
        <w:t>s</w:t>
      </w:r>
      <w:r w:rsidR="00820AF9" w:rsidRPr="00210FAD">
        <w:rPr>
          <w:rFonts w:asciiTheme="minorHAnsi" w:hAnsiTheme="minorHAnsi" w:cstheme="minorHAnsi"/>
          <w:bCs/>
          <w:sz w:val="22"/>
          <w:szCs w:val="22"/>
        </w:rPr>
        <w:t xml:space="preserve"> in breast MRI scans and a 394% increase in breast biopsies</w:t>
      </w:r>
      <w:r w:rsidR="00FC4A83" w:rsidRPr="00210FAD">
        <w:rPr>
          <w:rFonts w:asciiTheme="minorHAnsi" w:hAnsiTheme="minorHAnsi" w:cstheme="minorHAnsi"/>
          <w:bCs/>
          <w:sz w:val="22"/>
          <w:szCs w:val="22"/>
        </w:rPr>
        <w:t xml:space="preserve"> (see Table </w:t>
      </w:r>
      <w:r w:rsidR="00EF7CE9" w:rsidRPr="00210FAD">
        <w:rPr>
          <w:rFonts w:asciiTheme="minorHAnsi" w:hAnsiTheme="minorHAnsi" w:cstheme="minorHAnsi"/>
          <w:bCs/>
          <w:sz w:val="22"/>
          <w:szCs w:val="22"/>
        </w:rPr>
        <w:t>12</w:t>
      </w:r>
      <w:r w:rsidR="00FC4A83" w:rsidRPr="00210FAD">
        <w:rPr>
          <w:rFonts w:asciiTheme="minorHAnsi" w:hAnsiTheme="minorHAnsi" w:cstheme="minorHAnsi"/>
          <w:bCs/>
          <w:sz w:val="22"/>
          <w:szCs w:val="22"/>
        </w:rPr>
        <w:t>)</w:t>
      </w:r>
      <w:r w:rsidR="00820AF9" w:rsidRPr="00210FAD">
        <w:rPr>
          <w:rFonts w:asciiTheme="minorHAnsi" w:hAnsiTheme="minorHAnsi" w:cstheme="minorHAnsi"/>
          <w:bCs/>
          <w:sz w:val="22"/>
          <w:szCs w:val="22"/>
        </w:rPr>
        <w:t xml:space="preserve">. SSHS expects this trend to continue, further increasing the demand for services at the </w:t>
      </w:r>
      <w:r w:rsidR="00FC4A83" w:rsidRPr="00210FAD">
        <w:rPr>
          <w:rFonts w:asciiTheme="minorHAnsi" w:hAnsiTheme="minorHAnsi" w:cstheme="minorHAnsi"/>
          <w:bCs/>
          <w:sz w:val="22"/>
          <w:szCs w:val="22"/>
        </w:rPr>
        <w:t>Cancer Center</w:t>
      </w:r>
      <w:r w:rsidR="00040F88" w:rsidRPr="00210FAD">
        <w:rPr>
          <w:rFonts w:asciiTheme="minorHAnsi" w:hAnsiTheme="minorHAnsi" w:cstheme="minorHAnsi"/>
          <w:bCs/>
          <w:sz w:val="22"/>
          <w:szCs w:val="22"/>
        </w:rPr>
        <w:t>, which</w:t>
      </w:r>
      <w:r w:rsidR="00820AF9" w:rsidRPr="00210FAD">
        <w:rPr>
          <w:rFonts w:asciiTheme="minorHAnsi" w:hAnsiTheme="minorHAnsi" w:cstheme="minorHAnsi"/>
          <w:bCs/>
          <w:sz w:val="22"/>
          <w:szCs w:val="22"/>
        </w:rPr>
        <w:t xml:space="preserve"> will increase demand at our main campus.</w:t>
      </w:r>
    </w:p>
    <w:p w14:paraId="4DF64E1F" w14:textId="77777777" w:rsidR="000B4723" w:rsidRPr="00832D3A" w:rsidRDefault="000B4723" w:rsidP="000B4723">
      <w:pPr>
        <w:pStyle w:val="BodyText"/>
        <w:ind w:left="2520"/>
        <w:rPr>
          <w:rFonts w:asciiTheme="minorHAnsi" w:hAnsiTheme="minorHAnsi" w:cstheme="minorHAnsi"/>
          <w:b/>
          <w:color w:val="0070C0"/>
          <w:sz w:val="22"/>
          <w:szCs w:val="22"/>
        </w:rPr>
      </w:pPr>
    </w:p>
    <w:p w14:paraId="53FDDBED" w14:textId="00075101" w:rsidR="000B4723" w:rsidRPr="00210FAD" w:rsidRDefault="0033361E" w:rsidP="00210FAD">
      <w:pPr>
        <w:pStyle w:val="BodyText"/>
        <w:ind w:left="2520" w:hanging="1260"/>
        <w:rPr>
          <w:rFonts w:asciiTheme="minorHAnsi" w:hAnsiTheme="minorHAnsi" w:cstheme="minorHAnsi"/>
          <w:b/>
          <w:sz w:val="22"/>
          <w:szCs w:val="22"/>
        </w:rPr>
      </w:pPr>
      <w:r w:rsidRPr="00210FAD">
        <w:rPr>
          <w:rFonts w:asciiTheme="minorHAnsi" w:hAnsiTheme="minorHAnsi" w:cstheme="minorHAnsi"/>
          <w:b/>
          <w:sz w:val="22"/>
          <w:szCs w:val="22"/>
        </w:rPr>
        <w:t>Table 12</w:t>
      </w:r>
      <w:r w:rsidR="000B4723" w:rsidRPr="00210FAD">
        <w:rPr>
          <w:rFonts w:asciiTheme="minorHAnsi" w:hAnsiTheme="minorHAnsi" w:cstheme="minorHAnsi"/>
          <w:b/>
          <w:sz w:val="22"/>
          <w:szCs w:val="22"/>
        </w:rPr>
        <w:t>:</w:t>
      </w:r>
      <w:r w:rsidR="00760257" w:rsidRPr="00210FAD">
        <w:rPr>
          <w:rFonts w:asciiTheme="minorHAnsi" w:hAnsiTheme="minorHAnsi" w:cstheme="minorHAnsi"/>
          <w:b/>
          <w:sz w:val="22"/>
          <w:szCs w:val="22"/>
        </w:rPr>
        <w:t xml:space="preserve"> Breast Care at the Cancer Center </w:t>
      </w:r>
    </w:p>
    <w:tbl>
      <w:tblPr>
        <w:tblStyle w:val="TableGrid"/>
        <w:tblW w:w="0" w:type="auto"/>
        <w:jc w:val="center"/>
        <w:tblLook w:val="04A0" w:firstRow="1" w:lastRow="0" w:firstColumn="1" w:lastColumn="0" w:noHBand="0" w:noVBand="1"/>
        <w:tblCaption w:val="Table 12: Breast Care at the Cancer Center "/>
        <w:tblDescription w:val="Table 12: Breast Care at the Cancer Center "/>
      </w:tblPr>
      <w:tblGrid>
        <w:gridCol w:w="2695"/>
        <w:gridCol w:w="1213"/>
        <w:gridCol w:w="1214"/>
        <w:gridCol w:w="1214"/>
        <w:gridCol w:w="1214"/>
      </w:tblGrid>
      <w:tr w:rsidR="00760257" w:rsidRPr="00832D3A" w14:paraId="261F988E" w14:textId="77777777" w:rsidTr="00003D2E">
        <w:trPr>
          <w:tblHeader/>
          <w:jc w:val="center"/>
        </w:trPr>
        <w:tc>
          <w:tcPr>
            <w:tcW w:w="2695" w:type="dxa"/>
          </w:tcPr>
          <w:p w14:paraId="1BD0071D" w14:textId="1DCD5019" w:rsidR="000B4723" w:rsidRPr="00210FAD" w:rsidRDefault="000B4723" w:rsidP="004D0621">
            <w:pPr>
              <w:pStyle w:val="BodyText"/>
              <w:ind w:left="0"/>
              <w:rPr>
                <w:rFonts w:asciiTheme="minorHAnsi" w:hAnsiTheme="minorHAnsi" w:cstheme="minorHAnsi"/>
                <w:bCs/>
                <w:sz w:val="22"/>
                <w:szCs w:val="22"/>
              </w:rPr>
            </w:pPr>
          </w:p>
        </w:tc>
        <w:tc>
          <w:tcPr>
            <w:tcW w:w="1213" w:type="dxa"/>
            <w:shd w:val="clear" w:color="auto" w:fill="D9D9D9" w:themeFill="background1" w:themeFillShade="D9"/>
          </w:tcPr>
          <w:p w14:paraId="16AD9B5C" w14:textId="77777777" w:rsidR="000B4723" w:rsidRPr="000516F1" w:rsidRDefault="000B4723" w:rsidP="004D0621">
            <w:pPr>
              <w:pStyle w:val="BodyText"/>
              <w:ind w:left="0"/>
              <w:rPr>
                <w:rFonts w:asciiTheme="minorHAnsi" w:hAnsiTheme="minorHAnsi" w:cstheme="minorHAnsi"/>
                <w:b/>
                <w:sz w:val="22"/>
                <w:szCs w:val="22"/>
              </w:rPr>
            </w:pPr>
            <w:r w:rsidRPr="000516F1">
              <w:rPr>
                <w:rFonts w:asciiTheme="minorHAnsi" w:hAnsiTheme="minorHAnsi" w:cstheme="minorHAnsi"/>
                <w:b/>
                <w:sz w:val="22"/>
                <w:szCs w:val="22"/>
              </w:rPr>
              <w:t>2017</w:t>
            </w:r>
          </w:p>
        </w:tc>
        <w:tc>
          <w:tcPr>
            <w:tcW w:w="1214" w:type="dxa"/>
            <w:shd w:val="clear" w:color="auto" w:fill="D9D9D9" w:themeFill="background1" w:themeFillShade="D9"/>
          </w:tcPr>
          <w:p w14:paraId="1D2DD843" w14:textId="77777777" w:rsidR="000B4723" w:rsidRPr="000516F1" w:rsidRDefault="000B4723" w:rsidP="004D0621">
            <w:pPr>
              <w:pStyle w:val="BodyText"/>
              <w:ind w:left="0"/>
              <w:rPr>
                <w:rFonts w:asciiTheme="minorHAnsi" w:hAnsiTheme="minorHAnsi" w:cstheme="minorHAnsi"/>
                <w:b/>
                <w:sz w:val="22"/>
                <w:szCs w:val="22"/>
              </w:rPr>
            </w:pPr>
            <w:r w:rsidRPr="000516F1">
              <w:rPr>
                <w:rFonts w:asciiTheme="minorHAnsi" w:hAnsiTheme="minorHAnsi" w:cstheme="minorHAnsi"/>
                <w:b/>
                <w:sz w:val="22"/>
                <w:szCs w:val="22"/>
              </w:rPr>
              <w:t>2018</w:t>
            </w:r>
          </w:p>
        </w:tc>
        <w:tc>
          <w:tcPr>
            <w:tcW w:w="1214" w:type="dxa"/>
            <w:shd w:val="clear" w:color="auto" w:fill="D9D9D9" w:themeFill="background1" w:themeFillShade="D9"/>
          </w:tcPr>
          <w:p w14:paraId="02CE52E4" w14:textId="77777777" w:rsidR="000B4723" w:rsidRPr="000516F1" w:rsidRDefault="000B4723" w:rsidP="004D0621">
            <w:pPr>
              <w:pStyle w:val="BodyText"/>
              <w:ind w:left="0"/>
              <w:rPr>
                <w:rFonts w:asciiTheme="minorHAnsi" w:hAnsiTheme="minorHAnsi" w:cstheme="minorHAnsi"/>
                <w:b/>
                <w:sz w:val="22"/>
                <w:szCs w:val="22"/>
              </w:rPr>
            </w:pPr>
            <w:r w:rsidRPr="000516F1">
              <w:rPr>
                <w:rFonts w:asciiTheme="minorHAnsi" w:hAnsiTheme="minorHAnsi" w:cstheme="minorHAnsi"/>
                <w:b/>
                <w:sz w:val="22"/>
                <w:szCs w:val="22"/>
              </w:rPr>
              <w:t>2019</w:t>
            </w:r>
          </w:p>
        </w:tc>
        <w:tc>
          <w:tcPr>
            <w:tcW w:w="1214" w:type="dxa"/>
            <w:shd w:val="clear" w:color="auto" w:fill="D9D9D9" w:themeFill="background1" w:themeFillShade="D9"/>
          </w:tcPr>
          <w:p w14:paraId="404EB26B" w14:textId="77777777" w:rsidR="000B4723" w:rsidRPr="000516F1" w:rsidRDefault="000B4723" w:rsidP="004D0621">
            <w:pPr>
              <w:pStyle w:val="BodyText"/>
              <w:ind w:left="0"/>
              <w:rPr>
                <w:rFonts w:asciiTheme="minorHAnsi" w:hAnsiTheme="minorHAnsi" w:cstheme="minorHAnsi"/>
                <w:b/>
                <w:sz w:val="22"/>
                <w:szCs w:val="22"/>
              </w:rPr>
            </w:pPr>
            <w:r w:rsidRPr="000516F1">
              <w:rPr>
                <w:rFonts w:asciiTheme="minorHAnsi" w:hAnsiTheme="minorHAnsi" w:cstheme="minorHAnsi"/>
                <w:b/>
                <w:sz w:val="22"/>
                <w:szCs w:val="22"/>
              </w:rPr>
              <w:t>2020</w:t>
            </w:r>
          </w:p>
        </w:tc>
      </w:tr>
      <w:tr w:rsidR="00760257" w:rsidRPr="00832D3A" w14:paraId="0E1FC568" w14:textId="77777777" w:rsidTr="00FC4A83">
        <w:trPr>
          <w:jc w:val="center"/>
        </w:trPr>
        <w:tc>
          <w:tcPr>
            <w:tcW w:w="2695" w:type="dxa"/>
          </w:tcPr>
          <w:p w14:paraId="6580F3A6" w14:textId="79BEC108" w:rsidR="00820AF9" w:rsidRPr="00210FAD" w:rsidRDefault="00820AF9" w:rsidP="00820AF9">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Breast MRI Volume</w:t>
            </w:r>
          </w:p>
        </w:tc>
        <w:tc>
          <w:tcPr>
            <w:tcW w:w="1213" w:type="dxa"/>
          </w:tcPr>
          <w:p w14:paraId="1F10269C" w14:textId="1ED148CC" w:rsidR="00820AF9" w:rsidRPr="00210FAD" w:rsidRDefault="00820AF9" w:rsidP="00820AF9">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630</w:t>
            </w:r>
          </w:p>
        </w:tc>
        <w:tc>
          <w:tcPr>
            <w:tcW w:w="1214" w:type="dxa"/>
          </w:tcPr>
          <w:p w14:paraId="49A5F973" w14:textId="661B3095" w:rsidR="00820AF9" w:rsidRPr="00210FAD" w:rsidRDefault="00820AF9" w:rsidP="00820AF9">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731</w:t>
            </w:r>
          </w:p>
        </w:tc>
        <w:tc>
          <w:tcPr>
            <w:tcW w:w="1214" w:type="dxa"/>
          </w:tcPr>
          <w:p w14:paraId="7F5F9541" w14:textId="690305B1" w:rsidR="00820AF9" w:rsidRPr="00210FAD" w:rsidRDefault="00820AF9" w:rsidP="00820AF9">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996</w:t>
            </w:r>
          </w:p>
        </w:tc>
        <w:tc>
          <w:tcPr>
            <w:tcW w:w="1214" w:type="dxa"/>
          </w:tcPr>
          <w:p w14:paraId="10EDCEB6" w14:textId="23739097" w:rsidR="00820AF9" w:rsidRPr="00210FAD" w:rsidRDefault="00820AF9" w:rsidP="00820AF9">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971</w:t>
            </w:r>
          </w:p>
        </w:tc>
      </w:tr>
      <w:tr w:rsidR="00760257" w:rsidRPr="00832D3A" w14:paraId="7FD8095B" w14:textId="77777777" w:rsidTr="00FC4A83">
        <w:trPr>
          <w:jc w:val="center"/>
        </w:trPr>
        <w:tc>
          <w:tcPr>
            <w:tcW w:w="2695" w:type="dxa"/>
          </w:tcPr>
          <w:p w14:paraId="73E4DD7A" w14:textId="68B7A0FE" w:rsidR="00820AF9" w:rsidRPr="00210FAD" w:rsidRDefault="00820AF9" w:rsidP="00040F88">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 xml:space="preserve">Breast </w:t>
            </w:r>
            <w:r w:rsidR="00040F88" w:rsidRPr="00210FAD">
              <w:rPr>
                <w:rFonts w:asciiTheme="minorHAnsi" w:hAnsiTheme="minorHAnsi" w:cstheme="minorHAnsi"/>
                <w:bCs/>
                <w:sz w:val="22"/>
                <w:szCs w:val="22"/>
              </w:rPr>
              <w:t xml:space="preserve">Biopsy </w:t>
            </w:r>
            <w:r w:rsidRPr="00210FAD">
              <w:rPr>
                <w:rFonts w:asciiTheme="minorHAnsi" w:hAnsiTheme="minorHAnsi" w:cstheme="minorHAnsi"/>
                <w:bCs/>
                <w:sz w:val="22"/>
                <w:szCs w:val="22"/>
              </w:rPr>
              <w:t>MRI Volume</w:t>
            </w:r>
          </w:p>
        </w:tc>
        <w:tc>
          <w:tcPr>
            <w:tcW w:w="1213" w:type="dxa"/>
          </w:tcPr>
          <w:p w14:paraId="2E118217" w14:textId="249F5262" w:rsidR="00820AF9" w:rsidRPr="00210FAD" w:rsidRDefault="00820AF9" w:rsidP="00820AF9">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18</w:t>
            </w:r>
          </w:p>
        </w:tc>
        <w:tc>
          <w:tcPr>
            <w:tcW w:w="1214" w:type="dxa"/>
          </w:tcPr>
          <w:p w14:paraId="70B86E11" w14:textId="114FCA70" w:rsidR="00820AF9" w:rsidRPr="00210FAD" w:rsidRDefault="00820AF9" w:rsidP="00820AF9">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33</w:t>
            </w:r>
          </w:p>
        </w:tc>
        <w:tc>
          <w:tcPr>
            <w:tcW w:w="1214" w:type="dxa"/>
          </w:tcPr>
          <w:p w14:paraId="6E63677A" w14:textId="441C099F" w:rsidR="00820AF9" w:rsidRPr="00210FAD" w:rsidRDefault="00820AF9" w:rsidP="00820AF9">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56</w:t>
            </w:r>
          </w:p>
        </w:tc>
        <w:tc>
          <w:tcPr>
            <w:tcW w:w="1214" w:type="dxa"/>
          </w:tcPr>
          <w:p w14:paraId="7685A356" w14:textId="16CD1E21" w:rsidR="00820AF9" w:rsidRPr="00210FAD" w:rsidRDefault="00820AF9" w:rsidP="00820AF9">
            <w:pPr>
              <w:pStyle w:val="BodyText"/>
              <w:ind w:left="0"/>
              <w:rPr>
                <w:rFonts w:asciiTheme="minorHAnsi" w:hAnsiTheme="minorHAnsi" w:cstheme="minorHAnsi"/>
                <w:bCs/>
                <w:sz w:val="22"/>
                <w:szCs w:val="22"/>
              </w:rPr>
            </w:pPr>
            <w:r w:rsidRPr="00210FAD">
              <w:rPr>
                <w:rFonts w:asciiTheme="minorHAnsi" w:hAnsiTheme="minorHAnsi" w:cstheme="minorHAnsi"/>
                <w:bCs/>
                <w:sz w:val="22"/>
                <w:szCs w:val="22"/>
              </w:rPr>
              <w:t>71</w:t>
            </w:r>
          </w:p>
        </w:tc>
      </w:tr>
    </w:tbl>
    <w:p w14:paraId="75569935" w14:textId="77777777" w:rsidR="00820AF9" w:rsidRPr="00832D3A" w:rsidRDefault="00820AF9" w:rsidP="00820AF9">
      <w:pPr>
        <w:pStyle w:val="BodyText"/>
        <w:ind w:left="2520"/>
        <w:rPr>
          <w:rFonts w:asciiTheme="minorHAnsi" w:hAnsiTheme="minorHAnsi" w:cstheme="minorHAnsi"/>
          <w:b/>
          <w:color w:val="FF0000"/>
          <w:sz w:val="22"/>
          <w:szCs w:val="22"/>
        </w:rPr>
      </w:pPr>
    </w:p>
    <w:p w14:paraId="31C76D0B" w14:textId="77777777" w:rsidR="006E6732" w:rsidRPr="00832D3A" w:rsidRDefault="006E6732" w:rsidP="00F44B4A">
      <w:pPr>
        <w:pStyle w:val="ListParagraph"/>
        <w:spacing w:after="0" w:line="240" w:lineRule="auto"/>
        <w:ind w:left="1800"/>
        <w:rPr>
          <w:rFonts w:cstheme="minorHAnsi"/>
        </w:rPr>
      </w:pPr>
    </w:p>
    <w:p w14:paraId="0C7E2E56" w14:textId="3B74F0F2" w:rsidR="00FB3938" w:rsidRPr="00832D3A" w:rsidRDefault="00911747" w:rsidP="00561BCC">
      <w:pPr>
        <w:spacing w:after="0" w:line="240" w:lineRule="auto"/>
        <w:rPr>
          <w:rFonts w:cstheme="minorHAnsi"/>
          <w:b/>
          <w:bCs/>
          <w:i/>
          <w:iCs/>
        </w:rPr>
      </w:pPr>
      <w:r w:rsidRPr="00832D3A">
        <w:rPr>
          <w:rFonts w:cstheme="minorHAnsi"/>
          <w:b/>
          <w:bCs/>
          <w:i/>
          <w:iCs/>
        </w:rPr>
        <w:t xml:space="preserve">Factor 1 b </w:t>
      </w:r>
      <w:r w:rsidR="00FB3938" w:rsidRPr="00832D3A">
        <w:rPr>
          <w:rFonts w:cstheme="minorHAnsi"/>
          <w:b/>
          <w:bCs/>
          <w:i/>
          <w:iCs/>
        </w:rPr>
        <w:t xml:space="preserve">Public Health Value </w:t>
      </w:r>
    </w:p>
    <w:p w14:paraId="104C37A7" w14:textId="77777777" w:rsidR="00133672" w:rsidRPr="00832D3A" w:rsidRDefault="00133672" w:rsidP="00561BCC">
      <w:pPr>
        <w:spacing w:after="0" w:line="240" w:lineRule="auto"/>
        <w:rPr>
          <w:rFonts w:cstheme="minorHAnsi"/>
          <w:b/>
          <w:bCs/>
          <w:i/>
          <w:iCs/>
        </w:rPr>
      </w:pPr>
    </w:p>
    <w:p w14:paraId="088C776B" w14:textId="61BD878A" w:rsidR="00285A3B" w:rsidRPr="00AD3E6E" w:rsidRDefault="009178DF" w:rsidP="00AD3E6E">
      <w:pPr>
        <w:pStyle w:val="ListParagraph"/>
        <w:numPr>
          <w:ilvl w:val="0"/>
          <w:numId w:val="5"/>
        </w:numPr>
        <w:spacing w:after="0" w:line="240" w:lineRule="auto"/>
        <w:rPr>
          <w:rFonts w:cstheme="minorHAnsi"/>
          <w:b/>
          <w:bCs/>
        </w:rPr>
      </w:pPr>
      <w:r w:rsidRPr="00210FAD">
        <w:rPr>
          <w:rFonts w:cstheme="minorHAnsi"/>
          <w:b/>
          <w:bCs/>
        </w:rPr>
        <w:t>Describe access to interpreter services for patients</w:t>
      </w:r>
      <w:r w:rsidR="00E73075" w:rsidRPr="00210FAD">
        <w:rPr>
          <w:rFonts w:cstheme="minorHAnsi"/>
          <w:b/>
          <w:bCs/>
        </w:rPr>
        <w:t xml:space="preserve"> transferred </w:t>
      </w:r>
      <w:r w:rsidR="009F4524" w:rsidRPr="00210FAD">
        <w:rPr>
          <w:rFonts w:cstheme="minorHAnsi"/>
          <w:b/>
          <w:bCs/>
        </w:rPr>
        <w:t xml:space="preserve">from South Shore Hospital </w:t>
      </w:r>
      <w:r w:rsidR="008D5359" w:rsidRPr="00210FAD">
        <w:rPr>
          <w:rFonts w:cstheme="minorHAnsi"/>
          <w:b/>
          <w:bCs/>
        </w:rPr>
        <w:t>to S</w:t>
      </w:r>
      <w:r w:rsidR="0027783A" w:rsidRPr="00210FAD">
        <w:rPr>
          <w:rFonts w:cstheme="minorHAnsi"/>
          <w:b/>
          <w:bCs/>
        </w:rPr>
        <w:t xml:space="preserve">outh Shore </w:t>
      </w:r>
      <w:r w:rsidR="002B26CD" w:rsidRPr="00210FAD">
        <w:rPr>
          <w:rFonts w:cstheme="minorHAnsi"/>
          <w:b/>
          <w:bCs/>
        </w:rPr>
        <w:t>Hospital’s</w:t>
      </w:r>
      <w:r w:rsidR="00F93DD2" w:rsidRPr="00210FAD">
        <w:rPr>
          <w:rFonts w:cstheme="minorHAnsi"/>
          <w:b/>
          <w:bCs/>
        </w:rPr>
        <w:t xml:space="preserve"> outpatient MRI</w:t>
      </w:r>
      <w:r w:rsidR="008D5359" w:rsidRPr="00210FAD">
        <w:rPr>
          <w:rFonts w:cstheme="minorHAnsi"/>
          <w:b/>
          <w:bCs/>
        </w:rPr>
        <w:t xml:space="preserve"> facilities</w:t>
      </w:r>
      <w:r w:rsidR="00F93DD2" w:rsidRPr="00210FAD">
        <w:rPr>
          <w:rFonts w:cstheme="minorHAnsi"/>
          <w:b/>
          <w:bCs/>
        </w:rPr>
        <w:t xml:space="preserve"> for </w:t>
      </w:r>
      <w:r w:rsidR="00A603FC" w:rsidRPr="00210FAD">
        <w:rPr>
          <w:rFonts w:cstheme="minorHAnsi"/>
          <w:b/>
          <w:bCs/>
        </w:rPr>
        <w:t>imaging</w:t>
      </w:r>
      <w:r w:rsidR="00E73075" w:rsidRPr="00210FAD">
        <w:rPr>
          <w:rFonts w:cstheme="minorHAnsi"/>
          <w:b/>
          <w:bCs/>
        </w:rPr>
        <w:t>.</w:t>
      </w:r>
      <w:r w:rsidR="00E45AA9" w:rsidRPr="00210FAD">
        <w:rPr>
          <w:rFonts w:cstheme="minorHAnsi"/>
          <w:b/>
          <w:bCs/>
        </w:rPr>
        <w:t xml:space="preserve">  </w:t>
      </w:r>
    </w:p>
    <w:p w14:paraId="18FFA486" w14:textId="1A507F89" w:rsidR="00F956B0" w:rsidRPr="00210FAD" w:rsidRDefault="00BA186B" w:rsidP="000B4723">
      <w:pPr>
        <w:pStyle w:val="ListParagraph"/>
        <w:numPr>
          <w:ilvl w:val="1"/>
          <w:numId w:val="46"/>
        </w:numPr>
        <w:spacing w:after="0" w:line="240" w:lineRule="auto"/>
        <w:ind w:left="1080"/>
        <w:rPr>
          <w:rFonts w:cstheme="minorHAnsi"/>
          <w:bCs/>
        </w:rPr>
      </w:pPr>
      <w:r w:rsidRPr="00210FAD">
        <w:rPr>
          <w:rFonts w:cstheme="minorHAnsi"/>
          <w:bCs/>
        </w:rPr>
        <w:t xml:space="preserve">The same access for interpreter services is available for SSHS MRI patients regardless of scanning location.  </w:t>
      </w:r>
      <w:r w:rsidR="00E45AA9" w:rsidRPr="00210FAD">
        <w:rPr>
          <w:rFonts w:cstheme="minorHAnsi"/>
          <w:bCs/>
        </w:rPr>
        <w:t xml:space="preserve">Interpreter services are offered in multiple way: in person thru Benoit Interprets, video conferencing, and 3-way phone call, provide by CyraCom Interpreter Services. As per hospital policy on availability of interpreter services. </w:t>
      </w:r>
    </w:p>
    <w:p w14:paraId="57924557" w14:textId="77777777" w:rsidR="00285A3B" w:rsidRPr="00832D3A" w:rsidRDefault="00285A3B" w:rsidP="00285A3B">
      <w:pPr>
        <w:pStyle w:val="ListParagraph"/>
        <w:spacing w:after="0" w:line="240" w:lineRule="auto"/>
        <w:ind w:left="1440"/>
        <w:rPr>
          <w:rFonts w:cstheme="minorHAnsi"/>
          <w:b/>
          <w:color w:val="0070C0"/>
        </w:rPr>
      </w:pPr>
    </w:p>
    <w:p w14:paraId="09D28F1E" w14:textId="7CA204C4" w:rsidR="00A9164D" w:rsidRPr="00210FAD" w:rsidRDefault="00587600" w:rsidP="00C4763D">
      <w:pPr>
        <w:pStyle w:val="ListParagraph"/>
        <w:numPr>
          <w:ilvl w:val="0"/>
          <w:numId w:val="5"/>
        </w:numPr>
        <w:spacing w:after="0" w:line="240" w:lineRule="auto"/>
        <w:rPr>
          <w:rFonts w:cstheme="minorHAnsi"/>
          <w:b/>
          <w:bCs/>
        </w:rPr>
      </w:pPr>
      <w:r w:rsidRPr="00210FAD">
        <w:rPr>
          <w:rFonts w:cstheme="minorHAnsi"/>
          <w:b/>
          <w:bCs/>
        </w:rPr>
        <w:t>S</w:t>
      </w:r>
      <w:r w:rsidR="0027783A" w:rsidRPr="00210FAD">
        <w:rPr>
          <w:rFonts w:cstheme="minorHAnsi"/>
          <w:b/>
          <w:bCs/>
        </w:rPr>
        <w:t>outh Shore Health System</w:t>
      </w:r>
      <w:r w:rsidRPr="00210FAD">
        <w:rPr>
          <w:rFonts w:cstheme="minorHAnsi"/>
          <w:b/>
          <w:bCs/>
        </w:rPr>
        <w:t xml:space="preserve"> has implemented several population health initiatives to further promote health equity. One such initiative is S</w:t>
      </w:r>
      <w:r w:rsidR="00D866CA" w:rsidRPr="00210FAD">
        <w:rPr>
          <w:rFonts w:cstheme="minorHAnsi"/>
          <w:b/>
          <w:bCs/>
        </w:rPr>
        <w:t>ocial Determinant of Health (SDoH)</w:t>
      </w:r>
      <w:r w:rsidRPr="00210FAD">
        <w:rPr>
          <w:rFonts w:cstheme="minorHAnsi"/>
          <w:b/>
          <w:bCs/>
        </w:rPr>
        <w:t xml:space="preserve"> screening for Medicaid A</w:t>
      </w:r>
      <w:r w:rsidR="00D866CA" w:rsidRPr="00210FAD">
        <w:rPr>
          <w:rFonts w:cstheme="minorHAnsi"/>
          <w:b/>
          <w:bCs/>
        </w:rPr>
        <w:t>ccountable Care Organization (ACO)</w:t>
      </w:r>
      <w:r w:rsidRPr="00210FAD">
        <w:rPr>
          <w:rFonts w:cstheme="minorHAnsi"/>
          <w:b/>
          <w:bCs/>
        </w:rPr>
        <w:t xml:space="preserve"> patients (pg.</w:t>
      </w:r>
      <w:r w:rsidR="00E54D9E" w:rsidRPr="00210FAD">
        <w:rPr>
          <w:rFonts w:cstheme="minorHAnsi"/>
          <w:b/>
          <w:bCs/>
        </w:rPr>
        <w:t>14</w:t>
      </w:r>
      <w:r w:rsidRPr="00210FAD">
        <w:rPr>
          <w:rFonts w:cstheme="minorHAnsi"/>
          <w:b/>
          <w:bCs/>
        </w:rPr>
        <w:t xml:space="preserve">). </w:t>
      </w:r>
      <w:r w:rsidR="003B09B5" w:rsidRPr="00210FAD">
        <w:rPr>
          <w:rFonts w:cstheme="minorHAnsi"/>
          <w:b/>
          <w:bCs/>
        </w:rPr>
        <w:t>Describe</w:t>
      </w:r>
      <w:r w:rsidRPr="00210FAD">
        <w:rPr>
          <w:rFonts w:cstheme="minorHAnsi"/>
          <w:b/>
          <w:bCs/>
        </w:rPr>
        <w:t xml:space="preserve"> other population health initiatives to promote health equity among the </w:t>
      </w:r>
      <w:r w:rsidR="00AD7A33" w:rsidRPr="00210FAD">
        <w:rPr>
          <w:rFonts w:cstheme="minorHAnsi"/>
          <w:b/>
          <w:bCs/>
        </w:rPr>
        <w:t>P</w:t>
      </w:r>
      <w:r w:rsidRPr="00210FAD">
        <w:rPr>
          <w:rFonts w:cstheme="minorHAnsi"/>
          <w:b/>
          <w:bCs/>
        </w:rPr>
        <w:t xml:space="preserve">atient </w:t>
      </w:r>
      <w:r w:rsidR="00AD7A33" w:rsidRPr="00210FAD">
        <w:rPr>
          <w:rFonts w:cstheme="minorHAnsi"/>
          <w:b/>
          <w:bCs/>
        </w:rPr>
        <w:t>P</w:t>
      </w:r>
      <w:r w:rsidRPr="00210FAD">
        <w:rPr>
          <w:rFonts w:cstheme="minorHAnsi"/>
          <w:b/>
          <w:bCs/>
        </w:rPr>
        <w:t>anel</w:t>
      </w:r>
      <w:r w:rsidR="00204B7D" w:rsidRPr="00210FAD">
        <w:rPr>
          <w:rFonts w:cstheme="minorHAnsi"/>
          <w:b/>
          <w:bCs/>
        </w:rPr>
        <w:t>.</w:t>
      </w:r>
      <w:r w:rsidR="00E45AA9" w:rsidRPr="00210FAD">
        <w:rPr>
          <w:rFonts w:cstheme="minorHAnsi"/>
          <w:b/>
          <w:bCs/>
        </w:rPr>
        <w:t xml:space="preserve"> </w:t>
      </w:r>
    </w:p>
    <w:p w14:paraId="6E9DD86C" w14:textId="77777777" w:rsidR="00CD3431" w:rsidRPr="00832D3A" w:rsidRDefault="00CD3431" w:rsidP="00CD3431">
      <w:pPr>
        <w:pStyle w:val="ListParagraph"/>
        <w:spacing w:after="0" w:line="240" w:lineRule="auto"/>
        <w:rPr>
          <w:rFonts w:cstheme="minorHAnsi"/>
        </w:rPr>
      </w:pPr>
    </w:p>
    <w:p w14:paraId="4416AD67" w14:textId="2A2DD99A" w:rsidR="005F0724" w:rsidRPr="00210FAD" w:rsidRDefault="005F0724" w:rsidP="005F0724">
      <w:pPr>
        <w:pStyle w:val="ListParagraph"/>
        <w:numPr>
          <w:ilvl w:val="0"/>
          <w:numId w:val="23"/>
        </w:numPr>
        <w:rPr>
          <w:rFonts w:cstheme="minorHAnsi"/>
          <w:bCs/>
        </w:rPr>
      </w:pPr>
      <w:r w:rsidRPr="00210FAD">
        <w:rPr>
          <w:rFonts w:cstheme="minorHAnsi"/>
          <w:bCs/>
        </w:rPr>
        <w:t xml:space="preserve">Over this last fiscal year, South Shore Health tackled two initiatives specific to the Thrive screening tool and the requirements of the Medicaid ACO.  The first initiative incorporated positive screens for food insecurity. Positive screened patients are reviewed for eligibility to participate in our Flexible Services Program.  In partnership with a local </w:t>
      </w:r>
      <w:r w:rsidR="00210FAD">
        <w:rPr>
          <w:rFonts w:cstheme="minorHAnsi"/>
          <w:bCs/>
        </w:rPr>
        <w:t>social services organization</w:t>
      </w:r>
      <w:r w:rsidRPr="00210FAD">
        <w:rPr>
          <w:rFonts w:cstheme="minorHAnsi"/>
          <w:bCs/>
        </w:rPr>
        <w:t>, this program delivers nutritious food to a large geographic area of the South Shore.  Patients receive a follow up phone call from the Social Worker after 12 weeks to screen for improvement of food insecurity and behavioral health status.  This program, which started in November of 2020, has been successful enough to reach near capacity.  Patients can also be referred to Project Bread, which includes transportation to the grocery store and gift cards for purchases.</w:t>
      </w:r>
    </w:p>
    <w:p w14:paraId="350726C1" w14:textId="38A7EA11" w:rsidR="005F0724" w:rsidRPr="00210FAD" w:rsidRDefault="005F0724" w:rsidP="005F0724">
      <w:pPr>
        <w:pStyle w:val="ListParagraph"/>
        <w:numPr>
          <w:ilvl w:val="0"/>
          <w:numId w:val="23"/>
        </w:numPr>
        <w:rPr>
          <w:rFonts w:cstheme="minorHAnsi"/>
          <w:bCs/>
        </w:rPr>
      </w:pPr>
      <w:r w:rsidRPr="00210FAD">
        <w:rPr>
          <w:rFonts w:cstheme="minorHAnsi"/>
          <w:bCs/>
        </w:rPr>
        <w:t xml:space="preserve">The second initiative involved screening for the Experience of Violence via the Thrive tool. SSH brought in representatives from DOVE to educate providers on having these conversations </w:t>
      </w:r>
      <w:r w:rsidR="00E430C9" w:rsidRPr="00210FAD">
        <w:rPr>
          <w:rFonts w:cstheme="minorHAnsi"/>
          <w:bCs/>
        </w:rPr>
        <w:t xml:space="preserve">related to domestic violence </w:t>
      </w:r>
      <w:r w:rsidRPr="00210FAD">
        <w:rPr>
          <w:rFonts w:cstheme="minorHAnsi"/>
          <w:bCs/>
        </w:rPr>
        <w:t>with patients. In addition, a blog has been included on the website for all community audiences.  Posters with domestic violence resources have been posted in all primary care exam rooms and bathrooms.</w:t>
      </w:r>
    </w:p>
    <w:p w14:paraId="57AE5D4E" w14:textId="77777777" w:rsidR="003301B7" w:rsidRDefault="00E430C9" w:rsidP="005F0724">
      <w:pPr>
        <w:pStyle w:val="ListParagraph"/>
        <w:numPr>
          <w:ilvl w:val="0"/>
          <w:numId w:val="23"/>
        </w:numPr>
        <w:spacing w:after="0" w:line="240" w:lineRule="auto"/>
        <w:rPr>
          <w:rFonts w:cstheme="minorHAnsi"/>
          <w:bCs/>
        </w:rPr>
      </w:pPr>
      <w:r w:rsidRPr="00832D3A">
        <w:rPr>
          <w:rFonts w:cstheme="minorHAnsi"/>
          <w:bCs/>
        </w:rPr>
        <w:t>A</w:t>
      </w:r>
      <w:r w:rsidR="005F0724" w:rsidRPr="00210FAD">
        <w:rPr>
          <w:rFonts w:cstheme="minorHAnsi"/>
          <w:bCs/>
        </w:rPr>
        <w:t xml:space="preserve">nother population health initiative is </w:t>
      </w:r>
      <w:r w:rsidR="004E0802" w:rsidRPr="00832D3A">
        <w:rPr>
          <w:rFonts w:cstheme="minorHAnsi"/>
          <w:bCs/>
        </w:rPr>
        <w:t>SSH’s</w:t>
      </w:r>
      <w:r w:rsidR="004E0802" w:rsidRPr="00210FAD">
        <w:rPr>
          <w:rFonts w:cstheme="minorHAnsi"/>
          <w:bCs/>
        </w:rPr>
        <w:t xml:space="preserve"> </w:t>
      </w:r>
      <w:r w:rsidR="005F0724" w:rsidRPr="00210FAD">
        <w:rPr>
          <w:rFonts w:cstheme="minorHAnsi"/>
          <w:bCs/>
        </w:rPr>
        <w:t xml:space="preserve">Mobile Integrated Health (MIH) program which launched in March 2020. With the goal of providing increased access to healthcare to those patients </w:t>
      </w:r>
    </w:p>
    <w:p w14:paraId="48759515" w14:textId="77777777" w:rsidR="003301B7" w:rsidRPr="00054FF4" w:rsidRDefault="003301B7" w:rsidP="003301B7">
      <w:pPr>
        <w:pStyle w:val="Heading1"/>
      </w:pPr>
      <w:r w:rsidRPr="00054FF4">
        <w:lastRenderedPageBreak/>
        <w:t xml:space="preserve">APPLICANT </w:t>
      </w:r>
      <w:r>
        <w:t>RESPONSES</w:t>
      </w:r>
    </w:p>
    <w:p w14:paraId="56235C7F" w14:textId="77777777" w:rsidR="003301B7" w:rsidRDefault="003301B7" w:rsidP="003301B7">
      <w:pPr>
        <w:pStyle w:val="ListParagraph"/>
        <w:spacing w:after="0" w:line="240" w:lineRule="auto"/>
        <w:ind w:left="1080"/>
        <w:rPr>
          <w:rFonts w:cstheme="minorHAnsi"/>
          <w:bCs/>
        </w:rPr>
      </w:pPr>
    </w:p>
    <w:p w14:paraId="6E6687E3" w14:textId="1207F3DF" w:rsidR="005F0724" w:rsidRPr="00210FAD" w:rsidRDefault="005F0724" w:rsidP="005F0724">
      <w:pPr>
        <w:pStyle w:val="ListParagraph"/>
        <w:numPr>
          <w:ilvl w:val="0"/>
          <w:numId w:val="23"/>
        </w:numPr>
        <w:spacing w:after="0" w:line="240" w:lineRule="auto"/>
        <w:rPr>
          <w:rFonts w:cstheme="minorHAnsi"/>
          <w:bCs/>
        </w:rPr>
      </w:pPr>
      <w:r w:rsidRPr="00210FAD">
        <w:rPr>
          <w:rFonts w:cstheme="minorHAnsi"/>
          <w:bCs/>
        </w:rPr>
        <w:t>with transportation or other SDOH challenges.  The MIH program dispatches paramedics out to the patient home where they are able to provide patient care under the direct supervision of a physician Medical Director including facilitated telehealth with providers, labs, IV treatments and mobile imaging services to avoid the need for unnecessary ED visits or inpatient hospitalization. The MIH team actively completes additional SDoH screening via the THRIVE tool with patients that they serve.</w:t>
      </w:r>
    </w:p>
    <w:p w14:paraId="40C386C2" w14:textId="3A4A316A" w:rsidR="00497D0D" w:rsidRPr="00210FAD" w:rsidRDefault="005F0724" w:rsidP="005F0724">
      <w:pPr>
        <w:pStyle w:val="ListParagraph"/>
        <w:numPr>
          <w:ilvl w:val="0"/>
          <w:numId w:val="23"/>
        </w:numPr>
        <w:spacing w:after="0" w:line="240" w:lineRule="auto"/>
        <w:rPr>
          <w:rFonts w:cstheme="minorHAnsi"/>
          <w:bCs/>
        </w:rPr>
      </w:pPr>
      <w:r w:rsidRPr="00210FAD">
        <w:rPr>
          <w:rFonts w:cstheme="minorHAnsi"/>
          <w:bCs/>
        </w:rPr>
        <w:t>Lastly, SDoH screening occurs in various forms within Care Management of patient populations across the System of Care. Hospital discharge planning incorporates elements of SDoH assessment to develop an appropriate discharge plan. Patients who are engaged in one of our Care Management programs: Transitional Care, Complex Care, Advanced Illness Care or within our preferred SNF network will be assessed for SDoH considerations in the development of their overall care plan.</w:t>
      </w:r>
      <w:r w:rsidR="00752596" w:rsidRPr="00210FAD">
        <w:rPr>
          <w:rFonts w:cstheme="minorHAnsi"/>
          <w:bCs/>
        </w:rPr>
        <w:t xml:space="preserve"> </w:t>
      </w:r>
    </w:p>
    <w:p w14:paraId="620F6020" w14:textId="00198E6B" w:rsidR="00497D0D" w:rsidRPr="00210FAD" w:rsidRDefault="00497D0D" w:rsidP="005E36BC">
      <w:pPr>
        <w:pStyle w:val="ListParagraph"/>
        <w:numPr>
          <w:ilvl w:val="0"/>
          <w:numId w:val="23"/>
        </w:numPr>
        <w:rPr>
          <w:rFonts w:cstheme="minorHAnsi"/>
          <w:bCs/>
        </w:rPr>
      </w:pPr>
      <w:r w:rsidRPr="00210FAD">
        <w:rPr>
          <w:rFonts w:cstheme="minorHAnsi"/>
          <w:bCs/>
        </w:rPr>
        <w:t>South Shore Health has engaged in a number of community</w:t>
      </w:r>
      <w:r w:rsidR="00E36C4E" w:rsidRPr="00210FAD">
        <w:rPr>
          <w:rFonts w:cstheme="minorHAnsi"/>
          <w:bCs/>
        </w:rPr>
        <w:t>-</w:t>
      </w:r>
      <w:r w:rsidRPr="00210FAD">
        <w:rPr>
          <w:rFonts w:cstheme="minorHAnsi"/>
          <w:bCs/>
        </w:rPr>
        <w:t>based health equity initiatives as follows:</w:t>
      </w:r>
    </w:p>
    <w:p w14:paraId="4A5C5BF1" w14:textId="4ADE1EDA" w:rsidR="00497D0D" w:rsidRPr="00210FAD" w:rsidRDefault="00497D0D" w:rsidP="00210FAD">
      <w:pPr>
        <w:pStyle w:val="ListParagraph"/>
        <w:numPr>
          <w:ilvl w:val="1"/>
          <w:numId w:val="23"/>
        </w:numPr>
        <w:spacing w:after="0" w:line="240" w:lineRule="auto"/>
        <w:contextualSpacing w:val="0"/>
        <w:rPr>
          <w:rFonts w:cstheme="minorHAnsi"/>
          <w:bCs/>
        </w:rPr>
      </w:pPr>
      <w:r w:rsidRPr="00210FAD">
        <w:rPr>
          <w:rFonts w:cstheme="minorHAnsi"/>
          <w:bCs/>
        </w:rPr>
        <w:t>The Brazilian Community Health project is in the 6</w:t>
      </w:r>
      <w:r w:rsidRPr="00210FAD">
        <w:rPr>
          <w:rFonts w:cstheme="minorHAnsi"/>
          <w:bCs/>
          <w:vertAlign w:val="superscript"/>
        </w:rPr>
        <w:t>th</w:t>
      </w:r>
      <w:r w:rsidRPr="00210FAD">
        <w:rPr>
          <w:rFonts w:cstheme="minorHAnsi"/>
          <w:bCs/>
        </w:rPr>
        <w:t xml:space="preserve"> year.  Starting in the basement of a local Brazilian Church the program has expanded and focused on English Second Other Languages (ESOL) for the past three years.  Partnering with Jewish Vocational Services (JVS) it has expanded to meet the language needs of other non-English speaking/early adopters of the English language.  The program is community driven with at minimum an annual meeting to drive the strategic direction</w:t>
      </w:r>
      <w:r w:rsidR="000516F1">
        <w:rPr>
          <w:rFonts w:cstheme="minorHAnsi"/>
          <w:bCs/>
        </w:rPr>
        <w:t xml:space="preserve"> and</w:t>
      </w:r>
      <w:r w:rsidRPr="00210FAD">
        <w:rPr>
          <w:rFonts w:cstheme="minorHAnsi"/>
          <w:bCs/>
        </w:rPr>
        <w:t xml:space="preserve"> focuses on language that will help </w:t>
      </w:r>
      <w:r w:rsidR="000516F1" w:rsidRPr="00210FAD">
        <w:rPr>
          <w:rFonts w:cstheme="minorHAnsi"/>
          <w:bCs/>
        </w:rPr>
        <w:t xml:space="preserve">non-English speakers </w:t>
      </w:r>
      <w:r w:rsidRPr="00210FAD">
        <w:rPr>
          <w:rFonts w:cstheme="minorHAnsi"/>
          <w:bCs/>
        </w:rPr>
        <w:t>navigate the health care system</w:t>
      </w:r>
      <w:r w:rsidR="000516F1">
        <w:rPr>
          <w:rFonts w:cstheme="minorHAnsi"/>
          <w:bCs/>
        </w:rPr>
        <w:t xml:space="preserve">. </w:t>
      </w:r>
    </w:p>
    <w:p w14:paraId="543FF767" w14:textId="6C1C412C" w:rsidR="00497D0D" w:rsidRPr="00210FAD" w:rsidRDefault="00497D0D" w:rsidP="00210FAD">
      <w:pPr>
        <w:pStyle w:val="ListParagraph"/>
        <w:numPr>
          <w:ilvl w:val="1"/>
          <w:numId w:val="23"/>
        </w:numPr>
        <w:spacing w:after="0" w:line="240" w:lineRule="auto"/>
        <w:contextualSpacing w:val="0"/>
        <w:rPr>
          <w:rFonts w:cstheme="minorHAnsi"/>
          <w:bCs/>
        </w:rPr>
      </w:pPr>
      <w:r w:rsidRPr="00210FAD">
        <w:rPr>
          <w:rFonts w:cstheme="minorHAnsi"/>
          <w:bCs/>
        </w:rPr>
        <w:t>South Shore Health (SSH) has worked for the past 3 years as a “convener” impacting homelessness and housing insecurity.  Bringing the community together and all the work that is being done prevents overlap, duplication and reveals gaps.  The goal is small steps that will grow and lead to systemic change.  Small changes such as creating a private area for exam in Father Bill’s homeless shelter when SSH’s Mobile Integrated Health is on site enhances dignity, reduces refusal for care and keeps people out of the emergency room.  SSH is working closely with Manet C</w:t>
      </w:r>
      <w:r w:rsidR="00210FAD">
        <w:rPr>
          <w:rFonts w:cstheme="minorHAnsi"/>
          <w:bCs/>
        </w:rPr>
        <w:t>ommunity Health Center</w:t>
      </w:r>
      <w:r w:rsidRPr="00210FAD">
        <w:rPr>
          <w:rFonts w:cstheme="minorHAnsi"/>
          <w:bCs/>
        </w:rPr>
        <w:t xml:space="preserve"> (a federally funded community health center) to help fill in gaps for mobile care to homeless encampments and other homeless in the community.  Providing flu vaccine and other preventative care reduces the barriers with the potential of keeping people out of the emergency room and in more appropriate settings to meet their needs.</w:t>
      </w:r>
    </w:p>
    <w:p w14:paraId="350315DE" w14:textId="2BEEDBA2" w:rsidR="00497D0D" w:rsidRPr="00210FAD" w:rsidRDefault="00497D0D" w:rsidP="00210FAD">
      <w:pPr>
        <w:pStyle w:val="ListParagraph"/>
        <w:numPr>
          <w:ilvl w:val="1"/>
          <w:numId w:val="23"/>
        </w:numPr>
        <w:spacing w:after="0" w:line="240" w:lineRule="auto"/>
        <w:contextualSpacing w:val="0"/>
        <w:rPr>
          <w:rFonts w:cstheme="minorHAnsi"/>
          <w:bCs/>
        </w:rPr>
      </w:pPr>
      <w:r w:rsidRPr="00210FAD">
        <w:rPr>
          <w:rFonts w:cstheme="minorHAnsi"/>
          <w:bCs/>
        </w:rPr>
        <w:t xml:space="preserve">Through the Youth Health Connection, </w:t>
      </w:r>
      <w:r w:rsidR="00E36C4E" w:rsidRPr="00210FAD">
        <w:rPr>
          <w:rFonts w:cstheme="minorHAnsi"/>
          <w:bCs/>
        </w:rPr>
        <w:t xml:space="preserve">SSHS provides </w:t>
      </w:r>
      <w:r w:rsidRPr="00210FAD">
        <w:rPr>
          <w:rFonts w:cstheme="minorHAnsi"/>
          <w:bCs/>
        </w:rPr>
        <w:t>outreach and education to build resiliency in</w:t>
      </w:r>
      <w:r w:rsidR="00E36C4E" w:rsidRPr="00210FAD">
        <w:rPr>
          <w:rFonts w:cstheme="minorHAnsi"/>
          <w:bCs/>
        </w:rPr>
        <w:t xml:space="preserve"> </w:t>
      </w:r>
      <w:r w:rsidRPr="00210FAD">
        <w:rPr>
          <w:rFonts w:cstheme="minorHAnsi"/>
          <w:bCs/>
        </w:rPr>
        <w:t xml:space="preserve">youth, provide tools for suicide prevention, at risk behaviors, bullying and to meet the needs of the LGBTQ youth community.  Working with schools, coalitions and other youth focused organizations </w:t>
      </w:r>
      <w:r w:rsidR="00E36C4E" w:rsidRPr="00210FAD">
        <w:rPr>
          <w:rFonts w:cstheme="minorHAnsi"/>
          <w:bCs/>
        </w:rPr>
        <w:t xml:space="preserve">focuses on a </w:t>
      </w:r>
      <w:r w:rsidRPr="00210FAD">
        <w:rPr>
          <w:rFonts w:cstheme="minorHAnsi"/>
          <w:bCs/>
        </w:rPr>
        <w:t xml:space="preserve">population that is often missed </w:t>
      </w:r>
      <w:r w:rsidR="00E36C4E" w:rsidRPr="00210FAD">
        <w:rPr>
          <w:rFonts w:cstheme="minorHAnsi"/>
          <w:bCs/>
        </w:rPr>
        <w:t>because of a so-called</w:t>
      </w:r>
      <w:r w:rsidRPr="00210FAD">
        <w:rPr>
          <w:rFonts w:cstheme="minorHAnsi"/>
          <w:bCs/>
        </w:rPr>
        <w:t xml:space="preserve"> “lack of health</w:t>
      </w:r>
      <w:r w:rsidR="00E36C4E" w:rsidRPr="00210FAD">
        <w:rPr>
          <w:rFonts w:cstheme="minorHAnsi"/>
          <w:bCs/>
        </w:rPr>
        <w:t>-</w:t>
      </w:r>
      <w:r w:rsidRPr="00210FAD">
        <w:rPr>
          <w:rFonts w:cstheme="minorHAnsi"/>
          <w:bCs/>
        </w:rPr>
        <w:t xml:space="preserve">related problems” </w:t>
      </w:r>
      <w:r w:rsidR="00E36C4E" w:rsidRPr="00210FAD">
        <w:rPr>
          <w:rFonts w:cstheme="minorHAnsi"/>
          <w:bCs/>
        </w:rPr>
        <w:t xml:space="preserve">and </w:t>
      </w:r>
      <w:r w:rsidRPr="00210FAD">
        <w:rPr>
          <w:rFonts w:cstheme="minorHAnsi"/>
          <w:bCs/>
        </w:rPr>
        <w:t>provides a long</w:t>
      </w:r>
      <w:r w:rsidR="00E36C4E" w:rsidRPr="00210FAD">
        <w:rPr>
          <w:rFonts w:cstheme="minorHAnsi"/>
          <w:bCs/>
        </w:rPr>
        <w:t>-</w:t>
      </w:r>
      <w:r w:rsidRPr="00210FAD">
        <w:rPr>
          <w:rFonts w:cstheme="minorHAnsi"/>
          <w:bCs/>
        </w:rPr>
        <w:t>lasting foundation that will hopefully have a lifelong impact.</w:t>
      </w:r>
    </w:p>
    <w:p w14:paraId="526AAB42" w14:textId="7BD9E759" w:rsidR="00497D0D" w:rsidRPr="00210FAD" w:rsidRDefault="00E36C4E" w:rsidP="00210FAD">
      <w:pPr>
        <w:pStyle w:val="ListParagraph"/>
        <w:numPr>
          <w:ilvl w:val="1"/>
          <w:numId w:val="23"/>
        </w:numPr>
        <w:spacing w:after="0" w:line="240" w:lineRule="auto"/>
        <w:contextualSpacing w:val="0"/>
        <w:rPr>
          <w:rFonts w:cstheme="minorHAnsi"/>
          <w:bCs/>
        </w:rPr>
      </w:pPr>
      <w:r w:rsidRPr="00210FAD">
        <w:rPr>
          <w:rFonts w:cstheme="minorHAnsi"/>
          <w:bCs/>
        </w:rPr>
        <w:t>D</w:t>
      </w:r>
      <w:r w:rsidR="00497D0D" w:rsidRPr="00210FAD">
        <w:rPr>
          <w:rFonts w:cstheme="minorHAnsi"/>
          <w:bCs/>
        </w:rPr>
        <w:t>uring the pandemic</w:t>
      </w:r>
      <w:r w:rsidRPr="00210FAD">
        <w:rPr>
          <w:rFonts w:cstheme="minorHAnsi"/>
          <w:bCs/>
        </w:rPr>
        <w:t xml:space="preserve">, </w:t>
      </w:r>
      <w:r w:rsidR="00497D0D" w:rsidRPr="00210FAD">
        <w:rPr>
          <w:rFonts w:cstheme="minorHAnsi"/>
          <w:bCs/>
        </w:rPr>
        <w:t>social isolation and reduction in preventable health care revealed a large</w:t>
      </w:r>
      <w:r w:rsidRPr="00210FAD">
        <w:rPr>
          <w:rFonts w:cstheme="minorHAnsi"/>
          <w:bCs/>
        </w:rPr>
        <w:t>,</w:t>
      </w:r>
      <w:r w:rsidR="00497D0D" w:rsidRPr="00210FAD">
        <w:rPr>
          <w:rFonts w:cstheme="minorHAnsi"/>
          <w:bCs/>
        </w:rPr>
        <w:t xml:space="preserve"> underserved population.  The Healthy Aging Connection began before the Pandemic, </w:t>
      </w:r>
      <w:r w:rsidRPr="00210FAD">
        <w:rPr>
          <w:rFonts w:cstheme="minorHAnsi"/>
          <w:bCs/>
        </w:rPr>
        <w:t>but</w:t>
      </w:r>
      <w:r w:rsidR="00497D0D" w:rsidRPr="00210FAD">
        <w:rPr>
          <w:rFonts w:cstheme="minorHAnsi"/>
          <w:bCs/>
        </w:rPr>
        <w:t xml:space="preserve"> quickly became even more relevant.  Through connections with local Council of Aging’s</w:t>
      </w:r>
      <w:r w:rsidRPr="00210FAD">
        <w:rPr>
          <w:rFonts w:cstheme="minorHAnsi"/>
          <w:bCs/>
        </w:rPr>
        <w:t xml:space="preserve"> </w:t>
      </w:r>
      <w:r w:rsidR="00497D0D" w:rsidRPr="00210FAD">
        <w:rPr>
          <w:rFonts w:cstheme="minorHAnsi"/>
          <w:bCs/>
        </w:rPr>
        <w:t>Aging Services Access Point</w:t>
      </w:r>
      <w:r w:rsidRPr="00210FAD">
        <w:rPr>
          <w:rFonts w:cstheme="minorHAnsi"/>
          <w:bCs/>
        </w:rPr>
        <w:t>s</w:t>
      </w:r>
      <w:r w:rsidR="00497D0D" w:rsidRPr="00210FAD">
        <w:rPr>
          <w:rFonts w:cstheme="minorHAnsi"/>
          <w:bCs/>
        </w:rPr>
        <w:t xml:space="preserve"> (ASAP) and other organizations such as Enhanced Asian Community on Health (EACH)</w:t>
      </w:r>
      <w:r w:rsidRPr="00210FAD">
        <w:rPr>
          <w:rFonts w:cstheme="minorHAnsi"/>
          <w:bCs/>
        </w:rPr>
        <w:t xml:space="preserve">, SSHS was </w:t>
      </w:r>
      <w:r w:rsidR="00497D0D" w:rsidRPr="00210FAD">
        <w:rPr>
          <w:rFonts w:cstheme="minorHAnsi"/>
          <w:bCs/>
        </w:rPr>
        <w:t>able to reach many seniors. With technology and outreach</w:t>
      </w:r>
      <w:r w:rsidRPr="00210FAD">
        <w:rPr>
          <w:rFonts w:cstheme="minorHAnsi"/>
          <w:bCs/>
        </w:rPr>
        <w:t>,</w:t>
      </w:r>
      <w:r w:rsidR="00497D0D" w:rsidRPr="00210FAD">
        <w:rPr>
          <w:rFonts w:cstheme="minorHAnsi"/>
          <w:bCs/>
        </w:rPr>
        <w:t xml:space="preserve"> seniors were able to participate in Best Practice programs such as “A Matter of Balance” and “Diabetes Self Management”.  The</w:t>
      </w:r>
      <w:r w:rsidRPr="00210FAD">
        <w:rPr>
          <w:rFonts w:cstheme="minorHAnsi"/>
          <w:bCs/>
        </w:rPr>
        <w:t>se</w:t>
      </w:r>
      <w:r w:rsidR="00497D0D" w:rsidRPr="00210FAD">
        <w:rPr>
          <w:rFonts w:cstheme="minorHAnsi"/>
          <w:bCs/>
        </w:rPr>
        <w:t xml:space="preserve"> programs did more than preventative </w:t>
      </w:r>
      <w:r w:rsidR="00497D0D" w:rsidRPr="00210FAD">
        <w:rPr>
          <w:rFonts w:cstheme="minorHAnsi"/>
          <w:bCs/>
        </w:rPr>
        <w:lastRenderedPageBreak/>
        <w:t>physical health but had a strong impact on mental health, social engagement and support.  The program is continuing to grow and will continue as a community driven strategic initiative. The goal is through providing needed social and mental health support, common physical health will benefit.</w:t>
      </w:r>
    </w:p>
    <w:p w14:paraId="5B3F36BF" w14:textId="77777777" w:rsidR="005F0724" w:rsidRPr="00832D3A" w:rsidRDefault="005F0724" w:rsidP="005F0724">
      <w:pPr>
        <w:spacing w:after="0" w:line="240" w:lineRule="auto"/>
        <w:rPr>
          <w:rFonts w:cstheme="minorHAnsi"/>
        </w:rPr>
      </w:pPr>
    </w:p>
    <w:p w14:paraId="25C5615A" w14:textId="77777777" w:rsidR="00293974" w:rsidRPr="00832D3A" w:rsidRDefault="00293974" w:rsidP="00293974">
      <w:pPr>
        <w:pStyle w:val="ListParagraph"/>
        <w:spacing w:after="0" w:line="240" w:lineRule="auto"/>
        <w:ind w:left="1440"/>
        <w:rPr>
          <w:rFonts w:cstheme="minorHAnsi"/>
        </w:rPr>
      </w:pPr>
    </w:p>
    <w:p w14:paraId="56BC8E43" w14:textId="77777777" w:rsidR="001A458D" w:rsidRPr="00054FF4" w:rsidRDefault="001A458D" w:rsidP="001A458D">
      <w:pPr>
        <w:pStyle w:val="Heading1"/>
      </w:pPr>
      <w:r w:rsidRPr="00054FF4">
        <w:t xml:space="preserve">APPLICANT </w:t>
      </w:r>
      <w:r>
        <w:t>RESPONSES</w:t>
      </w:r>
    </w:p>
    <w:p w14:paraId="50ECD007" w14:textId="77777777" w:rsidR="001A458D" w:rsidRPr="00054FF4" w:rsidRDefault="001A458D" w:rsidP="001A458D">
      <w:pPr>
        <w:pStyle w:val="Heading1"/>
      </w:pPr>
      <w:r w:rsidRPr="00054FF4">
        <w:t xml:space="preserve">APPLICANT </w:t>
      </w:r>
      <w:r>
        <w:t>RESPONSES</w:t>
      </w:r>
    </w:p>
    <w:p w14:paraId="6DC977EC" w14:textId="77777777" w:rsidR="00851136" w:rsidRPr="00832D3A" w:rsidRDefault="00851136" w:rsidP="00851136">
      <w:pPr>
        <w:spacing w:after="0"/>
        <w:rPr>
          <w:rFonts w:cstheme="minorHAnsi"/>
          <w:b/>
          <w:bCs/>
        </w:rPr>
      </w:pPr>
      <w:r w:rsidRPr="00832D3A">
        <w:rPr>
          <w:rFonts w:cstheme="minorHAnsi"/>
          <w:b/>
          <w:bCs/>
          <w:i/>
          <w:iCs/>
        </w:rPr>
        <w:t xml:space="preserve">Factor 1c - Operate Efficiently and Effectively </w:t>
      </w:r>
    </w:p>
    <w:p w14:paraId="46177DD9" w14:textId="0E43BB3C" w:rsidR="00191DAC" w:rsidRPr="00832D3A" w:rsidRDefault="00191DAC" w:rsidP="00561BCC">
      <w:pPr>
        <w:spacing w:after="0" w:line="240" w:lineRule="auto"/>
        <w:rPr>
          <w:rFonts w:cstheme="minorHAnsi"/>
        </w:rPr>
      </w:pPr>
    </w:p>
    <w:p w14:paraId="731CB888" w14:textId="1DE4B822" w:rsidR="00624540" w:rsidRPr="00832D3A" w:rsidRDefault="009910CE" w:rsidP="00530477">
      <w:pPr>
        <w:pStyle w:val="ListParagraph"/>
        <w:numPr>
          <w:ilvl w:val="0"/>
          <w:numId w:val="5"/>
        </w:numPr>
        <w:spacing w:after="0" w:line="240" w:lineRule="auto"/>
        <w:rPr>
          <w:rFonts w:cstheme="minorHAnsi"/>
          <w:b/>
          <w:bCs/>
        </w:rPr>
      </w:pPr>
      <w:r w:rsidRPr="00210FAD">
        <w:rPr>
          <w:rFonts w:cstheme="minorHAnsi"/>
          <w:b/>
          <w:bCs/>
        </w:rPr>
        <w:t>The Application states, both of these objectives (increasing the number and type of imaging appointments available) will help to keep patients within the South Shore Health System, which is necessary for optimizing care coordination</w:t>
      </w:r>
      <w:r w:rsidR="0065775C" w:rsidRPr="00210FAD">
        <w:rPr>
          <w:rFonts w:cstheme="minorHAnsi"/>
          <w:b/>
          <w:bCs/>
        </w:rPr>
        <w:t xml:space="preserve"> </w:t>
      </w:r>
      <w:r w:rsidRPr="00210FAD">
        <w:rPr>
          <w:rFonts w:cstheme="minorHAnsi"/>
          <w:b/>
          <w:bCs/>
        </w:rPr>
        <w:t>(pg.</w:t>
      </w:r>
      <w:r w:rsidR="007678D3" w:rsidRPr="00210FAD">
        <w:rPr>
          <w:rFonts w:cstheme="minorHAnsi"/>
          <w:b/>
          <w:bCs/>
        </w:rPr>
        <w:t>18</w:t>
      </w:r>
      <w:r w:rsidRPr="00210FAD">
        <w:rPr>
          <w:rFonts w:cstheme="minorHAnsi"/>
          <w:b/>
          <w:bCs/>
        </w:rPr>
        <w:t>)</w:t>
      </w:r>
      <w:r w:rsidR="005430C8" w:rsidRPr="00210FAD">
        <w:rPr>
          <w:rFonts w:cstheme="minorHAnsi"/>
          <w:b/>
          <w:bCs/>
        </w:rPr>
        <w:t>.</w:t>
      </w:r>
      <w:r w:rsidRPr="00210FAD">
        <w:rPr>
          <w:rFonts w:cstheme="minorHAnsi"/>
          <w:b/>
          <w:bCs/>
        </w:rPr>
        <w:t xml:space="preserve"> </w:t>
      </w:r>
    </w:p>
    <w:p w14:paraId="6A78B668" w14:textId="77777777" w:rsidR="00FE51C5" w:rsidRPr="00210FAD" w:rsidRDefault="00FE51C5" w:rsidP="00210FAD">
      <w:pPr>
        <w:pStyle w:val="ListParagraph"/>
        <w:spacing w:after="0" w:line="240" w:lineRule="auto"/>
        <w:rPr>
          <w:rFonts w:cstheme="minorHAnsi"/>
          <w:b/>
          <w:bCs/>
        </w:rPr>
      </w:pPr>
    </w:p>
    <w:p w14:paraId="79037CFD" w14:textId="718D2E46" w:rsidR="00374FEB" w:rsidRPr="00832D3A" w:rsidRDefault="009910CE" w:rsidP="00210FAD">
      <w:pPr>
        <w:pStyle w:val="ListParagraph"/>
        <w:numPr>
          <w:ilvl w:val="1"/>
          <w:numId w:val="5"/>
        </w:numPr>
        <w:spacing w:after="0" w:line="240" w:lineRule="auto"/>
        <w:rPr>
          <w:rFonts w:cstheme="minorHAnsi"/>
          <w:bCs/>
        </w:rPr>
      </w:pPr>
      <w:r w:rsidRPr="00210FAD">
        <w:rPr>
          <w:rFonts w:cstheme="minorHAnsi"/>
          <w:b/>
          <w:bCs/>
        </w:rPr>
        <w:t>Describe current care coordination process</w:t>
      </w:r>
      <w:r w:rsidR="00E5594A" w:rsidRPr="00210FAD">
        <w:rPr>
          <w:rFonts w:cstheme="minorHAnsi"/>
          <w:b/>
          <w:bCs/>
        </w:rPr>
        <w:t>es</w:t>
      </w:r>
      <w:r w:rsidRPr="00210FAD">
        <w:rPr>
          <w:rFonts w:cstheme="minorHAnsi"/>
          <w:b/>
          <w:bCs/>
        </w:rPr>
        <w:t xml:space="preserve"> for patients requiring imaging, including those transferred or referred to other </w:t>
      </w:r>
      <w:r w:rsidR="00E5594A" w:rsidRPr="00210FAD">
        <w:rPr>
          <w:rFonts w:cstheme="minorHAnsi"/>
          <w:b/>
          <w:bCs/>
        </w:rPr>
        <w:t>sites</w:t>
      </w:r>
      <w:r w:rsidRPr="00210FAD">
        <w:rPr>
          <w:rFonts w:cstheme="minorHAnsi"/>
          <w:b/>
          <w:bCs/>
        </w:rPr>
        <w:t xml:space="preserve"> for </w:t>
      </w:r>
      <w:r w:rsidR="00217EAB" w:rsidRPr="00210FAD">
        <w:rPr>
          <w:rFonts w:cstheme="minorHAnsi"/>
          <w:b/>
          <w:bCs/>
        </w:rPr>
        <w:t>imaging</w:t>
      </w:r>
      <w:r w:rsidRPr="00210FAD">
        <w:rPr>
          <w:rFonts w:cstheme="minorHAnsi"/>
          <w:b/>
          <w:bCs/>
        </w:rPr>
        <w:t>.</w:t>
      </w:r>
    </w:p>
    <w:p w14:paraId="437ACAF3" w14:textId="24AB985C" w:rsidR="006157A7" w:rsidRPr="00210FAD" w:rsidRDefault="006157A7" w:rsidP="00210FAD">
      <w:pPr>
        <w:pStyle w:val="ListParagraph"/>
        <w:numPr>
          <w:ilvl w:val="0"/>
          <w:numId w:val="37"/>
        </w:numPr>
        <w:spacing w:after="0" w:line="240" w:lineRule="auto"/>
        <w:ind w:left="1980"/>
        <w:contextualSpacing w:val="0"/>
        <w:rPr>
          <w:rFonts w:cstheme="minorHAnsi"/>
          <w:bCs/>
        </w:rPr>
      </w:pPr>
      <w:r w:rsidRPr="00210FAD">
        <w:rPr>
          <w:rFonts w:cstheme="minorHAnsi"/>
          <w:bCs/>
        </w:rPr>
        <w:t>The</w:t>
      </w:r>
      <w:r w:rsidR="002048CE" w:rsidRPr="00210FAD">
        <w:rPr>
          <w:rFonts w:cstheme="minorHAnsi"/>
          <w:bCs/>
        </w:rPr>
        <w:t xml:space="preserve"> transfer of a</w:t>
      </w:r>
      <w:r w:rsidRPr="00210FAD">
        <w:rPr>
          <w:rFonts w:cstheme="minorHAnsi"/>
          <w:bCs/>
        </w:rPr>
        <w:t xml:space="preserve"> patient from SSH to any other imaging locations within SSHS is coordinated with the MRI department, the clinician taking car</w:t>
      </w:r>
      <w:r w:rsidR="00752596" w:rsidRPr="00210FAD">
        <w:rPr>
          <w:rFonts w:cstheme="minorHAnsi"/>
          <w:bCs/>
        </w:rPr>
        <w:t>e of the patient and Emergency M</w:t>
      </w:r>
      <w:r w:rsidRPr="00210FAD">
        <w:rPr>
          <w:rFonts w:cstheme="minorHAnsi"/>
          <w:bCs/>
        </w:rPr>
        <w:t>edical Services. All imaging is stored centrally in SSHS PACS system and accessible form the patient’s char</w:t>
      </w:r>
      <w:r w:rsidR="00FE51C5" w:rsidRPr="00210FAD">
        <w:rPr>
          <w:rFonts w:cstheme="minorHAnsi"/>
          <w:bCs/>
        </w:rPr>
        <w:t>t.</w:t>
      </w:r>
    </w:p>
    <w:p w14:paraId="11FEE559" w14:textId="77777777" w:rsidR="00374FEB" w:rsidRPr="00210FAD" w:rsidRDefault="00374FEB" w:rsidP="00374FEB">
      <w:pPr>
        <w:pStyle w:val="ListParagraph"/>
        <w:spacing w:after="0" w:line="240" w:lineRule="auto"/>
        <w:ind w:left="2160"/>
        <w:contextualSpacing w:val="0"/>
        <w:rPr>
          <w:rFonts w:cstheme="minorHAnsi"/>
          <w:b/>
          <w:color w:val="0070C0"/>
        </w:rPr>
      </w:pPr>
    </w:p>
    <w:p w14:paraId="5EC5EC77" w14:textId="6600BAD1" w:rsidR="00350A43" w:rsidRPr="00832D3A" w:rsidRDefault="00D56FD4" w:rsidP="00210FAD">
      <w:pPr>
        <w:pStyle w:val="ListParagraph"/>
        <w:numPr>
          <w:ilvl w:val="1"/>
          <w:numId w:val="5"/>
        </w:numPr>
        <w:spacing w:after="0" w:line="240" w:lineRule="auto"/>
        <w:rPr>
          <w:rFonts w:cstheme="minorHAnsi"/>
        </w:rPr>
      </w:pPr>
      <w:r w:rsidRPr="00210FAD">
        <w:rPr>
          <w:rFonts w:cstheme="minorHAnsi"/>
          <w:b/>
          <w:bCs/>
        </w:rPr>
        <w:t>Describe</w:t>
      </w:r>
      <w:r w:rsidR="00E5594A" w:rsidRPr="00210FAD">
        <w:rPr>
          <w:rFonts w:cstheme="minorHAnsi"/>
          <w:b/>
          <w:bCs/>
        </w:rPr>
        <w:t xml:space="preserve"> the existing system of record sharing for patients referred out of </w:t>
      </w:r>
      <w:r w:rsidR="0027783A" w:rsidRPr="00210FAD">
        <w:rPr>
          <w:rFonts w:cstheme="minorHAnsi"/>
          <w:b/>
          <w:bCs/>
        </w:rPr>
        <w:t>South Shore Health System</w:t>
      </w:r>
      <w:r w:rsidR="00E5594A" w:rsidRPr="00210FAD">
        <w:rPr>
          <w:rFonts w:cstheme="minorHAnsi"/>
          <w:b/>
          <w:bCs/>
        </w:rPr>
        <w:t xml:space="preserve"> for </w:t>
      </w:r>
      <w:r w:rsidR="001E32E8" w:rsidRPr="00210FAD">
        <w:rPr>
          <w:rFonts w:cstheme="minorHAnsi"/>
          <w:b/>
          <w:bCs/>
        </w:rPr>
        <w:t>an MRI scan</w:t>
      </w:r>
      <w:r w:rsidR="00E5594A" w:rsidRPr="00210FAD">
        <w:rPr>
          <w:rFonts w:cstheme="minorHAnsi"/>
          <w:b/>
          <w:bCs/>
        </w:rPr>
        <w:t xml:space="preserve">. </w:t>
      </w:r>
    </w:p>
    <w:p w14:paraId="717D3814" w14:textId="02C1DB6B" w:rsidR="006157A7" w:rsidRPr="00210FAD" w:rsidRDefault="002048CE" w:rsidP="00210FAD">
      <w:pPr>
        <w:pStyle w:val="ListParagraph"/>
        <w:numPr>
          <w:ilvl w:val="0"/>
          <w:numId w:val="35"/>
        </w:numPr>
        <w:tabs>
          <w:tab w:val="left" w:pos="1980"/>
        </w:tabs>
        <w:spacing w:after="0" w:line="240" w:lineRule="auto"/>
        <w:ind w:left="1980"/>
        <w:contextualSpacing w:val="0"/>
        <w:rPr>
          <w:rFonts w:cstheme="minorHAnsi"/>
          <w:bCs/>
        </w:rPr>
      </w:pPr>
      <w:r w:rsidRPr="00210FAD">
        <w:rPr>
          <w:rFonts w:cstheme="minorHAnsi"/>
          <w:bCs/>
        </w:rPr>
        <w:t>The transfer of a patient from SSH to a non-</w:t>
      </w:r>
      <w:r w:rsidR="006157A7" w:rsidRPr="00210FAD">
        <w:rPr>
          <w:rFonts w:cstheme="minorHAnsi"/>
          <w:bCs/>
        </w:rPr>
        <w:t>SSHS facility for MRI imaging is coordinated with the MRI department, the clinician taking care of the patient</w:t>
      </w:r>
      <w:r w:rsidR="00285A3B" w:rsidRPr="00210FAD">
        <w:rPr>
          <w:rFonts w:cstheme="minorHAnsi"/>
          <w:bCs/>
        </w:rPr>
        <w:t>, and Emergency Medical S</w:t>
      </w:r>
      <w:r w:rsidR="006157A7" w:rsidRPr="00210FAD">
        <w:rPr>
          <w:rFonts w:cstheme="minorHAnsi"/>
          <w:bCs/>
        </w:rPr>
        <w:t xml:space="preserve">ervices. Images acquired at the outside facility are obtained by SSHS via </w:t>
      </w:r>
      <w:r w:rsidR="00350A43" w:rsidRPr="00210FAD">
        <w:rPr>
          <w:rFonts w:cstheme="minorHAnsi"/>
          <w:bCs/>
        </w:rPr>
        <w:t>CD, which</w:t>
      </w:r>
      <w:r w:rsidR="006157A7" w:rsidRPr="00210FAD">
        <w:rPr>
          <w:rFonts w:cstheme="minorHAnsi"/>
          <w:bCs/>
        </w:rPr>
        <w:t xml:space="preserve"> includes the imaging result. The outside images and reports are uploaded in to the patient’s SSHS chart. If an outside facility </w:t>
      </w:r>
      <w:r w:rsidR="00FE51C5" w:rsidRPr="00210FAD">
        <w:rPr>
          <w:rFonts w:cstheme="minorHAnsi"/>
          <w:bCs/>
        </w:rPr>
        <w:t>needs</w:t>
      </w:r>
      <w:r w:rsidR="006157A7" w:rsidRPr="00210FAD">
        <w:rPr>
          <w:rFonts w:cstheme="minorHAnsi"/>
          <w:bCs/>
        </w:rPr>
        <w:t xml:space="preserve"> prior imaging </w:t>
      </w:r>
      <w:r w:rsidR="00FE51C5" w:rsidRPr="00210FAD">
        <w:rPr>
          <w:rFonts w:cstheme="minorHAnsi"/>
          <w:bCs/>
        </w:rPr>
        <w:t xml:space="preserve">performed </w:t>
      </w:r>
      <w:r w:rsidR="006157A7" w:rsidRPr="00210FAD">
        <w:rPr>
          <w:rFonts w:cstheme="minorHAnsi"/>
          <w:bCs/>
        </w:rPr>
        <w:t>at SSHS for comparison purposes, SSHS has the ability to send images and reports electronically to the requestor via CD.</w:t>
      </w:r>
      <w:r w:rsidR="00752596" w:rsidRPr="00210FAD">
        <w:rPr>
          <w:rFonts w:cstheme="minorHAnsi"/>
          <w:bCs/>
        </w:rPr>
        <w:t xml:space="preserve">  </w:t>
      </w:r>
      <w:r w:rsidR="000B4723" w:rsidRPr="00210FAD">
        <w:rPr>
          <w:rFonts w:cstheme="minorHAnsi"/>
          <w:bCs/>
        </w:rPr>
        <w:t xml:space="preserve">The </w:t>
      </w:r>
      <w:r w:rsidR="00FE51C5" w:rsidRPr="00210FAD">
        <w:rPr>
          <w:rFonts w:cstheme="minorHAnsi"/>
          <w:bCs/>
        </w:rPr>
        <w:t>R</w:t>
      </w:r>
      <w:r w:rsidR="000B4723" w:rsidRPr="00210FAD">
        <w:rPr>
          <w:rFonts w:cstheme="minorHAnsi"/>
          <w:bCs/>
        </w:rPr>
        <w:t xml:space="preserve">adiology </w:t>
      </w:r>
      <w:r w:rsidR="00FE51C5" w:rsidRPr="00210FAD">
        <w:rPr>
          <w:rFonts w:cstheme="minorHAnsi"/>
          <w:bCs/>
        </w:rPr>
        <w:t>D</w:t>
      </w:r>
      <w:r w:rsidR="000B4723" w:rsidRPr="00210FAD">
        <w:rPr>
          <w:rFonts w:cstheme="minorHAnsi"/>
          <w:bCs/>
        </w:rPr>
        <w:t>epartment coordinates all aspects of the transfer, including the images and any reports.</w:t>
      </w:r>
    </w:p>
    <w:p w14:paraId="2F4BA02E" w14:textId="77777777" w:rsidR="00CD3431" w:rsidRPr="00832D3A" w:rsidRDefault="00CD3431" w:rsidP="00CD3431">
      <w:pPr>
        <w:spacing w:after="0" w:line="240" w:lineRule="auto"/>
        <w:ind w:left="360"/>
        <w:rPr>
          <w:rFonts w:cstheme="minorHAnsi"/>
        </w:rPr>
      </w:pPr>
    </w:p>
    <w:p w14:paraId="5C3002EB" w14:textId="080EE460" w:rsidR="006157A7" w:rsidRPr="00210FAD" w:rsidRDefault="00BB0119" w:rsidP="008217B2">
      <w:pPr>
        <w:pStyle w:val="ListParagraph"/>
        <w:numPr>
          <w:ilvl w:val="0"/>
          <w:numId w:val="5"/>
        </w:numPr>
        <w:rPr>
          <w:rFonts w:cstheme="minorHAnsi"/>
          <w:b/>
          <w:bCs/>
        </w:rPr>
      </w:pPr>
      <w:r w:rsidRPr="00210FAD">
        <w:rPr>
          <w:rFonts w:cstheme="minorHAnsi"/>
          <w:b/>
          <w:bCs/>
        </w:rPr>
        <w:t>Describe any Clinical Decision Support tools or Preauthorization tools in use currently and their effectiveness in curbing unnecessary MRI imaging.</w:t>
      </w:r>
      <w:r w:rsidR="00E45AA9" w:rsidRPr="00210FAD">
        <w:rPr>
          <w:rFonts w:cstheme="minorHAnsi"/>
          <w:b/>
          <w:bCs/>
        </w:rPr>
        <w:t xml:space="preserve"> </w:t>
      </w:r>
    </w:p>
    <w:p w14:paraId="3E5BFAD6" w14:textId="77777777" w:rsidR="00350A43" w:rsidRPr="00832D3A" w:rsidRDefault="00350A43" w:rsidP="00350A43">
      <w:pPr>
        <w:pStyle w:val="ListParagraph"/>
        <w:rPr>
          <w:rFonts w:cstheme="minorHAnsi"/>
        </w:rPr>
      </w:pPr>
    </w:p>
    <w:p w14:paraId="2DF25341" w14:textId="13963DC7" w:rsidR="00752596" w:rsidRPr="00210FAD" w:rsidRDefault="006157A7" w:rsidP="00752596">
      <w:pPr>
        <w:pStyle w:val="ListParagraph"/>
        <w:numPr>
          <w:ilvl w:val="2"/>
          <w:numId w:val="48"/>
        </w:numPr>
        <w:ind w:left="1440" w:hanging="360"/>
        <w:rPr>
          <w:rFonts w:cstheme="minorHAnsi"/>
          <w:bCs/>
        </w:rPr>
      </w:pPr>
      <w:r w:rsidRPr="00210FAD">
        <w:rPr>
          <w:rFonts w:cstheme="minorHAnsi"/>
          <w:bCs/>
        </w:rPr>
        <w:t xml:space="preserve">Change Healthcare Care Select Decision Support Software is utilized for all orders placed by a clinician within SSHS’s HIS. This software assesses the medical necessity of the exam and provides feedback to the clinician. This feedback incudes whether the MRI is recommended, or if alternate imaging is recommended given the clinical information. SSHS follows the requirements of insurance providers to determine if </w:t>
      </w:r>
      <w:r w:rsidR="00752596" w:rsidRPr="00210FAD">
        <w:rPr>
          <w:rFonts w:cstheme="minorHAnsi"/>
          <w:bCs/>
        </w:rPr>
        <w:t>prior authorization is required</w:t>
      </w:r>
      <w:r w:rsidRPr="00210FAD">
        <w:rPr>
          <w:rFonts w:cstheme="minorHAnsi"/>
          <w:bCs/>
        </w:rPr>
        <w:t>. Unless emergent, MRI appointments are not provide</w:t>
      </w:r>
      <w:r w:rsidR="00752596" w:rsidRPr="00210FAD">
        <w:rPr>
          <w:rFonts w:cstheme="minorHAnsi"/>
          <w:bCs/>
        </w:rPr>
        <w:t>d</w:t>
      </w:r>
      <w:r w:rsidRPr="00210FAD">
        <w:rPr>
          <w:rFonts w:cstheme="minorHAnsi"/>
          <w:bCs/>
        </w:rPr>
        <w:t xml:space="preserve"> unless the exam is preauthorized by the patient’s insurance provider. SSHS’s Decision Support software has been effective in reducing unnecessary MRI exams as evidenced by the following data</w:t>
      </w:r>
      <w:r w:rsidR="00752596" w:rsidRPr="00210FAD">
        <w:rPr>
          <w:rFonts w:cstheme="minorHAnsi"/>
          <w:bCs/>
        </w:rPr>
        <w:t xml:space="preserve">: </w:t>
      </w:r>
      <w:r w:rsidRPr="00210FAD">
        <w:rPr>
          <w:rFonts w:cstheme="minorHAnsi"/>
          <w:bCs/>
        </w:rPr>
        <w:t xml:space="preserve"> </w:t>
      </w:r>
      <w:r w:rsidR="00752596" w:rsidRPr="00210FAD">
        <w:rPr>
          <w:rFonts w:cstheme="minorHAnsi"/>
          <w:bCs/>
        </w:rPr>
        <w:t xml:space="preserve">In 2020, our decision support </w:t>
      </w:r>
      <w:r w:rsidR="00752596" w:rsidRPr="00210FAD">
        <w:rPr>
          <w:rFonts w:cstheme="minorHAnsi"/>
          <w:bCs/>
        </w:rPr>
        <w:lastRenderedPageBreak/>
        <w:t xml:space="preserve">software </w:t>
      </w:r>
      <w:r w:rsidR="00FE51C5" w:rsidRPr="00210FAD">
        <w:rPr>
          <w:rFonts w:cstheme="minorHAnsi"/>
          <w:bCs/>
        </w:rPr>
        <w:t xml:space="preserve">was consulted </w:t>
      </w:r>
      <w:r w:rsidR="00752596" w:rsidRPr="00210FAD">
        <w:rPr>
          <w:rFonts w:cstheme="minorHAnsi"/>
          <w:bCs/>
        </w:rPr>
        <w:t xml:space="preserve">5,842 times and </w:t>
      </w:r>
      <w:r w:rsidR="00FE51C5" w:rsidRPr="00210FAD">
        <w:rPr>
          <w:rFonts w:cstheme="minorHAnsi"/>
          <w:bCs/>
        </w:rPr>
        <w:t>resulted in</w:t>
      </w:r>
      <w:r w:rsidR="00752596" w:rsidRPr="00210FAD">
        <w:rPr>
          <w:rFonts w:cstheme="minorHAnsi"/>
          <w:bCs/>
        </w:rPr>
        <w:t xml:space="preserve"> 83 instances </w:t>
      </w:r>
      <w:r w:rsidR="00FE51C5" w:rsidRPr="00210FAD">
        <w:rPr>
          <w:rFonts w:cstheme="minorHAnsi"/>
          <w:bCs/>
        </w:rPr>
        <w:t>of an alternate order being</w:t>
      </w:r>
      <w:r w:rsidR="00752596" w:rsidRPr="00210FAD">
        <w:rPr>
          <w:rFonts w:cstheme="minorHAnsi"/>
          <w:bCs/>
        </w:rPr>
        <w:t xml:space="preserve"> placed (CT, MR, Nuclear Med, and select x-rays).</w:t>
      </w:r>
    </w:p>
    <w:p w14:paraId="31B951ED" w14:textId="05CCBEBB" w:rsidR="006157A7" w:rsidRPr="00210FAD" w:rsidRDefault="006157A7" w:rsidP="00374FEB">
      <w:pPr>
        <w:pStyle w:val="ListParagraph"/>
        <w:numPr>
          <w:ilvl w:val="1"/>
          <w:numId w:val="36"/>
        </w:numPr>
        <w:spacing w:after="0" w:line="240" w:lineRule="auto"/>
        <w:contextualSpacing w:val="0"/>
        <w:rPr>
          <w:rFonts w:cstheme="minorHAnsi"/>
          <w:bCs/>
        </w:rPr>
      </w:pPr>
      <w:r w:rsidRPr="00210FAD">
        <w:rPr>
          <w:rFonts w:cstheme="minorHAnsi"/>
          <w:bCs/>
        </w:rPr>
        <w:t>The number of MRI exams not pre-authorized by a patient’s insurance provider is not individually tracked. Anecdotally there are MRI orders whereby the insurance carrier denies the approval and the exam is not performed or alternative imaging is ordered by the clinician. If a patient wishes to proceed with an MRI exam without prior authorization, the patient is personally response for the cost of the exam.</w:t>
      </w:r>
    </w:p>
    <w:p w14:paraId="42991D62" w14:textId="0709161E" w:rsidR="00BB0119" w:rsidRPr="00210FAD" w:rsidRDefault="00BB0119" w:rsidP="00210FAD">
      <w:pPr>
        <w:rPr>
          <w:rFonts w:cstheme="minorHAnsi"/>
        </w:rPr>
      </w:pPr>
    </w:p>
    <w:p w14:paraId="6B39A325" w14:textId="77777777" w:rsidR="001A458D" w:rsidRPr="00054FF4" w:rsidRDefault="001A458D" w:rsidP="001A458D">
      <w:pPr>
        <w:pStyle w:val="Heading1"/>
      </w:pPr>
      <w:r w:rsidRPr="00054FF4">
        <w:t xml:space="preserve">APPLICANT </w:t>
      </w:r>
      <w:r>
        <w:t>RESPONSES</w:t>
      </w:r>
    </w:p>
    <w:p w14:paraId="08E80709" w14:textId="111C5082" w:rsidR="000862E1" w:rsidRPr="00832D3A" w:rsidRDefault="00851136" w:rsidP="00851136">
      <w:pPr>
        <w:rPr>
          <w:rFonts w:cstheme="minorHAnsi"/>
          <w:b/>
          <w:bCs/>
          <w:i/>
          <w:iCs/>
        </w:rPr>
      </w:pPr>
      <w:r w:rsidRPr="00832D3A">
        <w:rPr>
          <w:rFonts w:cstheme="minorHAnsi"/>
          <w:b/>
          <w:bCs/>
          <w:i/>
          <w:iCs/>
        </w:rPr>
        <w:t>Factor 1e –</w:t>
      </w:r>
      <w:r w:rsidRPr="00832D3A">
        <w:rPr>
          <w:rFonts w:cstheme="minorHAnsi"/>
          <w:b/>
          <w:bCs/>
        </w:rPr>
        <w:t xml:space="preserve"> </w:t>
      </w:r>
      <w:r w:rsidRPr="00832D3A">
        <w:rPr>
          <w:rFonts w:cstheme="minorHAnsi"/>
          <w:b/>
          <w:bCs/>
          <w:i/>
          <w:iCs/>
        </w:rPr>
        <w:t>Community Engagement</w:t>
      </w:r>
    </w:p>
    <w:p w14:paraId="0747E460" w14:textId="6F10B5E5" w:rsidR="000862E1" w:rsidRPr="00210FAD" w:rsidRDefault="000862E1" w:rsidP="00CF3097">
      <w:pPr>
        <w:pStyle w:val="ListParagraph"/>
        <w:numPr>
          <w:ilvl w:val="0"/>
          <w:numId w:val="5"/>
        </w:numPr>
        <w:spacing w:after="0" w:line="240" w:lineRule="auto"/>
        <w:rPr>
          <w:rFonts w:cstheme="minorHAnsi"/>
          <w:b/>
          <w:bCs/>
        </w:rPr>
      </w:pPr>
      <w:r w:rsidRPr="00210FAD">
        <w:rPr>
          <w:rFonts w:cstheme="minorHAnsi"/>
          <w:b/>
          <w:bCs/>
        </w:rPr>
        <w:t xml:space="preserve">The Application states the Proposed Project was presented at the </w:t>
      </w:r>
      <w:r w:rsidR="00CF3097" w:rsidRPr="00210FAD">
        <w:rPr>
          <w:rFonts w:cstheme="minorHAnsi"/>
          <w:b/>
          <w:bCs/>
        </w:rPr>
        <w:t>South Shore Hospital’s</w:t>
      </w:r>
      <w:r w:rsidRPr="00210FAD">
        <w:rPr>
          <w:rFonts w:cstheme="minorHAnsi"/>
          <w:b/>
          <w:bCs/>
        </w:rPr>
        <w:t xml:space="preserve"> Patient Family Advisory Committee (PFAC)</w:t>
      </w:r>
      <w:r w:rsidR="00E54D9E" w:rsidRPr="00210FAD">
        <w:rPr>
          <w:rFonts w:cstheme="minorHAnsi"/>
          <w:b/>
          <w:bCs/>
        </w:rPr>
        <w:t>(pg.16)</w:t>
      </w:r>
      <w:r w:rsidRPr="00210FAD">
        <w:rPr>
          <w:rFonts w:cstheme="minorHAnsi"/>
          <w:b/>
          <w:bCs/>
        </w:rPr>
        <w:t xml:space="preserve">. How many members are there on the PFAC and explain how they are representative of the Patient Panel. </w:t>
      </w:r>
    </w:p>
    <w:p w14:paraId="6F1F09B3" w14:textId="77777777" w:rsidR="00350A43" w:rsidRPr="00832D3A" w:rsidRDefault="00350A43" w:rsidP="00350A43">
      <w:pPr>
        <w:pStyle w:val="ListParagraph"/>
        <w:spacing w:after="0" w:line="240" w:lineRule="auto"/>
        <w:rPr>
          <w:rFonts w:cstheme="minorHAnsi"/>
        </w:rPr>
      </w:pPr>
    </w:p>
    <w:p w14:paraId="09252768" w14:textId="29B37447" w:rsidR="002946D3" w:rsidRPr="00210FAD" w:rsidRDefault="002946D3" w:rsidP="0033361E">
      <w:pPr>
        <w:pStyle w:val="ListParagraph"/>
        <w:numPr>
          <w:ilvl w:val="0"/>
          <w:numId w:val="34"/>
        </w:numPr>
        <w:rPr>
          <w:rFonts w:cstheme="minorHAnsi"/>
          <w:bCs/>
        </w:rPr>
      </w:pPr>
      <w:r w:rsidRPr="00210FAD">
        <w:rPr>
          <w:rFonts w:cstheme="minorHAnsi"/>
          <w:bCs/>
        </w:rPr>
        <w:t xml:space="preserve">Our </w:t>
      </w:r>
      <w:r w:rsidR="00C936C7" w:rsidRPr="00210FAD">
        <w:rPr>
          <w:rFonts w:cstheme="minorHAnsi"/>
          <w:bCs/>
        </w:rPr>
        <w:t>PFAC</w:t>
      </w:r>
      <w:r w:rsidRPr="00210FAD">
        <w:rPr>
          <w:rFonts w:cstheme="minorHAnsi"/>
          <w:bCs/>
        </w:rPr>
        <w:t xml:space="preserve"> currently has 10 community members and two </w:t>
      </w:r>
      <w:r w:rsidR="003E6DF1" w:rsidRPr="00210FAD">
        <w:rPr>
          <w:rFonts w:cstheme="minorHAnsi"/>
          <w:bCs/>
        </w:rPr>
        <w:t>o</w:t>
      </w:r>
      <w:r w:rsidRPr="00210FAD">
        <w:rPr>
          <w:rFonts w:cstheme="minorHAnsi"/>
          <w:bCs/>
        </w:rPr>
        <w:t>rganization members.</w:t>
      </w:r>
      <w:r w:rsidR="007871B2" w:rsidRPr="00210FAD">
        <w:rPr>
          <w:rFonts w:cstheme="minorHAnsi"/>
          <w:bCs/>
        </w:rPr>
        <w:t xml:space="preserve">  The committee is composed of six (6) women</w:t>
      </w:r>
      <w:r w:rsidR="00C936C7" w:rsidRPr="00210FAD">
        <w:rPr>
          <w:rStyle w:val="FootnoteReference"/>
          <w:rFonts w:cstheme="minorHAnsi"/>
          <w:bCs/>
        </w:rPr>
        <w:footnoteReference w:id="1"/>
      </w:r>
      <w:r w:rsidR="007871B2" w:rsidRPr="00210FAD">
        <w:rPr>
          <w:rFonts w:cstheme="minorHAnsi"/>
          <w:bCs/>
        </w:rPr>
        <w:t xml:space="preserve"> and four (4) men.  </w:t>
      </w:r>
      <w:r w:rsidR="00C936C7" w:rsidRPr="00210FAD">
        <w:rPr>
          <w:rFonts w:cstheme="minorHAnsi"/>
          <w:bCs/>
        </w:rPr>
        <w:t>70% of</w:t>
      </w:r>
      <w:r w:rsidRPr="00210FAD">
        <w:rPr>
          <w:rFonts w:cstheme="minorHAnsi"/>
          <w:bCs/>
        </w:rPr>
        <w:t xml:space="preserve"> community members are retired</w:t>
      </w:r>
      <w:r w:rsidR="00C936C7" w:rsidRPr="00210FAD">
        <w:rPr>
          <w:rFonts w:cstheme="minorHAnsi"/>
          <w:bCs/>
        </w:rPr>
        <w:t xml:space="preserve">; </w:t>
      </w:r>
      <w:r w:rsidRPr="00210FAD">
        <w:rPr>
          <w:rFonts w:cstheme="minorHAnsi"/>
          <w:bCs/>
        </w:rPr>
        <w:t>(30%) </w:t>
      </w:r>
      <w:r w:rsidR="00C936C7" w:rsidRPr="00210FAD">
        <w:rPr>
          <w:rFonts w:cstheme="minorHAnsi"/>
          <w:bCs/>
        </w:rPr>
        <w:t xml:space="preserve">are currently employed. The Committee is also predominantly </w:t>
      </w:r>
      <w:r w:rsidRPr="00210FAD">
        <w:rPr>
          <w:rFonts w:cstheme="minorHAnsi"/>
          <w:bCs/>
        </w:rPr>
        <w:t xml:space="preserve">middle-class, Caucasian, </w:t>
      </w:r>
      <w:r w:rsidR="00C936C7" w:rsidRPr="00210FAD">
        <w:rPr>
          <w:rFonts w:cstheme="minorHAnsi"/>
          <w:bCs/>
        </w:rPr>
        <w:t xml:space="preserve">and is comprised of </w:t>
      </w:r>
      <w:r w:rsidRPr="00210FAD">
        <w:rPr>
          <w:rFonts w:cstheme="minorHAnsi"/>
          <w:bCs/>
        </w:rPr>
        <w:t>former and current South Shore Health patients</w:t>
      </w:r>
      <w:r w:rsidR="007871B2" w:rsidRPr="00210FAD">
        <w:rPr>
          <w:rFonts w:cstheme="minorHAnsi"/>
          <w:bCs/>
        </w:rPr>
        <w:t xml:space="preserve"> or family members of patients.</w:t>
      </w:r>
    </w:p>
    <w:p w14:paraId="3DC1C965" w14:textId="77777777" w:rsidR="00572EC8" w:rsidRPr="00210FAD" w:rsidRDefault="00572EC8" w:rsidP="00561BCC">
      <w:pPr>
        <w:spacing w:after="0" w:line="240" w:lineRule="auto"/>
        <w:rPr>
          <w:rFonts w:cstheme="minorHAnsi"/>
          <w:b/>
          <w:bCs/>
          <w:i/>
          <w:iCs/>
        </w:rPr>
      </w:pPr>
    </w:p>
    <w:p w14:paraId="6957232C" w14:textId="4F80410D" w:rsidR="00D53EA8" w:rsidRPr="00210FAD" w:rsidRDefault="006A4910" w:rsidP="00561BCC">
      <w:pPr>
        <w:spacing w:after="0" w:line="240" w:lineRule="auto"/>
        <w:rPr>
          <w:rFonts w:cstheme="minorHAnsi"/>
          <w:b/>
          <w:bCs/>
          <w:i/>
          <w:iCs/>
        </w:rPr>
      </w:pPr>
      <w:r w:rsidRPr="00210FAD">
        <w:rPr>
          <w:rFonts w:cstheme="minorHAnsi"/>
          <w:b/>
          <w:bCs/>
          <w:i/>
          <w:iCs/>
        </w:rPr>
        <w:t xml:space="preserve">Factor 1f </w:t>
      </w:r>
      <w:r w:rsidR="00D53EA8" w:rsidRPr="00210FAD">
        <w:rPr>
          <w:rFonts w:cstheme="minorHAnsi"/>
          <w:b/>
          <w:bCs/>
          <w:i/>
          <w:iCs/>
        </w:rPr>
        <w:t>–</w:t>
      </w:r>
      <w:r w:rsidRPr="00210FAD">
        <w:rPr>
          <w:rFonts w:cstheme="minorHAnsi"/>
          <w:b/>
          <w:bCs/>
          <w:i/>
          <w:iCs/>
        </w:rPr>
        <w:t xml:space="preserve"> Competition</w:t>
      </w:r>
    </w:p>
    <w:p w14:paraId="064C6059" w14:textId="77777777" w:rsidR="00D53EA8" w:rsidRPr="00210FAD" w:rsidRDefault="00D53EA8" w:rsidP="00561BCC">
      <w:pPr>
        <w:spacing w:after="0" w:line="240" w:lineRule="auto"/>
        <w:rPr>
          <w:rFonts w:cstheme="minorHAnsi"/>
          <w:b/>
          <w:bCs/>
          <w:i/>
          <w:iCs/>
        </w:rPr>
      </w:pPr>
    </w:p>
    <w:p w14:paraId="5EF1B128" w14:textId="2D47185E" w:rsidR="002946D3" w:rsidRPr="00210FAD" w:rsidRDefault="006A4910" w:rsidP="006A4910">
      <w:pPr>
        <w:pStyle w:val="ListParagraph"/>
        <w:numPr>
          <w:ilvl w:val="0"/>
          <w:numId w:val="5"/>
        </w:numPr>
        <w:spacing w:after="0" w:line="240" w:lineRule="auto"/>
        <w:rPr>
          <w:rFonts w:cstheme="minorHAnsi"/>
          <w:b/>
          <w:bCs/>
          <w:sz w:val="28"/>
          <w:szCs w:val="28"/>
        </w:rPr>
      </w:pPr>
      <w:r w:rsidRPr="00210FAD">
        <w:rPr>
          <w:rFonts w:cstheme="minorHAnsi"/>
          <w:b/>
          <w:bCs/>
        </w:rPr>
        <w:t>The Application states Hospital patients may be transferred to SSH’s outpatient MRI facilities and that this leads to increased costs</w:t>
      </w:r>
      <w:r w:rsidR="005C0F51" w:rsidRPr="00210FAD">
        <w:rPr>
          <w:rFonts w:cstheme="minorHAnsi"/>
          <w:b/>
          <w:bCs/>
        </w:rPr>
        <w:t xml:space="preserve"> (pg.8)</w:t>
      </w:r>
      <w:r w:rsidRPr="00210FAD">
        <w:rPr>
          <w:rFonts w:cstheme="minorHAnsi"/>
          <w:b/>
          <w:bCs/>
        </w:rPr>
        <w:t xml:space="preserve">. </w:t>
      </w:r>
      <w:r w:rsidR="005C0F51" w:rsidRPr="00210FAD">
        <w:rPr>
          <w:rFonts w:cstheme="minorHAnsi"/>
          <w:b/>
          <w:bCs/>
        </w:rPr>
        <w:t xml:space="preserve">In order to understand the impact of the </w:t>
      </w:r>
      <w:r w:rsidR="0065775C" w:rsidRPr="00210FAD">
        <w:rPr>
          <w:rFonts w:cstheme="minorHAnsi"/>
          <w:b/>
          <w:bCs/>
        </w:rPr>
        <w:t>P</w:t>
      </w:r>
      <w:r w:rsidR="002021A1" w:rsidRPr="00210FAD">
        <w:rPr>
          <w:rFonts w:cstheme="minorHAnsi"/>
          <w:b/>
          <w:bCs/>
        </w:rPr>
        <w:t xml:space="preserve">roposed </w:t>
      </w:r>
      <w:r w:rsidR="0065775C" w:rsidRPr="00210FAD">
        <w:rPr>
          <w:rFonts w:cstheme="minorHAnsi"/>
          <w:b/>
          <w:bCs/>
        </w:rPr>
        <w:t>P</w:t>
      </w:r>
      <w:r w:rsidR="005C0F51" w:rsidRPr="00210FAD">
        <w:rPr>
          <w:rFonts w:cstheme="minorHAnsi"/>
          <w:b/>
          <w:bCs/>
        </w:rPr>
        <w:t>roject on costs, p</w:t>
      </w:r>
      <w:r w:rsidRPr="00210FAD">
        <w:rPr>
          <w:rFonts w:cstheme="minorHAnsi"/>
          <w:b/>
          <w:bCs/>
        </w:rPr>
        <w:t xml:space="preserve">rovide costs incurred to </w:t>
      </w:r>
      <w:r w:rsidR="005C0F51" w:rsidRPr="00210FAD">
        <w:rPr>
          <w:rFonts w:cstheme="minorHAnsi"/>
          <w:b/>
          <w:bCs/>
        </w:rPr>
        <w:t xml:space="preserve">transport admitted and emergency patients to SSH satellites for MRI imaging, if possible. Include a date/time period. </w:t>
      </w:r>
    </w:p>
    <w:p w14:paraId="1B7EA9DD" w14:textId="77777777" w:rsidR="00350A43" w:rsidRPr="00210FAD" w:rsidRDefault="00350A43" w:rsidP="00350A43">
      <w:pPr>
        <w:pStyle w:val="ListParagraph"/>
        <w:spacing w:after="0" w:line="240" w:lineRule="auto"/>
        <w:rPr>
          <w:rFonts w:cstheme="minorHAnsi"/>
          <w:b/>
          <w:bCs/>
          <w:sz w:val="28"/>
          <w:szCs w:val="28"/>
        </w:rPr>
      </w:pPr>
    </w:p>
    <w:p w14:paraId="0BC8C35F" w14:textId="1EB31FBD" w:rsidR="0055432E" w:rsidRPr="00210FAD" w:rsidRDefault="0055432E" w:rsidP="0055432E">
      <w:pPr>
        <w:pStyle w:val="ListParagraph"/>
        <w:numPr>
          <w:ilvl w:val="0"/>
          <w:numId w:val="33"/>
        </w:numPr>
        <w:spacing w:after="0" w:line="240" w:lineRule="auto"/>
        <w:rPr>
          <w:rFonts w:cstheme="minorHAnsi"/>
          <w:bCs/>
          <w:sz w:val="28"/>
          <w:szCs w:val="28"/>
        </w:rPr>
      </w:pPr>
      <w:r w:rsidRPr="00210FAD">
        <w:rPr>
          <w:rFonts w:cstheme="minorHAnsi"/>
          <w:bCs/>
        </w:rPr>
        <w:t xml:space="preserve">During Calendar </w:t>
      </w:r>
      <w:r w:rsidR="00C936C7" w:rsidRPr="00210FAD">
        <w:rPr>
          <w:rFonts w:cstheme="minorHAnsi"/>
          <w:bCs/>
        </w:rPr>
        <w:t>Y</w:t>
      </w:r>
      <w:r w:rsidRPr="00210FAD">
        <w:rPr>
          <w:rFonts w:cstheme="minorHAnsi"/>
          <w:bCs/>
        </w:rPr>
        <w:t>ear 2020 SSHS</w:t>
      </w:r>
      <w:r w:rsidR="00C936C7" w:rsidRPr="00210FAD">
        <w:rPr>
          <w:rFonts w:cstheme="minorHAnsi"/>
          <w:bCs/>
        </w:rPr>
        <w:t>,</w:t>
      </w:r>
      <w:r w:rsidRPr="00210FAD">
        <w:rPr>
          <w:rFonts w:cstheme="minorHAnsi"/>
          <w:bCs/>
        </w:rPr>
        <w:t xml:space="preserve"> transferred 190 patients to a SSHS outside imaging facility as noted in Factor 1, 1a section 6 above</w:t>
      </w:r>
      <w:r w:rsidR="00C936C7" w:rsidRPr="00210FAD">
        <w:rPr>
          <w:rFonts w:cstheme="minorHAnsi"/>
          <w:bCs/>
        </w:rPr>
        <w:t xml:space="preserve">. The </w:t>
      </w:r>
      <w:r w:rsidRPr="00210FAD">
        <w:rPr>
          <w:rFonts w:cstheme="minorHAnsi"/>
          <w:bCs/>
        </w:rPr>
        <w:t>cost</w:t>
      </w:r>
      <w:r w:rsidR="00C936C7" w:rsidRPr="00210FAD">
        <w:rPr>
          <w:rFonts w:cstheme="minorHAnsi"/>
          <w:bCs/>
        </w:rPr>
        <w:t xml:space="preserve"> per transfer is </w:t>
      </w:r>
      <w:r w:rsidRPr="00210FAD">
        <w:rPr>
          <w:rFonts w:cstheme="minorHAnsi"/>
          <w:bCs/>
        </w:rPr>
        <w:t>$350 per trip</w:t>
      </w:r>
      <w:r w:rsidR="00C936C7" w:rsidRPr="00210FAD">
        <w:rPr>
          <w:rFonts w:cstheme="minorHAnsi"/>
          <w:bCs/>
        </w:rPr>
        <w:t xml:space="preserve">. In CY2020, the total costs for transfers was </w:t>
      </w:r>
      <w:r w:rsidRPr="00210FAD">
        <w:rPr>
          <w:rFonts w:cstheme="minorHAnsi"/>
          <w:bCs/>
        </w:rPr>
        <w:t>$66,500.</w:t>
      </w:r>
    </w:p>
    <w:p w14:paraId="58F644DE" w14:textId="77777777" w:rsidR="003B47AD" w:rsidRPr="00210FAD" w:rsidRDefault="003B47AD" w:rsidP="00561BCC">
      <w:pPr>
        <w:spacing w:after="0" w:line="240" w:lineRule="auto"/>
        <w:rPr>
          <w:rFonts w:cstheme="minorHAnsi"/>
          <w:b/>
          <w:bCs/>
          <w:sz w:val="28"/>
          <w:szCs w:val="28"/>
        </w:rPr>
      </w:pPr>
    </w:p>
    <w:p w14:paraId="267FD52F" w14:textId="054F943B" w:rsidR="00911747" w:rsidRPr="00210FAD" w:rsidRDefault="00911747" w:rsidP="00561BCC">
      <w:pPr>
        <w:spacing w:after="0" w:line="240" w:lineRule="auto"/>
        <w:rPr>
          <w:rFonts w:cstheme="minorHAnsi"/>
          <w:b/>
          <w:bCs/>
          <w:sz w:val="28"/>
          <w:szCs w:val="28"/>
        </w:rPr>
      </w:pPr>
      <w:r w:rsidRPr="00210FAD">
        <w:rPr>
          <w:rFonts w:cstheme="minorHAnsi"/>
          <w:b/>
          <w:bCs/>
          <w:sz w:val="28"/>
          <w:szCs w:val="28"/>
        </w:rPr>
        <w:t>FACTOR 2</w:t>
      </w:r>
    </w:p>
    <w:p w14:paraId="6D1DB4B6" w14:textId="77777777" w:rsidR="00851136" w:rsidRPr="00210FAD" w:rsidRDefault="00851136" w:rsidP="00561BCC">
      <w:pPr>
        <w:spacing w:after="0" w:line="240" w:lineRule="auto"/>
        <w:rPr>
          <w:rFonts w:cstheme="minorHAnsi"/>
          <w:b/>
          <w:bCs/>
          <w:sz w:val="28"/>
          <w:szCs w:val="28"/>
        </w:rPr>
      </w:pPr>
    </w:p>
    <w:p w14:paraId="449CFFC1" w14:textId="301290B7" w:rsidR="00FF71FF" w:rsidRPr="00210FAD" w:rsidRDefault="00911747" w:rsidP="00122B38">
      <w:pPr>
        <w:spacing w:after="0" w:line="240" w:lineRule="auto"/>
        <w:rPr>
          <w:rFonts w:cstheme="minorHAnsi"/>
          <w:b/>
          <w:bCs/>
          <w:i/>
          <w:iCs/>
        </w:rPr>
      </w:pPr>
      <w:r w:rsidRPr="00210FAD">
        <w:rPr>
          <w:rFonts w:cstheme="minorHAnsi"/>
          <w:b/>
          <w:bCs/>
          <w:i/>
          <w:iCs/>
        </w:rPr>
        <w:t>Delivery System Transformation</w:t>
      </w:r>
    </w:p>
    <w:p w14:paraId="633717B0" w14:textId="77777777" w:rsidR="005F0724" w:rsidRPr="00210FAD" w:rsidRDefault="005F0724" w:rsidP="005F0724">
      <w:pPr>
        <w:pStyle w:val="ListParagraph"/>
        <w:numPr>
          <w:ilvl w:val="0"/>
          <w:numId w:val="5"/>
        </w:numPr>
        <w:rPr>
          <w:rFonts w:cstheme="minorHAnsi"/>
          <w:b/>
          <w:bCs/>
        </w:rPr>
      </w:pPr>
      <w:r w:rsidRPr="00210FAD">
        <w:rPr>
          <w:rFonts w:cstheme="minorHAnsi"/>
          <w:b/>
          <w:bCs/>
        </w:rPr>
        <w:t xml:space="preserve">The application describes SDoH screening for MassHealth ACO patients. </w:t>
      </w:r>
    </w:p>
    <w:p w14:paraId="5394A6FC" w14:textId="58D56A7A" w:rsidR="005F0724" w:rsidRPr="00210FAD" w:rsidRDefault="005F0724" w:rsidP="005F0724">
      <w:pPr>
        <w:pStyle w:val="ListParagraph"/>
        <w:numPr>
          <w:ilvl w:val="1"/>
          <w:numId w:val="5"/>
        </w:numPr>
        <w:rPr>
          <w:rFonts w:cstheme="minorHAnsi"/>
          <w:b/>
          <w:bCs/>
        </w:rPr>
      </w:pPr>
      <w:r w:rsidRPr="00210FAD">
        <w:rPr>
          <w:rFonts w:cstheme="minorHAnsi"/>
          <w:b/>
          <w:bCs/>
        </w:rPr>
        <w:t xml:space="preserve">At </w:t>
      </w:r>
      <w:r w:rsidR="00760257" w:rsidRPr="00210FAD">
        <w:rPr>
          <w:rFonts w:cstheme="minorHAnsi"/>
          <w:b/>
          <w:bCs/>
        </w:rPr>
        <w:t xml:space="preserve">what </w:t>
      </w:r>
      <w:r w:rsidRPr="00210FAD">
        <w:rPr>
          <w:rFonts w:cstheme="minorHAnsi"/>
          <w:b/>
          <w:bCs/>
        </w:rPr>
        <w:t>one point in their care are patients screened using the THRIVE screener</w:t>
      </w:r>
      <w:r w:rsidR="00760257" w:rsidRPr="00210FAD">
        <w:rPr>
          <w:rFonts w:cstheme="minorHAnsi"/>
          <w:b/>
          <w:bCs/>
        </w:rPr>
        <w:t xml:space="preserve">? </w:t>
      </w:r>
    </w:p>
    <w:p w14:paraId="0C79FDD8" w14:textId="6295560D" w:rsidR="00760257" w:rsidRPr="00832D3A" w:rsidRDefault="00760257" w:rsidP="00760257">
      <w:pPr>
        <w:pStyle w:val="ListParagraph"/>
        <w:ind w:left="1440"/>
        <w:rPr>
          <w:rFonts w:cstheme="minorHAnsi"/>
          <w:bCs/>
        </w:rPr>
      </w:pPr>
      <w:r w:rsidRPr="00210FAD">
        <w:rPr>
          <w:rFonts w:cstheme="minorHAnsi"/>
          <w:bCs/>
        </w:rPr>
        <w:t xml:space="preserve">The THRIVE screening regularly occurs for Medicaid ACO (BACO) patient as part of their annual physical visit or new patient appointment. If a patient is flagged for a social determinant need, a referral can be placed to the social work team for further intervention. Upon social work intervention, a repeat THRIVE screening can be done as appropriate in follow-up.  Additionally, at any point patients who are engaged in one of our Care Management programs: Transitional </w:t>
      </w:r>
      <w:r w:rsidRPr="00210FAD">
        <w:rPr>
          <w:rFonts w:cstheme="minorHAnsi"/>
          <w:bCs/>
        </w:rPr>
        <w:lastRenderedPageBreak/>
        <w:t>Care, Complex Care, Advanced Illness Care or within our preferred SNF network can be assessed for SDoH considerations in the development of their overall care plan.</w:t>
      </w:r>
    </w:p>
    <w:p w14:paraId="16131A00" w14:textId="77777777" w:rsidR="00760257" w:rsidRPr="00210FAD" w:rsidRDefault="00760257" w:rsidP="00210FAD">
      <w:pPr>
        <w:pStyle w:val="ListParagraph"/>
        <w:ind w:left="1440"/>
        <w:rPr>
          <w:rFonts w:cstheme="minorHAnsi"/>
          <w:b/>
          <w:bCs/>
        </w:rPr>
      </w:pPr>
    </w:p>
    <w:p w14:paraId="2B0B1098" w14:textId="70074E54" w:rsidR="00CD3431" w:rsidRPr="00210FAD" w:rsidRDefault="005F0724" w:rsidP="00210FAD">
      <w:pPr>
        <w:pStyle w:val="ListParagraph"/>
        <w:numPr>
          <w:ilvl w:val="2"/>
          <w:numId w:val="5"/>
        </w:numPr>
        <w:rPr>
          <w:rFonts w:cstheme="minorHAnsi"/>
          <w:bCs/>
        </w:rPr>
      </w:pPr>
      <w:r w:rsidRPr="00210FAD">
        <w:rPr>
          <w:rFonts w:cstheme="minorHAnsi"/>
          <w:b/>
          <w:bCs/>
        </w:rPr>
        <w:t xml:space="preserve">Does SDoH screening rely on IT? If so, how do you ensure screening is accessible to all (aging, IT illiterate)? </w:t>
      </w:r>
    </w:p>
    <w:p w14:paraId="3B86EC72" w14:textId="04C015DC" w:rsidR="005E36BC" w:rsidRPr="00210FAD" w:rsidRDefault="00CD3431" w:rsidP="005E36BC">
      <w:pPr>
        <w:pStyle w:val="ListParagraph"/>
        <w:numPr>
          <w:ilvl w:val="0"/>
          <w:numId w:val="25"/>
        </w:numPr>
        <w:rPr>
          <w:rFonts w:cstheme="minorHAnsi"/>
          <w:bCs/>
        </w:rPr>
      </w:pPr>
      <w:r w:rsidRPr="00210FAD">
        <w:rPr>
          <w:rFonts w:cstheme="minorHAnsi"/>
          <w:bCs/>
        </w:rPr>
        <w:t>The THRIVE screening can occur in various delivery methods and is not solely dependent on IT. Typically</w:t>
      </w:r>
      <w:r w:rsidR="00FE51C5" w:rsidRPr="00210FAD">
        <w:rPr>
          <w:rFonts w:cstheme="minorHAnsi"/>
          <w:bCs/>
        </w:rPr>
        <w:t>,</w:t>
      </w:r>
      <w:r w:rsidRPr="00210FAD">
        <w:rPr>
          <w:rFonts w:cstheme="minorHAnsi"/>
          <w:bCs/>
        </w:rPr>
        <w:t xml:space="preserve"> at the </w:t>
      </w:r>
      <w:r w:rsidR="00FE51C5" w:rsidRPr="00210FAD">
        <w:rPr>
          <w:rFonts w:cstheme="minorHAnsi"/>
          <w:bCs/>
        </w:rPr>
        <w:t xml:space="preserve">annual or </w:t>
      </w:r>
      <w:r w:rsidRPr="00210FAD">
        <w:rPr>
          <w:rFonts w:cstheme="minorHAnsi"/>
          <w:bCs/>
        </w:rPr>
        <w:t>new patient appointment</w:t>
      </w:r>
      <w:r w:rsidR="00FE51C5" w:rsidRPr="00210FAD">
        <w:rPr>
          <w:rFonts w:cstheme="minorHAnsi"/>
          <w:bCs/>
        </w:rPr>
        <w:t xml:space="preserve">, </w:t>
      </w:r>
      <w:r w:rsidRPr="00210FAD">
        <w:rPr>
          <w:rFonts w:cstheme="minorHAnsi"/>
          <w:bCs/>
        </w:rPr>
        <w:t xml:space="preserve">the patient is asked to complete the THRIVE screening. This can be accomplished via a handheld tablet while the patient waits for their visit or via My Chart access on their own personal device up to 3 days prior to their scheduled appointment. A paper tool is also available </w:t>
      </w:r>
      <w:r w:rsidR="00FE51C5" w:rsidRPr="00210FAD">
        <w:rPr>
          <w:rFonts w:cstheme="minorHAnsi"/>
          <w:bCs/>
        </w:rPr>
        <w:t>which is</w:t>
      </w:r>
      <w:r w:rsidRPr="00210FAD">
        <w:rPr>
          <w:rFonts w:cstheme="minorHAnsi"/>
          <w:bCs/>
        </w:rPr>
        <w:t xml:space="preserve"> manually entered into the electronic EMR tool </w:t>
      </w:r>
      <w:r w:rsidR="00FE51C5" w:rsidRPr="00210FAD">
        <w:rPr>
          <w:rFonts w:cstheme="minorHAnsi"/>
          <w:bCs/>
        </w:rPr>
        <w:t>by SSHS staff</w:t>
      </w:r>
      <w:r w:rsidRPr="00210FAD">
        <w:rPr>
          <w:rFonts w:cstheme="minorHAnsi"/>
          <w:bCs/>
        </w:rPr>
        <w:t xml:space="preserve">. The THRIVE screening can occur via verbal prompted questions in person, telephonically, or virtually by the care team and </w:t>
      </w:r>
      <w:r w:rsidR="00FE51C5" w:rsidRPr="00210FAD">
        <w:rPr>
          <w:rFonts w:cstheme="minorHAnsi"/>
          <w:bCs/>
        </w:rPr>
        <w:t>entered</w:t>
      </w:r>
      <w:r w:rsidRPr="00210FAD">
        <w:rPr>
          <w:rFonts w:cstheme="minorHAnsi"/>
          <w:bCs/>
        </w:rPr>
        <w:t xml:space="preserve"> into the EMR</w:t>
      </w:r>
      <w:r w:rsidR="002946D3" w:rsidRPr="00210FAD">
        <w:rPr>
          <w:rFonts w:cstheme="minorHAnsi"/>
          <w:bCs/>
        </w:rPr>
        <w:t>.</w:t>
      </w:r>
    </w:p>
    <w:p w14:paraId="2662D6B6" w14:textId="58135337" w:rsidR="00CD3431" w:rsidRPr="00210FAD" w:rsidRDefault="005E36BC" w:rsidP="005E36BC">
      <w:pPr>
        <w:pStyle w:val="ListParagraph"/>
        <w:numPr>
          <w:ilvl w:val="0"/>
          <w:numId w:val="25"/>
        </w:numPr>
        <w:rPr>
          <w:rFonts w:cstheme="minorHAnsi"/>
          <w:bCs/>
        </w:rPr>
      </w:pPr>
      <w:r w:rsidRPr="00210FAD">
        <w:rPr>
          <w:rFonts w:cstheme="minorHAnsi"/>
          <w:bCs/>
        </w:rPr>
        <w:t xml:space="preserve">The medical assistant will check for completed responses during the rooming process.  If they are not completed the MA verbally asks the patient and enters patient responses into </w:t>
      </w:r>
      <w:r w:rsidR="00FE51C5" w:rsidRPr="00210FAD">
        <w:rPr>
          <w:rFonts w:cstheme="minorHAnsi"/>
          <w:bCs/>
        </w:rPr>
        <w:t>the EMR</w:t>
      </w:r>
      <w:r w:rsidRPr="00210FAD">
        <w:rPr>
          <w:rFonts w:cstheme="minorHAnsi"/>
          <w:bCs/>
        </w:rPr>
        <w:t>.</w:t>
      </w:r>
    </w:p>
    <w:p w14:paraId="173AEB8A" w14:textId="77777777" w:rsidR="00CD3431" w:rsidRPr="00210FAD" w:rsidRDefault="00CD3431" w:rsidP="00CD3431">
      <w:pPr>
        <w:pStyle w:val="ListParagraph"/>
        <w:ind w:left="1440"/>
        <w:rPr>
          <w:rFonts w:cstheme="minorHAnsi"/>
        </w:rPr>
      </w:pPr>
    </w:p>
    <w:p w14:paraId="12C0F2AE" w14:textId="5E6E7E21" w:rsidR="005D16F9" w:rsidRPr="00210FAD" w:rsidRDefault="005D16F9" w:rsidP="00CD3431">
      <w:pPr>
        <w:pStyle w:val="ListParagraph"/>
        <w:numPr>
          <w:ilvl w:val="2"/>
          <w:numId w:val="5"/>
        </w:numPr>
        <w:rPr>
          <w:rFonts w:cstheme="minorHAnsi"/>
          <w:b/>
          <w:bCs/>
        </w:rPr>
      </w:pPr>
      <w:r w:rsidRPr="00210FAD">
        <w:rPr>
          <w:rFonts w:cstheme="minorHAnsi"/>
          <w:b/>
          <w:bCs/>
        </w:rPr>
        <w:t>The application states a Community Resources Directory can be accessed through the System’s webpage (pg.15). How are patients without access to technology able to access the Community Resources Directory?</w:t>
      </w:r>
    </w:p>
    <w:p w14:paraId="4FE99D4A" w14:textId="77777777" w:rsidR="00350A43" w:rsidRPr="00210FAD" w:rsidRDefault="00350A43" w:rsidP="00350A43">
      <w:pPr>
        <w:pStyle w:val="ListParagraph"/>
        <w:ind w:left="2160"/>
        <w:rPr>
          <w:rFonts w:cstheme="minorHAnsi"/>
        </w:rPr>
      </w:pPr>
    </w:p>
    <w:p w14:paraId="7B90B1EB" w14:textId="3E5128BB" w:rsidR="00CD3431" w:rsidRPr="00AD3E6E" w:rsidRDefault="00FE51C5" w:rsidP="00AD3E6E">
      <w:pPr>
        <w:pStyle w:val="ListParagraph"/>
        <w:numPr>
          <w:ilvl w:val="1"/>
          <w:numId w:val="26"/>
        </w:numPr>
        <w:rPr>
          <w:rFonts w:cstheme="minorHAnsi"/>
          <w:bCs/>
        </w:rPr>
      </w:pPr>
      <w:r w:rsidRPr="00210FAD">
        <w:rPr>
          <w:rFonts w:cstheme="minorHAnsi"/>
          <w:bCs/>
        </w:rPr>
        <w:t>The</w:t>
      </w:r>
      <w:r w:rsidR="00CD3431" w:rsidRPr="00210FAD">
        <w:rPr>
          <w:rFonts w:cstheme="minorHAnsi"/>
          <w:bCs/>
        </w:rPr>
        <w:t xml:space="preserve"> Community Resource Directory </w:t>
      </w:r>
      <w:r w:rsidRPr="00210FAD">
        <w:rPr>
          <w:rFonts w:cstheme="minorHAnsi"/>
          <w:bCs/>
        </w:rPr>
        <w:t xml:space="preserve">can be access within SSHS’s </w:t>
      </w:r>
      <w:r w:rsidR="00AA02A5" w:rsidRPr="00210FAD">
        <w:rPr>
          <w:rFonts w:cstheme="minorHAnsi"/>
          <w:bCs/>
        </w:rPr>
        <w:t xml:space="preserve">so that any member of </w:t>
      </w:r>
      <w:r w:rsidR="00CD3431" w:rsidRPr="00210FAD">
        <w:rPr>
          <w:rFonts w:cstheme="minorHAnsi"/>
          <w:bCs/>
        </w:rPr>
        <w:t xml:space="preserve">the care team can perform a search on </w:t>
      </w:r>
      <w:r w:rsidR="00AA02A5" w:rsidRPr="00210FAD">
        <w:rPr>
          <w:rFonts w:cstheme="minorHAnsi"/>
          <w:bCs/>
        </w:rPr>
        <w:t xml:space="preserve">a </w:t>
      </w:r>
      <w:r w:rsidR="00CD3431" w:rsidRPr="00210FAD">
        <w:rPr>
          <w:rFonts w:cstheme="minorHAnsi"/>
          <w:bCs/>
        </w:rPr>
        <w:t xml:space="preserve">patient’s behalf. This can occur from any point in the System of Care (ambulatory, hospital, community). </w:t>
      </w:r>
      <w:r w:rsidR="00AA02A5" w:rsidRPr="00210FAD">
        <w:rPr>
          <w:rFonts w:cstheme="minorHAnsi"/>
          <w:bCs/>
        </w:rPr>
        <w:t>A</w:t>
      </w:r>
      <w:r w:rsidR="00CD3431" w:rsidRPr="00210FAD">
        <w:rPr>
          <w:rFonts w:cstheme="minorHAnsi"/>
          <w:bCs/>
        </w:rPr>
        <w:t xml:space="preserve"> resource list can be printed, and or emailed to the patient or patient </w:t>
      </w:r>
      <w:r w:rsidR="00AA02A5" w:rsidRPr="00210FAD">
        <w:rPr>
          <w:rFonts w:cstheme="minorHAnsi"/>
          <w:bCs/>
        </w:rPr>
        <w:t>representative</w:t>
      </w:r>
      <w:r w:rsidR="00CD3431" w:rsidRPr="00210FAD">
        <w:rPr>
          <w:rFonts w:cstheme="minorHAnsi"/>
          <w:bCs/>
        </w:rPr>
        <w:t>.</w:t>
      </w:r>
      <w:r w:rsidR="00AA02A5" w:rsidRPr="00210FAD">
        <w:rPr>
          <w:rFonts w:cstheme="minorHAnsi"/>
          <w:bCs/>
        </w:rPr>
        <w:t xml:space="preserve"> Additionally,</w:t>
      </w:r>
      <w:r w:rsidR="00CD3431" w:rsidRPr="00210FAD">
        <w:rPr>
          <w:rFonts w:cstheme="minorHAnsi"/>
          <w:bCs/>
        </w:rPr>
        <w:t xml:space="preserve"> the EMR has built in to the After Visit Summary (AVS) a specific list of resources. When prompted by positive indicators in the </w:t>
      </w:r>
      <w:r w:rsidR="00AA02A5" w:rsidRPr="00210FAD">
        <w:rPr>
          <w:rFonts w:cstheme="minorHAnsi"/>
          <w:bCs/>
        </w:rPr>
        <w:t xml:space="preserve">THRIVE </w:t>
      </w:r>
      <w:r w:rsidR="00CD3431" w:rsidRPr="00210FAD">
        <w:rPr>
          <w:rFonts w:cstheme="minorHAnsi"/>
          <w:bCs/>
        </w:rPr>
        <w:t xml:space="preserve">tool, a list will print out on the AVS that </w:t>
      </w:r>
      <w:r w:rsidR="00AA02A5" w:rsidRPr="00210FAD">
        <w:rPr>
          <w:rFonts w:cstheme="minorHAnsi"/>
          <w:bCs/>
        </w:rPr>
        <w:t>is provided to the patient</w:t>
      </w:r>
      <w:r w:rsidR="00CD3431" w:rsidRPr="00210FAD">
        <w:rPr>
          <w:rFonts w:cstheme="minorHAnsi"/>
          <w:bCs/>
        </w:rPr>
        <w:t xml:space="preserve">. </w:t>
      </w:r>
      <w:r w:rsidR="00AA02A5" w:rsidRPr="00210FAD">
        <w:rPr>
          <w:rFonts w:cstheme="minorHAnsi"/>
          <w:bCs/>
        </w:rPr>
        <w:t>Specifically, i</w:t>
      </w:r>
      <w:r w:rsidR="00F64C74" w:rsidRPr="00210FAD">
        <w:rPr>
          <w:rFonts w:cstheme="minorHAnsi"/>
          <w:bCs/>
        </w:rPr>
        <w:t xml:space="preserve">f a patient qualifies for the food insecurity flexible service program, SSH will perform direct referrals to the local </w:t>
      </w:r>
      <w:r w:rsidR="00AA02A5" w:rsidRPr="00210FAD">
        <w:rPr>
          <w:rFonts w:cstheme="minorHAnsi"/>
          <w:bCs/>
        </w:rPr>
        <w:t xml:space="preserve">social service agency contracted with SSHS to provide services. </w:t>
      </w:r>
      <w:r w:rsidR="00AD3E6E">
        <w:rPr>
          <w:rFonts w:cstheme="minorHAnsi"/>
          <w:bCs/>
        </w:rPr>
        <w:t xml:space="preserve"> </w:t>
      </w:r>
    </w:p>
    <w:p w14:paraId="2B66C71C" w14:textId="56060E10" w:rsidR="00800527" w:rsidRPr="00210FAD" w:rsidRDefault="00610F50" w:rsidP="00800527">
      <w:pPr>
        <w:pStyle w:val="ListParagraph"/>
        <w:numPr>
          <w:ilvl w:val="1"/>
          <w:numId w:val="5"/>
        </w:numPr>
        <w:rPr>
          <w:rFonts w:cstheme="minorHAnsi"/>
          <w:b/>
          <w:bCs/>
        </w:rPr>
      </w:pPr>
      <w:r w:rsidRPr="00210FAD">
        <w:rPr>
          <w:rFonts w:cstheme="minorHAnsi"/>
          <w:b/>
          <w:bCs/>
        </w:rPr>
        <w:t>Describe</w:t>
      </w:r>
      <w:r w:rsidR="00C5224B" w:rsidRPr="00210FAD">
        <w:rPr>
          <w:rFonts w:cstheme="minorHAnsi"/>
          <w:b/>
          <w:bCs/>
        </w:rPr>
        <w:t xml:space="preserve"> the</w:t>
      </w:r>
      <w:r w:rsidRPr="00210FAD">
        <w:rPr>
          <w:rFonts w:cstheme="minorHAnsi"/>
          <w:b/>
          <w:bCs/>
        </w:rPr>
        <w:t xml:space="preserve"> SDoH screening for non-ACO patients.</w:t>
      </w:r>
      <w:r w:rsidRPr="00210FAD">
        <w:rPr>
          <w:rFonts w:cstheme="minorHAnsi"/>
          <w:b/>
          <w:bCs/>
          <w:color w:val="FF0000"/>
        </w:rPr>
        <w:t xml:space="preserve"> </w:t>
      </w:r>
    </w:p>
    <w:p w14:paraId="41566C6E" w14:textId="77777777" w:rsidR="00350A43" w:rsidRPr="00210FAD" w:rsidRDefault="00350A43" w:rsidP="00350A43">
      <w:pPr>
        <w:pStyle w:val="ListParagraph"/>
        <w:ind w:left="1440"/>
        <w:rPr>
          <w:rFonts w:cstheme="minorHAnsi"/>
        </w:rPr>
      </w:pPr>
    </w:p>
    <w:p w14:paraId="08655ACC" w14:textId="3D98EDD0" w:rsidR="00CD3431" w:rsidRPr="00210FAD" w:rsidRDefault="00AA02A5" w:rsidP="0033361E">
      <w:pPr>
        <w:pStyle w:val="ListParagraph"/>
        <w:numPr>
          <w:ilvl w:val="0"/>
          <w:numId w:val="27"/>
        </w:numPr>
        <w:rPr>
          <w:rFonts w:cstheme="minorHAnsi"/>
          <w:bCs/>
        </w:rPr>
      </w:pPr>
      <w:r w:rsidRPr="00210FAD">
        <w:rPr>
          <w:rFonts w:cstheme="minorHAnsi"/>
          <w:bCs/>
        </w:rPr>
        <w:t>Population Health is committed to expanding and standardizing screening for Social Determinants of health. At this time, n</w:t>
      </w:r>
      <w:r w:rsidR="00CD3431" w:rsidRPr="00210FAD">
        <w:rPr>
          <w:rFonts w:cstheme="minorHAnsi"/>
          <w:bCs/>
        </w:rPr>
        <w:t xml:space="preserve">on – ACO patients are screened for SDoH across the system of care at various access points, using other various assessments. As written in response </w:t>
      </w:r>
      <w:r w:rsidRPr="00210FAD">
        <w:rPr>
          <w:rFonts w:cstheme="minorHAnsi"/>
          <w:bCs/>
        </w:rPr>
        <w:t xml:space="preserve">to Factor </w:t>
      </w:r>
      <w:r w:rsidR="00CD3431" w:rsidRPr="00210FAD">
        <w:rPr>
          <w:rFonts w:cstheme="minorHAnsi"/>
          <w:bCs/>
        </w:rPr>
        <w:t>1b</w:t>
      </w:r>
      <w:r w:rsidRPr="00210FAD">
        <w:rPr>
          <w:rFonts w:cstheme="minorHAnsi"/>
          <w:bCs/>
        </w:rPr>
        <w:t xml:space="preserve">, </w:t>
      </w:r>
      <w:r w:rsidR="00CD3431" w:rsidRPr="00210FAD">
        <w:rPr>
          <w:rFonts w:cstheme="minorHAnsi"/>
          <w:bCs/>
        </w:rPr>
        <w:t>both MIH and Care Management interventions incorporate SDoH assessment</w:t>
      </w:r>
      <w:r w:rsidRPr="00210FAD">
        <w:rPr>
          <w:rFonts w:cstheme="minorHAnsi"/>
          <w:bCs/>
        </w:rPr>
        <w:t>s</w:t>
      </w:r>
      <w:r w:rsidR="00CD3431" w:rsidRPr="00210FAD">
        <w:rPr>
          <w:rFonts w:cstheme="minorHAnsi"/>
          <w:bCs/>
        </w:rPr>
        <w:t xml:space="preserve"> in the establishment of patient plans of care as it relates to the service provided, care management outreach, or development of a hospital discharge plan.</w:t>
      </w:r>
      <w:r w:rsidRPr="00210FAD">
        <w:rPr>
          <w:rFonts w:cstheme="minorHAnsi"/>
          <w:bCs/>
        </w:rPr>
        <w:t xml:space="preserve"> </w:t>
      </w:r>
    </w:p>
    <w:p w14:paraId="707D8064" w14:textId="77777777" w:rsidR="00CD3431" w:rsidRDefault="00CD3431" w:rsidP="00CD3431">
      <w:pPr>
        <w:pStyle w:val="ListParagraph"/>
        <w:ind w:left="2160"/>
      </w:pPr>
    </w:p>
    <w:sectPr w:rsidR="00CD3431" w:rsidSect="004B678F">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65410" w14:textId="77777777" w:rsidR="004E3497" w:rsidRDefault="004E3497" w:rsidP="00231103">
      <w:pPr>
        <w:spacing w:after="0" w:line="240" w:lineRule="auto"/>
      </w:pPr>
      <w:r>
        <w:separator/>
      </w:r>
    </w:p>
  </w:endnote>
  <w:endnote w:type="continuationSeparator" w:id="0">
    <w:p w14:paraId="7F713325" w14:textId="77777777" w:rsidR="004E3497" w:rsidRDefault="004E3497" w:rsidP="0023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02EEC" w14:textId="77777777" w:rsidR="000516F1" w:rsidRDefault="00051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110531"/>
      <w:docPartObj>
        <w:docPartGallery w:val="Page Numbers (Bottom of Page)"/>
        <w:docPartUnique/>
      </w:docPartObj>
    </w:sdtPr>
    <w:sdtEndPr>
      <w:rPr>
        <w:noProof/>
      </w:rPr>
    </w:sdtEndPr>
    <w:sdtContent>
      <w:p w14:paraId="777EDC05" w14:textId="7809D123" w:rsidR="00820AF9" w:rsidRDefault="00820AF9">
        <w:pPr>
          <w:pStyle w:val="Footer"/>
          <w:jc w:val="center"/>
        </w:pPr>
        <w:r>
          <w:fldChar w:fldCharType="begin"/>
        </w:r>
        <w:r>
          <w:instrText xml:space="preserve"> PAGE   \* MERGEFORMAT </w:instrText>
        </w:r>
        <w:r>
          <w:fldChar w:fldCharType="separate"/>
        </w:r>
        <w:r w:rsidR="003B174B">
          <w:rPr>
            <w:noProof/>
          </w:rPr>
          <w:t>1</w:t>
        </w:r>
        <w:r>
          <w:rPr>
            <w:noProof/>
          </w:rPr>
          <w:fldChar w:fldCharType="end"/>
        </w:r>
      </w:p>
    </w:sdtContent>
  </w:sdt>
  <w:p w14:paraId="6BBA7089" w14:textId="48F5153A" w:rsidR="00820AF9" w:rsidRPr="000516F1" w:rsidRDefault="004E3497" w:rsidP="000516F1">
    <w:pPr>
      <w:pStyle w:val="DocID"/>
    </w:pPr>
    <w:fldSimple w:instr=" DOCPROPERTY &quot;DocID&quot; ">
      <w:r w:rsidR="000516F1">
        <w:t>807123.1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5CB4" w14:textId="77777777" w:rsidR="000516F1" w:rsidRDefault="00051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62B89" w14:textId="77777777" w:rsidR="004E3497" w:rsidRDefault="004E3497" w:rsidP="00231103">
      <w:pPr>
        <w:spacing w:after="0" w:line="240" w:lineRule="auto"/>
      </w:pPr>
      <w:r>
        <w:separator/>
      </w:r>
    </w:p>
  </w:footnote>
  <w:footnote w:type="continuationSeparator" w:id="0">
    <w:p w14:paraId="0CB58D81" w14:textId="77777777" w:rsidR="004E3497" w:rsidRDefault="004E3497" w:rsidP="00231103">
      <w:pPr>
        <w:spacing w:after="0" w:line="240" w:lineRule="auto"/>
      </w:pPr>
      <w:r>
        <w:continuationSeparator/>
      </w:r>
    </w:p>
  </w:footnote>
  <w:footnote w:id="1">
    <w:p w14:paraId="264E9CA5" w14:textId="3EA733CE" w:rsidR="00C936C7" w:rsidRDefault="00C936C7">
      <w:pPr>
        <w:pStyle w:val="FootnoteText"/>
      </w:pPr>
      <w:r>
        <w:rPr>
          <w:rStyle w:val="FootnoteReference"/>
        </w:rPr>
        <w:footnoteRef/>
      </w:r>
      <w:r>
        <w:t xml:space="preserve"> </w:t>
      </w:r>
      <w:r w:rsidRPr="00C936C7">
        <w:t>The two organization members are women.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C5D4C" w14:textId="77777777" w:rsidR="000516F1" w:rsidRDefault="00051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605D" w14:textId="1FFD85D5" w:rsidR="00820AF9" w:rsidRPr="00D223EB" w:rsidRDefault="00820AF9" w:rsidP="00D223EB">
    <w:pPr>
      <w:pStyle w:val="Header"/>
      <w:pBdr>
        <w:bottom w:val="single" w:sz="4" w:space="1" w:color="auto"/>
      </w:pBdr>
      <w:jc w:val="center"/>
      <w:rPr>
        <w:b/>
        <w:bCs/>
        <w:sz w:val="28"/>
        <w:szCs w:val="28"/>
      </w:rPr>
    </w:pPr>
    <w:r w:rsidRPr="00D223EB">
      <w:rPr>
        <w:b/>
        <w:bCs/>
        <w:sz w:val="28"/>
        <w:szCs w:val="28"/>
      </w:rPr>
      <w:t>South Shore Health System, Inc.</w:t>
    </w:r>
  </w:p>
  <w:p w14:paraId="78DC6D8E" w14:textId="610AE225" w:rsidR="00820AF9" w:rsidRPr="00D223EB" w:rsidRDefault="00820AF9" w:rsidP="00D223EB">
    <w:pPr>
      <w:pStyle w:val="Header"/>
      <w:pBdr>
        <w:bottom w:val="single" w:sz="4" w:space="1" w:color="auto"/>
      </w:pBdr>
      <w:jc w:val="center"/>
      <w:rPr>
        <w:sz w:val="28"/>
        <w:szCs w:val="28"/>
      </w:rPr>
    </w:pPr>
    <w:r w:rsidRPr="00D223EB">
      <w:rPr>
        <w:sz w:val="28"/>
        <w:szCs w:val="28"/>
      </w:rPr>
      <w:t>DoN #21040109-HS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8326" w14:textId="77777777" w:rsidR="000516F1" w:rsidRDefault="00051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687"/>
    <w:multiLevelType w:val="hybridMultilevel"/>
    <w:tmpl w:val="BEBE1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B5383"/>
    <w:multiLevelType w:val="hybridMultilevel"/>
    <w:tmpl w:val="11926CAA"/>
    <w:lvl w:ilvl="0" w:tplc="04848AE2">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B6CDE"/>
    <w:multiLevelType w:val="hybridMultilevel"/>
    <w:tmpl w:val="BEFA0FFC"/>
    <w:lvl w:ilvl="0" w:tplc="0A083EBE">
      <w:start w:val="1"/>
      <w:numFmt w:val="lowerRoman"/>
      <w:lvlText w:val="%1."/>
      <w:lvlJc w:val="left"/>
      <w:pPr>
        <w:ind w:left="21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56AEB"/>
    <w:multiLevelType w:val="hybridMultilevel"/>
    <w:tmpl w:val="FA08B3A8"/>
    <w:lvl w:ilvl="0" w:tplc="04848AE2">
      <w:start w:val="1"/>
      <w:numFmt w:val="decimal"/>
      <w:lvlText w:val="%1."/>
      <w:lvlJc w:val="left"/>
      <w:pPr>
        <w:ind w:left="720" w:hanging="360"/>
      </w:pPr>
      <w:rPr>
        <w:rFonts w:hint="default"/>
        <w:b w:val="0"/>
        <w:bCs w:val="0"/>
        <w:i w:val="0"/>
        <w:iCs w:val="0"/>
        <w:sz w:val="22"/>
        <w:szCs w:val="22"/>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D125F"/>
    <w:multiLevelType w:val="hybridMultilevel"/>
    <w:tmpl w:val="020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48445B"/>
    <w:multiLevelType w:val="hybridMultilevel"/>
    <w:tmpl w:val="4DE6BE78"/>
    <w:lvl w:ilvl="0" w:tplc="04090005">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D09B6"/>
    <w:multiLevelType w:val="hybridMultilevel"/>
    <w:tmpl w:val="A30EE014"/>
    <w:lvl w:ilvl="0" w:tplc="F3521924">
      <w:start w:val="1"/>
      <w:numFmt w:val="lowerLetter"/>
      <w:lvlText w:val="%1."/>
      <w:lvlJc w:val="left"/>
      <w:pPr>
        <w:ind w:left="1800" w:hanging="360"/>
      </w:pPr>
      <w:rPr>
        <w:rFonts w:hint="default"/>
        <w:b w:val="0"/>
        <w:bCs w:val="0"/>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0088A"/>
    <w:multiLevelType w:val="hybridMultilevel"/>
    <w:tmpl w:val="900A4A7E"/>
    <w:lvl w:ilvl="0" w:tplc="04848AE2">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b w:val="0"/>
        <w:bCs w:val="0"/>
        <w:i w:val="0"/>
        <w:iCs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753A90"/>
    <w:multiLevelType w:val="hybridMultilevel"/>
    <w:tmpl w:val="EC262DF0"/>
    <w:lvl w:ilvl="0" w:tplc="04090005">
      <w:start w:val="1"/>
      <w:numFmt w:val="bullet"/>
      <w:lvlText w:val=""/>
      <w:lvlJc w:val="left"/>
      <w:pPr>
        <w:ind w:left="1440" w:hanging="360"/>
      </w:pPr>
      <w:rPr>
        <w:rFonts w:ascii="Wingdings" w:hAnsi="Wingdings" w:hint="default"/>
        <w:b w:val="0"/>
        <w:bCs w:val="0"/>
        <w:i w:val="0"/>
        <w:iCs w:val="0"/>
        <w:sz w:val="22"/>
        <w:szCs w:val="22"/>
      </w:rPr>
    </w:lvl>
    <w:lvl w:ilvl="1" w:tplc="04090019">
      <w:start w:val="1"/>
      <w:numFmt w:val="lowerLetter"/>
      <w:lvlText w:val="%2."/>
      <w:lvlJc w:val="left"/>
      <w:pPr>
        <w:ind w:left="2160" w:hanging="360"/>
      </w:pPr>
    </w:lvl>
    <w:lvl w:ilvl="2" w:tplc="0A083EBE">
      <w:start w:val="1"/>
      <w:numFmt w:val="lowerRoman"/>
      <w:lvlText w:val="%3."/>
      <w:lvlJc w:val="left"/>
      <w:pPr>
        <w:ind w:left="2880" w:hanging="180"/>
      </w:pPr>
      <w:rPr>
        <w:rFonts w:asciiTheme="minorHAnsi" w:eastAsiaTheme="minorHAnsi" w:hAnsiTheme="minorHAnsi" w:cstheme="minorBidi"/>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FB3D89"/>
    <w:multiLevelType w:val="hybridMultilevel"/>
    <w:tmpl w:val="84EA870E"/>
    <w:lvl w:ilvl="0" w:tplc="FC921F2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253B7"/>
    <w:multiLevelType w:val="hybridMultilevel"/>
    <w:tmpl w:val="B80AC7EC"/>
    <w:lvl w:ilvl="0" w:tplc="04848AE2">
      <w:start w:val="1"/>
      <w:numFmt w:val="decimal"/>
      <w:lvlText w:val="%1."/>
      <w:lvlJc w:val="left"/>
      <w:pPr>
        <w:ind w:left="720" w:hanging="360"/>
      </w:pPr>
      <w:rPr>
        <w:rFonts w:hint="default"/>
        <w:b w:val="0"/>
        <w:bCs w:val="0"/>
        <w:i w:val="0"/>
        <w:iCs w:val="0"/>
        <w:sz w:val="22"/>
        <w:szCs w:val="22"/>
      </w:rPr>
    </w:lvl>
    <w:lvl w:ilvl="1" w:tplc="04090005">
      <w:start w:val="1"/>
      <w:numFmt w:val="bullet"/>
      <w:lvlText w:val=""/>
      <w:lvlJc w:val="left"/>
      <w:pPr>
        <w:ind w:left="1440" w:hanging="360"/>
      </w:pPr>
      <w:rPr>
        <w:rFonts w:ascii="Wingdings" w:hAnsi="Wingdings" w:hint="default"/>
        <w:b w:val="0"/>
        <w:bCs w:val="0"/>
        <w:i w:val="0"/>
        <w:iCs w:val="0"/>
        <w:sz w:val="22"/>
        <w:szCs w:val="22"/>
      </w:rPr>
    </w:lvl>
    <w:lvl w:ilvl="2" w:tplc="0A083EBE">
      <w:start w:val="1"/>
      <w:numFmt w:val="lowerRoman"/>
      <w:lvlText w:val="%3."/>
      <w:lvlJc w:val="lef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91A1A"/>
    <w:multiLevelType w:val="hybridMultilevel"/>
    <w:tmpl w:val="A0C4F3D2"/>
    <w:lvl w:ilvl="0" w:tplc="D300681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DB2D2E"/>
    <w:multiLevelType w:val="hybridMultilevel"/>
    <w:tmpl w:val="FD1A59D4"/>
    <w:lvl w:ilvl="0" w:tplc="04090005">
      <w:start w:val="1"/>
      <w:numFmt w:val="bullet"/>
      <w:lvlText w:val=""/>
      <w:lvlJc w:val="left"/>
      <w:pPr>
        <w:ind w:left="1080" w:hanging="360"/>
      </w:pPr>
      <w:rPr>
        <w:rFonts w:ascii="Wingdings" w:hAnsi="Wingdings" w:hint="default"/>
        <w:b w:val="0"/>
        <w:bCs w:val="0"/>
        <w:i w:val="0"/>
        <w:iCs w:val="0"/>
        <w:sz w:val="22"/>
        <w:szCs w:val="22"/>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CA59A1"/>
    <w:multiLevelType w:val="hybridMultilevel"/>
    <w:tmpl w:val="583EA71E"/>
    <w:lvl w:ilvl="0" w:tplc="04090005">
      <w:start w:val="1"/>
      <w:numFmt w:val="bullet"/>
      <w:lvlText w:val=""/>
      <w:lvlJc w:val="left"/>
      <w:pPr>
        <w:ind w:left="1440" w:hanging="360"/>
      </w:pPr>
      <w:rPr>
        <w:rFonts w:ascii="Wingdings" w:hAnsi="Wingdings" w:hint="default"/>
        <w:b w:val="0"/>
        <w:bCs w:val="0"/>
        <w:i w:val="0"/>
        <w:iCs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976372"/>
    <w:multiLevelType w:val="hybridMultilevel"/>
    <w:tmpl w:val="C6CC17AE"/>
    <w:lvl w:ilvl="0" w:tplc="04090005">
      <w:start w:val="1"/>
      <w:numFmt w:val="bullet"/>
      <w:lvlText w:val=""/>
      <w:lvlJc w:val="left"/>
      <w:pPr>
        <w:ind w:left="2160" w:hanging="360"/>
      </w:pPr>
      <w:rPr>
        <w:rFonts w:ascii="Wingdings" w:hAnsi="Wingdings" w:hint="default"/>
        <w:b w:val="0"/>
        <w:bCs w:val="0"/>
        <w:i w:val="0"/>
        <w:iCs w:val="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0745B80"/>
    <w:multiLevelType w:val="hybridMultilevel"/>
    <w:tmpl w:val="F3FA82AA"/>
    <w:lvl w:ilvl="0" w:tplc="04848AE2">
      <w:start w:val="1"/>
      <w:numFmt w:val="decimal"/>
      <w:lvlText w:val="%1."/>
      <w:lvlJc w:val="left"/>
      <w:pPr>
        <w:ind w:left="720" w:hanging="360"/>
      </w:pPr>
      <w:rPr>
        <w:rFonts w:hint="default"/>
        <w:b w:val="0"/>
        <w:bCs w:val="0"/>
        <w:i w:val="0"/>
        <w:iCs w:val="0"/>
        <w:sz w:val="22"/>
        <w:szCs w:val="22"/>
      </w:rPr>
    </w:lvl>
    <w:lvl w:ilvl="1" w:tplc="04090005">
      <w:start w:val="1"/>
      <w:numFmt w:val="bullet"/>
      <w:lvlText w:val=""/>
      <w:lvlJc w:val="left"/>
      <w:pPr>
        <w:ind w:left="1440" w:hanging="360"/>
      </w:pPr>
      <w:rPr>
        <w:rFonts w:ascii="Wingdings" w:hAnsi="Wingdings" w:hint="default"/>
        <w:b w:val="0"/>
        <w:bCs w:val="0"/>
        <w:i w:val="0"/>
        <w:iCs w:val="0"/>
        <w:sz w:val="22"/>
        <w:szCs w:val="22"/>
      </w:rPr>
    </w:lvl>
    <w:lvl w:ilvl="2" w:tplc="0A083EBE">
      <w:start w:val="1"/>
      <w:numFmt w:val="lowerRoman"/>
      <w:lvlText w:val="%3."/>
      <w:lvlJc w:val="lef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C32DC"/>
    <w:multiLevelType w:val="hybridMultilevel"/>
    <w:tmpl w:val="A59E09D4"/>
    <w:lvl w:ilvl="0" w:tplc="04848AE2">
      <w:start w:val="1"/>
      <w:numFmt w:val="decimal"/>
      <w:lvlText w:val="%1."/>
      <w:lvlJc w:val="left"/>
      <w:pPr>
        <w:ind w:left="720" w:hanging="360"/>
      </w:pPr>
      <w:rPr>
        <w:rFonts w:hint="default"/>
        <w:b w:val="0"/>
        <w:bCs w:val="0"/>
        <w:i w:val="0"/>
        <w:iCs w:val="0"/>
        <w:sz w:val="22"/>
        <w:szCs w:val="22"/>
      </w:rPr>
    </w:lvl>
    <w:lvl w:ilvl="1" w:tplc="04090005">
      <w:start w:val="1"/>
      <w:numFmt w:val="bullet"/>
      <w:lvlText w:val=""/>
      <w:lvlJc w:val="left"/>
      <w:pPr>
        <w:ind w:left="1440" w:hanging="360"/>
      </w:pPr>
      <w:rPr>
        <w:rFonts w:ascii="Wingdings" w:hAnsi="Wingdings" w:hint="default"/>
      </w:rPr>
    </w:lvl>
    <w:lvl w:ilvl="2" w:tplc="0A083EBE">
      <w:start w:val="1"/>
      <w:numFmt w:val="lowerRoman"/>
      <w:lvlText w:val="%3."/>
      <w:lvlJc w:val="lef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30F79"/>
    <w:multiLevelType w:val="hybridMultilevel"/>
    <w:tmpl w:val="78421280"/>
    <w:lvl w:ilvl="0" w:tplc="04090005">
      <w:start w:val="1"/>
      <w:numFmt w:val="bullet"/>
      <w:lvlText w:val=""/>
      <w:lvlJc w:val="left"/>
      <w:pPr>
        <w:ind w:left="1440" w:hanging="360"/>
      </w:pPr>
      <w:rPr>
        <w:rFonts w:ascii="Wingdings" w:hAnsi="Wingdings" w:hint="default"/>
        <w:b w:val="0"/>
        <w:bCs w:val="0"/>
        <w:i w:val="0"/>
        <w:iCs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4542C"/>
    <w:multiLevelType w:val="hybridMultilevel"/>
    <w:tmpl w:val="2D0EFFF4"/>
    <w:lvl w:ilvl="0" w:tplc="D4A4499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C074C0"/>
    <w:multiLevelType w:val="hybridMultilevel"/>
    <w:tmpl w:val="78E8EC76"/>
    <w:lvl w:ilvl="0" w:tplc="04848AE2">
      <w:start w:val="1"/>
      <w:numFmt w:val="decimal"/>
      <w:lvlText w:val="%1."/>
      <w:lvlJc w:val="left"/>
      <w:pPr>
        <w:ind w:left="720" w:hanging="360"/>
      </w:pPr>
      <w:rPr>
        <w:rFonts w:hint="default"/>
        <w:b w:val="0"/>
        <w:bCs w:val="0"/>
        <w:i w:val="0"/>
        <w:iCs w:val="0"/>
        <w:sz w:val="22"/>
        <w:szCs w:val="22"/>
      </w:rPr>
    </w:lvl>
    <w:lvl w:ilvl="1" w:tplc="04090005">
      <w:start w:val="1"/>
      <w:numFmt w:val="bullet"/>
      <w:lvlText w:val=""/>
      <w:lvlJc w:val="left"/>
      <w:pPr>
        <w:ind w:left="1440" w:hanging="360"/>
      </w:pPr>
      <w:rPr>
        <w:rFonts w:ascii="Wingdings" w:hAnsi="Wingdings" w:hint="default"/>
        <w:b w:val="0"/>
        <w:bCs w:val="0"/>
        <w:i w:val="0"/>
        <w:iCs w:val="0"/>
        <w:sz w:val="22"/>
        <w:szCs w:val="22"/>
      </w:rPr>
    </w:lvl>
    <w:lvl w:ilvl="2" w:tplc="0A083EBE">
      <w:start w:val="1"/>
      <w:numFmt w:val="lowerRoman"/>
      <w:lvlText w:val="%3."/>
      <w:lvlJc w:val="lef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A3FA1"/>
    <w:multiLevelType w:val="hybridMultilevel"/>
    <w:tmpl w:val="81DE7FB4"/>
    <w:lvl w:ilvl="0" w:tplc="04848AE2">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b w:val="0"/>
        <w:bCs w:val="0"/>
        <w:i w:val="0"/>
        <w:iCs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16358"/>
    <w:multiLevelType w:val="hybridMultilevel"/>
    <w:tmpl w:val="04FEE3D4"/>
    <w:lvl w:ilvl="0" w:tplc="04090005">
      <w:start w:val="1"/>
      <w:numFmt w:val="bullet"/>
      <w:lvlText w:val=""/>
      <w:lvlJc w:val="left"/>
      <w:pPr>
        <w:ind w:left="1080" w:hanging="360"/>
      </w:pPr>
      <w:rPr>
        <w:rFonts w:ascii="Wingdings" w:hAnsi="Wingdings" w:hint="default"/>
        <w:b w:val="0"/>
        <w:bCs w:val="0"/>
        <w:i w:val="0"/>
        <w:iCs w:val="0"/>
        <w:sz w:val="22"/>
        <w:szCs w:val="22"/>
      </w:rPr>
    </w:lvl>
    <w:lvl w:ilvl="1" w:tplc="04090019">
      <w:start w:val="1"/>
      <w:numFmt w:val="lowerLetter"/>
      <w:lvlText w:val="%2."/>
      <w:lvlJc w:val="left"/>
      <w:pPr>
        <w:ind w:left="1800" w:hanging="360"/>
      </w:p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20EA3"/>
    <w:multiLevelType w:val="hybridMultilevel"/>
    <w:tmpl w:val="3656C7D8"/>
    <w:lvl w:ilvl="0" w:tplc="622226EE">
      <w:start w:val="1"/>
      <w:numFmt w:val="decimal"/>
      <w:lvlText w:val="%1."/>
      <w:lvlJc w:val="left"/>
      <w:pPr>
        <w:ind w:left="720" w:hanging="360"/>
      </w:pPr>
      <w:rPr>
        <w:rFonts w:hint="default"/>
        <w:b/>
        <w:bCs/>
        <w:i w:val="0"/>
        <w:iCs w:val="0"/>
        <w:sz w:val="22"/>
        <w:szCs w:val="22"/>
      </w:rPr>
    </w:lvl>
    <w:lvl w:ilvl="1" w:tplc="305C9EF4">
      <w:start w:val="1"/>
      <w:numFmt w:val="lowerLetter"/>
      <w:lvlText w:val="%2."/>
      <w:lvlJc w:val="left"/>
      <w:pPr>
        <w:ind w:left="1440" w:hanging="360"/>
      </w:pPr>
      <w:rPr>
        <w:color w:val="auto"/>
      </w:rPr>
    </w:lvl>
    <w:lvl w:ilvl="2" w:tplc="0A083EBE">
      <w:start w:val="1"/>
      <w:numFmt w:val="lowerRoman"/>
      <w:lvlText w:val="%3."/>
      <w:lvlJc w:val="lef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87DCF"/>
    <w:multiLevelType w:val="hybridMultilevel"/>
    <w:tmpl w:val="A7726676"/>
    <w:lvl w:ilvl="0" w:tplc="04848AE2">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b w:val="0"/>
        <w:bCs w:val="0"/>
        <w:i w:val="0"/>
        <w:iCs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22777"/>
    <w:multiLevelType w:val="hybridMultilevel"/>
    <w:tmpl w:val="8EC0F36A"/>
    <w:lvl w:ilvl="0" w:tplc="04848AE2">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b w:val="0"/>
        <w:bCs w:val="0"/>
        <w:i w:val="0"/>
        <w:iCs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C54AB"/>
    <w:multiLevelType w:val="hybridMultilevel"/>
    <w:tmpl w:val="AFB8CBE8"/>
    <w:lvl w:ilvl="0" w:tplc="04848AE2">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b w:val="0"/>
        <w:bCs w:val="0"/>
        <w:i w:val="0"/>
        <w:iCs w:val="0"/>
        <w:sz w:val="22"/>
        <w:szCs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C4B4D"/>
    <w:multiLevelType w:val="hybridMultilevel"/>
    <w:tmpl w:val="0394B994"/>
    <w:lvl w:ilvl="0" w:tplc="04848AE2">
      <w:start w:val="1"/>
      <w:numFmt w:val="decimal"/>
      <w:lvlText w:val="%1."/>
      <w:lvlJc w:val="left"/>
      <w:pPr>
        <w:ind w:left="720" w:hanging="360"/>
      </w:pPr>
      <w:rPr>
        <w:rFonts w:hint="default"/>
        <w:b w:val="0"/>
        <w:bCs w:val="0"/>
        <w:i w:val="0"/>
        <w:iCs w:val="0"/>
        <w:sz w:val="22"/>
        <w:szCs w:val="22"/>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F14DC6"/>
    <w:multiLevelType w:val="hybridMultilevel"/>
    <w:tmpl w:val="BC00ED3C"/>
    <w:lvl w:ilvl="0" w:tplc="04848AE2">
      <w:start w:val="1"/>
      <w:numFmt w:val="decimal"/>
      <w:lvlText w:val="%1."/>
      <w:lvlJc w:val="left"/>
      <w:pPr>
        <w:ind w:left="720" w:hanging="360"/>
      </w:pPr>
      <w:rPr>
        <w:rFonts w:hint="default"/>
        <w:b w:val="0"/>
        <w:bCs w:val="0"/>
        <w:i w:val="0"/>
        <w:iCs w:val="0"/>
        <w:sz w:val="22"/>
        <w:szCs w:val="22"/>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F291C"/>
    <w:multiLevelType w:val="hybridMultilevel"/>
    <w:tmpl w:val="B36E3112"/>
    <w:lvl w:ilvl="0" w:tplc="04848AE2">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b w:val="0"/>
        <w:bCs w:val="0"/>
        <w:i w:val="0"/>
        <w:iCs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B6E65"/>
    <w:multiLevelType w:val="hybridMultilevel"/>
    <w:tmpl w:val="84841B58"/>
    <w:lvl w:ilvl="0" w:tplc="DBF4C40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07313"/>
    <w:multiLevelType w:val="hybridMultilevel"/>
    <w:tmpl w:val="05689FB6"/>
    <w:lvl w:ilvl="0" w:tplc="04090019">
      <w:start w:val="1"/>
      <w:numFmt w:val="lowerLetter"/>
      <w:lvlText w:val="%1."/>
      <w:lvlJc w:val="left"/>
      <w:pPr>
        <w:ind w:left="1800" w:hanging="360"/>
      </w:pPr>
      <w:rPr>
        <w:rFonts w:hint="default"/>
      </w:r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CF83665"/>
    <w:multiLevelType w:val="hybridMultilevel"/>
    <w:tmpl w:val="F886DFF6"/>
    <w:lvl w:ilvl="0" w:tplc="04848AE2">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b w:val="0"/>
        <w:bCs w:val="0"/>
        <w:i w:val="0"/>
        <w:iCs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43199"/>
    <w:multiLevelType w:val="hybridMultilevel"/>
    <w:tmpl w:val="F2F2DF7C"/>
    <w:lvl w:ilvl="0" w:tplc="F3521924">
      <w:start w:val="1"/>
      <w:numFmt w:val="lowerLetter"/>
      <w:lvlText w:val="%1."/>
      <w:lvlJc w:val="left"/>
      <w:pPr>
        <w:ind w:left="1800" w:hanging="360"/>
      </w:pPr>
      <w:rPr>
        <w:rFonts w:hint="default"/>
        <w:b w:val="0"/>
        <w:bCs w:val="0"/>
        <w:sz w:val="24"/>
        <w:szCs w:val="24"/>
      </w:rPr>
    </w:lvl>
    <w:lvl w:ilvl="1" w:tplc="04090005">
      <w:start w:val="1"/>
      <w:numFmt w:val="bullet"/>
      <w:lvlText w:val=""/>
      <w:lvlJc w:val="left"/>
      <w:pPr>
        <w:ind w:left="2520" w:hanging="360"/>
      </w:pPr>
      <w:rPr>
        <w:rFonts w:ascii="Wingdings" w:hAnsi="Wingdings" w:hint="default"/>
        <w:b w:val="0"/>
        <w:bCs w:val="0"/>
        <w:i w:val="0"/>
        <w:iCs w:val="0"/>
        <w:sz w:val="22"/>
        <w:szCs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B171A6"/>
    <w:multiLevelType w:val="hybridMultilevel"/>
    <w:tmpl w:val="7C6EED6A"/>
    <w:lvl w:ilvl="0" w:tplc="04090019">
      <w:start w:val="1"/>
      <w:numFmt w:val="lowerLetter"/>
      <w:lvlText w:val="%1."/>
      <w:lvlJc w:val="left"/>
      <w:pPr>
        <w:ind w:left="1800" w:hanging="360"/>
      </w:pPr>
      <w:rPr>
        <w:rFonts w:hint="default"/>
      </w:r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F80D7E"/>
    <w:multiLevelType w:val="hybridMultilevel"/>
    <w:tmpl w:val="AB2ADADE"/>
    <w:lvl w:ilvl="0" w:tplc="04848AE2">
      <w:start w:val="1"/>
      <w:numFmt w:val="decimal"/>
      <w:lvlText w:val="%1."/>
      <w:lvlJc w:val="left"/>
      <w:pPr>
        <w:ind w:left="720" w:hanging="360"/>
      </w:pPr>
      <w:rPr>
        <w:rFonts w:hint="default"/>
        <w:b w:val="0"/>
        <w:bCs w:val="0"/>
        <w:i w:val="0"/>
        <w:iCs w:val="0"/>
        <w:sz w:val="22"/>
        <w:szCs w:val="22"/>
      </w:rPr>
    </w:lvl>
    <w:lvl w:ilvl="1" w:tplc="04090005">
      <w:start w:val="1"/>
      <w:numFmt w:val="bullet"/>
      <w:lvlText w:val=""/>
      <w:lvlJc w:val="left"/>
      <w:pPr>
        <w:ind w:left="1440" w:hanging="360"/>
      </w:pPr>
      <w:rPr>
        <w:rFonts w:ascii="Wingdings" w:hAnsi="Wingdings" w:hint="default"/>
        <w:b w:val="0"/>
        <w:bCs w:val="0"/>
        <w:i w:val="0"/>
        <w:iCs w:val="0"/>
        <w:sz w:val="22"/>
        <w:szCs w:val="22"/>
      </w:rPr>
    </w:lvl>
    <w:lvl w:ilvl="2" w:tplc="04090005">
      <w:start w:val="1"/>
      <w:numFmt w:val="bullet"/>
      <w:lvlText w:val=""/>
      <w:lvlJc w:val="left"/>
      <w:pPr>
        <w:ind w:left="2160" w:hanging="180"/>
      </w:pPr>
      <w:rPr>
        <w:rFonts w:ascii="Wingdings" w:hAnsi="Wingdings" w:hint="default"/>
        <w:b w:val="0"/>
        <w:bCs w:val="0"/>
        <w:i w:val="0"/>
        <w:iCs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77161A"/>
    <w:multiLevelType w:val="hybridMultilevel"/>
    <w:tmpl w:val="4F66916A"/>
    <w:lvl w:ilvl="0" w:tplc="04090005">
      <w:start w:val="1"/>
      <w:numFmt w:val="bullet"/>
      <w:lvlText w:val=""/>
      <w:lvlJc w:val="left"/>
      <w:pPr>
        <w:ind w:left="2880" w:hanging="360"/>
      </w:pPr>
      <w:rPr>
        <w:rFonts w:ascii="Wingdings" w:hAnsi="Wingdings" w:hint="default"/>
        <w:b w:val="0"/>
        <w:bCs w:val="0"/>
        <w:i w:val="0"/>
        <w:iCs w:val="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734F7F2A"/>
    <w:multiLevelType w:val="hybridMultilevel"/>
    <w:tmpl w:val="A8AC7BFC"/>
    <w:lvl w:ilvl="0" w:tplc="04E293A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F55749"/>
    <w:multiLevelType w:val="hybridMultilevel"/>
    <w:tmpl w:val="9228802E"/>
    <w:lvl w:ilvl="0" w:tplc="04090005">
      <w:start w:val="1"/>
      <w:numFmt w:val="bullet"/>
      <w:lvlText w:val=""/>
      <w:lvlJc w:val="left"/>
      <w:pPr>
        <w:ind w:left="3600" w:hanging="360"/>
      </w:pPr>
      <w:rPr>
        <w:rFonts w:ascii="Wingdings" w:hAnsi="Wingdings" w:hint="default"/>
        <w:b w:val="0"/>
        <w:bCs w:val="0"/>
        <w:i w:val="0"/>
        <w:iCs w:val="0"/>
        <w:sz w:val="22"/>
        <w:szCs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15:restartNumberingAfterBreak="0">
    <w:nsid w:val="74A7725D"/>
    <w:multiLevelType w:val="hybridMultilevel"/>
    <w:tmpl w:val="639818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6904D12"/>
    <w:multiLevelType w:val="hybridMultilevel"/>
    <w:tmpl w:val="D13A4368"/>
    <w:lvl w:ilvl="0" w:tplc="04090005">
      <w:start w:val="1"/>
      <w:numFmt w:val="bullet"/>
      <w:lvlText w:val=""/>
      <w:lvlJc w:val="left"/>
      <w:pPr>
        <w:ind w:left="1440" w:hanging="360"/>
      </w:pPr>
      <w:rPr>
        <w:rFonts w:ascii="Wingdings" w:hAnsi="Wingdings" w:hint="default"/>
        <w:b w:val="0"/>
        <w:bCs w:val="0"/>
        <w:i w:val="0"/>
        <w:iCs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7"/>
  </w:num>
  <w:num w:numId="3">
    <w:abstractNumId w:val="38"/>
  </w:num>
  <w:num w:numId="4">
    <w:abstractNumId w:val="7"/>
  </w:num>
  <w:num w:numId="5">
    <w:abstractNumId w:val="28"/>
  </w:num>
  <w:num w:numId="6">
    <w:abstractNumId w:val="15"/>
  </w:num>
  <w:num w:numId="7">
    <w:abstractNumId w:val="9"/>
  </w:num>
  <w:num w:numId="8">
    <w:abstractNumId w:val="6"/>
  </w:num>
  <w:num w:numId="9">
    <w:abstractNumId w:val="14"/>
  </w:num>
  <w:num w:numId="10">
    <w:abstractNumId w:val="27"/>
  </w:num>
  <w:num w:numId="11">
    <w:abstractNumId w:val="2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3"/>
  </w:num>
  <w:num w:numId="15">
    <w:abstractNumId w:val="11"/>
  </w:num>
  <w:num w:numId="16">
    <w:abstractNumId w:val="35"/>
  </w:num>
  <w:num w:numId="17">
    <w:abstractNumId w:val="32"/>
  </w:num>
  <w:num w:numId="18">
    <w:abstractNumId w:val="3"/>
  </w:num>
  <w:num w:numId="19">
    <w:abstractNumId w:val="33"/>
  </w:num>
  <w:num w:numId="20">
    <w:abstractNumId w:val="40"/>
  </w:num>
  <w:num w:numId="21">
    <w:abstractNumId w:val="36"/>
  </w:num>
  <w:num w:numId="22">
    <w:abstractNumId w:val="16"/>
  </w:num>
  <w:num w:numId="23">
    <w:abstractNumId w:val="26"/>
  </w:num>
  <w:num w:numId="24">
    <w:abstractNumId w:val="2"/>
  </w:num>
  <w:num w:numId="25">
    <w:abstractNumId w:val="45"/>
  </w:num>
  <w:num w:numId="26">
    <w:abstractNumId w:val="20"/>
  </w:num>
  <w:num w:numId="27">
    <w:abstractNumId w:val="10"/>
  </w:num>
  <w:num w:numId="28">
    <w:abstractNumId w:val="1"/>
  </w:num>
  <w:num w:numId="29">
    <w:abstractNumId w:val="31"/>
  </w:num>
  <w:num w:numId="30">
    <w:abstractNumId w:val="19"/>
  </w:num>
  <w:num w:numId="31">
    <w:abstractNumId w:val="0"/>
  </w:num>
  <w:num w:numId="32">
    <w:abstractNumId w:val="0"/>
  </w:num>
  <w:num w:numId="33">
    <w:abstractNumId w:val="21"/>
  </w:num>
  <w:num w:numId="34">
    <w:abstractNumId w:val="17"/>
  </w:num>
  <w:num w:numId="35">
    <w:abstractNumId w:val="18"/>
  </w:num>
  <w:num w:numId="36">
    <w:abstractNumId w:val="12"/>
  </w:num>
  <w:num w:numId="37">
    <w:abstractNumId w:val="42"/>
  </w:num>
  <w:num w:numId="38">
    <w:abstractNumId w:val="8"/>
  </w:num>
  <w:num w:numId="39">
    <w:abstractNumId w:val="37"/>
  </w:num>
  <w:num w:numId="40">
    <w:abstractNumId w:val="29"/>
  </w:num>
  <w:num w:numId="41">
    <w:abstractNumId w:val="30"/>
  </w:num>
  <w:num w:numId="42">
    <w:abstractNumId w:val="34"/>
  </w:num>
  <w:num w:numId="43">
    <w:abstractNumId w:val="25"/>
  </w:num>
  <w:num w:numId="44">
    <w:abstractNumId w:val="39"/>
  </w:num>
  <w:num w:numId="45">
    <w:abstractNumId w:val="44"/>
  </w:num>
  <w:num w:numId="46">
    <w:abstractNumId w:val="24"/>
  </w:num>
  <w:num w:numId="47">
    <w:abstractNumId w:val="46"/>
  </w:num>
  <w:num w:numId="48">
    <w:abstractNumId w:val="41"/>
  </w:num>
  <w:num w:numId="49">
    <w:abstractNumId w:val="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F"/>
  </w:docVars>
  <w:rsids>
    <w:rsidRoot w:val="00A15C5C"/>
    <w:rsid w:val="000037BD"/>
    <w:rsid w:val="00003D2E"/>
    <w:rsid w:val="00005930"/>
    <w:rsid w:val="00011932"/>
    <w:rsid w:val="00012279"/>
    <w:rsid w:val="00021A01"/>
    <w:rsid w:val="00025521"/>
    <w:rsid w:val="00025D0E"/>
    <w:rsid w:val="000328C0"/>
    <w:rsid w:val="00032FF5"/>
    <w:rsid w:val="000358DA"/>
    <w:rsid w:val="00040F88"/>
    <w:rsid w:val="00042D2F"/>
    <w:rsid w:val="0004645C"/>
    <w:rsid w:val="000516F1"/>
    <w:rsid w:val="00054FF4"/>
    <w:rsid w:val="00056EFB"/>
    <w:rsid w:val="00060237"/>
    <w:rsid w:val="00064206"/>
    <w:rsid w:val="000651CD"/>
    <w:rsid w:val="00073DC9"/>
    <w:rsid w:val="00074092"/>
    <w:rsid w:val="00074F16"/>
    <w:rsid w:val="00076CB2"/>
    <w:rsid w:val="00077FA0"/>
    <w:rsid w:val="000841B6"/>
    <w:rsid w:val="0008493D"/>
    <w:rsid w:val="000862E1"/>
    <w:rsid w:val="00087159"/>
    <w:rsid w:val="00087DD0"/>
    <w:rsid w:val="000A0EBA"/>
    <w:rsid w:val="000B0898"/>
    <w:rsid w:val="000B1D01"/>
    <w:rsid w:val="000B4723"/>
    <w:rsid w:val="000B5F25"/>
    <w:rsid w:val="000E2F30"/>
    <w:rsid w:val="000E604E"/>
    <w:rsid w:val="000E6B91"/>
    <w:rsid w:val="000F5CC4"/>
    <w:rsid w:val="00101CDC"/>
    <w:rsid w:val="00103D03"/>
    <w:rsid w:val="00104288"/>
    <w:rsid w:val="00106D23"/>
    <w:rsid w:val="00121DD1"/>
    <w:rsid w:val="0012232D"/>
    <w:rsid w:val="00122B38"/>
    <w:rsid w:val="00123EE2"/>
    <w:rsid w:val="00127181"/>
    <w:rsid w:val="00130176"/>
    <w:rsid w:val="00133672"/>
    <w:rsid w:val="00135504"/>
    <w:rsid w:val="00136087"/>
    <w:rsid w:val="00154A10"/>
    <w:rsid w:val="00161CA2"/>
    <w:rsid w:val="00163F93"/>
    <w:rsid w:val="00167C9C"/>
    <w:rsid w:val="001703B0"/>
    <w:rsid w:val="00171749"/>
    <w:rsid w:val="00176547"/>
    <w:rsid w:val="00176C56"/>
    <w:rsid w:val="00186FBA"/>
    <w:rsid w:val="00191DAC"/>
    <w:rsid w:val="00192CD6"/>
    <w:rsid w:val="00192CFC"/>
    <w:rsid w:val="001A458D"/>
    <w:rsid w:val="001B3A91"/>
    <w:rsid w:val="001C2783"/>
    <w:rsid w:val="001C30F2"/>
    <w:rsid w:val="001C5BF3"/>
    <w:rsid w:val="001D01BF"/>
    <w:rsid w:val="001D1521"/>
    <w:rsid w:val="001E21D7"/>
    <w:rsid w:val="001E32E8"/>
    <w:rsid w:val="001F146A"/>
    <w:rsid w:val="001F27B7"/>
    <w:rsid w:val="001F667D"/>
    <w:rsid w:val="002021A1"/>
    <w:rsid w:val="002037DF"/>
    <w:rsid w:val="002048CE"/>
    <w:rsid w:val="00204B7D"/>
    <w:rsid w:val="00210FAD"/>
    <w:rsid w:val="002114EE"/>
    <w:rsid w:val="002119D3"/>
    <w:rsid w:val="00217EAB"/>
    <w:rsid w:val="00224D1A"/>
    <w:rsid w:val="002257E2"/>
    <w:rsid w:val="00226A63"/>
    <w:rsid w:val="00227BD5"/>
    <w:rsid w:val="00231103"/>
    <w:rsid w:val="002364A1"/>
    <w:rsid w:val="0025349C"/>
    <w:rsid w:val="00254953"/>
    <w:rsid w:val="00255B44"/>
    <w:rsid w:val="002643AF"/>
    <w:rsid w:val="00266F49"/>
    <w:rsid w:val="00267D36"/>
    <w:rsid w:val="0027221F"/>
    <w:rsid w:val="00274B6A"/>
    <w:rsid w:val="0027783A"/>
    <w:rsid w:val="00285A3B"/>
    <w:rsid w:val="00293974"/>
    <w:rsid w:val="00293AEC"/>
    <w:rsid w:val="002946D3"/>
    <w:rsid w:val="002A5E73"/>
    <w:rsid w:val="002B1C4D"/>
    <w:rsid w:val="002B26CD"/>
    <w:rsid w:val="002B7314"/>
    <w:rsid w:val="002C0BBE"/>
    <w:rsid w:val="002D350E"/>
    <w:rsid w:val="002D7991"/>
    <w:rsid w:val="002E708B"/>
    <w:rsid w:val="002F3CDD"/>
    <w:rsid w:val="002F7B99"/>
    <w:rsid w:val="003027E3"/>
    <w:rsid w:val="003030AA"/>
    <w:rsid w:val="00303EE3"/>
    <w:rsid w:val="00306307"/>
    <w:rsid w:val="003103B0"/>
    <w:rsid w:val="00312A19"/>
    <w:rsid w:val="003134A6"/>
    <w:rsid w:val="00323BC6"/>
    <w:rsid w:val="003301B7"/>
    <w:rsid w:val="0033361E"/>
    <w:rsid w:val="003400E2"/>
    <w:rsid w:val="00345F3B"/>
    <w:rsid w:val="00350A43"/>
    <w:rsid w:val="003541FE"/>
    <w:rsid w:val="00357BA6"/>
    <w:rsid w:val="003620FB"/>
    <w:rsid w:val="00366918"/>
    <w:rsid w:val="00366DCC"/>
    <w:rsid w:val="003718FD"/>
    <w:rsid w:val="00374FEB"/>
    <w:rsid w:val="00380361"/>
    <w:rsid w:val="003813A0"/>
    <w:rsid w:val="00385882"/>
    <w:rsid w:val="0039698B"/>
    <w:rsid w:val="003A4882"/>
    <w:rsid w:val="003B09B5"/>
    <w:rsid w:val="003B174B"/>
    <w:rsid w:val="003B47AD"/>
    <w:rsid w:val="003B5953"/>
    <w:rsid w:val="003C38F5"/>
    <w:rsid w:val="003D13B7"/>
    <w:rsid w:val="003D50D2"/>
    <w:rsid w:val="003E1801"/>
    <w:rsid w:val="003E321F"/>
    <w:rsid w:val="003E379B"/>
    <w:rsid w:val="003E5576"/>
    <w:rsid w:val="003E6DF1"/>
    <w:rsid w:val="0040052A"/>
    <w:rsid w:val="00405E7A"/>
    <w:rsid w:val="00407D6B"/>
    <w:rsid w:val="00407EA3"/>
    <w:rsid w:val="00415823"/>
    <w:rsid w:val="0042031C"/>
    <w:rsid w:val="00421B81"/>
    <w:rsid w:val="00443E95"/>
    <w:rsid w:val="00447824"/>
    <w:rsid w:val="00464ACB"/>
    <w:rsid w:val="004711D2"/>
    <w:rsid w:val="00477536"/>
    <w:rsid w:val="00484BF2"/>
    <w:rsid w:val="004901A5"/>
    <w:rsid w:val="0049738C"/>
    <w:rsid w:val="00497D0D"/>
    <w:rsid w:val="004A1BB1"/>
    <w:rsid w:val="004A2229"/>
    <w:rsid w:val="004B0B16"/>
    <w:rsid w:val="004B1CE6"/>
    <w:rsid w:val="004B22AF"/>
    <w:rsid w:val="004B4607"/>
    <w:rsid w:val="004B582E"/>
    <w:rsid w:val="004B5B29"/>
    <w:rsid w:val="004B678F"/>
    <w:rsid w:val="004B6B85"/>
    <w:rsid w:val="004C2AE3"/>
    <w:rsid w:val="004C5E71"/>
    <w:rsid w:val="004D0621"/>
    <w:rsid w:val="004D0BF9"/>
    <w:rsid w:val="004D293C"/>
    <w:rsid w:val="004D39D2"/>
    <w:rsid w:val="004E0802"/>
    <w:rsid w:val="004E166A"/>
    <w:rsid w:val="004E3497"/>
    <w:rsid w:val="004F432A"/>
    <w:rsid w:val="004F49F6"/>
    <w:rsid w:val="004F586C"/>
    <w:rsid w:val="004F6BB4"/>
    <w:rsid w:val="0050315A"/>
    <w:rsid w:val="0050334F"/>
    <w:rsid w:val="00514ECB"/>
    <w:rsid w:val="00527788"/>
    <w:rsid w:val="005301FC"/>
    <w:rsid w:val="00530477"/>
    <w:rsid w:val="005430C8"/>
    <w:rsid w:val="0054339D"/>
    <w:rsid w:val="0055432E"/>
    <w:rsid w:val="00554805"/>
    <w:rsid w:val="00554CF4"/>
    <w:rsid w:val="00555A05"/>
    <w:rsid w:val="00561790"/>
    <w:rsid w:val="00561BCC"/>
    <w:rsid w:val="00571D6C"/>
    <w:rsid w:val="00572EC8"/>
    <w:rsid w:val="00580E2B"/>
    <w:rsid w:val="00587600"/>
    <w:rsid w:val="005921B2"/>
    <w:rsid w:val="005941A3"/>
    <w:rsid w:val="005977E8"/>
    <w:rsid w:val="005A2F6B"/>
    <w:rsid w:val="005B1C4E"/>
    <w:rsid w:val="005B5B36"/>
    <w:rsid w:val="005B5EDB"/>
    <w:rsid w:val="005B6FEC"/>
    <w:rsid w:val="005C0DA7"/>
    <w:rsid w:val="005C0F51"/>
    <w:rsid w:val="005D16F9"/>
    <w:rsid w:val="005D4A3B"/>
    <w:rsid w:val="005E1AEF"/>
    <w:rsid w:val="005E36BC"/>
    <w:rsid w:val="005E3B03"/>
    <w:rsid w:val="005F0724"/>
    <w:rsid w:val="00610F50"/>
    <w:rsid w:val="00612DD5"/>
    <w:rsid w:val="00614A4A"/>
    <w:rsid w:val="006157A7"/>
    <w:rsid w:val="006169B4"/>
    <w:rsid w:val="00624540"/>
    <w:rsid w:val="00631194"/>
    <w:rsid w:val="00632AEC"/>
    <w:rsid w:val="00636A3D"/>
    <w:rsid w:val="006403D2"/>
    <w:rsid w:val="006403F9"/>
    <w:rsid w:val="00643D57"/>
    <w:rsid w:val="00647BC6"/>
    <w:rsid w:val="006509FC"/>
    <w:rsid w:val="0065372D"/>
    <w:rsid w:val="00654160"/>
    <w:rsid w:val="006560F8"/>
    <w:rsid w:val="0065775C"/>
    <w:rsid w:val="00660C8D"/>
    <w:rsid w:val="00661100"/>
    <w:rsid w:val="00667D36"/>
    <w:rsid w:val="00674468"/>
    <w:rsid w:val="0067758C"/>
    <w:rsid w:val="006814E7"/>
    <w:rsid w:val="006A1171"/>
    <w:rsid w:val="006A11E8"/>
    <w:rsid w:val="006A25D2"/>
    <w:rsid w:val="006A4910"/>
    <w:rsid w:val="006B0549"/>
    <w:rsid w:val="006B5BEF"/>
    <w:rsid w:val="006B7171"/>
    <w:rsid w:val="006B7329"/>
    <w:rsid w:val="006C387E"/>
    <w:rsid w:val="006C552B"/>
    <w:rsid w:val="006D430F"/>
    <w:rsid w:val="006D650D"/>
    <w:rsid w:val="006E112C"/>
    <w:rsid w:val="006E279C"/>
    <w:rsid w:val="006E4A52"/>
    <w:rsid w:val="006E6732"/>
    <w:rsid w:val="006F049E"/>
    <w:rsid w:val="006F1075"/>
    <w:rsid w:val="006F1ECE"/>
    <w:rsid w:val="006F2362"/>
    <w:rsid w:val="006F363D"/>
    <w:rsid w:val="006F4EF5"/>
    <w:rsid w:val="00701B79"/>
    <w:rsid w:val="0071169F"/>
    <w:rsid w:val="0071402E"/>
    <w:rsid w:val="007230BC"/>
    <w:rsid w:val="00723D7A"/>
    <w:rsid w:val="00723E74"/>
    <w:rsid w:val="0073404F"/>
    <w:rsid w:val="0073425E"/>
    <w:rsid w:val="00734315"/>
    <w:rsid w:val="00734A0C"/>
    <w:rsid w:val="00740B16"/>
    <w:rsid w:val="00743F50"/>
    <w:rsid w:val="00752596"/>
    <w:rsid w:val="00755828"/>
    <w:rsid w:val="00760257"/>
    <w:rsid w:val="007678D3"/>
    <w:rsid w:val="00771621"/>
    <w:rsid w:val="007800A9"/>
    <w:rsid w:val="00781AF1"/>
    <w:rsid w:val="00786A1A"/>
    <w:rsid w:val="007871B2"/>
    <w:rsid w:val="007934F1"/>
    <w:rsid w:val="00795B9D"/>
    <w:rsid w:val="00795E61"/>
    <w:rsid w:val="007B3CDC"/>
    <w:rsid w:val="007B5C83"/>
    <w:rsid w:val="007C1D70"/>
    <w:rsid w:val="007C4AC2"/>
    <w:rsid w:val="007D44B5"/>
    <w:rsid w:val="007E0AC9"/>
    <w:rsid w:val="007F4F1C"/>
    <w:rsid w:val="007F5301"/>
    <w:rsid w:val="007F5B13"/>
    <w:rsid w:val="007F5C97"/>
    <w:rsid w:val="007F6357"/>
    <w:rsid w:val="007F6589"/>
    <w:rsid w:val="007F6742"/>
    <w:rsid w:val="007F6880"/>
    <w:rsid w:val="00800527"/>
    <w:rsid w:val="00811968"/>
    <w:rsid w:val="00815464"/>
    <w:rsid w:val="00820AF9"/>
    <w:rsid w:val="008217B2"/>
    <w:rsid w:val="0083116D"/>
    <w:rsid w:val="00832D3A"/>
    <w:rsid w:val="0083468F"/>
    <w:rsid w:val="00835493"/>
    <w:rsid w:val="008443E7"/>
    <w:rsid w:val="00851136"/>
    <w:rsid w:val="008528AA"/>
    <w:rsid w:val="008576F3"/>
    <w:rsid w:val="0086021D"/>
    <w:rsid w:val="00862AF4"/>
    <w:rsid w:val="00876AE2"/>
    <w:rsid w:val="00876CE8"/>
    <w:rsid w:val="008902B0"/>
    <w:rsid w:val="008A7920"/>
    <w:rsid w:val="008A7D64"/>
    <w:rsid w:val="008B182B"/>
    <w:rsid w:val="008B504D"/>
    <w:rsid w:val="008B7668"/>
    <w:rsid w:val="008C1253"/>
    <w:rsid w:val="008C52CE"/>
    <w:rsid w:val="008C698B"/>
    <w:rsid w:val="008D5182"/>
    <w:rsid w:val="008D5359"/>
    <w:rsid w:val="008D7EA3"/>
    <w:rsid w:val="008E7355"/>
    <w:rsid w:val="008F1860"/>
    <w:rsid w:val="00900BCE"/>
    <w:rsid w:val="0090145A"/>
    <w:rsid w:val="00911747"/>
    <w:rsid w:val="00912EF4"/>
    <w:rsid w:val="00914855"/>
    <w:rsid w:val="0091602B"/>
    <w:rsid w:val="009178DF"/>
    <w:rsid w:val="00917FA4"/>
    <w:rsid w:val="00926506"/>
    <w:rsid w:val="009317D3"/>
    <w:rsid w:val="00935EA0"/>
    <w:rsid w:val="0093616A"/>
    <w:rsid w:val="009366A5"/>
    <w:rsid w:val="00937C51"/>
    <w:rsid w:val="00937DF4"/>
    <w:rsid w:val="00940929"/>
    <w:rsid w:val="0094528E"/>
    <w:rsid w:val="00951254"/>
    <w:rsid w:val="00972403"/>
    <w:rsid w:val="009910CE"/>
    <w:rsid w:val="009A770B"/>
    <w:rsid w:val="009B122A"/>
    <w:rsid w:val="009C2396"/>
    <w:rsid w:val="009C2F96"/>
    <w:rsid w:val="009C6A7B"/>
    <w:rsid w:val="009D5F6D"/>
    <w:rsid w:val="009E2663"/>
    <w:rsid w:val="009E2754"/>
    <w:rsid w:val="009F3886"/>
    <w:rsid w:val="009F4524"/>
    <w:rsid w:val="00A0203B"/>
    <w:rsid w:val="00A05AE5"/>
    <w:rsid w:val="00A155C5"/>
    <w:rsid w:val="00A15C5C"/>
    <w:rsid w:val="00A15CAE"/>
    <w:rsid w:val="00A20300"/>
    <w:rsid w:val="00A27C1B"/>
    <w:rsid w:val="00A44911"/>
    <w:rsid w:val="00A50F97"/>
    <w:rsid w:val="00A52BF6"/>
    <w:rsid w:val="00A52DA1"/>
    <w:rsid w:val="00A57344"/>
    <w:rsid w:val="00A603FC"/>
    <w:rsid w:val="00A62330"/>
    <w:rsid w:val="00A628AF"/>
    <w:rsid w:val="00A63B34"/>
    <w:rsid w:val="00A71346"/>
    <w:rsid w:val="00A7266B"/>
    <w:rsid w:val="00A82823"/>
    <w:rsid w:val="00A83C91"/>
    <w:rsid w:val="00A84E87"/>
    <w:rsid w:val="00A9164D"/>
    <w:rsid w:val="00A91DB7"/>
    <w:rsid w:val="00A97218"/>
    <w:rsid w:val="00AA02A5"/>
    <w:rsid w:val="00AA092B"/>
    <w:rsid w:val="00AB56AA"/>
    <w:rsid w:val="00AB61DC"/>
    <w:rsid w:val="00AB7030"/>
    <w:rsid w:val="00AD2C45"/>
    <w:rsid w:val="00AD3E6E"/>
    <w:rsid w:val="00AD7A33"/>
    <w:rsid w:val="00AE1F14"/>
    <w:rsid w:val="00AE2E70"/>
    <w:rsid w:val="00AE2FFA"/>
    <w:rsid w:val="00AE7CBF"/>
    <w:rsid w:val="00AF01F5"/>
    <w:rsid w:val="00AF3336"/>
    <w:rsid w:val="00B04766"/>
    <w:rsid w:val="00B10DB9"/>
    <w:rsid w:val="00B15D82"/>
    <w:rsid w:val="00B2237D"/>
    <w:rsid w:val="00B2723D"/>
    <w:rsid w:val="00B34BE7"/>
    <w:rsid w:val="00B42E43"/>
    <w:rsid w:val="00B440D9"/>
    <w:rsid w:val="00B47C7E"/>
    <w:rsid w:val="00B60773"/>
    <w:rsid w:val="00B70ED3"/>
    <w:rsid w:val="00B851A8"/>
    <w:rsid w:val="00BA186B"/>
    <w:rsid w:val="00BA1F76"/>
    <w:rsid w:val="00BA2559"/>
    <w:rsid w:val="00BA2C81"/>
    <w:rsid w:val="00BB0119"/>
    <w:rsid w:val="00BB0F4E"/>
    <w:rsid w:val="00BC4163"/>
    <w:rsid w:val="00BD2346"/>
    <w:rsid w:val="00BD3B34"/>
    <w:rsid w:val="00BD45C3"/>
    <w:rsid w:val="00BD5D70"/>
    <w:rsid w:val="00BE115B"/>
    <w:rsid w:val="00BE67C3"/>
    <w:rsid w:val="00BE7E11"/>
    <w:rsid w:val="00BF0E85"/>
    <w:rsid w:val="00BF349C"/>
    <w:rsid w:val="00C00418"/>
    <w:rsid w:val="00C2221C"/>
    <w:rsid w:val="00C344C5"/>
    <w:rsid w:val="00C40B32"/>
    <w:rsid w:val="00C421F9"/>
    <w:rsid w:val="00C42388"/>
    <w:rsid w:val="00C468E0"/>
    <w:rsid w:val="00C4763D"/>
    <w:rsid w:val="00C5224B"/>
    <w:rsid w:val="00C53647"/>
    <w:rsid w:val="00C76348"/>
    <w:rsid w:val="00C83195"/>
    <w:rsid w:val="00C8665D"/>
    <w:rsid w:val="00C936C7"/>
    <w:rsid w:val="00CA2BF4"/>
    <w:rsid w:val="00CA6DF5"/>
    <w:rsid w:val="00CB32E3"/>
    <w:rsid w:val="00CC2B61"/>
    <w:rsid w:val="00CC4C68"/>
    <w:rsid w:val="00CC71D1"/>
    <w:rsid w:val="00CD3431"/>
    <w:rsid w:val="00CE424C"/>
    <w:rsid w:val="00CE6956"/>
    <w:rsid w:val="00CE76E2"/>
    <w:rsid w:val="00CF0F40"/>
    <w:rsid w:val="00CF232E"/>
    <w:rsid w:val="00CF2AD9"/>
    <w:rsid w:val="00CF3097"/>
    <w:rsid w:val="00CF4A87"/>
    <w:rsid w:val="00CF78B4"/>
    <w:rsid w:val="00D022DD"/>
    <w:rsid w:val="00D02802"/>
    <w:rsid w:val="00D03248"/>
    <w:rsid w:val="00D03AA1"/>
    <w:rsid w:val="00D054A2"/>
    <w:rsid w:val="00D11BF8"/>
    <w:rsid w:val="00D2065E"/>
    <w:rsid w:val="00D223EB"/>
    <w:rsid w:val="00D2360E"/>
    <w:rsid w:val="00D279F2"/>
    <w:rsid w:val="00D4699A"/>
    <w:rsid w:val="00D532EF"/>
    <w:rsid w:val="00D53EA8"/>
    <w:rsid w:val="00D56FD4"/>
    <w:rsid w:val="00D6142C"/>
    <w:rsid w:val="00D63B4A"/>
    <w:rsid w:val="00D721E7"/>
    <w:rsid w:val="00D75C50"/>
    <w:rsid w:val="00D76DC1"/>
    <w:rsid w:val="00D80EC9"/>
    <w:rsid w:val="00D851C5"/>
    <w:rsid w:val="00D8570A"/>
    <w:rsid w:val="00D866CA"/>
    <w:rsid w:val="00D9049B"/>
    <w:rsid w:val="00D93BBE"/>
    <w:rsid w:val="00DA1E15"/>
    <w:rsid w:val="00DB64E8"/>
    <w:rsid w:val="00DB685D"/>
    <w:rsid w:val="00DC16F8"/>
    <w:rsid w:val="00DC3F91"/>
    <w:rsid w:val="00DC4AA1"/>
    <w:rsid w:val="00DC52E8"/>
    <w:rsid w:val="00DE0159"/>
    <w:rsid w:val="00DE0343"/>
    <w:rsid w:val="00DE7675"/>
    <w:rsid w:val="00DF07AB"/>
    <w:rsid w:val="00DF2366"/>
    <w:rsid w:val="00DF584A"/>
    <w:rsid w:val="00DF5F31"/>
    <w:rsid w:val="00E22CA0"/>
    <w:rsid w:val="00E26298"/>
    <w:rsid w:val="00E26CC6"/>
    <w:rsid w:val="00E33041"/>
    <w:rsid w:val="00E36C4E"/>
    <w:rsid w:val="00E375B1"/>
    <w:rsid w:val="00E413BA"/>
    <w:rsid w:val="00E430C9"/>
    <w:rsid w:val="00E45AA9"/>
    <w:rsid w:val="00E517C3"/>
    <w:rsid w:val="00E54D9E"/>
    <w:rsid w:val="00E5594A"/>
    <w:rsid w:val="00E56B19"/>
    <w:rsid w:val="00E61DF7"/>
    <w:rsid w:val="00E73075"/>
    <w:rsid w:val="00E86ACC"/>
    <w:rsid w:val="00E907AD"/>
    <w:rsid w:val="00E92D51"/>
    <w:rsid w:val="00E932CC"/>
    <w:rsid w:val="00E95536"/>
    <w:rsid w:val="00E95621"/>
    <w:rsid w:val="00E973AC"/>
    <w:rsid w:val="00EA0562"/>
    <w:rsid w:val="00EA5557"/>
    <w:rsid w:val="00EA5971"/>
    <w:rsid w:val="00EA6EF0"/>
    <w:rsid w:val="00EB1232"/>
    <w:rsid w:val="00EB3022"/>
    <w:rsid w:val="00EB63FE"/>
    <w:rsid w:val="00EC5E60"/>
    <w:rsid w:val="00EC7F18"/>
    <w:rsid w:val="00EF25CF"/>
    <w:rsid w:val="00EF43C6"/>
    <w:rsid w:val="00EF7CE9"/>
    <w:rsid w:val="00F055F8"/>
    <w:rsid w:val="00F065A1"/>
    <w:rsid w:val="00F06CB1"/>
    <w:rsid w:val="00F06DE7"/>
    <w:rsid w:val="00F079DF"/>
    <w:rsid w:val="00F2425E"/>
    <w:rsid w:val="00F2668C"/>
    <w:rsid w:val="00F273E5"/>
    <w:rsid w:val="00F35DC5"/>
    <w:rsid w:val="00F35F7B"/>
    <w:rsid w:val="00F37114"/>
    <w:rsid w:val="00F44B4A"/>
    <w:rsid w:val="00F44B8C"/>
    <w:rsid w:val="00F47B0E"/>
    <w:rsid w:val="00F504ED"/>
    <w:rsid w:val="00F648BC"/>
    <w:rsid w:val="00F64C74"/>
    <w:rsid w:val="00F667D6"/>
    <w:rsid w:val="00F73B0C"/>
    <w:rsid w:val="00F76C99"/>
    <w:rsid w:val="00F8212F"/>
    <w:rsid w:val="00F835A9"/>
    <w:rsid w:val="00F9073C"/>
    <w:rsid w:val="00F92E57"/>
    <w:rsid w:val="00F93DD2"/>
    <w:rsid w:val="00F956B0"/>
    <w:rsid w:val="00FA2790"/>
    <w:rsid w:val="00FA59CA"/>
    <w:rsid w:val="00FA5F90"/>
    <w:rsid w:val="00FB37BD"/>
    <w:rsid w:val="00FB3938"/>
    <w:rsid w:val="00FB5624"/>
    <w:rsid w:val="00FB6FE4"/>
    <w:rsid w:val="00FC3E50"/>
    <w:rsid w:val="00FC4A83"/>
    <w:rsid w:val="00FD1088"/>
    <w:rsid w:val="00FD1CC4"/>
    <w:rsid w:val="00FE51C5"/>
    <w:rsid w:val="00FF28D0"/>
    <w:rsid w:val="00FF498A"/>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D1842"/>
  <w15:docId w15:val="{2CF3CFCA-96C8-49EB-90A2-31DE47E7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FF49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41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semiHidden/>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semiHidden/>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035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8DA"/>
    <w:rPr>
      <w:rFonts w:ascii="Segoe UI" w:hAnsi="Segoe UI" w:cs="Segoe UI"/>
      <w:sz w:val="18"/>
      <w:szCs w:val="18"/>
    </w:rPr>
  </w:style>
  <w:style w:type="paragraph" w:styleId="BodyText">
    <w:name w:val="Body Text"/>
    <w:basedOn w:val="Normal"/>
    <w:link w:val="BodyTextChar"/>
    <w:uiPriority w:val="1"/>
    <w:qFormat/>
    <w:rsid w:val="00E907AD"/>
    <w:pPr>
      <w:spacing w:after="0" w:line="240" w:lineRule="auto"/>
      <w:ind w:left="176"/>
    </w:pPr>
    <w:rPr>
      <w:rFonts w:ascii="Arial" w:eastAsia="Arial" w:hAnsi="Arial"/>
      <w:sz w:val="20"/>
      <w:szCs w:val="20"/>
    </w:rPr>
  </w:style>
  <w:style w:type="character" w:customStyle="1" w:styleId="BodyTextChar">
    <w:name w:val="Body Text Char"/>
    <w:basedOn w:val="DefaultParagraphFont"/>
    <w:link w:val="BodyText"/>
    <w:uiPriority w:val="1"/>
    <w:rsid w:val="00E907AD"/>
    <w:rPr>
      <w:rFonts w:ascii="Arial" w:eastAsia="Arial" w:hAnsi="Arial"/>
      <w:sz w:val="20"/>
      <w:szCs w:val="20"/>
    </w:rPr>
  </w:style>
  <w:style w:type="paragraph" w:customStyle="1" w:styleId="DocID">
    <w:name w:val="DocID"/>
    <w:basedOn w:val="Normal"/>
    <w:next w:val="Footer"/>
    <w:link w:val="DocIDChar"/>
    <w:rsid w:val="000516F1"/>
    <w:pPr>
      <w:spacing w:after="0" w:line="240" w:lineRule="auto"/>
    </w:pPr>
    <w:rPr>
      <w:rFonts w:ascii="Arial" w:hAnsi="Arial" w:cs="Arial"/>
      <w:bCs/>
      <w:color w:val="000000"/>
      <w:sz w:val="16"/>
    </w:rPr>
  </w:style>
  <w:style w:type="character" w:customStyle="1" w:styleId="DocIDChar">
    <w:name w:val="DocID Char"/>
    <w:basedOn w:val="DefaultParagraphFont"/>
    <w:link w:val="DocID"/>
    <w:rsid w:val="000516F1"/>
    <w:rPr>
      <w:rFonts w:ascii="Arial" w:hAnsi="Arial" w:cs="Arial"/>
      <w:bCs/>
      <w:color w:val="000000"/>
      <w:sz w:val="16"/>
    </w:rPr>
  </w:style>
  <w:style w:type="paragraph" w:styleId="Revision">
    <w:name w:val="Revision"/>
    <w:hidden/>
    <w:uiPriority w:val="99"/>
    <w:semiHidden/>
    <w:rsid w:val="0033361E"/>
    <w:pPr>
      <w:spacing w:after="0" w:line="240" w:lineRule="auto"/>
    </w:pPr>
  </w:style>
  <w:style w:type="character" w:customStyle="1" w:styleId="ListParagraphChar">
    <w:name w:val="List Paragraph Char"/>
    <w:basedOn w:val="DefaultParagraphFont"/>
    <w:link w:val="ListParagraph"/>
    <w:uiPriority w:val="34"/>
    <w:rsid w:val="00210FAD"/>
  </w:style>
  <w:style w:type="paragraph" w:styleId="Title">
    <w:name w:val="Title"/>
    <w:basedOn w:val="Normal"/>
    <w:next w:val="Normal"/>
    <w:link w:val="TitleChar"/>
    <w:uiPriority w:val="10"/>
    <w:qFormat/>
    <w:rsid w:val="00FF49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98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F49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41FE"/>
    <w:rPr>
      <w:rFonts w:asciiTheme="majorHAnsi" w:eastAsiaTheme="majorEastAsia" w:hAnsiTheme="majorHAnsi" w:cstheme="majorBidi"/>
      <w:color w:val="2F5496" w:themeColor="accent1" w:themeShade="BF"/>
      <w:sz w:val="26"/>
      <w:szCs w:val="26"/>
    </w:rPr>
  </w:style>
  <w:style w:type="table" w:styleId="TableTheme">
    <w:name w:val="Table Theme"/>
    <w:basedOn w:val="TableNormal"/>
    <w:uiPriority w:val="99"/>
    <w:rsid w:val="00CE7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509">
      <w:bodyDiv w:val="1"/>
      <w:marLeft w:val="0"/>
      <w:marRight w:val="0"/>
      <w:marTop w:val="0"/>
      <w:marBottom w:val="0"/>
      <w:divBdr>
        <w:top w:val="none" w:sz="0" w:space="0" w:color="auto"/>
        <w:left w:val="none" w:sz="0" w:space="0" w:color="auto"/>
        <w:bottom w:val="none" w:sz="0" w:space="0" w:color="auto"/>
        <w:right w:val="none" w:sz="0" w:space="0" w:color="auto"/>
      </w:divBdr>
    </w:div>
    <w:div w:id="262344523">
      <w:bodyDiv w:val="1"/>
      <w:marLeft w:val="0"/>
      <w:marRight w:val="0"/>
      <w:marTop w:val="0"/>
      <w:marBottom w:val="0"/>
      <w:divBdr>
        <w:top w:val="none" w:sz="0" w:space="0" w:color="auto"/>
        <w:left w:val="none" w:sz="0" w:space="0" w:color="auto"/>
        <w:bottom w:val="none" w:sz="0" w:space="0" w:color="auto"/>
        <w:right w:val="none" w:sz="0" w:space="0" w:color="auto"/>
      </w:divBdr>
    </w:div>
    <w:div w:id="488061887">
      <w:bodyDiv w:val="1"/>
      <w:marLeft w:val="0"/>
      <w:marRight w:val="0"/>
      <w:marTop w:val="0"/>
      <w:marBottom w:val="0"/>
      <w:divBdr>
        <w:top w:val="none" w:sz="0" w:space="0" w:color="auto"/>
        <w:left w:val="none" w:sz="0" w:space="0" w:color="auto"/>
        <w:bottom w:val="none" w:sz="0" w:space="0" w:color="auto"/>
        <w:right w:val="none" w:sz="0" w:space="0" w:color="auto"/>
      </w:divBdr>
    </w:div>
    <w:div w:id="572787358">
      <w:bodyDiv w:val="1"/>
      <w:marLeft w:val="0"/>
      <w:marRight w:val="0"/>
      <w:marTop w:val="0"/>
      <w:marBottom w:val="0"/>
      <w:divBdr>
        <w:top w:val="none" w:sz="0" w:space="0" w:color="auto"/>
        <w:left w:val="none" w:sz="0" w:space="0" w:color="auto"/>
        <w:bottom w:val="none" w:sz="0" w:space="0" w:color="auto"/>
        <w:right w:val="none" w:sz="0" w:space="0" w:color="auto"/>
      </w:divBdr>
    </w:div>
    <w:div w:id="675811254">
      <w:bodyDiv w:val="1"/>
      <w:marLeft w:val="0"/>
      <w:marRight w:val="0"/>
      <w:marTop w:val="0"/>
      <w:marBottom w:val="0"/>
      <w:divBdr>
        <w:top w:val="none" w:sz="0" w:space="0" w:color="auto"/>
        <w:left w:val="none" w:sz="0" w:space="0" w:color="auto"/>
        <w:bottom w:val="none" w:sz="0" w:space="0" w:color="auto"/>
        <w:right w:val="none" w:sz="0" w:space="0" w:color="auto"/>
      </w:divBdr>
    </w:div>
    <w:div w:id="724984728">
      <w:bodyDiv w:val="1"/>
      <w:marLeft w:val="0"/>
      <w:marRight w:val="0"/>
      <w:marTop w:val="0"/>
      <w:marBottom w:val="0"/>
      <w:divBdr>
        <w:top w:val="none" w:sz="0" w:space="0" w:color="auto"/>
        <w:left w:val="none" w:sz="0" w:space="0" w:color="auto"/>
        <w:bottom w:val="none" w:sz="0" w:space="0" w:color="auto"/>
        <w:right w:val="none" w:sz="0" w:space="0" w:color="auto"/>
      </w:divBdr>
    </w:div>
    <w:div w:id="833109781">
      <w:bodyDiv w:val="1"/>
      <w:marLeft w:val="0"/>
      <w:marRight w:val="0"/>
      <w:marTop w:val="0"/>
      <w:marBottom w:val="0"/>
      <w:divBdr>
        <w:top w:val="none" w:sz="0" w:space="0" w:color="auto"/>
        <w:left w:val="none" w:sz="0" w:space="0" w:color="auto"/>
        <w:bottom w:val="none" w:sz="0" w:space="0" w:color="auto"/>
        <w:right w:val="none" w:sz="0" w:space="0" w:color="auto"/>
      </w:divBdr>
    </w:div>
    <w:div w:id="845286969">
      <w:bodyDiv w:val="1"/>
      <w:marLeft w:val="0"/>
      <w:marRight w:val="0"/>
      <w:marTop w:val="0"/>
      <w:marBottom w:val="0"/>
      <w:divBdr>
        <w:top w:val="none" w:sz="0" w:space="0" w:color="auto"/>
        <w:left w:val="none" w:sz="0" w:space="0" w:color="auto"/>
        <w:bottom w:val="none" w:sz="0" w:space="0" w:color="auto"/>
        <w:right w:val="none" w:sz="0" w:space="0" w:color="auto"/>
      </w:divBdr>
    </w:div>
    <w:div w:id="1135637404">
      <w:bodyDiv w:val="1"/>
      <w:marLeft w:val="0"/>
      <w:marRight w:val="0"/>
      <w:marTop w:val="0"/>
      <w:marBottom w:val="0"/>
      <w:divBdr>
        <w:top w:val="none" w:sz="0" w:space="0" w:color="auto"/>
        <w:left w:val="none" w:sz="0" w:space="0" w:color="auto"/>
        <w:bottom w:val="none" w:sz="0" w:space="0" w:color="auto"/>
        <w:right w:val="none" w:sz="0" w:space="0" w:color="auto"/>
      </w:divBdr>
    </w:div>
    <w:div w:id="1158308564">
      <w:bodyDiv w:val="1"/>
      <w:marLeft w:val="0"/>
      <w:marRight w:val="0"/>
      <w:marTop w:val="0"/>
      <w:marBottom w:val="0"/>
      <w:divBdr>
        <w:top w:val="none" w:sz="0" w:space="0" w:color="auto"/>
        <w:left w:val="none" w:sz="0" w:space="0" w:color="auto"/>
        <w:bottom w:val="none" w:sz="0" w:space="0" w:color="auto"/>
        <w:right w:val="none" w:sz="0" w:space="0" w:color="auto"/>
      </w:divBdr>
    </w:div>
    <w:div w:id="1530678710">
      <w:bodyDiv w:val="1"/>
      <w:marLeft w:val="0"/>
      <w:marRight w:val="0"/>
      <w:marTop w:val="0"/>
      <w:marBottom w:val="0"/>
      <w:divBdr>
        <w:top w:val="none" w:sz="0" w:space="0" w:color="auto"/>
        <w:left w:val="none" w:sz="0" w:space="0" w:color="auto"/>
        <w:bottom w:val="none" w:sz="0" w:space="0" w:color="auto"/>
        <w:right w:val="none" w:sz="0" w:space="0" w:color="auto"/>
      </w:divBdr>
    </w:div>
    <w:div w:id="1552620149">
      <w:bodyDiv w:val="1"/>
      <w:marLeft w:val="0"/>
      <w:marRight w:val="0"/>
      <w:marTop w:val="0"/>
      <w:marBottom w:val="0"/>
      <w:divBdr>
        <w:top w:val="none" w:sz="0" w:space="0" w:color="auto"/>
        <w:left w:val="none" w:sz="0" w:space="0" w:color="auto"/>
        <w:bottom w:val="none" w:sz="0" w:space="0" w:color="auto"/>
        <w:right w:val="none" w:sz="0" w:space="0" w:color="auto"/>
      </w:divBdr>
    </w:div>
    <w:div w:id="1559048511">
      <w:bodyDiv w:val="1"/>
      <w:marLeft w:val="0"/>
      <w:marRight w:val="0"/>
      <w:marTop w:val="0"/>
      <w:marBottom w:val="0"/>
      <w:divBdr>
        <w:top w:val="none" w:sz="0" w:space="0" w:color="auto"/>
        <w:left w:val="none" w:sz="0" w:space="0" w:color="auto"/>
        <w:bottom w:val="none" w:sz="0" w:space="0" w:color="auto"/>
        <w:right w:val="none" w:sz="0" w:space="0" w:color="auto"/>
      </w:divBdr>
    </w:div>
    <w:div w:id="1580794719">
      <w:bodyDiv w:val="1"/>
      <w:marLeft w:val="0"/>
      <w:marRight w:val="0"/>
      <w:marTop w:val="0"/>
      <w:marBottom w:val="0"/>
      <w:divBdr>
        <w:top w:val="none" w:sz="0" w:space="0" w:color="auto"/>
        <w:left w:val="none" w:sz="0" w:space="0" w:color="auto"/>
        <w:bottom w:val="none" w:sz="0" w:space="0" w:color="auto"/>
        <w:right w:val="none" w:sz="0" w:space="0" w:color="auto"/>
      </w:divBdr>
    </w:div>
    <w:div w:id="1610433245">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2081898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86EA6825282D4BA18E823DD81BBE7A" ma:contentTypeVersion="0" ma:contentTypeDescription="Create a new document." ma:contentTypeScope="" ma:versionID="2fe12dcb993507375a27cde21d8074f3">
  <xsd:schema xmlns:xsd="http://www.w3.org/2001/XMLSchema" xmlns:xs="http://www.w3.org/2001/XMLSchema" xmlns:p="http://schemas.microsoft.com/office/2006/metadata/properties" targetNamespace="http://schemas.microsoft.com/office/2006/metadata/properties" ma:root="true" ma:fieldsID="c44c6f99df49b4eba2826318aafa9f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F8A92-417E-4686-BD34-3C187C7F22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83967B9-3F16-4AD0-8462-6DFF7D069736}">
  <ds:schemaRefs>
    <ds:schemaRef ds:uri="http://schemas.microsoft.com/sharepoint/v3/contenttype/forms"/>
  </ds:schemaRefs>
</ds:datastoreItem>
</file>

<file path=customXml/itemProps3.xml><?xml version="1.0" encoding="utf-8"?>
<ds:datastoreItem xmlns:ds="http://schemas.openxmlformats.org/officeDocument/2006/customXml" ds:itemID="{32D05C3C-C796-47FC-830F-DAE1518DA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E202BF-026A-4C90-9CEF-BE278815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3830</Words>
  <Characters>21836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lcorolla</dc:creator>
  <cp:keywords/>
  <dc:description/>
  <cp:lastModifiedBy>Cioffari-Macphee, Diana (DPH)</cp:lastModifiedBy>
  <cp:revision>14</cp:revision>
  <cp:lastPrinted>2021-06-24T14:09:00Z</cp:lastPrinted>
  <dcterms:created xsi:type="dcterms:W3CDTF">2021-07-14T18:44:00Z</dcterms:created>
  <dcterms:modified xsi:type="dcterms:W3CDTF">2021-07-15T17:38:00Z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807123.1</vt:lpwstr>
  </property>
  <property fmtid="{D5CDD505-2E9C-101B-9397-08002B2CF9AE}" pid="4" name="ContentTypeId">
    <vt:lpwstr>0x010100D386EA6825282D4BA18E823DD81BBE7A</vt:lpwstr>
  </property>
  <property fmtid="{D5CDD505-2E9C-101B-9397-08002B2CF9AE}" pid="5" name="_MarkAsFinal">
    <vt:bool>true</vt:bool>
  </property>
</Properties>
</file>