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793" w:type="dxa"/>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South Shore Health System, Inc. &#10;Applicant Address  55 Fogg Road, Weymouth, MA 02190&#10;Filing Date May 21, 2021&#10;Type of DoN Application Substantial Change in Service, DoN-Required Equipment&#10;Total Value $2,387,481.00&#10;Project Number 21040109-HS&#10;Ten Taxpayer Group (TTG) None&#10;Community Health Initiative (CHI)  $119,374.05&#10;Staff Recommendation Approval &#10;Delegated Review  Final Action by Commissioner&#10;Project Summary and Regulatory Review&#10;South Shore Health System, Inc. (Applicant) submitted a DoN Application for the acquisition of one, 3 Tesla (3T) magnetic resonance imaging (MRI) unit to be located on the main campus of South Shore Hospital at 55 Fogg Road Weymouth, MA. The capital expenditure for the Proposed Project is $2,387,481; the Community Health Initiatives (CHI) contribution is $119,374.05. &#10;&#10;This DoN application falls within the definition of Substantial Change in Service, DoN-Required Equipment and Services,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
      </w:tblPr>
      <w:tblGrid>
        <w:gridCol w:w="6945"/>
        <w:gridCol w:w="451"/>
        <w:gridCol w:w="7397"/>
      </w:tblGrid>
      <w:tr w:rsidR="005D75F6" w:rsidRPr="007B1C0B" w14:paraId="5EB01BCA" w14:textId="77777777" w:rsidTr="00A91864">
        <w:trPr>
          <w:trHeight w:val="350"/>
          <w:tblHeader/>
        </w:trPr>
        <w:tc>
          <w:tcPr>
            <w:tcW w:w="0" w:type="auto"/>
            <w:gridSpan w:val="2"/>
            <w:shd w:val="clear" w:color="auto" w:fill="D9E2F3" w:themeFill="accent1" w:themeFillTint="33"/>
            <w:vAlign w:val="center"/>
          </w:tcPr>
          <w:p w14:paraId="71FFD75A" w14:textId="77777777" w:rsidR="005D75F6" w:rsidRPr="00515206" w:rsidRDefault="005D75F6" w:rsidP="00A67E02">
            <w:pPr>
              <w:pStyle w:val="NoSpacing"/>
              <w:ind w:right="540"/>
              <w:contextualSpacing/>
              <w:jc w:val="center"/>
              <w:rPr>
                <w:rFonts w:cstheme="minorHAnsi"/>
                <w:b/>
                <w:sz w:val="24"/>
                <w:szCs w:val="24"/>
              </w:rPr>
            </w:pPr>
            <w:r w:rsidRPr="00515206">
              <w:rPr>
                <w:rFonts w:cstheme="minorHAnsi"/>
                <w:b/>
                <w:sz w:val="24"/>
                <w:szCs w:val="24"/>
              </w:rPr>
              <w:t>STAFF REPORT TO THE PUBLIC HEALTH COUNCIL</w:t>
            </w:r>
          </w:p>
        </w:tc>
        <w:tc>
          <w:tcPr>
            <w:tcW w:w="0" w:type="auto"/>
            <w:shd w:val="clear" w:color="auto" w:fill="D9E2F3" w:themeFill="accent1" w:themeFillTint="33"/>
            <w:vAlign w:val="center"/>
          </w:tcPr>
          <w:p w14:paraId="56C5007A" w14:textId="5BDABFE0" w:rsidR="005D75F6" w:rsidRPr="00515206" w:rsidRDefault="005D75F6" w:rsidP="00A67E02">
            <w:pPr>
              <w:pStyle w:val="Header"/>
              <w:ind w:right="540"/>
              <w:contextualSpacing/>
              <w:jc w:val="center"/>
              <w:rPr>
                <w:rFonts w:cstheme="minorHAnsi"/>
                <w:b/>
                <w:sz w:val="24"/>
                <w:szCs w:val="24"/>
              </w:rPr>
            </w:pPr>
            <w:r w:rsidRPr="00515206">
              <w:rPr>
                <w:rFonts w:cstheme="minorHAnsi"/>
                <w:b/>
                <w:sz w:val="24"/>
                <w:szCs w:val="24"/>
              </w:rPr>
              <w:t>FOR A DETERMINATION OF NEED</w:t>
            </w:r>
          </w:p>
        </w:tc>
      </w:tr>
      <w:tr w:rsidR="00DF2366" w:rsidRPr="007B1C0B" w14:paraId="45C24D2A" w14:textId="77777777" w:rsidTr="005D75F6">
        <w:trPr>
          <w:trHeight w:val="413"/>
        </w:trPr>
        <w:tc>
          <w:tcPr>
            <w:tcW w:w="6945" w:type="dxa"/>
            <w:shd w:val="clear" w:color="auto" w:fill="auto"/>
            <w:vAlign w:val="center"/>
          </w:tcPr>
          <w:p w14:paraId="2526FB90" w14:textId="77777777" w:rsidR="0004645C" w:rsidRPr="00515206" w:rsidRDefault="0004645C" w:rsidP="00A67E02">
            <w:pPr>
              <w:ind w:right="540"/>
              <w:contextualSpacing/>
              <w:rPr>
                <w:rFonts w:cstheme="minorHAnsi"/>
                <w:sz w:val="24"/>
                <w:szCs w:val="24"/>
              </w:rPr>
            </w:pPr>
            <w:r w:rsidRPr="00515206">
              <w:rPr>
                <w:rFonts w:cstheme="minorHAnsi"/>
                <w:sz w:val="24"/>
                <w:szCs w:val="24"/>
              </w:rPr>
              <w:t xml:space="preserve">Applicant Name </w:t>
            </w:r>
          </w:p>
        </w:tc>
        <w:tc>
          <w:tcPr>
            <w:tcW w:w="7848" w:type="dxa"/>
            <w:gridSpan w:val="2"/>
            <w:shd w:val="clear" w:color="auto" w:fill="auto"/>
            <w:vAlign w:val="center"/>
          </w:tcPr>
          <w:p w14:paraId="638D7B5B" w14:textId="083DB64C" w:rsidR="0004645C" w:rsidRPr="00515206" w:rsidRDefault="0004645C" w:rsidP="00A67E02">
            <w:pPr>
              <w:ind w:right="540"/>
              <w:contextualSpacing/>
              <w:rPr>
                <w:rFonts w:cstheme="minorHAnsi"/>
                <w:sz w:val="24"/>
                <w:szCs w:val="24"/>
              </w:rPr>
            </w:pPr>
            <w:r>
              <w:rPr>
                <w:rFonts w:cstheme="minorHAnsi"/>
                <w:sz w:val="24"/>
                <w:szCs w:val="24"/>
              </w:rPr>
              <w:t xml:space="preserve">South Shore Health System, Inc. </w:t>
            </w:r>
          </w:p>
        </w:tc>
        <w:bookmarkStart w:id="0" w:name="_GoBack"/>
        <w:bookmarkEnd w:id="0"/>
      </w:tr>
      <w:tr w:rsidR="00DF2366" w:rsidRPr="007B1C0B" w14:paraId="3239374E" w14:textId="77777777" w:rsidTr="005D75F6">
        <w:trPr>
          <w:trHeight w:val="357"/>
        </w:trPr>
        <w:tc>
          <w:tcPr>
            <w:tcW w:w="6945" w:type="dxa"/>
            <w:shd w:val="clear" w:color="auto" w:fill="auto"/>
            <w:vAlign w:val="center"/>
          </w:tcPr>
          <w:p w14:paraId="4A172ECE" w14:textId="77777777" w:rsidR="0004645C" w:rsidRPr="00515206" w:rsidRDefault="0004645C" w:rsidP="00A67E02">
            <w:pPr>
              <w:ind w:right="540"/>
              <w:contextualSpacing/>
              <w:rPr>
                <w:rFonts w:cstheme="minorHAnsi"/>
                <w:sz w:val="24"/>
                <w:szCs w:val="24"/>
              </w:rPr>
            </w:pPr>
            <w:r w:rsidRPr="00515206">
              <w:rPr>
                <w:rFonts w:cstheme="minorHAnsi"/>
                <w:sz w:val="24"/>
                <w:szCs w:val="24"/>
              </w:rPr>
              <w:t xml:space="preserve">Applicant Address </w:t>
            </w:r>
          </w:p>
        </w:tc>
        <w:tc>
          <w:tcPr>
            <w:tcW w:w="7848" w:type="dxa"/>
            <w:gridSpan w:val="2"/>
            <w:shd w:val="clear" w:color="auto" w:fill="auto"/>
            <w:vAlign w:val="center"/>
          </w:tcPr>
          <w:p w14:paraId="1430E120" w14:textId="6A0431D9" w:rsidR="0004645C" w:rsidRPr="00515206" w:rsidRDefault="00DF2366" w:rsidP="00DF2366">
            <w:pPr>
              <w:ind w:right="540"/>
              <w:contextualSpacing/>
              <w:rPr>
                <w:rFonts w:cstheme="minorHAnsi"/>
                <w:sz w:val="24"/>
                <w:szCs w:val="24"/>
                <w:lang w:val="fr-FR"/>
              </w:rPr>
            </w:pPr>
            <w:r w:rsidRPr="00DF2366">
              <w:rPr>
                <w:rFonts w:cstheme="minorHAnsi"/>
                <w:sz w:val="24"/>
                <w:szCs w:val="24"/>
                <w:lang w:val="fr-FR"/>
              </w:rPr>
              <w:t xml:space="preserve">55 </w:t>
            </w:r>
            <w:r>
              <w:rPr>
                <w:rFonts w:cstheme="minorHAnsi"/>
                <w:sz w:val="24"/>
                <w:szCs w:val="24"/>
                <w:lang w:val="fr-FR"/>
              </w:rPr>
              <w:t>Fogg Road</w:t>
            </w:r>
            <w:r w:rsidR="00976CA0">
              <w:rPr>
                <w:rFonts w:cstheme="minorHAnsi"/>
                <w:sz w:val="24"/>
                <w:szCs w:val="24"/>
                <w:lang w:val="fr-FR"/>
              </w:rPr>
              <w:t xml:space="preserve">, </w:t>
            </w:r>
            <w:r>
              <w:rPr>
                <w:rFonts w:cstheme="minorHAnsi"/>
                <w:sz w:val="24"/>
                <w:szCs w:val="24"/>
                <w:lang w:val="fr-FR"/>
              </w:rPr>
              <w:t>Weymouth, MA 02190</w:t>
            </w:r>
          </w:p>
        </w:tc>
      </w:tr>
      <w:tr w:rsidR="00DF2366" w:rsidRPr="007B1C0B" w14:paraId="7699AB21" w14:textId="77777777" w:rsidTr="005D75F6">
        <w:trPr>
          <w:trHeight w:val="377"/>
        </w:trPr>
        <w:tc>
          <w:tcPr>
            <w:tcW w:w="6945" w:type="dxa"/>
            <w:shd w:val="clear" w:color="auto" w:fill="auto"/>
            <w:vAlign w:val="center"/>
          </w:tcPr>
          <w:p w14:paraId="580B8B65" w14:textId="77777777" w:rsidR="0004645C" w:rsidRPr="00515206" w:rsidRDefault="0004645C" w:rsidP="00A67E02">
            <w:pPr>
              <w:ind w:right="540"/>
              <w:contextualSpacing/>
              <w:rPr>
                <w:rFonts w:cstheme="minorHAnsi"/>
                <w:sz w:val="24"/>
                <w:szCs w:val="24"/>
              </w:rPr>
            </w:pPr>
            <w:r w:rsidRPr="00515206">
              <w:rPr>
                <w:rFonts w:cstheme="minorHAnsi"/>
                <w:sz w:val="24"/>
                <w:szCs w:val="24"/>
              </w:rPr>
              <w:t>Filing Date</w:t>
            </w:r>
          </w:p>
        </w:tc>
        <w:tc>
          <w:tcPr>
            <w:tcW w:w="7848" w:type="dxa"/>
            <w:gridSpan w:val="2"/>
            <w:shd w:val="clear" w:color="auto" w:fill="auto"/>
            <w:vAlign w:val="center"/>
          </w:tcPr>
          <w:p w14:paraId="4DEF7649" w14:textId="3E345567" w:rsidR="0004645C" w:rsidRPr="00515206" w:rsidRDefault="00937DF4" w:rsidP="00A67E02">
            <w:pPr>
              <w:ind w:right="540"/>
              <w:contextualSpacing/>
              <w:rPr>
                <w:rFonts w:cstheme="minorHAnsi"/>
                <w:sz w:val="24"/>
                <w:szCs w:val="24"/>
              </w:rPr>
            </w:pPr>
            <w:r>
              <w:rPr>
                <w:rFonts w:cstheme="minorHAnsi"/>
                <w:sz w:val="24"/>
                <w:szCs w:val="24"/>
              </w:rPr>
              <w:t>May 21, 2021</w:t>
            </w:r>
          </w:p>
        </w:tc>
      </w:tr>
      <w:tr w:rsidR="00DF2366" w:rsidRPr="007B1C0B" w14:paraId="03895EBE" w14:textId="77777777" w:rsidTr="005D75F6">
        <w:trPr>
          <w:trHeight w:val="350"/>
        </w:trPr>
        <w:tc>
          <w:tcPr>
            <w:tcW w:w="6945" w:type="dxa"/>
            <w:shd w:val="clear" w:color="auto" w:fill="auto"/>
            <w:vAlign w:val="center"/>
          </w:tcPr>
          <w:p w14:paraId="0046FE50" w14:textId="77777777" w:rsidR="0004645C" w:rsidRPr="00515206" w:rsidRDefault="0004645C" w:rsidP="00A67E02">
            <w:pPr>
              <w:ind w:right="540"/>
              <w:contextualSpacing/>
              <w:rPr>
                <w:rFonts w:cstheme="minorHAnsi"/>
                <w:sz w:val="24"/>
                <w:szCs w:val="24"/>
              </w:rPr>
            </w:pPr>
            <w:r w:rsidRPr="00515206">
              <w:rPr>
                <w:rFonts w:cstheme="minorHAnsi"/>
                <w:sz w:val="24"/>
                <w:szCs w:val="24"/>
              </w:rPr>
              <w:t>Type of DoN Application</w:t>
            </w:r>
          </w:p>
        </w:tc>
        <w:tc>
          <w:tcPr>
            <w:tcW w:w="7848" w:type="dxa"/>
            <w:gridSpan w:val="2"/>
            <w:shd w:val="clear" w:color="auto" w:fill="auto"/>
            <w:vAlign w:val="center"/>
          </w:tcPr>
          <w:p w14:paraId="4093DCC6" w14:textId="1EB0F059" w:rsidR="0004645C" w:rsidRPr="00515206" w:rsidRDefault="00BD3B34" w:rsidP="00A67E02">
            <w:pPr>
              <w:ind w:right="540"/>
              <w:contextualSpacing/>
              <w:rPr>
                <w:rFonts w:cstheme="minorHAnsi"/>
                <w:sz w:val="24"/>
                <w:szCs w:val="24"/>
              </w:rPr>
            </w:pPr>
            <w:r>
              <w:rPr>
                <w:rFonts w:cstheme="minorHAnsi"/>
                <w:sz w:val="24"/>
                <w:szCs w:val="24"/>
              </w:rPr>
              <w:t>Substantial Change in Service</w:t>
            </w:r>
            <w:r w:rsidR="00667B1F">
              <w:rPr>
                <w:rFonts w:cstheme="minorHAnsi"/>
                <w:sz w:val="24"/>
                <w:szCs w:val="24"/>
              </w:rPr>
              <w:t xml:space="preserve">, </w:t>
            </w:r>
            <w:r>
              <w:rPr>
                <w:rFonts w:cstheme="minorHAnsi"/>
                <w:sz w:val="24"/>
                <w:szCs w:val="24"/>
              </w:rPr>
              <w:t>DoN</w:t>
            </w:r>
            <w:r w:rsidR="00667B1F">
              <w:rPr>
                <w:rFonts w:cstheme="minorHAnsi"/>
                <w:sz w:val="24"/>
                <w:szCs w:val="24"/>
              </w:rPr>
              <w:t>-</w:t>
            </w:r>
            <w:r w:rsidR="00935902">
              <w:rPr>
                <w:rFonts w:cstheme="minorHAnsi"/>
                <w:sz w:val="24"/>
                <w:szCs w:val="24"/>
              </w:rPr>
              <w:t>R</w:t>
            </w:r>
            <w:r>
              <w:rPr>
                <w:rFonts w:cstheme="minorHAnsi"/>
                <w:sz w:val="24"/>
                <w:szCs w:val="24"/>
              </w:rPr>
              <w:t>equired Equipment</w:t>
            </w:r>
          </w:p>
        </w:tc>
      </w:tr>
      <w:tr w:rsidR="00DF2366" w:rsidRPr="007B1C0B" w14:paraId="0465C8F3" w14:textId="77777777" w:rsidTr="005D75F6">
        <w:trPr>
          <w:trHeight w:val="350"/>
        </w:trPr>
        <w:tc>
          <w:tcPr>
            <w:tcW w:w="6945" w:type="dxa"/>
            <w:shd w:val="clear" w:color="auto" w:fill="auto"/>
            <w:vAlign w:val="center"/>
          </w:tcPr>
          <w:p w14:paraId="48044516" w14:textId="77777777" w:rsidR="0004645C" w:rsidRPr="00515206" w:rsidRDefault="0004645C" w:rsidP="00A67E02">
            <w:pPr>
              <w:ind w:right="540"/>
              <w:contextualSpacing/>
              <w:rPr>
                <w:rFonts w:cstheme="minorHAnsi"/>
                <w:sz w:val="24"/>
                <w:szCs w:val="24"/>
              </w:rPr>
            </w:pPr>
            <w:r w:rsidRPr="00515206">
              <w:rPr>
                <w:rFonts w:cstheme="minorHAnsi"/>
                <w:sz w:val="24"/>
                <w:szCs w:val="24"/>
              </w:rPr>
              <w:t>Total Value</w:t>
            </w:r>
          </w:p>
        </w:tc>
        <w:tc>
          <w:tcPr>
            <w:tcW w:w="7848" w:type="dxa"/>
            <w:gridSpan w:val="2"/>
            <w:shd w:val="clear" w:color="auto" w:fill="auto"/>
            <w:vAlign w:val="center"/>
          </w:tcPr>
          <w:p w14:paraId="66DB4152" w14:textId="554CA1B6" w:rsidR="0004645C" w:rsidRPr="00515206" w:rsidRDefault="00937DF4" w:rsidP="00A67E02">
            <w:pPr>
              <w:ind w:right="540"/>
              <w:contextualSpacing/>
              <w:rPr>
                <w:rFonts w:cstheme="minorHAnsi"/>
                <w:sz w:val="24"/>
                <w:szCs w:val="24"/>
              </w:rPr>
            </w:pPr>
            <w:r>
              <w:rPr>
                <w:rFonts w:cstheme="minorHAnsi"/>
                <w:sz w:val="24"/>
                <w:szCs w:val="24"/>
              </w:rPr>
              <w:t>$</w:t>
            </w:r>
            <w:r w:rsidRPr="00937DF4">
              <w:rPr>
                <w:rFonts w:cstheme="minorHAnsi"/>
                <w:sz w:val="24"/>
                <w:szCs w:val="24"/>
              </w:rPr>
              <w:t>2,387,481.00</w:t>
            </w:r>
          </w:p>
        </w:tc>
      </w:tr>
      <w:tr w:rsidR="00DF2366" w:rsidRPr="007B1C0B" w14:paraId="29718D41" w14:textId="77777777" w:rsidTr="005D75F6">
        <w:trPr>
          <w:trHeight w:val="350"/>
        </w:trPr>
        <w:tc>
          <w:tcPr>
            <w:tcW w:w="6945" w:type="dxa"/>
            <w:shd w:val="clear" w:color="auto" w:fill="auto"/>
            <w:vAlign w:val="center"/>
          </w:tcPr>
          <w:p w14:paraId="4FDAC3CE" w14:textId="77777777" w:rsidR="0004645C" w:rsidRPr="00515206" w:rsidRDefault="0004645C" w:rsidP="00A67E02">
            <w:pPr>
              <w:ind w:right="540"/>
              <w:contextualSpacing/>
              <w:rPr>
                <w:rFonts w:cstheme="minorHAnsi"/>
                <w:sz w:val="24"/>
                <w:szCs w:val="24"/>
              </w:rPr>
            </w:pPr>
            <w:r w:rsidRPr="00515206">
              <w:rPr>
                <w:rFonts w:cstheme="minorHAnsi"/>
                <w:sz w:val="24"/>
                <w:szCs w:val="24"/>
              </w:rPr>
              <w:t>Project Number</w:t>
            </w:r>
          </w:p>
        </w:tc>
        <w:tc>
          <w:tcPr>
            <w:tcW w:w="7848" w:type="dxa"/>
            <w:gridSpan w:val="2"/>
            <w:shd w:val="clear" w:color="auto" w:fill="auto"/>
            <w:vAlign w:val="center"/>
          </w:tcPr>
          <w:p w14:paraId="16969227" w14:textId="37F8B11E" w:rsidR="0004645C" w:rsidRPr="00515206" w:rsidRDefault="00F37114" w:rsidP="00A67E02">
            <w:pPr>
              <w:ind w:right="540"/>
              <w:contextualSpacing/>
              <w:rPr>
                <w:rFonts w:cstheme="minorHAnsi"/>
                <w:sz w:val="24"/>
                <w:szCs w:val="24"/>
              </w:rPr>
            </w:pPr>
            <w:r w:rsidRPr="00F37114">
              <w:rPr>
                <w:rFonts w:cstheme="minorHAnsi"/>
                <w:sz w:val="24"/>
                <w:szCs w:val="24"/>
              </w:rPr>
              <w:t>21040109-HS</w:t>
            </w:r>
          </w:p>
        </w:tc>
      </w:tr>
      <w:tr w:rsidR="00DF2366" w:rsidRPr="007B1C0B" w14:paraId="03E9F91E" w14:textId="77777777" w:rsidTr="005D75F6">
        <w:trPr>
          <w:trHeight w:val="350"/>
        </w:trPr>
        <w:tc>
          <w:tcPr>
            <w:tcW w:w="6945" w:type="dxa"/>
            <w:shd w:val="clear" w:color="auto" w:fill="auto"/>
            <w:vAlign w:val="center"/>
          </w:tcPr>
          <w:p w14:paraId="0444BB1A" w14:textId="77777777" w:rsidR="0004645C" w:rsidRPr="00515206" w:rsidRDefault="0004645C" w:rsidP="00A67E02">
            <w:pPr>
              <w:ind w:right="540"/>
              <w:contextualSpacing/>
              <w:rPr>
                <w:rFonts w:cstheme="minorHAnsi"/>
                <w:sz w:val="24"/>
                <w:szCs w:val="24"/>
              </w:rPr>
            </w:pPr>
            <w:r w:rsidRPr="00515206">
              <w:rPr>
                <w:rFonts w:cstheme="minorHAnsi"/>
                <w:sz w:val="24"/>
                <w:szCs w:val="24"/>
              </w:rPr>
              <w:t>Ten Taxpayer Group (TTG)</w:t>
            </w:r>
          </w:p>
        </w:tc>
        <w:tc>
          <w:tcPr>
            <w:tcW w:w="7848" w:type="dxa"/>
            <w:gridSpan w:val="2"/>
            <w:shd w:val="clear" w:color="auto" w:fill="auto"/>
            <w:vAlign w:val="center"/>
          </w:tcPr>
          <w:p w14:paraId="5BCA88AB" w14:textId="3C55AA90" w:rsidR="0004645C" w:rsidRPr="00515206" w:rsidRDefault="00097809" w:rsidP="00A67E02">
            <w:pPr>
              <w:ind w:right="540"/>
              <w:contextualSpacing/>
              <w:rPr>
                <w:rFonts w:cstheme="minorHAnsi"/>
                <w:sz w:val="24"/>
                <w:szCs w:val="24"/>
              </w:rPr>
            </w:pPr>
            <w:r>
              <w:rPr>
                <w:rFonts w:cstheme="minorHAnsi"/>
                <w:sz w:val="24"/>
                <w:szCs w:val="24"/>
              </w:rPr>
              <w:t>None</w:t>
            </w:r>
          </w:p>
        </w:tc>
      </w:tr>
      <w:tr w:rsidR="00DF2366" w:rsidRPr="007B1C0B" w14:paraId="6325A40F" w14:textId="77777777" w:rsidTr="005D75F6">
        <w:trPr>
          <w:trHeight w:val="350"/>
        </w:trPr>
        <w:tc>
          <w:tcPr>
            <w:tcW w:w="6945" w:type="dxa"/>
            <w:shd w:val="clear" w:color="auto" w:fill="auto"/>
            <w:vAlign w:val="center"/>
          </w:tcPr>
          <w:p w14:paraId="4206A414" w14:textId="77777777" w:rsidR="0004645C" w:rsidRPr="00515206" w:rsidRDefault="0004645C" w:rsidP="00A67E02">
            <w:pPr>
              <w:ind w:right="540"/>
              <w:contextualSpacing/>
              <w:rPr>
                <w:rFonts w:cstheme="minorHAnsi"/>
                <w:sz w:val="24"/>
                <w:szCs w:val="24"/>
              </w:rPr>
            </w:pPr>
            <w:r w:rsidRPr="00515206">
              <w:rPr>
                <w:rFonts w:cstheme="minorHAnsi"/>
                <w:sz w:val="24"/>
                <w:szCs w:val="24"/>
              </w:rPr>
              <w:t>Community Health Initiative (CHI)</w:t>
            </w:r>
            <w:r w:rsidRPr="00515206" w:rsidDel="00FB532E">
              <w:rPr>
                <w:rFonts w:cstheme="minorHAnsi"/>
                <w:sz w:val="24"/>
                <w:szCs w:val="24"/>
              </w:rPr>
              <w:t xml:space="preserve"> </w:t>
            </w:r>
          </w:p>
        </w:tc>
        <w:tc>
          <w:tcPr>
            <w:tcW w:w="7848" w:type="dxa"/>
            <w:gridSpan w:val="2"/>
            <w:shd w:val="clear" w:color="auto" w:fill="auto"/>
            <w:vAlign w:val="center"/>
          </w:tcPr>
          <w:p w14:paraId="13D1653D" w14:textId="5ABE2F46" w:rsidR="0004645C" w:rsidRPr="00515206" w:rsidRDefault="00F37114" w:rsidP="00A67E02">
            <w:pPr>
              <w:ind w:right="540"/>
              <w:contextualSpacing/>
              <w:rPr>
                <w:rFonts w:cstheme="minorHAnsi"/>
                <w:sz w:val="24"/>
                <w:szCs w:val="24"/>
              </w:rPr>
            </w:pPr>
            <w:r w:rsidRPr="00F37114">
              <w:rPr>
                <w:rFonts w:cstheme="minorHAnsi"/>
                <w:sz w:val="24"/>
                <w:szCs w:val="24"/>
              </w:rPr>
              <w:t>$119,374.05</w:t>
            </w:r>
          </w:p>
        </w:tc>
      </w:tr>
      <w:tr w:rsidR="00DF2366" w:rsidRPr="007B1C0B" w14:paraId="121BE900" w14:textId="77777777" w:rsidTr="005D75F6">
        <w:trPr>
          <w:trHeight w:val="350"/>
        </w:trPr>
        <w:tc>
          <w:tcPr>
            <w:tcW w:w="6945" w:type="dxa"/>
            <w:shd w:val="clear" w:color="auto" w:fill="auto"/>
            <w:vAlign w:val="center"/>
          </w:tcPr>
          <w:p w14:paraId="3613B78E" w14:textId="77777777" w:rsidR="0004645C" w:rsidRPr="00515206" w:rsidRDefault="0004645C" w:rsidP="00A67E02">
            <w:pPr>
              <w:ind w:right="540"/>
              <w:contextualSpacing/>
              <w:rPr>
                <w:rFonts w:cstheme="minorHAnsi"/>
                <w:sz w:val="24"/>
                <w:szCs w:val="24"/>
              </w:rPr>
            </w:pPr>
            <w:r w:rsidRPr="00515206">
              <w:rPr>
                <w:rFonts w:cstheme="minorHAnsi"/>
                <w:sz w:val="24"/>
                <w:szCs w:val="24"/>
              </w:rPr>
              <w:t>Staff Recommendation</w:t>
            </w:r>
          </w:p>
        </w:tc>
        <w:tc>
          <w:tcPr>
            <w:tcW w:w="7848" w:type="dxa"/>
            <w:gridSpan w:val="2"/>
            <w:shd w:val="clear" w:color="auto" w:fill="auto"/>
            <w:vAlign w:val="center"/>
          </w:tcPr>
          <w:p w14:paraId="2D758FD7" w14:textId="20577AF5" w:rsidR="0004645C" w:rsidRPr="00515206" w:rsidRDefault="00DB685D" w:rsidP="00A67E02">
            <w:pPr>
              <w:ind w:right="540"/>
              <w:contextualSpacing/>
              <w:rPr>
                <w:rFonts w:cstheme="minorHAnsi"/>
                <w:sz w:val="24"/>
                <w:szCs w:val="24"/>
              </w:rPr>
            </w:pPr>
            <w:r>
              <w:rPr>
                <w:rFonts w:cstheme="minorHAnsi"/>
                <w:sz w:val="24"/>
                <w:szCs w:val="24"/>
              </w:rPr>
              <w:t xml:space="preserve">Approval </w:t>
            </w:r>
          </w:p>
        </w:tc>
      </w:tr>
      <w:tr w:rsidR="00DF2366" w:rsidRPr="007B1C0B" w14:paraId="31DB88B2" w14:textId="77777777" w:rsidTr="005D75F6">
        <w:trPr>
          <w:trHeight w:val="350"/>
        </w:trPr>
        <w:tc>
          <w:tcPr>
            <w:tcW w:w="6945" w:type="dxa"/>
            <w:shd w:val="clear" w:color="auto" w:fill="auto"/>
            <w:vAlign w:val="center"/>
          </w:tcPr>
          <w:p w14:paraId="53C659D3" w14:textId="3E055B2E" w:rsidR="0004645C" w:rsidRPr="00515206" w:rsidRDefault="0086021D" w:rsidP="00A67E02">
            <w:pPr>
              <w:ind w:right="540"/>
              <w:contextualSpacing/>
              <w:rPr>
                <w:rFonts w:cstheme="minorHAnsi"/>
                <w:sz w:val="24"/>
                <w:szCs w:val="24"/>
              </w:rPr>
            </w:pPr>
            <w:r>
              <w:rPr>
                <w:rFonts w:cstheme="minorHAnsi"/>
                <w:sz w:val="24"/>
                <w:szCs w:val="24"/>
              </w:rPr>
              <w:t>Delegated Review</w:t>
            </w:r>
            <w:r w:rsidR="0004645C" w:rsidRPr="00515206">
              <w:rPr>
                <w:rFonts w:cstheme="minorHAnsi"/>
                <w:sz w:val="24"/>
                <w:szCs w:val="24"/>
              </w:rPr>
              <w:t xml:space="preserve"> </w:t>
            </w:r>
          </w:p>
        </w:tc>
        <w:tc>
          <w:tcPr>
            <w:tcW w:w="7848" w:type="dxa"/>
            <w:gridSpan w:val="2"/>
            <w:shd w:val="clear" w:color="auto" w:fill="auto"/>
            <w:vAlign w:val="center"/>
          </w:tcPr>
          <w:p w14:paraId="7B70CFA9" w14:textId="0FA4D946" w:rsidR="0004645C" w:rsidRPr="00515206" w:rsidRDefault="0086021D" w:rsidP="00A67E02">
            <w:pPr>
              <w:ind w:right="540"/>
              <w:contextualSpacing/>
              <w:rPr>
                <w:rFonts w:cstheme="minorHAnsi"/>
                <w:sz w:val="24"/>
                <w:szCs w:val="24"/>
              </w:rPr>
            </w:pPr>
            <w:r>
              <w:rPr>
                <w:rFonts w:cstheme="minorHAnsi"/>
                <w:sz w:val="24"/>
                <w:szCs w:val="24"/>
              </w:rPr>
              <w:t>Final Action by Commissioner</w:t>
            </w:r>
          </w:p>
        </w:tc>
      </w:tr>
      <w:tr w:rsidR="00BD3B34" w:rsidRPr="007B1C0B" w14:paraId="4A1568E9" w14:textId="77777777" w:rsidTr="00542409">
        <w:trPr>
          <w:trHeight w:val="2436"/>
        </w:trPr>
        <w:tc>
          <w:tcPr>
            <w:tcW w:w="0" w:type="auto"/>
            <w:gridSpan w:val="3"/>
            <w:shd w:val="clear" w:color="auto" w:fill="auto"/>
            <w:vAlign w:val="center"/>
          </w:tcPr>
          <w:p w14:paraId="066DA4D1" w14:textId="77777777" w:rsidR="0004645C" w:rsidRPr="00515206" w:rsidRDefault="0004645C" w:rsidP="00A67E02">
            <w:pPr>
              <w:pStyle w:val="NoSpacing"/>
              <w:ind w:right="540"/>
              <w:contextualSpacing/>
              <w:jc w:val="center"/>
              <w:rPr>
                <w:rFonts w:cstheme="minorHAnsi"/>
                <w:sz w:val="24"/>
                <w:szCs w:val="24"/>
              </w:rPr>
            </w:pPr>
            <w:r w:rsidRPr="00515206">
              <w:rPr>
                <w:rFonts w:cstheme="minorHAnsi"/>
                <w:sz w:val="24"/>
                <w:szCs w:val="24"/>
                <w:u w:val="single"/>
              </w:rPr>
              <w:t>Project Summary and Regulatory Review</w:t>
            </w:r>
          </w:p>
          <w:p w14:paraId="20FC7F06" w14:textId="037477DB" w:rsidR="00D63B4A" w:rsidRDefault="00D63B4A" w:rsidP="00D851C5">
            <w:pPr>
              <w:pStyle w:val="NoSpacing"/>
              <w:contextualSpacing/>
              <w:rPr>
                <w:rFonts w:cstheme="minorHAnsi"/>
                <w:sz w:val="24"/>
                <w:szCs w:val="24"/>
              </w:rPr>
            </w:pPr>
            <w:r>
              <w:rPr>
                <w:rFonts w:cstheme="minorHAnsi"/>
                <w:sz w:val="24"/>
                <w:szCs w:val="24"/>
              </w:rPr>
              <w:t xml:space="preserve">South Shore Health System, Inc. (Applicant) </w:t>
            </w:r>
            <w:r w:rsidRPr="00D63B4A">
              <w:rPr>
                <w:rFonts w:cstheme="minorHAnsi"/>
                <w:sz w:val="24"/>
                <w:szCs w:val="24"/>
              </w:rPr>
              <w:t>submitted a DoN Application for</w:t>
            </w:r>
            <w:r>
              <w:rPr>
                <w:rFonts w:cstheme="minorHAnsi"/>
                <w:sz w:val="24"/>
                <w:szCs w:val="24"/>
              </w:rPr>
              <w:t xml:space="preserve"> the </w:t>
            </w:r>
            <w:r w:rsidR="00642695">
              <w:rPr>
                <w:rFonts w:cstheme="minorHAnsi"/>
                <w:sz w:val="24"/>
                <w:szCs w:val="24"/>
              </w:rPr>
              <w:t>acquisition</w:t>
            </w:r>
            <w:r>
              <w:rPr>
                <w:rFonts w:cstheme="minorHAnsi"/>
                <w:sz w:val="24"/>
                <w:szCs w:val="24"/>
              </w:rPr>
              <w:t xml:space="preserve"> of one, 3</w:t>
            </w:r>
            <w:r w:rsidR="00D851C5">
              <w:rPr>
                <w:rFonts w:cstheme="minorHAnsi"/>
                <w:sz w:val="24"/>
                <w:szCs w:val="24"/>
              </w:rPr>
              <w:t xml:space="preserve"> Tesla (3</w:t>
            </w:r>
            <w:r>
              <w:rPr>
                <w:rFonts w:cstheme="minorHAnsi"/>
                <w:sz w:val="24"/>
                <w:szCs w:val="24"/>
              </w:rPr>
              <w:t>T</w:t>
            </w:r>
            <w:r w:rsidR="00D851C5">
              <w:rPr>
                <w:rFonts w:cstheme="minorHAnsi"/>
                <w:sz w:val="24"/>
                <w:szCs w:val="24"/>
              </w:rPr>
              <w:t>)</w:t>
            </w:r>
            <w:r>
              <w:rPr>
                <w:rFonts w:cstheme="minorHAnsi"/>
                <w:sz w:val="24"/>
                <w:szCs w:val="24"/>
              </w:rPr>
              <w:t xml:space="preserve"> magnetic resonance imaging (MRI) unit </w:t>
            </w:r>
            <w:r w:rsidR="00D851C5">
              <w:rPr>
                <w:rFonts w:cstheme="minorHAnsi"/>
                <w:sz w:val="24"/>
                <w:szCs w:val="24"/>
              </w:rPr>
              <w:t xml:space="preserve">to be located on the main campus of </w:t>
            </w:r>
            <w:r>
              <w:rPr>
                <w:rFonts w:cstheme="minorHAnsi"/>
                <w:sz w:val="24"/>
                <w:szCs w:val="24"/>
              </w:rPr>
              <w:t>South Shore Hospital</w:t>
            </w:r>
            <w:r w:rsidR="00D851C5">
              <w:rPr>
                <w:rFonts w:cstheme="minorHAnsi"/>
                <w:sz w:val="24"/>
                <w:szCs w:val="24"/>
              </w:rPr>
              <w:t xml:space="preserve"> </w:t>
            </w:r>
            <w:r w:rsidR="00642695">
              <w:rPr>
                <w:rFonts w:cstheme="minorHAnsi"/>
                <w:sz w:val="24"/>
                <w:szCs w:val="24"/>
              </w:rPr>
              <w:t xml:space="preserve">at </w:t>
            </w:r>
            <w:r w:rsidR="00D851C5" w:rsidRPr="00D851C5">
              <w:rPr>
                <w:rFonts w:cstheme="minorHAnsi"/>
                <w:sz w:val="24"/>
                <w:szCs w:val="24"/>
              </w:rPr>
              <w:t>55 Fogg Road</w:t>
            </w:r>
            <w:r w:rsidR="00642695">
              <w:rPr>
                <w:rFonts w:cstheme="minorHAnsi"/>
                <w:sz w:val="24"/>
                <w:szCs w:val="24"/>
              </w:rPr>
              <w:t xml:space="preserve"> </w:t>
            </w:r>
            <w:r w:rsidR="00D851C5" w:rsidRPr="00D851C5">
              <w:rPr>
                <w:rFonts w:cstheme="minorHAnsi"/>
                <w:sz w:val="24"/>
                <w:szCs w:val="24"/>
              </w:rPr>
              <w:t>Weymouth, MA</w:t>
            </w:r>
            <w:r w:rsidRPr="00D63B4A">
              <w:rPr>
                <w:rFonts w:cstheme="minorHAnsi"/>
                <w:sz w:val="24"/>
                <w:szCs w:val="24"/>
              </w:rPr>
              <w:t xml:space="preserve">. The capital expenditure for the Proposed Project is </w:t>
            </w:r>
            <w:r w:rsidR="00D851C5" w:rsidRPr="00D851C5">
              <w:rPr>
                <w:rFonts w:cstheme="minorHAnsi"/>
                <w:sz w:val="24"/>
                <w:szCs w:val="24"/>
              </w:rPr>
              <w:t>$2,387,481</w:t>
            </w:r>
            <w:r w:rsidRPr="00D63B4A">
              <w:rPr>
                <w:rFonts w:cstheme="minorHAnsi"/>
                <w:sz w:val="24"/>
                <w:szCs w:val="24"/>
              </w:rPr>
              <w:t>; the Community Health Initiatives (CHI) contribution is</w:t>
            </w:r>
            <w:r w:rsidR="00401EDA">
              <w:rPr>
                <w:rFonts w:cstheme="minorHAnsi"/>
                <w:sz w:val="24"/>
                <w:szCs w:val="24"/>
              </w:rPr>
              <w:t xml:space="preserve"> $</w:t>
            </w:r>
            <w:r w:rsidR="00D851C5" w:rsidRPr="00D851C5">
              <w:rPr>
                <w:rFonts w:cstheme="minorHAnsi"/>
                <w:sz w:val="24"/>
                <w:szCs w:val="24"/>
              </w:rPr>
              <w:t>119,374.05</w:t>
            </w:r>
            <w:r w:rsidRPr="00D63B4A">
              <w:rPr>
                <w:rFonts w:cstheme="minorHAnsi"/>
                <w:sz w:val="24"/>
                <w:szCs w:val="24"/>
              </w:rPr>
              <w:t xml:space="preserve">. </w:t>
            </w:r>
          </w:p>
          <w:p w14:paraId="09139990" w14:textId="77777777" w:rsidR="00D63B4A" w:rsidRDefault="00D63B4A" w:rsidP="00A67E02">
            <w:pPr>
              <w:pStyle w:val="NoSpacing"/>
              <w:contextualSpacing/>
              <w:rPr>
                <w:rFonts w:cstheme="minorHAnsi"/>
                <w:sz w:val="24"/>
                <w:szCs w:val="24"/>
              </w:rPr>
            </w:pPr>
          </w:p>
          <w:p w14:paraId="2DC718F6" w14:textId="3C4FC4A3" w:rsidR="0004645C" w:rsidRPr="00515206" w:rsidRDefault="00D63B4A" w:rsidP="00A67E02">
            <w:pPr>
              <w:pStyle w:val="NoSpacing"/>
              <w:contextualSpacing/>
              <w:rPr>
                <w:rFonts w:cstheme="minorHAnsi"/>
                <w:sz w:val="24"/>
                <w:szCs w:val="24"/>
              </w:rPr>
            </w:pPr>
            <w:r w:rsidRPr="00D63B4A">
              <w:rPr>
                <w:rFonts w:cstheme="minorHAnsi"/>
                <w:sz w:val="24"/>
                <w:szCs w:val="24"/>
              </w:rPr>
              <w:t xml:space="preserve">This DoN application falls within the definition of </w:t>
            </w:r>
            <w:r w:rsidR="006814E7">
              <w:rPr>
                <w:rFonts w:cstheme="minorHAnsi"/>
                <w:sz w:val="24"/>
                <w:szCs w:val="24"/>
              </w:rPr>
              <w:t>Substantial Change in Service</w:t>
            </w:r>
            <w:r w:rsidR="009D6D90">
              <w:rPr>
                <w:rFonts w:cstheme="minorHAnsi"/>
                <w:sz w:val="24"/>
                <w:szCs w:val="24"/>
              </w:rPr>
              <w:t>,</w:t>
            </w:r>
            <w:r w:rsidR="006814E7">
              <w:rPr>
                <w:rFonts w:cstheme="minorHAnsi"/>
                <w:sz w:val="24"/>
                <w:szCs w:val="24"/>
              </w:rPr>
              <w:t xml:space="preserve"> </w:t>
            </w:r>
            <w:r w:rsidRPr="00D63B4A">
              <w:rPr>
                <w:rFonts w:cstheme="minorHAnsi"/>
                <w:sz w:val="24"/>
                <w:szCs w:val="24"/>
              </w:rPr>
              <w:t>DoN-Required Equipment and Services,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r w:rsidR="006403D2">
              <w:rPr>
                <w:rFonts w:cstheme="minorHAnsi"/>
                <w:sz w:val="24"/>
                <w:szCs w:val="24"/>
              </w:rPr>
              <w:t>.</w:t>
            </w:r>
          </w:p>
        </w:tc>
      </w:tr>
    </w:tbl>
    <w:p w14:paraId="475EAAAB" w14:textId="1A769B18" w:rsidR="00667B1F" w:rsidRDefault="00667B1F">
      <w:pPr>
        <w:rPr>
          <w:b/>
          <w:bCs/>
          <w:sz w:val="28"/>
          <w:szCs w:val="28"/>
        </w:rPr>
      </w:pPr>
      <w:r>
        <w:rPr>
          <w:b/>
          <w:bCs/>
          <w:sz w:val="28"/>
          <w:szCs w:val="28"/>
        </w:rPr>
        <w:t>Application Overview</w:t>
      </w:r>
    </w:p>
    <w:p w14:paraId="729D39C5" w14:textId="3E446A7D" w:rsidR="00667B1F" w:rsidRDefault="00667B1F" w:rsidP="00667357">
      <w:pPr>
        <w:spacing w:after="0" w:line="240" w:lineRule="auto"/>
        <w:rPr>
          <w:sz w:val="24"/>
          <w:szCs w:val="24"/>
        </w:rPr>
      </w:pPr>
      <w:r>
        <w:rPr>
          <w:b/>
          <w:bCs/>
          <w:sz w:val="24"/>
          <w:szCs w:val="24"/>
        </w:rPr>
        <w:t>South Shore Health System (SSHS or Applicant)</w:t>
      </w:r>
      <w:r>
        <w:rPr>
          <w:sz w:val="24"/>
          <w:szCs w:val="24"/>
        </w:rPr>
        <w:t xml:space="preserve"> is a not-for-profit health care system located in Southeastern Massachusetts serving</w:t>
      </w:r>
      <w:r w:rsidR="004730A2">
        <w:rPr>
          <w:sz w:val="24"/>
          <w:szCs w:val="24"/>
        </w:rPr>
        <w:t xml:space="preserve"> patients across Norfolk and Plymouth Counties, including</w:t>
      </w:r>
      <w:r>
        <w:rPr>
          <w:sz w:val="24"/>
          <w:szCs w:val="24"/>
        </w:rPr>
        <w:t xml:space="preserve"> the cities/towns of Weymouth, Braintree, Quincy, Hingham, Marshfield, Plymouth, </w:t>
      </w:r>
      <w:r w:rsidR="00BD3218">
        <w:rPr>
          <w:sz w:val="24"/>
          <w:szCs w:val="24"/>
        </w:rPr>
        <w:t xml:space="preserve">and </w:t>
      </w:r>
      <w:r>
        <w:rPr>
          <w:sz w:val="24"/>
          <w:szCs w:val="24"/>
        </w:rPr>
        <w:t xml:space="preserve">Scituate. SSHS provides primary, specialty, and urgent care services. </w:t>
      </w:r>
      <w:r w:rsidR="00AB5BCB">
        <w:rPr>
          <w:sz w:val="24"/>
          <w:szCs w:val="24"/>
        </w:rPr>
        <w:t>SSHS</w:t>
      </w:r>
      <w:r>
        <w:rPr>
          <w:sz w:val="24"/>
          <w:szCs w:val="24"/>
        </w:rPr>
        <w:t xml:space="preserve"> includes</w:t>
      </w:r>
      <w:r w:rsidR="001C0FD2">
        <w:rPr>
          <w:sz w:val="24"/>
          <w:szCs w:val="24"/>
        </w:rPr>
        <w:t xml:space="preserve"> the</w:t>
      </w:r>
      <w:r w:rsidR="00D3100E">
        <w:rPr>
          <w:sz w:val="24"/>
          <w:szCs w:val="24"/>
        </w:rPr>
        <w:t xml:space="preserve"> </w:t>
      </w:r>
      <w:r w:rsidR="001C0FD2">
        <w:rPr>
          <w:sz w:val="24"/>
          <w:szCs w:val="24"/>
        </w:rPr>
        <w:t>following:</w:t>
      </w:r>
      <w:r>
        <w:rPr>
          <w:sz w:val="24"/>
          <w:szCs w:val="24"/>
        </w:rPr>
        <w:t xml:space="preserve"> South Shore Hospital (SSH</w:t>
      </w:r>
      <w:r w:rsidR="00060A51">
        <w:rPr>
          <w:sz w:val="24"/>
          <w:szCs w:val="24"/>
        </w:rPr>
        <w:t xml:space="preserve"> o</w:t>
      </w:r>
      <w:r w:rsidR="00D2345D">
        <w:rPr>
          <w:sz w:val="24"/>
          <w:szCs w:val="24"/>
        </w:rPr>
        <w:t>r</w:t>
      </w:r>
      <w:r w:rsidR="00060A51">
        <w:rPr>
          <w:sz w:val="24"/>
          <w:szCs w:val="24"/>
        </w:rPr>
        <w:t xml:space="preserve"> the Hospital</w:t>
      </w:r>
      <w:r>
        <w:rPr>
          <w:sz w:val="24"/>
          <w:szCs w:val="24"/>
        </w:rPr>
        <w:t>), a</w:t>
      </w:r>
      <w:r w:rsidR="00FF6E9E">
        <w:rPr>
          <w:sz w:val="24"/>
          <w:szCs w:val="24"/>
        </w:rPr>
        <w:t xml:space="preserve"> 393-bed</w:t>
      </w:r>
      <w:r>
        <w:rPr>
          <w:sz w:val="24"/>
          <w:szCs w:val="24"/>
        </w:rPr>
        <w:t xml:space="preserve"> acute care hospital located in Weymouth, MA </w:t>
      </w:r>
      <w:r w:rsidR="00FF6E9E" w:rsidRPr="00FF6E9E">
        <w:rPr>
          <w:sz w:val="24"/>
          <w:szCs w:val="24"/>
        </w:rPr>
        <w:t>provid</w:t>
      </w:r>
      <w:r w:rsidR="00FF6E9E">
        <w:rPr>
          <w:sz w:val="24"/>
          <w:szCs w:val="24"/>
        </w:rPr>
        <w:t>ing</w:t>
      </w:r>
      <w:r w:rsidR="00FF6E9E" w:rsidRPr="00FF6E9E">
        <w:rPr>
          <w:sz w:val="24"/>
          <w:szCs w:val="24"/>
        </w:rPr>
        <w:t xml:space="preserve"> emergency care</w:t>
      </w:r>
      <w:r w:rsidR="00052194">
        <w:rPr>
          <w:sz w:val="24"/>
          <w:szCs w:val="24"/>
        </w:rPr>
        <w:t>,</w:t>
      </w:r>
      <w:r w:rsidR="00FF6E9E" w:rsidRPr="00FF6E9E">
        <w:rPr>
          <w:sz w:val="24"/>
          <w:szCs w:val="24"/>
        </w:rPr>
        <w:t xml:space="preserve"> inpatient and outpatient services</w:t>
      </w:r>
      <w:r w:rsidR="00D3100E">
        <w:rPr>
          <w:sz w:val="24"/>
          <w:szCs w:val="24"/>
        </w:rPr>
        <w:t>;</w:t>
      </w:r>
      <w:r w:rsidR="002615CB">
        <w:rPr>
          <w:sz w:val="24"/>
          <w:szCs w:val="24"/>
        </w:rPr>
        <w:t xml:space="preserve"> multiple outpatient satellites</w:t>
      </w:r>
      <w:r w:rsidR="00D3100E">
        <w:rPr>
          <w:sz w:val="24"/>
          <w:szCs w:val="24"/>
        </w:rPr>
        <w:t>;</w:t>
      </w:r>
      <w:r w:rsidR="00B027C9">
        <w:rPr>
          <w:sz w:val="24"/>
          <w:szCs w:val="24"/>
        </w:rPr>
        <w:t xml:space="preserve"> </w:t>
      </w:r>
      <w:r w:rsidR="002615CB">
        <w:rPr>
          <w:sz w:val="24"/>
          <w:szCs w:val="24"/>
        </w:rPr>
        <w:t>urgent care centers</w:t>
      </w:r>
      <w:r w:rsidR="00D3100E">
        <w:rPr>
          <w:sz w:val="24"/>
          <w:szCs w:val="24"/>
        </w:rPr>
        <w:t>;</w:t>
      </w:r>
      <w:r w:rsidR="002615CB">
        <w:rPr>
          <w:sz w:val="24"/>
          <w:szCs w:val="24"/>
        </w:rPr>
        <w:t xml:space="preserve"> and a physician group of more than 300 primary care doctors and specialists.</w:t>
      </w:r>
      <w:r w:rsidR="009636EC">
        <w:rPr>
          <w:sz w:val="24"/>
          <w:szCs w:val="24"/>
        </w:rPr>
        <w:t xml:space="preserve"> </w:t>
      </w:r>
    </w:p>
    <w:p w14:paraId="23558CBC" w14:textId="77777777" w:rsidR="009B5C2B" w:rsidRDefault="009B5C2B" w:rsidP="009B5C2B">
      <w:pPr>
        <w:spacing w:after="0" w:line="240" w:lineRule="auto"/>
        <w:rPr>
          <w:sz w:val="24"/>
          <w:szCs w:val="24"/>
        </w:rPr>
      </w:pPr>
    </w:p>
    <w:p w14:paraId="56ADFF10" w14:textId="2B57E3FD" w:rsidR="003B1342" w:rsidRDefault="00667B1F" w:rsidP="00542409">
      <w:pPr>
        <w:spacing w:after="0" w:line="240" w:lineRule="auto"/>
        <w:rPr>
          <w:b/>
          <w:bCs/>
          <w:sz w:val="28"/>
          <w:szCs w:val="28"/>
        </w:rPr>
      </w:pPr>
      <w:r>
        <w:rPr>
          <w:sz w:val="24"/>
          <w:szCs w:val="24"/>
        </w:rPr>
        <w:t xml:space="preserve">The Applicant currently provides </w:t>
      </w:r>
      <w:r w:rsidR="001C0FD2">
        <w:rPr>
          <w:sz w:val="24"/>
          <w:szCs w:val="24"/>
        </w:rPr>
        <w:t>its</w:t>
      </w:r>
      <w:r>
        <w:rPr>
          <w:sz w:val="24"/>
          <w:szCs w:val="24"/>
        </w:rPr>
        <w:t xml:space="preserve"> Patient Panel with access to magnetic resonance imaging (MRI) services at </w:t>
      </w:r>
      <w:r w:rsidR="00AB5BCB">
        <w:rPr>
          <w:sz w:val="24"/>
          <w:szCs w:val="24"/>
        </w:rPr>
        <w:t>SSH</w:t>
      </w:r>
      <w:r w:rsidR="00633838">
        <w:rPr>
          <w:sz w:val="24"/>
          <w:szCs w:val="24"/>
        </w:rPr>
        <w:t xml:space="preserve"> main campus</w:t>
      </w:r>
      <w:r>
        <w:rPr>
          <w:sz w:val="24"/>
          <w:szCs w:val="24"/>
        </w:rPr>
        <w:t xml:space="preserve">, and </w:t>
      </w:r>
      <w:r w:rsidR="001C0FD2">
        <w:rPr>
          <w:sz w:val="24"/>
          <w:szCs w:val="24"/>
        </w:rPr>
        <w:t xml:space="preserve">the Hospital’s </w:t>
      </w:r>
      <w:r>
        <w:rPr>
          <w:sz w:val="24"/>
          <w:szCs w:val="24"/>
        </w:rPr>
        <w:t xml:space="preserve">two outpatient satellites: the Cancer Center and </w:t>
      </w:r>
      <w:r w:rsidR="00C07F03">
        <w:rPr>
          <w:sz w:val="24"/>
          <w:szCs w:val="24"/>
        </w:rPr>
        <w:t>South Shore Orthopedics</w:t>
      </w:r>
      <w:r>
        <w:rPr>
          <w:sz w:val="24"/>
          <w:szCs w:val="24"/>
        </w:rPr>
        <w:t xml:space="preserve">. </w:t>
      </w:r>
      <w:r w:rsidR="00AB5BCB" w:rsidRPr="00AB5BCB">
        <w:rPr>
          <w:sz w:val="24"/>
          <w:szCs w:val="24"/>
        </w:rPr>
        <w:t xml:space="preserve">The Applicant is proposing to add one 3 Tesla (3T) MRI unit at the </w:t>
      </w:r>
      <w:r w:rsidR="001C0FD2">
        <w:rPr>
          <w:sz w:val="24"/>
          <w:szCs w:val="24"/>
        </w:rPr>
        <w:t>SSH</w:t>
      </w:r>
      <w:r w:rsidR="00AB5BCB" w:rsidRPr="00AB5BCB">
        <w:rPr>
          <w:sz w:val="24"/>
          <w:szCs w:val="24"/>
        </w:rPr>
        <w:t xml:space="preserve"> main campus in order to enhance access to timely MR</w:t>
      </w:r>
      <w:r w:rsidR="00AB5BCB">
        <w:rPr>
          <w:sz w:val="24"/>
          <w:szCs w:val="24"/>
        </w:rPr>
        <w:t xml:space="preserve">I services </w:t>
      </w:r>
      <w:r w:rsidR="00AB5BCB" w:rsidRPr="00AB5BCB">
        <w:rPr>
          <w:sz w:val="24"/>
          <w:szCs w:val="24"/>
        </w:rPr>
        <w:t xml:space="preserve">for the Patient Panel. </w:t>
      </w:r>
      <w:r w:rsidR="00AD3AE6">
        <w:rPr>
          <w:sz w:val="24"/>
          <w:szCs w:val="24"/>
        </w:rPr>
        <w:t xml:space="preserve">The Applicant </w:t>
      </w:r>
      <w:r w:rsidR="00052194">
        <w:rPr>
          <w:sz w:val="24"/>
          <w:szCs w:val="24"/>
        </w:rPr>
        <w:t xml:space="preserve">attributes </w:t>
      </w:r>
      <w:r w:rsidR="00AD3AE6">
        <w:rPr>
          <w:sz w:val="24"/>
          <w:szCs w:val="24"/>
        </w:rPr>
        <w:t xml:space="preserve">need for expanded access to MRI services </w:t>
      </w:r>
      <w:r w:rsidR="00777DA3">
        <w:rPr>
          <w:sz w:val="24"/>
          <w:szCs w:val="24"/>
        </w:rPr>
        <w:t xml:space="preserve">to </w:t>
      </w:r>
      <w:r w:rsidR="00052194">
        <w:rPr>
          <w:sz w:val="24"/>
          <w:szCs w:val="24"/>
        </w:rPr>
        <w:t xml:space="preserve">1) </w:t>
      </w:r>
      <w:r w:rsidR="00AB5BCB">
        <w:rPr>
          <w:sz w:val="24"/>
          <w:szCs w:val="24"/>
        </w:rPr>
        <w:t xml:space="preserve">address capacity constraints and </w:t>
      </w:r>
      <w:r w:rsidR="00052194">
        <w:rPr>
          <w:sz w:val="24"/>
          <w:szCs w:val="24"/>
        </w:rPr>
        <w:t xml:space="preserve">2) </w:t>
      </w:r>
      <w:r w:rsidR="00AB5BCB">
        <w:rPr>
          <w:sz w:val="24"/>
          <w:szCs w:val="24"/>
        </w:rPr>
        <w:t xml:space="preserve">limitations </w:t>
      </w:r>
      <w:r w:rsidR="00C80820">
        <w:rPr>
          <w:sz w:val="24"/>
          <w:szCs w:val="24"/>
        </w:rPr>
        <w:t xml:space="preserve">in types of scans </w:t>
      </w:r>
      <w:r w:rsidR="00042AF6">
        <w:rPr>
          <w:sz w:val="24"/>
          <w:szCs w:val="24"/>
        </w:rPr>
        <w:t xml:space="preserve">that can be </w:t>
      </w:r>
      <w:r w:rsidR="00C80820">
        <w:rPr>
          <w:sz w:val="24"/>
          <w:szCs w:val="24"/>
        </w:rPr>
        <w:t xml:space="preserve">performed </w:t>
      </w:r>
      <w:r w:rsidR="00AB5BCB">
        <w:rPr>
          <w:sz w:val="24"/>
          <w:szCs w:val="24"/>
        </w:rPr>
        <w:t xml:space="preserve">on the existing MRI </w:t>
      </w:r>
      <w:r w:rsidR="00633838">
        <w:rPr>
          <w:sz w:val="24"/>
          <w:szCs w:val="24"/>
        </w:rPr>
        <w:t xml:space="preserve">unit </w:t>
      </w:r>
      <w:r w:rsidR="00052194">
        <w:rPr>
          <w:sz w:val="24"/>
          <w:szCs w:val="24"/>
        </w:rPr>
        <w:t>which</w:t>
      </w:r>
      <w:r w:rsidR="00AB5BCB">
        <w:rPr>
          <w:sz w:val="24"/>
          <w:szCs w:val="24"/>
        </w:rPr>
        <w:t xml:space="preserve"> increas</w:t>
      </w:r>
      <w:r w:rsidR="00052194">
        <w:rPr>
          <w:sz w:val="24"/>
          <w:szCs w:val="24"/>
        </w:rPr>
        <w:t>es</w:t>
      </w:r>
      <w:r w:rsidR="00AB5BCB">
        <w:rPr>
          <w:sz w:val="24"/>
          <w:szCs w:val="24"/>
        </w:rPr>
        <w:t xml:space="preserve"> </w:t>
      </w:r>
      <w:r w:rsidR="00777DA3">
        <w:rPr>
          <w:sz w:val="24"/>
          <w:szCs w:val="24"/>
        </w:rPr>
        <w:t>wait times</w:t>
      </w:r>
      <w:r w:rsidR="00AB5BCB">
        <w:rPr>
          <w:sz w:val="24"/>
          <w:szCs w:val="24"/>
        </w:rPr>
        <w:t xml:space="preserve">, </w:t>
      </w:r>
      <w:r w:rsidR="00AC721E">
        <w:rPr>
          <w:sz w:val="24"/>
          <w:szCs w:val="24"/>
        </w:rPr>
        <w:t>and</w:t>
      </w:r>
      <w:r w:rsidR="00AD3AE6">
        <w:rPr>
          <w:sz w:val="24"/>
          <w:szCs w:val="24"/>
        </w:rPr>
        <w:t xml:space="preserve"> </w:t>
      </w:r>
      <w:r w:rsidR="00052194">
        <w:rPr>
          <w:sz w:val="24"/>
          <w:szCs w:val="24"/>
        </w:rPr>
        <w:t xml:space="preserve">contributes </w:t>
      </w:r>
      <w:r w:rsidR="00AC721E">
        <w:rPr>
          <w:sz w:val="24"/>
          <w:szCs w:val="24"/>
        </w:rPr>
        <w:t xml:space="preserve">to </w:t>
      </w:r>
      <w:r w:rsidR="00AD3AE6">
        <w:rPr>
          <w:sz w:val="24"/>
          <w:szCs w:val="24"/>
        </w:rPr>
        <w:t>delay</w:t>
      </w:r>
      <w:r w:rsidR="00AC721E">
        <w:rPr>
          <w:sz w:val="24"/>
          <w:szCs w:val="24"/>
        </w:rPr>
        <w:t>ed</w:t>
      </w:r>
      <w:r w:rsidR="00AD3AE6">
        <w:rPr>
          <w:sz w:val="24"/>
          <w:szCs w:val="24"/>
        </w:rPr>
        <w:t xml:space="preserve"> diagnosis and treatment</w:t>
      </w:r>
      <w:r w:rsidR="00777DA3">
        <w:rPr>
          <w:sz w:val="24"/>
          <w:szCs w:val="24"/>
        </w:rPr>
        <w:t>.</w:t>
      </w:r>
      <w:r w:rsidR="00AD3AE6">
        <w:rPr>
          <w:sz w:val="24"/>
          <w:szCs w:val="24"/>
        </w:rPr>
        <w:t xml:space="preserve"> </w:t>
      </w:r>
      <w:r w:rsidR="00433427">
        <w:rPr>
          <w:sz w:val="24"/>
          <w:szCs w:val="24"/>
        </w:rPr>
        <w:t>C</w:t>
      </w:r>
      <w:r w:rsidR="00AD3AE6">
        <w:rPr>
          <w:sz w:val="24"/>
          <w:szCs w:val="24"/>
        </w:rPr>
        <w:t>it</w:t>
      </w:r>
      <w:r w:rsidR="00433427">
        <w:rPr>
          <w:sz w:val="24"/>
          <w:szCs w:val="24"/>
        </w:rPr>
        <w:t>ing</w:t>
      </w:r>
      <w:r w:rsidR="00AD3AE6">
        <w:rPr>
          <w:sz w:val="24"/>
          <w:szCs w:val="24"/>
        </w:rPr>
        <w:t xml:space="preserve"> peer reviewed literature </w:t>
      </w:r>
      <w:r w:rsidR="00433427">
        <w:rPr>
          <w:sz w:val="24"/>
          <w:szCs w:val="24"/>
        </w:rPr>
        <w:t>on</w:t>
      </w:r>
      <w:r w:rsidR="00AD3AE6">
        <w:rPr>
          <w:sz w:val="24"/>
          <w:szCs w:val="24"/>
        </w:rPr>
        <w:t xml:space="preserve"> the </w:t>
      </w:r>
      <w:r w:rsidR="00C80820">
        <w:rPr>
          <w:sz w:val="24"/>
          <w:szCs w:val="24"/>
        </w:rPr>
        <w:t xml:space="preserve">clinical utility of MRI and the </w:t>
      </w:r>
      <w:r w:rsidR="00AD3AE6">
        <w:rPr>
          <w:sz w:val="24"/>
          <w:szCs w:val="24"/>
        </w:rPr>
        <w:t xml:space="preserve">benefits of </w:t>
      </w:r>
      <w:r w:rsidR="00934C26">
        <w:rPr>
          <w:sz w:val="24"/>
          <w:szCs w:val="24"/>
        </w:rPr>
        <w:t xml:space="preserve">increasing </w:t>
      </w:r>
      <w:r w:rsidR="00AD3AE6">
        <w:rPr>
          <w:sz w:val="24"/>
          <w:szCs w:val="24"/>
        </w:rPr>
        <w:t xml:space="preserve">access to </w:t>
      </w:r>
      <w:r w:rsidR="00934C26">
        <w:rPr>
          <w:sz w:val="24"/>
          <w:szCs w:val="24"/>
        </w:rPr>
        <w:t>high-quality</w:t>
      </w:r>
      <w:r w:rsidR="00AD3AE6">
        <w:rPr>
          <w:sz w:val="24"/>
          <w:szCs w:val="24"/>
        </w:rPr>
        <w:t xml:space="preserve"> imaging for the Patient Panel, </w:t>
      </w:r>
      <w:r w:rsidR="00433427">
        <w:rPr>
          <w:sz w:val="24"/>
          <w:szCs w:val="24"/>
        </w:rPr>
        <w:t xml:space="preserve">the Applicant asserts the Proposed Project will </w:t>
      </w:r>
      <w:r w:rsidR="00AD3AE6">
        <w:rPr>
          <w:sz w:val="24"/>
          <w:szCs w:val="24"/>
        </w:rPr>
        <w:t xml:space="preserve">improve </w:t>
      </w:r>
      <w:r w:rsidR="00AF3BAD">
        <w:rPr>
          <w:sz w:val="24"/>
          <w:szCs w:val="24"/>
        </w:rPr>
        <w:t xml:space="preserve">access to care, patient experience, </w:t>
      </w:r>
      <w:r w:rsidR="00AD3AE6">
        <w:rPr>
          <w:sz w:val="24"/>
          <w:szCs w:val="24"/>
        </w:rPr>
        <w:t>health outcomes and quality of life.</w:t>
      </w:r>
      <w:r w:rsidR="00542409">
        <w:rPr>
          <w:b/>
          <w:bCs/>
          <w:sz w:val="28"/>
          <w:szCs w:val="28"/>
        </w:rPr>
        <w:t xml:space="preserve"> </w:t>
      </w:r>
    </w:p>
    <w:p w14:paraId="03096D89" w14:textId="77777777" w:rsidR="00CF2B67" w:rsidRDefault="00CF2B67">
      <w:pPr>
        <w:rPr>
          <w:b/>
          <w:bCs/>
          <w:sz w:val="28"/>
          <w:szCs w:val="28"/>
        </w:rPr>
        <w:sectPr w:rsidR="00CF2B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F7BFF7F" w14:textId="77777777" w:rsidR="00CF2B67" w:rsidRPr="00CF2B67" w:rsidRDefault="00CF2B67" w:rsidP="00CF2B67">
      <w:pPr>
        <w:spacing w:after="0" w:line="240" w:lineRule="auto"/>
        <w:contextualSpacing/>
        <w:jc w:val="center"/>
        <w:rPr>
          <w:rFonts w:ascii="Garamond" w:eastAsia="Calibri" w:hAnsi="Garamond" w:cs="Times New Roman"/>
        </w:rPr>
      </w:pPr>
      <w:bookmarkStart w:id="1" w:name="_Toc17151136"/>
      <w:r w:rsidRPr="00CF2B67">
        <w:rPr>
          <w:rFonts w:ascii="Garamond" w:eastAsia="Calibri" w:hAnsi="Garamond" w:cs="Times New Roman"/>
          <w:b/>
          <w:bCs/>
          <w:sz w:val="32"/>
          <w:szCs w:val="32"/>
        </w:rPr>
        <w:t>OVERVIEW of PROPOSED PROJECT AND FACTOR REVIEW</w:t>
      </w:r>
      <w:bookmarkEnd w:id="1"/>
    </w:p>
    <w:tbl>
      <w:tblPr>
        <w:tblStyle w:val="GridTable4-Accent11"/>
        <w:tblW w:w="0" w:type="auto"/>
        <w:tblInd w:w="-643" w:type="dxa"/>
        <w:tblBorders>
          <w:top w:val="single" w:sz="12" w:space="0" w:color="9FACD2"/>
          <w:left w:val="single" w:sz="12" w:space="0" w:color="9FACD2"/>
          <w:bottom w:val="single" w:sz="12" w:space="0" w:color="9FACD2"/>
          <w:right w:val="single" w:sz="12" w:space="0" w:color="9FACD2"/>
          <w:insideH w:val="single" w:sz="12" w:space="0" w:color="9FACD2"/>
          <w:insideV w:val="single" w:sz="12" w:space="0" w:color="9FACD2"/>
        </w:tblBorders>
        <w:tblCellMar>
          <w:left w:w="115" w:type="dxa"/>
          <w:right w:w="115" w:type="dxa"/>
        </w:tblCellMar>
        <w:tblLook w:val="04A0" w:firstRow="1" w:lastRow="0" w:firstColumn="1" w:lastColumn="0" w:noHBand="0" w:noVBand="1"/>
        <w:tblCaption w:val="Overview of Proposed Project and Factor Review"/>
        <w:tblDescription w:val="Description What’s Needed to Meet Factor 1: Demonstration of need; improved health outcomes and quality of life; assurances of health equity; continuity and coordination of care; evidence of community engagement; and competition on recognized measures of health care spending.&#10; What’s Needed to Meet Factor 2: Demonstration of cost containment, improved public health outcomes, and delivery system transformation&#10; Factors 3, 4 &amp; 5  What’s Needed to Meet Factor 6: Demonstration of plans for fulfilling … responsibilities … in the DPH Community-based Health Initiatives Guideline.&#10; Staff Report finds &#10; MEETS MEETS MEETS&#10; MEETS&#10;The Applicant is proposing to add one 3T MRI unit at South Shore Hospital main campus in order to increase Patient Panel access to high-quality MRI services.     &#10;"/>
      </w:tblPr>
      <w:tblGrid>
        <w:gridCol w:w="2990"/>
        <w:gridCol w:w="4818"/>
        <w:gridCol w:w="3186"/>
        <w:gridCol w:w="1107"/>
        <w:gridCol w:w="3335"/>
      </w:tblGrid>
      <w:tr w:rsidR="005362FB" w:rsidRPr="00CF2B67" w14:paraId="64840DC0" w14:textId="77777777" w:rsidTr="00FF60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6076B4"/>
            </w:tcBorders>
            <w:shd w:val="clear" w:color="auto" w:fill="BFC8E1"/>
          </w:tcPr>
          <w:p w14:paraId="5305BA83" w14:textId="77777777" w:rsidR="00CF2B67" w:rsidRPr="00CF2B67" w:rsidRDefault="00CF2B67" w:rsidP="00CF2B67">
            <w:pPr>
              <w:contextualSpacing/>
              <w:rPr>
                <w:rFonts w:ascii="Garamond" w:eastAsia="Calibri" w:hAnsi="Garamond" w:cs="Cambria"/>
                <w:color w:val="auto"/>
              </w:rPr>
            </w:pPr>
            <w:r w:rsidRPr="00CF2B67">
              <w:rPr>
                <w:rFonts w:ascii="Garamond" w:eastAsia="Calibri" w:hAnsi="Garamond" w:cs="Cambria"/>
                <w:color w:val="auto"/>
              </w:rPr>
              <w:t>Description</w:t>
            </w:r>
          </w:p>
        </w:tc>
        <w:tc>
          <w:tcPr>
            <w:tcW w:w="0" w:type="auto"/>
            <w:tcBorders>
              <w:left w:val="single" w:sz="4" w:space="0" w:color="6076B4"/>
              <w:right w:val="single" w:sz="4" w:space="0" w:color="6076B4"/>
            </w:tcBorders>
            <w:shd w:val="clear" w:color="auto" w:fill="BFC8E1"/>
          </w:tcPr>
          <w:p w14:paraId="1DD11021"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CF2B67">
              <w:rPr>
                <w:rFonts w:ascii="Garamond" w:eastAsia="Calibri" w:hAnsi="Garamond" w:cs="Cambria"/>
                <w:color w:val="auto"/>
              </w:rPr>
              <w:t>What’s Needed to Meet Factor 1: Demonstration of need; improved health outcomes and quality of life; assurances of health equity; continuity and coordination of care; evidence of community engagement; and competition on recognized measures of health care spending.</w:t>
            </w:r>
          </w:p>
          <w:p w14:paraId="786481F9"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smallCaps/>
                <w:color w:val="auto"/>
              </w:rPr>
            </w:pPr>
          </w:p>
        </w:tc>
        <w:tc>
          <w:tcPr>
            <w:tcW w:w="0" w:type="auto"/>
            <w:tcBorders>
              <w:left w:val="single" w:sz="4" w:space="0" w:color="6076B4"/>
              <w:right w:val="single" w:sz="4" w:space="0" w:color="6076B4"/>
            </w:tcBorders>
            <w:shd w:val="clear" w:color="auto" w:fill="BFC8E1"/>
          </w:tcPr>
          <w:p w14:paraId="42DB324E"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CF2B67">
              <w:rPr>
                <w:rFonts w:ascii="Garamond" w:eastAsia="Calibri" w:hAnsi="Garamond" w:cs="Cambria"/>
                <w:color w:val="auto"/>
              </w:rPr>
              <w:t>What’s Needed to Meet Factor 2: Demonstration of cost containment, improved public health outcomes, and delivery system transformation</w:t>
            </w:r>
          </w:p>
          <w:p w14:paraId="6E25B61F"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p>
        </w:tc>
        <w:tc>
          <w:tcPr>
            <w:tcW w:w="0" w:type="auto"/>
            <w:tcBorders>
              <w:left w:val="single" w:sz="4" w:space="0" w:color="6076B4"/>
              <w:right w:val="single" w:sz="4" w:space="0" w:color="6076B4"/>
            </w:tcBorders>
            <w:shd w:val="clear" w:color="auto" w:fill="BFC8E1"/>
          </w:tcPr>
          <w:p w14:paraId="37C8B0A8"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CF2B67">
              <w:rPr>
                <w:rFonts w:ascii="Garamond" w:eastAsia="Calibri" w:hAnsi="Garamond" w:cs="Cambria"/>
                <w:color w:val="auto"/>
              </w:rPr>
              <w:t>Factors 3, 4 &amp; 5</w:t>
            </w:r>
            <w:r w:rsidRPr="00CF2B67">
              <w:rPr>
                <w:rFonts w:ascii="Garamond" w:eastAsia="Calibri" w:hAnsi="Garamond" w:cs="Cambria"/>
                <w:color w:val="auto"/>
                <w:vertAlign w:val="superscript"/>
              </w:rPr>
              <w:footnoteReference w:id="1"/>
            </w:r>
          </w:p>
        </w:tc>
        <w:tc>
          <w:tcPr>
            <w:tcW w:w="0" w:type="auto"/>
            <w:tcBorders>
              <w:left w:val="single" w:sz="4" w:space="0" w:color="6076B4"/>
            </w:tcBorders>
            <w:shd w:val="clear" w:color="auto" w:fill="BFC8E1"/>
          </w:tcPr>
          <w:p w14:paraId="292DFE5D"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CF2B67">
              <w:rPr>
                <w:rFonts w:ascii="Garamond" w:eastAsia="Calibri" w:hAnsi="Garamond" w:cs="Cambria"/>
                <w:color w:val="auto"/>
              </w:rPr>
              <w:t>What’s Needed to Meet Factor 6: Demonstration of plans for fulfilling … responsibilities … in the DPH Community-based Health Initiatives Guideline.</w:t>
            </w:r>
          </w:p>
        </w:tc>
      </w:tr>
      <w:tr w:rsidR="00CF2B67" w:rsidRPr="00CF2B67" w14:paraId="70B96818" w14:textId="77777777" w:rsidTr="00FF606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9106208" w14:textId="77777777" w:rsidR="00CF2B67" w:rsidRPr="00CF2B67" w:rsidRDefault="00CF2B67" w:rsidP="00CF2B67">
            <w:pPr>
              <w:contextualSpacing/>
              <w:rPr>
                <w:rFonts w:ascii="Garamond" w:eastAsia="Calibri" w:hAnsi="Garamond" w:cs="Cambria"/>
              </w:rPr>
            </w:pPr>
          </w:p>
        </w:tc>
        <w:tc>
          <w:tcPr>
            <w:tcW w:w="0" w:type="auto"/>
            <w:gridSpan w:val="3"/>
          </w:tcPr>
          <w:p w14:paraId="448D9A3B" w14:textId="77777777" w:rsidR="00CF2B67" w:rsidRPr="00CF2B67" w:rsidRDefault="00CF2B67" w:rsidP="00CF2B67">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bCs/>
                <w:i/>
                <w:iCs/>
                <w:smallCaps/>
              </w:rPr>
            </w:pPr>
            <w:r w:rsidRPr="00CF2B67">
              <w:rPr>
                <w:rFonts w:ascii="Garamond" w:eastAsia="Calibri" w:hAnsi="Garamond" w:cs="Cambria"/>
                <w:b/>
                <w:i/>
                <w:iCs/>
              </w:rPr>
              <w:t>Staff Report finds</w:t>
            </w:r>
          </w:p>
        </w:tc>
        <w:tc>
          <w:tcPr>
            <w:tcW w:w="0" w:type="auto"/>
          </w:tcPr>
          <w:p w14:paraId="0762B4A9" w14:textId="77777777" w:rsidR="00CF2B67" w:rsidRPr="00CF2B67" w:rsidRDefault="00CF2B67" w:rsidP="00CF2B67">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i/>
                <w:iCs/>
              </w:rPr>
            </w:pPr>
          </w:p>
        </w:tc>
      </w:tr>
      <w:tr w:rsidR="005362FB" w:rsidRPr="00CF2B67" w14:paraId="550C5136" w14:textId="77777777" w:rsidTr="00FF606E">
        <w:trPr>
          <w:trHeight w:val="323"/>
        </w:trPr>
        <w:tc>
          <w:tcPr>
            <w:cnfStyle w:val="001000000000" w:firstRow="0" w:lastRow="0" w:firstColumn="1" w:lastColumn="0" w:oddVBand="0" w:evenVBand="0" w:oddHBand="0" w:evenHBand="0" w:firstRowFirstColumn="0" w:firstRowLastColumn="0" w:lastRowFirstColumn="0" w:lastRowLastColumn="0"/>
            <w:tcW w:w="0" w:type="auto"/>
            <w:vMerge/>
          </w:tcPr>
          <w:p w14:paraId="13DB6379" w14:textId="77777777" w:rsidR="00CF2B67" w:rsidRPr="00CF2B67" w:rsidRDefault="00CF2B67" w:rsidP="00CF2B67">
            <w:pPr>
              <w:contextualSpacing/>
              <w:rPr>
                <w:rFonts w:ascii="Garamond" w:eastAsia="Calibri" w:hAnsi="Garamond" w:cs="Cambria"/>
              </w:rPr>
            </w:pPr>
          </w:p>
        </w:tc>
        <w:tc>
          <w:tcPr>
            <w:tcW w:w="0" w:type="auto"/>
            <w:shd w:val="clear" w:color="auto" w:fill="DFE3F0"/>
          </w:tcPr>
          <w:p w14:paraId="6283CB15"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CF2B67">
              <w:rPr>
                <w:rFonts w:ascii="Garamond" w:eastAsia="Calibri" w:hAnsi="Garamond" w:cs="Cambria"/>
                <w:b/>
                <w:bCs/>
                <w:smallCaps/>
              </w:rPr>
              <w:t>MEETS</w:t>
            </w:r>
          </w:p>
        </w:tc>
        <w:tc>
          <w:tcPr>
            <w:tcW w:w="0" w:type="auto"/>
            <w:shd w:val="clear" w:color="auto" w:fill="DFE3F0"/>
          </w:tcPr>
          <w:p w14:paraId="7512D252"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CF2B67">
              <w:rPr>
                <w:rFonts w:ascii="Garamond" w:eastAsia="Calibri" w:hAnsi="Garamond" w:cs="Cambria"/>
                <w:b/>
                <w:bCs/>
                <w:smallCaps/>
              </w:rPr>
              <w:t>MEETS</w:t>
            </w:r>
          </w:p>
        </w:tc>
        <w:tc>
          <w:tcPr>
            <w:tcW w:w="0" w:type="auto"/>
            <w:shd w:val="clear" w:color="auto" w:fill="DFE3F0"/>
          </w:tcPr>
          <w:p w14:paraId="6E1B90FE" w14:textId="77777777" w:rsidR="00CF2B67" w:rsidRPr="00CF2B67" w:rsidRDefault="00CF2B67" w:rsidP="00CF2B67">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rPr>
            </w:pPr>
            <w:r w:rsidRPr="00CF2B67">
              <w:rPr>
                <w:rFonts w:ascii="Garamond" w:eastAsia="Calibri" w:hAnsi="Garamond" w:cs="Cambria"/>
                <w:b/>
                <w:bCs/>
                <w:smallCaps/>
              </w:rPr>
              <w:t>MEETS</w:t>
            </w:r>
          </w:p>
          <w:p w14:paraId="32964E32" w14:textId="77777777" w:rsidR="00CF2B67" w:rsidRPr="00CF2B67" w:rsidRDefault="00CF2B67" w:rsidP="00CF2B67">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rPr>
            </w:pPr>
          </w:p>
        </w:tc>
        <w:tc>
          <w:tcPr>
            <w:tcW w:w="0" w:type="auto"/>
            <w:shd w:val="clear" w:color="auto" w:fill="DFE3F0"/>
          </w:tcPr>
          <w:p w14:paraId="4B42999F"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smallCaps/>
              </w:rPr>
            </w:pPr>
            <w:r w:rsidRPr="00CF2B67">
              <w:rPr>
                <w:rFonts w:ascii="Garamond" w:eastAsia="Calibri" w:hAnsi="Garamond" w:cs="Cambria"/>
                <w:b/>
                <w:bCs/>
                <w:smallCaps/>
              </w:rPr>
              <w:t>MEETS</w:t>
            </w:r>
          </w:p>
        </w:tc>
      </w:tr>
      <w:tr w:rsidR="005362FB" w:rsidRPr="00CF2B67" w14:paraId="1F3FA1DB" w14:textId="77777777" w:rsidTr="00FF606E">
        <w:trPr>
          <w:cnfStyle w:val="000000100000" w:firstRow="0" w:lastRow="0" w:firstColumn="0" w:lastColumn="0" w:oddVBand="0" w:evenVBand="0" w:oddHBand="1" w:evenHBand="0" w:firstRowFirstColumn="0" w:firstRowLastColumn="0" w:lastRowFirstColumn="0" w:lastRowLastColumn="0"/>
          <w:trHeight w:val="1527"/>
        </w:trPr>
        <w:tc>
          <w:tcPr>
            <w:cnfStyle w:val="001000000000" w:firstRow="0" w:lastRow="0" w:firstColumn="1" w:lastColumn="0" w:oddVBand="0" w:evenVBand="0" w:oddHBand="0" w:evenHBand="0" w:firstRowFirstColumn="0" w:firstRowLastColumn="0" w:lastRowFirstColumn="0" w:lastRowLastColumn="0"/>
            <w:tcW w:w="0" w:type="auto"/>
          </w:tcPr>
          <w:p w14:paraId="3381F026" w14:textId="10FF8837" w:rsidR="00CF2B67" w:rsidRPr="00D50EC1" w:rsidRDefault="00CF2B67" w:rsidP="00CF2B67">
            <w:pPr>
              <w:contextualSpacing/>
              <w:rPr>
                <w:rFonts w:ascii="Garamond" w:eastAsia="Calibri" w:hAnsi="Garamond" w:cs="Times New Roman"/>
                <w:sz w:val="20"/>
                <w:szCs w:val="20"/>
              </w:rPr>
            </w:pPr>
            <w:r w:rsidRPr="00D50EC1">
              <w:rPr>
                <w:rFonts w:ascii="Garamond" w:eastAsia="Calibri" w:hAnsi="Garamond" w:cs="Times New Roman"/>
                <w:sz w:val="20"/>
                <w:szCs w:val="20"/>
              </w:rPr>
              <w:t xml:space="preserve">The Applicant is proposing to add one 3T MRI unit at South Shore Hospital main campus in order to </w:t>
            </w:r>
            <w:r w:rsidR="005362FB" w:rsidRPr="00D50EC1">
              <w:rPr>
                <w:rFonts w:ascii="Garamond" w:eastAsia="Calibri" w:hAnsi="Garamond" w:cs="Times New Roman"/>
                <w:sz w:val="20"/>
                <w:szCs w:val="20"/>
              </w:rPr>
              <w:t>increase</w:t>
            </w:r>
            <w:r w:rsidRPr="00D50EC1">
              <w:rPr>
                <w:rFonts w:ascii="Garamond" w:eastAsia="Calibri" w:hAnsi="Garamond" w:cs="Times New Roman"/>
                <w:sz w:val="20"/>
                <w:szCs w:val="20"/>
              </w:rPr>
              <w:t xml:space="preserve"> </w:t>
            </w:r>
            <w:r w:rsidR="003B308D" w:rsidRPr="00D50EC1">
              <w:rPr>
                <w:rFonts w:ascii="Garamond" w:eastAsia="Calibri" w:hAnsi="Garamond" w:cs="Times New Roman"/>
                <w:sz w:val="20"/>
                <w:szCs w:val="20"/>
              </w:rPr>
              <w:t xml:space="preserve">Patient Panel </w:t>
            </w:r>
            <w:r w:rsidRPr="00D50EC1">
              <w:rPr>
                <w:rFonts w:ascii="Garamond" w:eastAsia="Calibri" w:hAnsi="Garamond" w:cs="Times New Roman"/>
                <w:sz w:val="20"/>
                <w:szCs w:val="20"/>
              </w:rPr>
              <w:t xml:space="preserve">access to </w:t>
            </w:r>
            <w:r w:rsidR="005362FB" w:rsidRPr="00D50EC1">
              <w:rPr>
                <w:rFonts w:ascii="Garamond" w:eastAsia="Calibri" w:hAnsi="Garamond" w:cs="Times New Roman"/>
                <w:sz w:val="20"/>
                <w:szCs w:val="20"/>
              </w:rPr>
              <w:t xml:space="preserve">high-quality </w:t>
            </w:r>
            <w:r w:rsidRPr="00D50EC1">
              <w:rPr>
                <w:rFonts w:ascii="Garamond" w:eastAsia="Calibri" w:hAnsi="Garamond" w:cs="Times New Roman"/>
                <w:sz w:val="20"/>
                <w:szCs w:val="20"/>
              </w:rPr>
              <w:t xml:space="preserve">MRI services. </w:t>
            </w:r>
          </w:p>
        </w:tc>
        <w:tc>
          <w:tcPr>
            <w:tcW w:w="0" w:type="auto"/>
          </w:tcPr>
          <w:p w14:paraId="1AE6B162" w14:textId="77777777" w:rsidR="00CF2B67" w:rsidRPr="00CF2B67" w:rsidRDefault="00CF2B67" w:rsidP="00CF2B67">
            <w:pPr>
              <w:ind w:left="720"/>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sz w:val="20"/>
                <w:szCs w:val="20"/>
              </w:rPr>
            </w:pPr>
            <w:r w:rsidRPr="00CF2B67">
              <w:rPr>
                <w:rFonts w:ascii="Garamond" w:eastAsia="Calibri" w:hAnsi="Garamond" w:cs="Cambria"/>
                <w:sz w:val="20"/>
                <w:szCs w:val="20"/>
              </w:rPr>
              <w:sym w:font="Wingdings" w:char="F0FC"/>
            </w:r>
          </w:p>
        </w:tc>
        <w:tc>
          <w:tcPr>
            <w:tcW w:w="0" w:type="auto"/>
          </w:tcPr>
          <w:p w14:paraId="1F2FAC55" w14:textId="77777777" w:rsidR="00CF2B67" w:rsidRPr="00CF2B67" w:rsidRDefault="00CF2B67" w:rsidP="00CF2B67">
            <w:pPr>
              <w:ind w:left="720"/>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sz w:val="20"/>
                <w:szCs w:val="20"/>
              </w:rPr>
            </w:pPr>
            <w:r w:rsidRPr="00CF2B67">
              <w:rPr>
                <w:rFonts w:ascii="Garamond" w:eastAsia="Calibri" w:hAnsi="Garamond" w:cs="Cambria"/>
                <w:sz w:val="20"/>
                <w:szCs w:val="20"/>
              </w:rPr>
              <w:sym w:font="Wingdings" w:char="F0FC"/>
            </w:r>
          </w:p>
        </w:tc>
        <w:tc>
          <w:tcPr>
            <w:tcW w:w="0" w:type="auto"/>
          </w:tcPr>
          <w:p w14:paraId="02F30768" w14:textId="77777777" w:rsidR="00CF2B67" w:rsidRPr="00CF2B67" w:rsidRDefault="00CF2B67" w:rsidP="00CF2B67">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sidRPr="00CF2B67">
              <w:rPr>
                <w:rFonts w:ascii="Garamond" w:eastAsia="Calibri" w:hAnsi="Garamond" w:cs="Cambria"/>
                <w:sz w:val="20"/>
                <w:szCs w:val="20"/>
              </w:rPr>
              <w:sym w:font="Wingdings" w:char="F0FC"/>
            </w:r>
          </w:p>
        </w:tc>
        <w:tc>
          <w:tcPr>
            <w:tcW w:w="0" w:type="auto"/>
          </w:tcPr>
          <w:p w14:paraId="406FE20B" w14:textId="77777777" w:rsidR="00CF2B67" w:rsidRPr="00CF2B67" w:rsidRDefault="00CF2B67" w:rsidP="00CF2B67">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sidRPr="00CF2B67">
              <w:rPr>
                <w:rFonts w:ascii="Garamond" w:eastAsia="Calibri" w:hAnsi="Garamond" w:cs="Cambria"/>
                <w:sz w:val="20"/>
                <w:szCs w:val="20"/>
              </w:rPr>
              <w:sym w:font="Wingdings" w:char="F0FC"/>
            </w:r>
          </w:p>
        </w:tc>
      </w:tr>
    </w:tbl>
    <w:p w14:paraId="7265405C" w14:textId="77777777" w:rsidR="00CF2B67" w:rsidRDefault="00CF2B67" w:rsidP="00CF2B67">
      <w:pPr>
        <w:spacing w:after="0" w:line="240" w:lineRule="auto"/>
        <w:contextualSpacing/>
        <w:rPr>
          <w:rFonts w:ascii="Garamond" w:eastAsia="Calibri" w:hAnsi="Garamond" w:cs="Times New Roman"/>
        </w:rPr>
        <w:sectPr w:rsidR="00CF2B67" w:rsidSect="00076B1A">
          <w:endnotePr>
            <w:numFmt w:val="lowerLetter"/>
          </w:endnotePr>
          <w:pgSz w:w="15840" w:h="12240" w:orient="landscape"/>
          <w:pgMar w:top="360" w:right="1080" w:bottom="1440" w:left="1080" w:header="720" w:footer="720" w:gutter="0"/>
          <w:cols w:space="720"/>
          <w:docGrid w:linePitch="360"/>
        </w:sectPr>
      </w:pPr>
    </w:p>
    <w:p w14:paraId="6804012D" w14:textId="691C13A9" w:rsidR="00032FF5" w:rsidRPr="00BD5D70" w:rsidRDefault="00032FF5">
      <w:pPr>
        <w:rPr>
          <w:b/>
          <w:bCs/>
          <w:sz w:val="28"/>
          <w:szCs w:val="28"/>
        </w:rPr>
      </w:pPr>
      <w:r w:rsidRPr="00BD5D70">
        <w:rPr>
          <w:b/>
          <w:bCs/>
          <w:sz w:val="28"/>
          <w:szCs w:val="28"/>
        </w:rPr>
        <w:t>Patient Panel</w:t>
      </w:r>
      <w:r w:rsidRPr="00BD5D70">
        <w:rPr>
          <w:rStyle w:val="FootnoteReference"/>
          <w:b/>
          <w:bCs/>
          <w:sz w:val="28"/>
          <w:szCs w:val="28"/>
        </w:rPr>
        <w:footnoteReference w:id="2"/>
      </w:r>
    </w:p>
    <w:p w14:paraId="765D273C" w14:textId="2F98F14B" w:rsidR="00902DED" w:rsidRDefault="00032FF5" w:rsidP="00667357">
      <w:pPr>
        <w:spacing w:line="240" w:lineRule="auto"/>
        <w:rPr>
          <w:sz w:val="24"/>
          <w:szCs w:val="24"/>
        </w:rPr>
      </w:pPr>
      <w:r w:rsidRPr="00667B1F">
        <w:rPr>
          <w:sz w:val="24"/>
          <w:szCs w:val="24"/>
        </w:rPr>
        <w:t>South Shore Health System</w:t>
      </w:r>
      <w:r w:rsidR="00AA21DF">
        <w:rPr>
          <w:sz w:val="24"/>
          <w:szCs w:val="24"/>
        </w:rPr>
        <w:t xml:space="preserve"> (SSHS)</w:t>
      </w:r>
      <w:r w:rsidRPr="00667B1F">
        <w:rPr>
          <w:sz w:val="24"/>
          <w:szCs w:val="24"/>
        </w:rPr>
        <w:t xml:space="preserve"> </w:t>
      </w:r>
      <w:r w:rsidR="009F0BB0">
        <w:rPr>
          <w:sz w:val="24"/>
          <w:szCs w:val="24"/>
        </w:rPr>
        <w:t xml:space="preserve">Patient Panel </w:t>
      </w:r>
      <w:r w:rsidRPr="00667B1F">
        <w:rPr>
          <w:sz w:val="24"/>
          <w:szCs w:val="24"/>
        </w:rPr>
        <w:t xml:space="preserve">consisted of </w:t>
      </w:r>
      <w:r w:rsidR="0056486D">
        <w:rPr>
          <w:sz w:val="24"/>
          <w:szCs w:val="24"/>
        </w:rPr>
        <w:t xml:space="preserve">187,706 unique patients in </w:t>
      </w:r>
      <w:r w:rsidR="00556058">
        <w:rPr>
          <w:sz w:val="24"/>
          <w:szCs w:val="24"/>
        </w:rPr>
        <w:t>fiscal year (FY)</w:t>
      </w:r>
      <w:r w:rsidR="0056486D">
        <w:rPr>
          <w:sz w:val="24"/>
          <w:szCs w:val="24"/>
        </w:rPr>
        <w:t xml:space="preserve">18, </w:t>
      </w:r>
      <w:r w:rsidRPr="00667B1F">
        <w:rPr>
          <w:sz w:val="24"/>
          <w:szCs w:val="24"/>
        </w:rPr>
        <w:t>197,</w:t>
      </w:r>
      <w:r w:rsidR="0056486D">
        <w:rPr>
          <w:sz w:val="24"/>
          <w:szCs w:val="24"/>
        </w:rPr>
        <w:t>180</w:t>
      </w:r>
      <w:r w:rsidRPr="00667B1F">
        <w:rPr>
          <w:sz w:val="24"/>
          <w:szCs w:val="24"/>
        </w:rPr>
        <w:t xml:space="preserve"> unique patients in </w:t>
      </w:r>
      <w:r w:rsidR="0056486D">
        <w:rPr>
          <w:sz w:val="24"/>
          <w:szCs w:val="24"/>
        </w:rPr>
        <w:t xml:space="preserve">FY19, and 197,808 unique patients in </w:t>
      </w:r>
      <w:r w:rsidRPr="00667B1F">
        <w:rPr>
          <w:sz w:val="24"/>
          <w:szCs w:val="24"/>
        </w:rPr>
        <w:t>FY20</w:t>
      </w:r>
      <w:r w:rsidR="00DE7675" w:rsidRPr="00667B1F">
        <w:rPr>
          <w:sz w:val="24"/>
          <w:szCs w:val="24"/>
        </w:rPr>
        <w:t xml:space="preserve">. The number of patients utilizing </w:t>
      </w:r>
      <w:r w:rsidR="00AA21DF">
        <w:rPr>
          <w:sz w:val="24"/>
          <w:szCs w:val="24"/>
        </w:rPr>
        <w:t>SSHS</w:t>
      </w:r>
      <w:r w:rsidR="00D706DF">
        <w:rPr>
          <w:sz w:val="24"/>
          <w:szCs w:val="24"/>
        </w:rPr>
        <w:t xml:space="preserve"> </w:t>
      </w:r>
      <w:r w:rsidR="00DE7675" w:rsidRPr="00667B1F">
        <w:rPr>
          <w:sz w:val="24"/>
          <w:szCs w:val="24"/>
        </w:rPr>
        <w:t xml:space="preserve">services has increased by 5.4% from FY18 to FY20. </w:t>
      </w:r>
      <w:r w:rsidR="00F7468B">
        <w:rPr>
          <w:sz w:val="24"/>
          <w:szCs w:val="24"/>
        </w:rPr>
        <w:t xml:space="preserve">Table </w:t>
      </w:r>
      <w:r w:rsidR="00C41C8B">
        <w:rPr>
          <w:sz w:val="24"/>
          <w:szCs w:val="24"/>
        </w:rPr>
        <w:t>2</w:t>
      </w:r>
      <w:r w:rsidR="00F7468B">
        <w:rPr>
          <w:sz w:val="24"/>
          <w:szCs w:val="24"/>
        </w:rPr>
        <w:t xml:space="preserve"> below presents </w:t>
      </w:r>
      <w:r w:rsidR="00AA21DF">
        <w:rPr>
          <w:sz w:val="24"/>
          <w:szCs w:val="24"/>
        </w:rPr>
        <w:t>th</w:t>
      </w:r>
      <w:r w:rsidR="00761D80">
        <w:rPr>
          <w:sz w:val="24"/>
          <w:szCs w:val="24"/>
        </w:rPr>
        <w:t xml:space="preserve">e </w:t>
      </w:r>
      <w:r w:rsidR="00F7468B">
        <w:rPr>
          <w:sz w:val="24"/>
          <w:szCs w:val="24"/>
        </w:rPr>
        <w:t>F</w:t>
      </w:r>
      <w:r w:rsidR="00D94190">
        <w:rPr>
          <w:sz w:val="24"/>
          <w:szCs w:val="24"/>
        </w:rPr>
        <w:t>Y</w:t>
      </w:r>
      <w:r w:rsidR="002E56A1">
        <w:rPr>
          <w:sz w:val="24"/>
          <w:szCs w:val="24"/>
        </w:rPr>
        <w:t>20</w:t>
      </w:r>
      <w:r w:rsidR="00AC3F5A">
        <w:rPr>
          <w:sz w:val="24"/>
          <w:szCs w:val="24"/>
        </w:rPr>
        <w:t xml:space="preserve"> </w:t>
      </w:r>
      <w:r w:rsidR="0057546E">
        <w:rPr>
          <w:sz w:val="24"/>
          <w:szCs w:val="24"/>
        </w:rPr>
        <w:t>demographic profile</w:t>
      </w:r>
      <w:r w:rsidR="009731AC">
        <w:rPr>
          <w:sz w:val="24"/>
          <w:szCs w:val="24"/>
        </w:rPr>
        <w:t xml:space="preserve"> for </w:t>
      </w:r>
      <w:r w:rsidR="00761D80">
        <w:rPr>
          <w:sz w:val="24"/>
          <w:szCs w:val="24"/>
        </w:rPr>
        <w:t>SSHS</w:t>
      </w:r>
      <w:r w:rsidR="00460A58">
        <w:rPr>
          <w:sz w:val="24"/>
          <w:szCs w:val="24"/>
        </w:rPr>
        <w:t xml:space="preserve"> and </w:t>
      </w:r>
      <w:r w:rsidR="00761D80">
        <w:rPr>
          <w:sz w:val="24"/>
          <w:szCs w:val="24"/>
        </w:rPr>
        <w:t>SSHS</w:t>
      </w:r>
      <w:r w:rsidR="00460A58">
        <w:rPr>
          <w:sz w:val="24"/>
          <w:szCs w:val="24"/>
        </w:rPr>
        <w:t xml:space="preserve"> MRI patient</w:t>
      </w:r>
      <w:r w:rsidR="0057546E">
        <w:rPr>
          <w:sz w:val="24"/>
          <w:szCs w:val="24"/>
        </w:rPr>
        <w:t xml:space="preserve"> populations</w:t>
      </w:r>
      <w:r w:rsidR="00F7468B">
        <w:rPr>
          <w:sz w:val="24"/>
          <w:szCs w:val="24"/>
        </w:rPr>
        <w:t xml:space="preserve">. </w:t>
      </w:r>
    </w:p>
    <w:p w14:paraId="3BBEE062" w14:textId="3E0A93BE" w:rsidR="00902DED" w:rsidRDefault="00902DED" w:rsidP="007D0487">
      <w:pPr>
        <w:spacing w:line="240" w:lineRule="auto"/>
        <w:rPr>
          <w:sz w:val="24"/>
          <w:szCs w:val="24"/>
        </w:rPr>
      </w:pPr>
      <w:r>
        <w:rPr>
          <w:sz w:val="24"/>
          <w:szCs w:val="24"/>
        </w:rPr>
        <w:t>Staff notes the following observations about the data below:</w:t>
      </w:r>
    </w:p>
    <w:p w14:paraId="36D2C4F4" w14:textId="2734CF45" w:rsidR="00902DED" w:rsidRPr="008844BF" w:rsidRDefault="0037785E" w:rsidP="002D6EBF">
      <w:pPr>
        <w:pStyle w:val="ListParagraph"/>
        <w:numPr>
          <w:ilvl w:val="0"/>
          <w:numId w:val="1"/>
        </w:numPr>
        <w:spacing w:line="240" w:lineRule="auto"/>
        <w:rPr>
          <w:b/>
          <w:bCs/>
          <w:sz w:val="24"/>
          <w:szCs w:val="24"/>
        </w:rPr>
      </w:pPr>
      <w:r w:rsidRPr="008844BF">
        <w:rPr>
          <w:b/>
          <w:bCs/>
          <w:sz w:val="24"/>
          <w:szCs w:val="24"/>
        </w:rPr>
        <w:t>Age -</w:t>
      </w:r>
      <w:r w:rsidR="0066523E" w:rsidRPr="008844BF">
        <w:rPr>
          <w:b/>
          <w:bCs/>
          <w:sz w:val="24"/>
          <w:szCs w:val="24"/>
        </w:rPr>
        <w:t xml:space="preserve"> </w:t>
      </w:r>
      <w:r w:rsidR="003302C2" w:rsidRPr="008844BF">
        <w:rPr>
          <w:sz w:val="24"/>
          <w:szCs w:val="24"/>
        </w:rPr>
        <w:t>The majority of SSHS (58.3%) and SSH</w:t>
      </w:r>
      <w:r w:rsidR="00761D80" w:rsidRPr="008844BF">
        <w:rPr>
          <w:sz w:val="24"/>
          <w:szCs w:val="24"/>
        </w:rPr>
        <w:t>S MRI</w:t>
      </w:r>
      <w:r w:rsidR="003302C2" w:rsidRPr="008844BF">
        <w:rPr>
          <w:sz w:val="24"/>
          <w:szCs w:val="24"/>
        </w:rPr>
        <w:t xml:space="preserve"> (55.7%) patient populations are between the ages of 18-64</w:t>
      </w:r>
      <w:r w:rsidR="00761D80" w:rsidRPr="008844BF">
        <w:rPr>
          <w:sz w:val="24"/>
          <w:szCs w:val="24"/>
        </w:rPr>
        <w:t>. T</w:t>
      </w:r>
      <w:r w:rsidR="003302C2" w:rsidRPr="008844BF">
        <w:rPr>
          <w:sz w:val="24"/>
          <w:szCs w:val="24"/>
        </w:rPr>
        <w:t xml:space="preserve">he age 65 and older population </w:t>
      </w:r>
      <w:r w:rsidR="00935902">
        <w:rPr>
          <w:sz w:val="24"/>
          <w:szCs w:val="24"/>
        </w:rPr>
        <w:t>comprise</w:t>
      </w:r>
      <w:r w:rsidR="003302C2" w:rsidRPr="008844BF">
        <w:rPr>
          <w:sz w:val="24"/>
          <w:szCs w:val="24"/>
        </w:rPr>
        <w:t xml:space="preserve"> 2</w:t>
      </w:r>
      <w:r w:rsidR="00052194">
        <w:rPr>
          <w:sz w:val="24"/>
          <w:szCs w:val="24"/>
        </w:rPr>
        <w:t>3.6</w:t>
      </w:r>
      <w:r w:rsidR="003302C2" w:rsidRPr="008844BF">
        <w:rPr>
          <w:sz w:val="24"/>
          <w:szCs w:val="24"/>
        </w:rPr>
        <w:t>% of the SSHS patient population and 4</w:t>
      </w:r>
      <w:r w:rsidR="00052194">
        <w:rPr>
          <w:sz w:val="24"/>
          <w:szCs w:val="24"/>
        </w:rPr>
        <w:t>2.7</w:t>
      </w:r>
      <w:r w:rsidR="0062153D" w:rsidRPr="008844BF">
        <w:rPr>
          <w:sz w:val="24"/>
          <w:szCs w:val="24"/>
        </w:rPr>
        <w:t>%</w:t>
      </w:r>
      <w:r w:rsidR="00A871D5" w:rsidRPr="008844BF">
        <w:rPr>
          <w:sz w:val="24"/>
          <w:szCs w:val="24"/>
        </w:rPr>
        <w:t xml:space="preserve"> </w:t>
      </w:r>
      <w:r w:rsidR="003302C2" w:rsidRPr="008844BF">
        <w:rPr>
          <w:sz w:val="24"/>
          <w:szCs w:val="24"/>
        </w:rPr>
        <w:t>of</w:t>
      </w:r>
      <w:r w:rsidR="00A871D5" w:rsidRPr="008844BF">
        <w:rPr>
          <w:sz w:val="24"/>
          <w:szCs w:val="24"/>
        </w:rPr>
        <w:t xml:space="preserve"> </w:t>
      </w:r>
      <w:r w:rsidR="0062153D" w:rsidRPr="008844BF">
        <w:rPr>
          <w:sz w:val="24"/>
          <w:szCs w:val="24"/>
        </w:rPr>
        <w:t xml:space="preserve">SSHS </w:t>
      </w:r>
      <w:r w:rsidR="003302C2" w:rsidRPr="008844BF">
        <w:rPr>
          <w:sz w:val="24"/>
          <w:szCs w:val="24"/>
        </w:rPr>
        <w:t xml:space="preserve">MRI </w:t>
      </w:r>
      <w:r w:rsidR="00B5430C" w:rsidRPr="008844BF">
        <w:rPr>
          <w:sz w:val="24"/>
          <w:szCs w:val="24"/>
        </w:rPr>
        <w:t>patient</w:t>
      </w:r>
      <w:r w:rsidR="00C80463">
        <w:rPr>
          <w:sz w:val="24"/>
          <w:szCs w:val="24"/>
        </w:rPr>
        <w:t xml:space="preserve"> population</w:t>
      </w:r>
      <w:r w:rsidR="003302C2" w:rsidRPr="008844BF">
        <w:rPr>
          <w:sz w:val="24"/>
          <w:szCs w:val="24"/>
        </w:rPr>
        <w:t xml:space="preserve">. </w:t>
      </w:r>
    </w:p>
    <w:p w14:paraId="2B4500D5" w14:textId="2F6C6A7E" w:rsidR="00902DED" w:rsidRDefault="00902DED" w:rsidP="002D6EBF">
      <w:pPr>
        <w:pStyle w:val="ListParagraph"/>
        <w:numPr>
          <w:ilvl w:val="0"/>
          <w:numId w:val="1"/>
        </w:numPr>
        <w:spacing w:line="240" w:lineRule="auto"/>
        <w:rPr>
          <w:sz w:val="24"/>
          <w:szCs w:val="24"/>
        </w:rPr>
      </w:pPr>
      <w:r w:rsidRPr="00902DED">
        <w:rPr>
          <w:b/>
          <w:bCs/>
          <w:sz w:val="24"/>
          <w:szCs w:val="24"/>
        </w:rPr>
        <w:t>Race/Ethnicity</w:t>
      </w:r>
      <w:r w:rsidR="003302C2">
        <w:rPr>
          <w:b/>
          <w:bCs/>
          <w:sz w:val="24"/>
          <w:szCs w:val="24"/>
        </w:rPr>
        <w:t xml:space="preserve"> </w:t>
      </w:r>
      <w:r w:rsidR="003302C2">
        <w:rPr>
          <w:sz w:val="24"/>
          <w:szCs w:val="24"/>
        </w:rPr>
        <w:t>–</w:t>
      </w:r>
      <w:r w:rsidR="00B40CFE">
        <w:rPr>
          <w:sz w:val="24"/>
          <w:szCs w:val="24"/>
        </w:rPr>
        <w:t xml:space="preserve"> SSHS and SSHS MRI patients differ slightly by race/ethnicity: </w:t>
      </w:r>
      <w:r w:rsidR="007A544F">
        <w:rPr>
          <w:sz w:val="24"/>
          <w:szCs w:val="24"/>
        </w:rPr>
        <w:t>~</w:t>
      </w:r>
      <w:r w:rsidR="00B40CFE">
        <w:rPr>
          <w:sz w:val="24"/>
          <w:szCs w:val="24"/>
        </w:rPr>
        <w:t>76% of SSHS patients identified as White</w:t>
      </w:r>
      <w:r w:rsidR="00F2792D">
        <w:rPr>
          <w:sz w:val="24"/>
          <w:szCs w:val="24"/>
        </w:rPr>
        <w:t>/Caucasian</w:t>
      </w:r>
      <w:r w:rsidR="00B40CFE">
        <w:rPr>
          <w:sz w:val="24"/>
          <w:szCs w:val="24"/>
        </w:rPr>
        <w:t xml:space="preserve"> whereas </w:t>
      </w:r>
      <w:r w:rsidR="00841A51">
        <w:rPr>
          <w:sz w:val="24"/>
          <w:szCs w:val="24"/>
        </w:rPr>
        <w:t>~</w:t>
      </w:r>
      <w:r w:rsidR="00B40CFE">
        <w:rPr>
          <w:sz w:val="24"/>
          <w:szCs w:val="24"/>
        </w:rPr>
        <w:t>89% of SSHS MRI patients identified as Whit</w:t>
      </w:r>
      <w:r w:rsidR="00841A51">
        <w:rPr>
          <w:sz w:val="24"/>
          <w:szCs w:val="24"/>
        </w:rPr>
        <w:t>e</w:t>
      </w:r>
      <w:r w:rsidR="00FF3211">
        <w:rPr>
          <w:sz w:val="24"/>
          <w:szCs w:val="24"/>
        </w:rPr>
        <w:t>/Caucasian</w:t>
      </w:r>
      <w:r w:rsidR="00841A51">
        <w:rPr>
          <w:sz w:val="24"/>
          <w:szCs w:val="24"/>
        </w:rPr>
        <w:t>.</w:t>
      </w:r>
      <w:r w:rsidR="001B55C7">
        <w:rPr>
          <w:sz w:val="24"/>
          <w:szCs w:val="24"/>
        </w:rPr>
        <w:t xml:space="preserve"> </w:t>
      </w:r>
      <w:r w:rsidR="008D6B8B">
        <w:rPr>
          <w:sz w:val="24"/>
          <w:szCs w:val="24"/>
        </w:rPr>
        <w:t>Further, a slightly smaller percentage of SSHS MRI patients identified as Black or African American (</w:t>
      </w:r>
      <w:r w:rsidR="00544A91">
        <w:rPr>
          <w:sz w:val="24"/>
          <w:szCs w:val="24"/>
        </w:rPr>
        <w:t>2.5</w:t>
      </w:r>
      <w:r w:rsidR="008D6B8B">
        <w:rPr>
          <w:sz w:val="24"/>
          <w:szCs w:val="24"/>
        </w:rPr>
        <w:t xml:space="preserve">% versus </w:t>
      </w:r>
      <w:r w:rsidR="00544A91">
        <w:rPr>
          <w:sz w:val="24"/>
          <w:szCs w:val="24"/>
        </w:rPr>
        <w:t>3.4</w:t>
      </w:r>
      <w:r w:rsidR="008D6B8B">
        <w:rPr>
          <w:sz w:val="24"/>
          <w:szCs w:val="24"/>
        </w:rPr>
        <w:t>%) and Asian/Pacific American (</w:t>
      </w:r>
      <w:r w:rsidR="00544A91">
        <w:rPr>
          <w:sz w:val="24"/>
          <w:szCs w:val="24"/>
        </w:rPr>
        <w:t>1.5</w:t>
      </w:r>
      <w:r w:rsidR="008D6B8B">
        <w:rPr>
          <w:sz w:val="24"/>
          <w:szCs w:val="24"/>
        </w:rPr>
        <w:t xml:space="preserve">% versus </w:t>
      </w:r>
      <w:r w:rsidR="00544A91">
        <w:rPr>
          <w:sz w:val="24"/>
          <w:szCs w:val="24"/>
        </w:rPr>
        <w:t>2</w:t>
      </w:r>
      <w:r w:rsidR="008D6B8B">
        <w:rPr>
          <w:sz w:val="24"/>
          <w:szCs w:val="24"/>
        </w:rPr>
        <w:t xml:space="preserve">%), compared to the SSHS patient population. </w:t>
      </w:r>
      <w:r w:rsidR="001B55C7" w:rsidRPr="001B55C7">
        <w:rPr>
          <w:sz w:val="24"/>
          <w:szCs w:val="24"/>
        </w:rPr>
        <w:t>The Applicant states that</w:t>
      </w:r>
      <w:r w:rsidR="001D17F8">
        <w:rPr>
          <w:sz w:val="24"/>
          <w:szCs w:val="24"/>
        </w:rPr>
        <w:t xml:space="preserve"> the medical record system used across South Shore Health System, including South Shore Hospital, </w:t>
      </w:r>
      <w:r w:rsidR="001B55C7" w:rsidRPr="001B55C7">
        <w:rPr>
          <w:sz w:val="24"/>
          <w:szCs w:val="24"/>
        </w:rPr>
        <w:t>has the following options for patients to select their race: White</w:t>
      </w:r>
      <w:r w:rsidR="00F2792D">
        <w:rPr>
          <w:sz w:val="24"/>
          <w:szCs w:val="24"/>
        </w:rPr>
        <w:t>/</w:t>
      </w:r>
      <w:r w:rsidR="001B55C7" w:rsidRPr="001B55C7">
        <w:rPr>
          <w:sz w:val="24"/>
          <w:szCs w:val="24"/>
        </w:rPr>
        <w:t>Caucasian, American Indian or Alaska Native, Asian, Black or African American, Native Hawaiian or Other Pacific Islander, Other</w:t>
      </w:r>
      <w:r w:rsidR="00937653">
        <w:rPr>
          <w:sz w:val="24"/>
          <w:szCs w:val="24"/>
        </w:rPr>
        <w:t xml:space="preserve">, </w:t>
      </w:r>
      <w:r w:rsidR="001B55C7" w:rsidRPr="001B55C7">
        <w:rPr>
          <w:sz w:val="24"/>
          <w:szCs w:val="24"/>
        </w:rPr>
        <w:t>Unknown</w:t>
      </w:r>
      <w:r w:rsidR="00937653">
        <w:rPr>
          <w:sz w:val="24"/>
          <w:szCs w:val="24"/>
        </w:rPr>
        <w:t xml:space="preserve"> and Decline to Answer</w:t>
      </w:r>
      <w:r w:rsidR="001B55C7" w:rsidRPr="001B55C7">
        <w:rPr>
          <w:sz w:val="24"/>
          <w:szCs w:val="24"/>
        </w:rPr>
        <w:t xml:space="preserve">. The category “Other” is typically selected if the patient does not fit into </w:t>
      </w:r>
      <w:r w:rsidR="00937653">
        <w:rPr>
          <w:sz w:val="24"/>
          <w:szCs w:val="24"/>
        </w:rPr>
        <w:t xml:space="preserve">one of </w:t>
      </w:r>
      <w:r w:rsidR="001B55C7" w:rsidRPr="001B55C7">
        <w:rPr>
          <w:sz w:val="24"/>
          <w:szCs w:val="24"/>
        </w:rPr>
        <w:t>the</w:t>
      </w:r>
      <w:r w:rsidR="00937653">
        <w:rPr>
          <w:sz w:val="24"/>
          <w:szCs w:val="24"/>
        </w:rPr>
        <w:t xml:space="preserve"> above</w:t>
      </w:r>
      <w:r w:rsidR="001B55C7" w:rsidRPr="001B55C7">
        <w:rPr>
          <w:sz w:val="24"/>
          <w:szCs w:val="24"/>
        </w:rPr>
        <w:t xml:space="preserve"> options. The </w:t>
      </w:r>
      <w:r w:rsidR="001D17F8">
        <w:rPr>
          <w:sz w:val="24"/>
          <w:szCs w:val="24"/>
        </w:rPr>
        <w:t xml:space="preserve">Applicant notes that the </w:t>
      </w:r>
      <w:r w:rsidR="001B55C7" w:rsidRPr="001B55C7">
        <w:rPr>
          <w:sz w:val="24"/>
          <w:szCs w:val="24"/>
        </w:rPr>
        <w:t xml:space="preserve">category “Other” is not broken out </w:t>
      </w:r>
      <w:r w:rsidR="00F92347">
        <w:rPr>
          <w:sz w:val="24"/>
          <w:szCs w:val="24"/>
        </w:rPr>
        <w:t xml:space="preserve">and further defined </w:t>
      </w:r>
      <w:r w:rsidR="001B55C7" w:rsidRPr="001B55C7">
        <w:rPr>
          <w:sz w:val="24"/>
          <w:szCs w:val="24"/>
        </w:rPr>
        <w:t xml:space="preserve">in </w:t>
      </w:r>
      <w:r w:rsidR="00937653">
        <w:rPr>
          <w:sz w:val="24"/>
          <w:szCs w:val="24"/>
        </w:rPr>
        <w:t>SSH</w:t>
      </w:r>
      <w:r w:rsidR="00F92347">
        <w:rPr>
          <w:sz w:val="24"/>
          <w:szCs w:val="24"/>
        </w:rPr>
        <w:t>S</w:t>
      </w:r>
      <w:r w:rsidR="001D17F8">
        <w:rPr>
          <w:sz w:val="24"/>
          <w:szCs w:val="24"/>
        </w:rPr>
        <w:t>’ medical record system</w:t>
      </w:r>
      <w:r w:rsidR="001B55C7" w:rsidRPr="001B55C7">
        <w:rPr>
          <w:sz w:val="24"/>
          <w:szCs w:val="24"/>
        </w:rPr>
        <w:t xml:space="preserve">. </w:t>
      </w:r>
      <w:r w:rsidR="00937653">
        <w:rPr>
          <w:sz w:val="24"/>
          <w:szCs w:val="24"/>
        </w:rPr>
        <w:t>SSH</w:t>
      </w:r>
      <w:r w:rsidR="00F92347">
        <w:rPr>
          <w:sz w:val="24"/>
          <w:szCs w:val="24"/>
        </w:rPr>
        <w:t>S</w:t>
      </w:r>
      <w:r w:rsidR="001B55C7" w:rsidRPr="001B55C7">
        <w:rPr>
          <w:sz w:val="24"/>
          <w:szCs w:val="24"/>
        </w:rPr>
        <w:t xml:space="preserve"> provides numerous options for</w:t>
      </w:r>
      <w:r w:rsidR="00937653">
        <w:rPr>
          <w:sz w:val="24"/>
          <w:szCs w:val="24"/>
        </w:rPr>
        <w:t xml:space="preserve"> a patient to select their</w:t>
      </w:r>
      <w:r w:rsidR="001B55C7" w:rsidRPr="001B55C7">
        <w:rPr>
          <w:sz w:val="24"/>
          <w:szCs w:val="24"/>
        </w:rPr>
        <w:t xml:space="preserve"> ethnicity however, the category “Other” is not an option.</w:t>
      </w:r>
    </w:p>
    <w:p w14:paraId="5F859E92" w14:textId="24213AA8" w:rsidR="00CC0974" w:rsidRDefault="00CC0974" w:rsidP="00CC0974">
      <w:pPr>
        <w:pStyle w:val="ListParagraph"/>
        <w:spacing w:line="240" w:lineRule="auto"/>
        <w:rPr>
          <w:b/>
          <w:bCs/>
          <w:sz w:val="24"/>
          <w:szCs w:val="24"/>
        </w:rPr>
      </w:pPr>
    </w:p>
    <w:p w14:paraId="15D6DB27" w14:textId="132B9036" w:rsidR="00CC0974" w:rsidRDefault="00CC0974" w:rsidP="00646990">
      <w:pPr>
        <w:pStyle w:val="ListParagraph"/>
        <w:spacing w:line="240" w:lineRule="auto"/>
        <w:rPr>
          <w:sz w:val="24"/>
          <w:szCs w:val="24"/>
        </w:rPr>
      </w:pPr>
      <w:r>
        <w:rPr>
          <w:sz w:val="24"/>
          <w:szCs w:val="24"/>
        </w:rPr>
        <w:t xml:space="preserve">The Applicant provided </w:t>
      </w:r>
      <w:r w:rsidR="003C72BC">
        <w:rPr>
          <w:sz w:val="24"/>
          <w:szCs w:val="24"/>
        </w:rPr>
        <w:t xml:space="preserve">a breakdown of </w:t>
      </w:r>
      <w:r w:rsidRPr="00CC0974">
        <w:rPr>
          <w:sz w:val="24"/>
          <w:szCs w:val="24"/>
        </w:rPr>
        <w:t>the Hispanic Indicators in FY20 for all of SSHS and SSHS MRI</w:t>
      </w:r>
      <w:r w:rsidR="00646990">
        <w:rPr>
          <w:sz w:val="24"/>
          <w:szCs w:val="24"/>
        </w:rPr>
        <w:t xml:space="preserve"> patients</w:t>
      </w:r>
      <w:r w:rsidR="00DB6D44">
        <w:rPr>
          <w:sz w:val="24"/>
          <w:szCs w:val="24"/>
        </w:rPr>
        <w:t xml:space="preserve"> as </w:t>
      </w:r>
      <w:r w:rsidR="003C72BC">
        <w:rPr>
          <w:sz w:val="24"/>
          <w:szCs w:val="24"/>
        </w:rPr>
        <w:t xml:space="preserve">is shown in Table 1 below. </w:t>
      </w:r>
    </w:p>
    <w:p w14:paraId="6705F13F" w14:textId="77777777" w:rsidR="003C72BC" w:rsidRDefault="003C72BC" w:rsidP="00646990">
      <w:pPr>
        <w:pStyle w:val="ListParagraph"/>
        <w:spacing w:line="240" w:lineRule="auto"/>
        <w:rPr>
          <w:sz w:val="24"/>
          <w:szCs w:val="24"/>
        </w:rPr>
      </w:pPr>
    </w:p>
    <w:p w14:paraId="1A13CDCD" w14:textId="0CE20B02" w:rsidR="00904ADE" w:rsidRPr="00904ADE" w:rsidRDefault="00904ADE" w:rsidP="00904ADE">
      <w:pPr>
        <w:pStyle w:val="ListParagraph"/>
        <w:spacing w:line="240" w:lineRule="auto"/>
        <w:jc w:val="center"/>
        <w:rPr>
          <w:b/>
          <w:bCs/>
          <w:sz w:val="24"/>
          <w:szCs w:val="24"/>
        </w:rPr>
      </w:pPr>
      <w:r w:rsidRPr="00904ADE">
        <w:rPr>
          <w:b/>
          <w:bCs/>
          <w:sz w:val="24"/>
          <w:szCs w:val="24"/>
        </w:rPr>
        <w:t>Table 1: Hispanic Indicators (FY20)</w:t>
      </w:r>
    </w:p>
    <w:p w14:paraId="032CD721" w14:textId="77777777" w:rsidR="00646990" w:rsidRPr="00646990" w:rsidRDefault="00646990" w:rsidP="00646990">
      <w:pPr>
        <w:pStyle w:val="ListParagraph"/>
        <w:spacing w:line="240" w:lineRule="auto"/>
        <w:rPr>
          <w:sz w:val="24"/>
          <w:szCs w:val="24"/>
        </w:rPr>
      </w:pPr>
    </w:p>
    <w:tbl>
      <w:tblPr>
        <w:tblStyle w:val="TableGrid"/>
        <w:tblW w:w="0" w:type="auto"/>
        <w:tblInd w:w="1890" w:type="dxa"/>
        <w:tblLook w:val="04A0" w:firstRow="1" w:lastRow="0" w:firstColumn="1" w:lastColumn="0" w:noHBand="0" w:noVBand="1"/>
        <w:tblCaption w:val="Table 1: Hispanic Indicators (FY20)"/>
        <w:tblDescription w:val="Hispanic Indicator SSHS SSHS MRI Only&#10;Cuban 0.02% 0.01%&#10;Decline to Answer 0.50% 0.40%&#10;Hispanic or Latino 0.16% 0.12%&#10;Mexican, Mexican American, or Chicano/a 0.10% 0.09%&#10;Not Hispanic, Latino/a, or Spanish origin 84.51% 94.40%&#10;Other Hispanic, Latino/a, or Spanish origin 1.98% 1.25%&#10;Puerto Rican 0.24% 0.13%&#10;Unknown 10.60% 3.58%&#10;(blank) 1.89% 0.01%&#10;Total 100% 100%&#10;"/>
      </w:tblPr>
      <w:tblGrid>
        <w:gridCol w:w="3994"/>
        <w:gridCol w:w="875"/>
        <w:gridCol w:w="1569"/>
      </w:tblGrid>
      <w:tr w:rsidR="00CC0974" w:rsidRPr="000109B4" w14:paraId="7508DDFC" w14:textId="77777777" w:rsidTr="0057267F">
        <w:trPr>
          <w:tblHeader/>
        </w:trPr>
        <w:tc>
          <w:tcPr>
            <w:tcW w:w="0" w:type="auto"/>
            <w:shd w:val="clear" w:color="auto" w:fill="F2F2F2" w:themeFill="background1" w:themeFillShade="F2"/>
          </w:tcPr>
          <w:p w14:paraId="29F5D17D" w14:textId="77777777" w:rsidR="00CC0974" w:rsidRPr="000109B4" w:rsidRDefault="00CC0974" w:rsidP="004A450D">
            <w:pPr>
              <w:pStyle w:val="ListParagraph"/>
              <w:tabs>
                <w:tab w:val="left" w:pos="4455"/>
              </w:tabs>
              <w:ind w:left="0"/>
              <w:rPr>
                <w:b/>
              </w:rPr>
            </w:pPr>
            <w:r w:rsidRPr="000109B4">
              <w:rPr>
                <w:b/>
              </w:rPr>
              <w:t>Hispanic Indicator</w:t>
            </w:r>
          </w:p>
        </w:tc>
        <w:tc>
          <w:tcPr>
            <w:tcW w:w="0" w:type="auto"/>
            <w:shd w:val="clear" w:color="auto" w:fill="F2F2F2" w:themeFill="background1" w:themeFillShade="F2"/>
          </w:tcPr>
          <w:p w14:paraId="56726E78" w14:textId="77777777" w:rsidR="00CC0974" w:rsidRPr="000109B4" w:rsidRDefault="00CC0974" w:rsidP="004A450D">
            <w:pPr>
              <w:pStyle w:val="ListParagraph"/>
              <w:tabs>
                <w:tab w:val="left" w:pos="4455"/>
              </w:tabs>
              <w:ind w:left="0"/>
              <w:rPr>
                <w:b/>
              </w:rPr>
            </w:pPr>
            <w:r w:rsidRPr="000109B4">
              <w:rPr>
                <w:b/>
              </w:rPr>
              <w:t>SSHS</w:t>
            </w:r>
          </w:p>
        </w:tc>
        <w:tc>
          <w:tcPr>
            <w:tcW w:w="0" w:type="auto"/>
            <w:shd w:val="clear" w:color="auto" w:fill="F2F2F2" w:themeFill="background1" w:themeFillShade="F2"/>
          </w:tcPr>
          <w:p w14:paraId="7F04C50F" w14:textId="77777777" w:rsidR="00CC0974" w:rsidRPr="000109B4" w:rsidRDefault="00CC0974" w:rsidP="004A450D">
            <w:pPr>
              <w:pStyle w:val="ListParagraph"/>
              <w:tabs>
                <w:tab w:val="left" w:pos="4455"/>
              </w:tabs>
              <w:ind w:left="0"/>
              <w:rPr>
                <w:b/>
              </w:rPr>
            </w:pPr>
            <w:r w:rsidRPr="000109B4">
              <w:rPr>
                <w:b/>
              </w:rPr>
              <w:t>SSHS MRI Only</w:t>
            </w:r>
          </w:p>
        </w:tc>
      </w:tr>
      <w:tr w:rsidR="00CC0974" w:rsidRPr="000109B4" w14:paraId="564531AF" w14:textId="77777777" w:rsidTr="00FF606E">
        <w:tc>
          <w:tcPr>
            <w:tcW w:w="0" w:type="auto"/>
            <w:vAlign w:val="bottom"/>
          </w:tcPr>
          <w:p w14:paraId="70391164" w14:textId="77777777" w:rsidR="00CC0974" w:rsidRPr="000109B4" w:rsidRDefault="00CC0974" w:rsidP="004A450D">
            <w:pPr>
              <w:pStyle w:val="ListParagraph"/>
              <w:tabs>
                <w:tab w:val="left" w:pos="4455"/>
              </w:tabs>
              <w:ind w:left="0"/>
            </w:pPr>
            <w:r w:rsidRPr="000109B4">
              <w:t>Cuban</w:t>
            </w:r>
          </w:p>
        </w:tc>
        <w:tc>
          <w:tcPr>
            <w:tcW w:w="0" w:type="auto"/>
            <w:vAlign w:val="bottom"/>
          </w:tcPr>
          <w:p w14:paraId="585D2B7A" w14:textId="77777777" w:rsidR="00CC0974" w:rsidRPr="000109B4" w:rsidRDefault="00CC0974" w:rsidP="004A450D">
            <w:pPr>
              <w:pStyle w:val="ListParagraph"/>
              <w:tabs>
                <w:tab w:val="left" w:pos="4455"/>
              </w:tabs>
              <w:ind w:left="0"/>
            </w:pPr>
            <w:r w:rsidRPr="000109B4">
              <w:t>0.02%</w:t>
            </w:r>
          </w:p>
        </w:tc>
        <w:tc>
          <w:tcPr>
            <w:tcW w:w="0" w:type="auto"/>
            <w:vAlign w:val="bottom"/>
          </w:tcPr>
          <w:p w14:paraId="0959D4CB" w14:textId="77777777" w:rsidR="00CC0974" w:rsidRPr="000109B4" w:rsidRDefault="00CC0974" w:rsidP="004A450D">
            <w:pPr>
              <w:pStyle w:val="ListParagraph"/>
              <w:tabs>
                <w:tab w:val="left" w:pos="4455"/>
              </w:tabs>
              <w:ind w:left="0"/>
            </w:pPr>
            <w:r w:rsidRPr="000109B4">
              <w:t>0.01%</w:t>
            </w:r>
          </w:p>
        </w:tc>
      </w:tr>
      <w:tr w:rsidR="00CC0974" w:rsidRPr="000109B4" w14:paraId="3AD45D73" w14:textId="77777777" w:rsidTr="00FF606E">
        <w:tc>
          <w:tcPr>
            <w:tcW w:w="0" w:type="auto"/>
            <w:vAlign w:val="bottom"/>
          </w:tcPr>
          <w:p w14:paraId="378FDA6B" w14:textId="77777777" w:rsidR="00CC0974" w:rsidRPr="000109B4" w:rsidRDefault="00CC0974" w:rsidP="004A450D">
            <w:pPr>
              <w:pStyle w:val="ListParagraph"/>
              <w:tabs>
                <w:tab w:val="left" w:pos="4455"/>
              </w:tabs>
              <w:ind w:left="0"/>
            </w:pPr>
            <w:r w:rsidRPr="000109B4">
              <w:t>Decline to Answer</w:t>
            </w:r>
          </w:p>
        </w:tc>
        <w:tc>
          <w:tcPr>
            <w:tcW w:w="0" w:type="auto"/>
            <w:vAlign w:val="bottom"/>
          </w:tcPr>
          <w:p w14:paraId="24BB1E87" w14:textId="77777777" w:rsidR="00CC0974" w:rsidRPr="000109B4" w:rsidRDefault="00CC0974" w:rsidP="004A450D">
            <w:pPr>
              <w:pStyle w:val="ListParagraph"/>
              <w:tabs>
                <w:tab w:val="left" w:pos="4455"/>
              </w:tabs>
              <w:ind w:left="0"/>
            </w:pPr>
            <w:r w:rsidRPr="000109B4">
              <w:t>0.50%</w:t>
            </w:r>
          </w:p>
        </w:tc>
        <w:tc>
          <w:tcPr>
            <w:tcW w:w="0" w:type="auto"/>
            <w:vAlign w:val="bottom"/>
          </w:tcPr>
          <w:p w14:paraId="398EEAD9" w14:textId="77777777" w:rsidR="00CC0974" w:rsidRPr="000109B4" w:rsidRDefault="00CC0974" w:rsidP="004A450D">
            <w:pPr>
              <w:pStyle w:val="ListParagraph"/>
              <w:tabs>
                <w:tab w:val="left" w:pos="4455"/>
              </w:tabs>
              <w:ind w:left="0"/>
            </w:pPr>
            <w:r w:rsidRPr="000109B4">
              <w:t>0.40%</w:t>
            </w:r>
          </w:p>
        </w:tc>
      </w:tr>
      <w:tr w:rsidR="00CC0974" w:rsidRPr="000109B4" w14:paraId="09184FE5" w14:textId="77777777" w:rsidTr="00FF606E">
        <w:tc>
          <w:tcPr>
            <w:tcW w:w="0" w:type="auto"/>
            <w:vAlign w:val="bottom"/>
          </w:tcPr>
          <w:p w14:paraId="0011DDB9" w14:textId="77777777" w:rsidR="00CC0974" w:rsidRPr="000109B4" w:rsidRDefault="00CC0974" w:rsidP="004A450D">
            <w:pPr>
              <w:pStyle w:val="ListParagraph"/>
              <w:tabs>
                <w:tab w:val="left" w:pos="4455"/>
              </w:tabs>
              <w:ind w:left="0"/>
            </w:pPr>
            <w:r w:rsidRPr="000109B4">
              <w:t>Hispanic or Latino</w:t>
            </w:r>
          </w:p>
        </w:tc>
        <w:tc>
          <w:tcPr>
            <w:tcW w:w="0" w:type="auto"/>
            <w:vAlign w:val="bottom"/>
          </w:tcPr>
          <w:p w14:paraId="4873A69F" w14:textId="77777777" w:rsidR="00CC0974" w:rsidRPr="000109B4" w:rsidRDefault="00CC0974" w:rsidP="004A450D">
            <w:pPr>
              <w:pStyle w:val="ListParagraph"/>
              <w:tabs>
                <w:tab w:val="left" w:pos="4455"/>
              </w:tabs>
              <w:ind w:left="0"/>
            </w:pPr>
            <w:r w:rsidRPr="000109B4">
              <w:t>0.16%</w:t>
            </w:r>
          </w:p>
        </w:tc>
        <w:tc>
          <w:tcPr>
            <w:tcW w:w="0" w:type="auto"/>
            <w:vAlign w:val="bottom"/>
          </w:tcPr>
          <w:p w14:paraId="17CC063F" w14:textId="77777777" w:rsidR="00CC0974" w:rsidRPr="000109B4" w:rsidRDefault="00CC0974" w:rsidP="004A450D">
            <w:pPr>
              <w:pStyle w:val="ListParagraph"/>
              <w:tabs>
                <w:tab w:val="left" w:pos="4455"/>
              </w:tabs>
              <w:ind w:left="0"/>
            </w:pPr>
            <w:r w:rsidRPr="000109B4">
              <w:t>0.12%</w:t>
            </w:r>
          </w:p>
        </w:tc>
      </w:tr>
      <w:tr w:rsidR="00CC0974" w:rsidRPr="000109B4" w14:paraId="2DB73486" w14:textId="77777777" w:rsidTr="00FF606E">
        <w:tc>
          <w:tcPr>
            <w:tcW w:w="0" w:type="auto"/>
            <w:vAlign w:val="bottom"/>
          </w:tcPr>
          <w:p w14:paraId="04BDAFBB" w14:textId="77777777" w:rsidR="00CC0974" w:rsidRPr="000109B4" w:rsidRDefault="00CC0974" w:rsidP="004A450D">
            <w:pPr>
              <w:pStyle w:val="ListParagraph"/>
              <w:tabs>
                <w:tab w:val="left" w:pos="4455"/>
              </w:tabs>
              <w:ind w:left="0"/>
            </w:pPr>
            <w:r w:rsidRPr="000109B4">
              <w:t>Mexican, Mexican American, or Chicano/a</w:t>
            </w:r>
          </w:p>
        </w:tc>
        <w:tc>
          <w:tcPr>
            <w:tcW w:w="0" w:type="auto"/>
            <w:vAlign w:val="bottom"/>
          </w:tcPr>
          <w:p w14:paraId="7C0B3A80" w14:textId="77777777" w:rsidR="00CC0974" w:rsidRPr="000109B4" w:rsidRDefault="00CC0974" w:rsidP="004A450D">
            <w:pPr>
              <w:pStyle w:val="ListParagraph"/>
              <w:tabs>
                <w:tab w:val="left" w:pos="4455"/>
              </w:tabs>
              <w:ind w:left="0"/>
            </w:pPr>
            <w:r w:rsidRPr="000109B4">
              <w:t>0.10%</w:t>
            </w:r>
          </w:p>
        </w:tc>
        <w:tc>
          <w:tcPr>
            <w:tcW w:w="0" w:type="auto"/>
            <w:vAlign w:val="bottom"/>
          </w:tcPr>
          <w:p w14:paraId="55D028B9" w14:textId="77777777" w:rsidR="00CC0974" w:rsidRPr="000109B4" w:rsidRDefault="00CC0974" w:rsidP="004A450D">
            <w:pPr>
              <w:pStyle w:val="ListParagraph"/>
              <w:tabs>
                <w:tab w:val="left" w:pos="4455"/>
              </w:tabs>
              <w:ind w:left="0"/>
            </w:pPr>
            <w:r w:rsidRPr="000109B4">
              <w:t>0.09%</w:t>
            </w:r>
          </w:p>
        </w:tc>
      </w:tr>
      <w:tr w:rsidR="00CC0974" w:rsidRPr="000109B4" w14:paraId="73D140F3" w14:textId="77777777" w:rsidTr="00FF606E">
        <w:tc>
          <w:tcPr>
            <w:tcW w:w="0" w:type="auto"/>
            <w:vAlign w:val="bottom"/>
          </w:tcPr>
          <w:p w14:paraId="6866C10F" w14:textId="77777777" w:rsidR="00CC0974" w:rsidRPr="000109B4" w:rsidRDefault="00CC0974" w:rsidP="004A450D">
            <w:pPr>
              <w:pStyle w:val="ListParagraph"/>
              <w:tabs>
                <w:tab w:val="left" w:pos="4455"/>
              </w:tabs>
              <w:ind w:left="0"/>
            </w:pPr>
            <w:r w:rsidRPr="000109B4">
              <w:t>Not Hispanic, Latino/a, or Spanish origin</w:t>
            </w:r>
          </w:p>
        </w:tc>
        <w:tc>
          <w:tcPr>
            <w:tcW w:w="0" w:type="auto"/>
            <w:vAlign w:val="bottom"/>
          </w:tcPr>
          <w:p w14:paraId="4909481F" w14:textId="77777777" w:rsidR="00CC0974" w:rsidRPr="000109B4" w:rsidRDefault="00CC0974" w:rsidP="004A450D">
            <w:pPr>
              <w:pStyle w:val="ListParagraph"/>
              <w:tabs>
                <w:tab w:val="left" w:pos="4455"/>
              </w:tabs>
              <w:ind w:left="0"/>
            </w:pPr>
            <w:r w:rsidRPr="000109B4">
              <w:t>84.51%</w:t>
            </w:r>
          </w:p>
        </w:tc>
        <w:tc>
          <w:tcPr>
            <w:tcW w:w="0" w:type="auto"/>
            <w:vAlign w:val="bottom"/>
          </w:tcPr>
          <w:p w14:paraId="0420A7C7" w14:textId="77777777" w:rsidR="00CC0974" w:rsidRPr="000109B4" w:rsidRDefault="00CC0974" w:rsidP="004A450D">
            <w:pPr>
              <w:pStyle w:val="ListParagraph"/>
              <w:tabs>
                <w:tab w:val="left" w:pos="4455"/>
              </w:tabs>
              <w:ind w:left="0"/>
            </w:pPr>
            <w:r w:rsidRPr="000109B4">
              <w:t>94.40%</w:t>
            </w:r>
          </w:p>
        </w:tc>
      </w:tr>
      <w:tr w:rsidR="00CC0974" w:rsidRPr="000109B4" w14:paraId="401EEE2A" w14:textId="77777777" w:rsidTr="00FF606E">
        <w:tc>
          <w:tcPr>
            <w:tcW w:w="0" w:type="auto"/>
            <w:vAlign w:val="bottom"/>
          </w:tcPr>
          <w:p w14:paraId="3DB5AB4E" w14:textId="77777777" w:rsidR="00CC0974" w:rsidRPr="000109B4" w:rsidRDefault="00CC0974" w:rsidP="004A450D">
            <w:pPr>
              <w:pStyle w:val="ListParagraph"/>
              <w:tabs>
                <w:tab w:val="left" w:pos="4455"/>
              </w:tabs>
              <w:ind w:left="0"/>
            </w:pPr>
            <w:r w:rsidRPr="000109B4">
              <w:t>Other Hispanic, Latino/a, or Spanish origin</w:t>
            </w:r>
          </w:p>
        </w:tc>
        <w:tc>
          <w:tcPr>
            <w:tcW w:w="0" w:type="auto"/>
            <w:vAlign w:val="bottom"/>
          </w:tcPr>
          <w:p w14:paraId="7D79A114" w14:textId="77777777" w:rsidR="00CC0974" w:rsidRPr="000109B4" w:rsidRDefault="00CC0974" w:rsidP="004A450D">
            <w:pPr>
              <w:pStyle w:val="ListParagraph"/>
              <w:tabs>
                <w:tab w:val="left" w:pos="4455"/>
              </w:tabs>
              <w:ind w:left="0"/>
            </w:pPr>
            <w:r w:rsidRPr="000109B4">
              <w:t>1.98%</w:t>
            </w:r>
          </w:p>
        </w:tc>
        <w:tc>
          <w:tcPr>
            <w:tcW w:w="0" w:type="auto"/>
            <w:vAlign w:val="bottom"/>
          </w:tcPr>
          <w:p w14:paraId="3E2582FD" w14:textId="77777777" w:rsidR="00CC0974" w:rsidRPr="000109B4" w:rsidRDefault="00CC0974" w:rsidP="004A450D">
            <w:pPr>
              <w:pStyle w:val="ListParagraph"/>
              <w:tabs>
                <w:tab w:val="left" w:pos="4455"/>
              </w:tabs>
              <w:ind w:left="0"/>
            </w:pPr>
            <w:r w:rsidRPr="000109B4">
              <w:t>1.25%</w:t>
            </w:r>
          </w:p>
        </w:tc>
      </w:tr>
      <w:tr w:rsidR="00CC0974" w:rsidRPr="000109B4" w14:paraId="270D9B92" w14:textId="77777777" w:rsidTr="00FF606E">
        <w:tc>
          <w:tcPr>
            <w:tcW w:w="0" w:type="auto"/>
            <w:vAlign w:val="bottom"/>
          </w:tcPr>
          <w:p w14:paraId="7DA39B51" w14:textId="77777777" w:rsidR="00CC0974" w:rsidRPr="000109B4" w:rsidRDefault="00CC0974" w:rsidP="004A450D">
            <w:pPr>
              <w:pStyle w:val="ListParagraph"/>
              <w:tabs>
                <w:tab w:val="left" w:pos="4455"/>
              </w:tabs>
              <w:ind w:left="0"/>
            </w:pPr>
            <w:r w:rsidRPr="000109B4">
              <w:t>Puerto Rican</w:t>
            </w:r>
          </w:p>
        </w:tc>
        <w:tc>
          <w:tcPr>
            <w:tcW w:w="0" w:type="auto"/>
            <w:vAlign w:val="bottom"/>
          </w:tcPr>
          <w:p w14:paraId="088A7F5F" w14:textId="77777777" w:rsidR="00CC0974" w:rsidRPr="000109B4" w:rsidRDefault="00CC0974" w:rsidP="004A450D">
            <w:pPr>
              <w:pStyle w:val="ListParagraph"/>
              <w:tabs>
                <w:tab w:val="left" w:pos="4455"/>
              </w:tabs>
              <w:ind w:left="0"/>
            </w:pPr>
            <w:r w:rsidRPr="000109B4">
              <w:t>0.24%</w:t>
            </w:r>
          </w:p>
        </w:tc>
        <w:tc>
          <w:tcPr>
            <w:tcW w:w="0" w:type="auto"/>
            <w:vAlign w:val="bottom"/>
          </w:tcPr>
          <w:p w14:paraId="44450640" w14:textId="77777777" w:rsidR="00CC0974" w:rsidRPr="000109B4" w:rsidRDefault="00CC0974" w:rsidP="004A450D">
            <w:pPr>
              <w:pStyle w:val="ListParagraph"/>
              <w:tabs>
                <w:tab w:val="left" w:pos="4455"/>
              </w:tabs>
              <w:ind w:left="0"/>
            </w:pPr>
            <w:r w:rsidRPr="000109B4">
              <w:t>0.13%</w:t>
            </w:r>
          </w:p>
        </w:tc>
      </w:tr>
      <w:tr w:rsidR="00CC0974" w:rsidRPr="000109B4" w14:paraId="5C4DE735" w14:textId="77777777" w:rsidTr="00FF606E">
        <w:tc>
          <w:tcPr>
            <w:tcW w:w="0" w:type="auto"/>
            <w:vAlign w:val="bottom"/>
          </w:tcPr>
          <w:p w14:paraId="5015ED1B" w14:textId="77777777" w:rsidR="00CC0974" w:rsidRPr="000109B4" w:rsidRDefault="00CC0974" w:rsidP="004A450D">
            <w:pPr>
              <w:pStyle w:val="ListParagraph"/>
              <w:tabs>
                <w:tab w:val="left" w:pos="4455"/>
              </w:tabs>
              <w:ind w:left="0"/>
            </w:pPr>
            <w:r w:rsidRPr="000109B4">
              <w:t>Unknown</w:t>
            </w:r>
          </w:p>
        </w:tc>
        <w:tc>
          <w:tcPr>
            <w:tcW w:w="0" w:type="auto"/>
            <w:vAlign w:val="bottom"/>
          </w:tcPr>
          <w:p w14:paraId="74360012" w14:textId="77777777" w:rsidR="00CC0974" w:rsidRPr="000109B4" w:rsidRDefault="00CC0974" w:rsidP="004A450D">
            <w:pPr>
              <w:pStyle w:val="ListParagraph"/>
              <w:tabs>
                <w:tab w:val="left" w:pos="4455"/>
              </w:tabs>
              <w:ind w:left="0"/>
            </w:pPr>
            <w:r w:rsidRPr="000109B4">
              <w:t>10.60%</w:t>
            </w:r>
          </w:p>
        </w:tc>
        <w:tc>
          <w:tcPr>
            <w:tcW w:w="0" w:type="auto"/>
            <w:vAlign w:val="bottom"/>
          </w:tcPr>
          <w:p w14:paraId="56AD9585" w14:textId="77777777" w:rsidR="00CC0974" w:rsidRPr="000109B4" w:rsidRDefault="00CC0974" w:rsidP="004A450D">
            <w:pPr>
              <w:pStyle w:val="ListParagraph"/>
              <w:tabs>
                <w:tab w:val="left" w:pos="4455"/>
              </w:tabs>
              <w:ind w:left="0"/>
            </w:pPr>
            <w:r w:rsidRPr="000109B4">
              <w:t>3.58%</w:t>
            </w:r>
          </w:p>
        </w:tc>
      </w:tr>
      <w:tr w:rsidR="00CC0974" w:rsidRPr="000109B4" w14:paraId="2168E0C3" w14:textId="77777777" w:rsidTr="00FF606E">
        <w:tc>
          <w:tcPr>
            <w:tcW w:w="0" w:type="auto"/>
            <w:vAlign w:val="bottom"/>
          </w:tcPr>
          <w:p w14:paraId="33ABB891" w14:textId="77777777" w:rsidR="00CC0974" w:rsidRPr="000109B4" w:rsidRDefault="00CC0974" w:rsidP="004A450D">
            <w:pPr>
              <w:pStyle w:val="ListParagraph"/>
              <w:tabs>
                <w:tab w:val="left" w:pos="4455"/>
              </w:tabs>
              <w:ind w:left="0"/>
            </w:pPr>
            <w:r w:rsidRPr="000109B4">
              <w:t>(blank)</w:t>
            </w:r>
          </w:p>
        </w:tc>
        <w:tc>
          <w:tcPr>
            <w:tcW w:w="0" w:type="auto"/>
            <w:vAlign w:val="bottom"/>
          </w:tcPr>
          <w:p w14:paraId="5DD4641F" w14:textId="77777777" w:rsidR="00CC0974" w:rsidRPr="000109B4" w:rsidRDefault="00CC0974" w:rsidP="004A450D">
            <w:pPr>
              <w:pStyle w:val="ListParagraph"/>
              <w:tabs>
                <w:tab w:val="left" w:pos="4455"/>
              </w:tabs>
              <w:ind w:left="0"/>
            </w:pPr>
            <w:r w:rsidRPr="000109B4">
              <w:t>1.89%</w:t>
            </w:r>
          </w:p>
        </w:tc>
        <w:tc>
          <w:tcPr>
            <w:tcW w:w="0" w:type="auto"/>
            <w:vAlign w:val="bottom"/>
          </w:tcPr>
          <w:p w14:paraId="3811E41C" w14:textId="77777777" w:rsidR="00CC0974" w:rsidRPr="000109B4" w:rsidRDefault="00CC0974" w:rsidP="004A450D">
            <w:pPr>
              <w:pStyle w:val="ListParagraph"/>
              <w:tabs>
                <w:tab w:val="left" w:pos="4455"/>
              </w:tabs>
              <w:ind w:left="0"/>
            </w:pPr>
            <w:r w:rsidRPr="000109B4">
              <w:t>0.01%</w:t>
            </w:r>
          </w:p>
        </w:tc>
      </w:tr>
      <w:tr w:rsidR="00CC0974" w:rsidRPr="000109B4" w14:paraId="253CCFFD" w14:textId="77777777" w:rsidTr="00FF606E">
        <w:tc>
          <w:tcPr>
            <w:tcW w:w="0" w:type="auto"/>
            <w:shd w:val="clear" w:color="auto" w:fill="FFFFFF" w:themeFill="background1"/>
            <w:vAlign w:val="bottom"/>
          </w:tcPr>
          <w:p w14:paraId="4F836378" w14:textId="779C38B8" w:rsidR="00CC0974" w:rsidRPr="000109B4" w:rsidRDefault="00CC0974" w:rsidP="004A450D">
            <w:pPr>
              <w:pStyle w:val="ListParagraph"/>
              <w:tabs>
                <w:tab w:val="left" w:pos="4455"/>
              </w:tabs>
              <w:ind w:left="0"/>
            </w:pPr>
            <w:r w:rsidRPr="000109B4">
              <w:rPr>
                <w:b/>
                <w:bCs/>
              </w:rPr>
              <w:t>Total</w:t>
            </w:r>
          </w:p>
        </w:tc>
        <w:tc>
          <w:tcPr>
            <w:tcW w:w="0" w:type="auto"/>
            <w:shd w:val="clear" w:color="auto" w:fill="FFFFFF" w:themeFill="background1"/>
            <w:vAlign w:val="bottom"/>
          </w:tcPr>
          <w:p w14:paraId="7E8BC922" w14:textId="5C79544D" w:rsidR="00CC0974" w:rsidRPr="001879CD" w:rsidRDefault="00CC0974" w:rsidP="004A450D">
            <w:pPr>
              <w:pStyle w:val="ListParagraph"/>
              <w:tabs>
                <w:tab w:val="left" w:pos="4455"/>
              </w:tabs>
              <w:ind w:left="0"/>
              <w:rPr>
                <w:b/>
                <w:bCs/>
              </w:rPr>
            </w:pPr>
            <w:r w:rsidRPr="001879CD">
              <w:rPr>
                <w:b/>
                <w:bCs/>
              </w:rPr>
              <w:t>100%</w:t>
            </w:r>
          </w:p>
        </w:tc>
        <w:tc>
          <w:tcPr>
            <w:tcW w:w="0" w:type="auto"/>
            <w:shd w:val="clear" w:color="auto" w:fill="FFFFFF" w:themeFill="background1"/>
            <w:vAlign w:val="bottom"/>
          </w:tcPr>
          <w:p w14:paraId="53B015AF" w14:textId="1CD0D6FB" w:rsidR="00CC0974" w:rsidRPr="001879CD" w:rsidRDefault="00CC0974" w:rsidP="004A450D">
            <w:pPr>
              <w:pStyle w:val="ListParagraph"/>
              <w:tabs>
                <w:tab w:val="left" w:pos="4455"/>
              </w:tabs>
              <w:ind w:left="0"/>
              <w:rPr>
                <w:b/>
                <w:bCs/>
              </w:rPr>
            </w:pPr>
            <w:r w:rsidRPr="001879CD">
              <w:rPr>
                <w:b/>
                <w:bCs/>
              </w:rPr>
              <w:t>100%</w:t>
            </w:r>
          </w:p>
        </w:tc>
      </w:tr>
    </w:tbl>
    <w:p w14:paraId="5FE71917" w14:textId="48586241" w:rsidR="00092162" w:rsidRDefault="00092162" w:rsidP="008D6B8B">
      <w:pPr>
        <w:pStyle w:val="ListParagraph"/>
        <w:spacing w:line="240" w:lineRule="auto"/>
        <w:rPr>
          <w:sz w:val="24"/>
          <w:szCs w:val="24"/>
        </w:rPr>
      </w:pPr>
    </w:p>
    <w:p w14:paraId="01BE39C6" w14:textId="79BB1274" w:rsidR="00A125C4" w:rsidRDefault="00A125C4" w:rsidP="008D6B8B">
      <w:pPr>
        <w:pStyle w:val="ListParagraph"/>
        <w:spacing w:line="240" w:lineRule="auto"/>
        <w:rPr>
          <w:sz w:val="24"/>
          <w:szCs w:val="24"/>
        </w:rPr>
      </w:pPr>
    </w:p>
    <w:p w14:paraId="1639B074" w14:textId="1803041B" w:rsidR="00A125C4" w:rsidRPr="00A125C4" w:rsidRDefault="0037785E" w:rsidP="00683DD9">
      <w:pPr>
        <w:pStyle w:val="ListParagraph"/>
        <w:spacing w:after="120" w:line="240" w:lineRule="auto"/>
        <w:rPr>
          <w:sz w:val="24"/>
          <w:szCs w:val="24"/>
        </w:rPr>
      </w:pPr>
      <w:r w:rsidRPr="00A122B2">
        <w:rPr>
          <w:sz w:val="24"/>
          <w:szCs w:val="24"/>
        </w:rPr>
        <w:t>To</w:t>
      </w:r>
      <w:r w:rsidR="00A122B2" w:rsidRPr="00A122B2">
        <w:rPr>
          <w:sz w:val="24"/>
          <w:szCs w:val="24"/>
        </w:rPr>
        <w:t xml:space="preserve"> </w:t>
      </w:r>
      <w:r w:rsidR="00A122B2">
        <w:rPr>
          <w:sz w:val="24"/>
          <w:szCs w:val="24"/>
        </w:rPr>
        <w:t>understand</w:t>
      </w:r>
      <w:r w:rsidR="00A122B2" w:rsidRPr="00A122B2">
        <w:rPr>
          <w:sz w:val="24"/>
          <w:szCs w:val="24"/>
        </w:rPr>
        <w:t xml:space="preserve"> Patient Panel access to MRI services</w:t>
      </w:r>
      <w:r w:rsidR="00A122B2">
        <w:rPr>
          <w:sz w:val="24"/>
          <w:szCs w:val="24"/>
        </w:rPr>
        <w:t>,</w:t>
      </w:r>
      <w:r w:rsidR="00A122B2" w:rsidRPr="00A122B2" w:rsidDel="001A7437">
        <w:rPr>
          <w:sz w:val="24"/>
          <w:szCs w:val="24"/>
        </w:rPr>
        <w:t xml:space="preserve"> </w:t>
      </w:r>
      <w:r w:rsidR="00A125C4" w:rsidRPr="00A125C4">
        <w:rPr>
          <w:sz w:val="24"/>
          <w:szCs w:val="24"/>
        </w:rPr>
        <w:t xml:space="preserve">the Applicant </w:t>
      </w:r>
      <w:r w:rsidR="00A122B2">
        <w:rPr>
          <w:sz w:val="24"/>
          <w:szCs w:val="24"/>
        </w:rPr>
        <w:t xml:space="preserve">will </w:t>
      </w:r>
      <w:r w:rsidR="00A125C4" w:rsidRPr="00A125C4">
        <w:rPr>
          <w:sz w:val="24"/>
          <w:szCs w:val="24"/>
        </w:rPr>
        <w:t>report annually on the utilization of MRI at SSH,</w:t>
      </w:r>
      <w:r w:rsidR="009C0416">
        <w:rPr>
          <w:sz w:val="24"/>
          <w:szCs w:val="24"/>
        </w:rPr>
        <w:t xml:space="preserve"> </w:t>
      </w:r>
      <w:r w:rsidR="0019217E">
        <w:rPr>
          <w:sz w:val="24"/>
          <w:szCs w:val="24"/>
        </w:rPr>
        <w:t xml:space="preserve">the site of the </w:t>
      </w:r>
      <w:r w:rsidR="009C0416">
        <w:rPr>
          <w:sz w:val="24"/>
          <w:szCs w:val="24"/>
        </w:rPr>
        <w:t>Proposed Project, and</w:t>
      </w:r>
      <w:r w:rsidR="00A125C4" w:rsidRPr="00A125C4">
        <w:rPr>
          <w:sz w:val="24"/>
          <w:szCs w:val="24"/>
        </w:rPr>
        <w:t xml:space="preserve"> stratif</w:t>
      </w:r>
      <w:r w:rsidR="009C0416">
        <w:rPr>
          <w:sz w:val="24"/>
          <w:szCs w:val="24"/>
        </w:rPr>
        <w:t>y data</w:t>
      </w:r>
      <w:r w:rsidR="00A125C4" w:rsidRPr="00A125C4">
        <w:rPr>
          <w:sz w:val="24"/>
          <w:szCs w:val="24"/>
        </w:rPr>
        <w:t xml:space="preserve"> by </w:t>
      </w:r>
      <w:r w:rsidR="0019217E">
        <w:rPr>
          <w:sz w:val="24"/>
          <w:szCs w:val="24"/>
        </w:rPr>
        <w:t xml:space="preserve">age, </w:t>
      </w:r>
      <w:r w:rsidR="00A125C4" w:rsidRPr="00A125C4">
        <w:rPr>
          <w:sz w:val="24"/>
          <w:szCs w:val="24"/>
        </w:rPr>
        <w:t xml:space="preserve">race/ethnicity and </w:t>
      </w:r>
      <w:r w:rsidR="0019217E">
        <w:rPr>
          <w:sz w:val="24"/>
          <w:szCs w:val="24"/>
        </w:rPr>
        <w:t>payer mix</w:t>
      </w:r>
      <w:r w:rsidR="00A125C4" w:rsidRPr="00A125C4">
        <w:rPr>
          <w:sz w:val="24"/>
          <w:szCs w:val="24"/>
        </w:rPr>
        <w:t xml:space="preserve">. </w:t>
      </w:r>
      <w:r w:rsidR="00177380">
        <w:rPr>
          <w:sz w:val="24"/>
          <w:szCs w:val="24"/>
        </w:rPr>
        <w:t>Th</w:t>
      </w:r>
      <w:r w:rsidR="00FA0385">
        <w:rPr>
          <w:sz w:val="24"/>
          <w:szCs w:val="24"/>
        </w:rPr>
        <w:t xml:space="preserve">is </w:t>
      </w:r>
      <w:r w:rsidR="00F90B9C">
        <w:rPr>
          <w:sz w:val="24"/>
          <w:szCs w:val="24"/>
        </w:rPr>
        <w:t xml:space="preserve">metric </w:t>
      </w:r>
      <w:r w:rsidR="00FA0385">
        <w:rPr>
          <w:sz w:val="24"/>
          <w:szCs w:val="24"/>
        </w:rPr>
        <w:t>is</w:t>
      </w:r>
      <w:r w:rsidR="00177380">
        <w:rPr>
          <w:sz w:val="24"/>
          <w:szCs w:val="24"/>
        </w:rPr>
        <w:t xml:space="preserve"> described below in</w:t>
      </w:r>
      <w:r w:rsidR="00F90B9C">
        <w:rPr>
          <w:sz w:val="24"/>
          <w:szCs w:val="24"/>
        </w:rPr>
        <w:t xml:space="preserve"> </w:t>
      </w:r>
      <w:r w:rsidR="00177380">
        <w:rPr>
          <w:sz w:val="24"/>
          <w:szCs w:val="24"/>
        </w:rPr>
        <w:t xml:space="preserve">Appendix 1. </w:t>
      </w:r>
    </w:p>
    <w:p w14:paraId="2EF0E802" w14:textId="1851C216" w:rsidR="00902DED" w:rsidRDefault="00902DED" w:rsidP="002D6EBF">
      <w:pPr>
        <w:pStyle w:val="ListParagraph"/>
        <w:numPr>
          <w:ilvl w:val="0"/>
          <w:numId w:val="1"/>
        </w:numPr>
        <w:spacing w:line="240" w:lineRule="auto"/>
        <w:rPr>
          <w:b/>
          <w:bCs/>
          <w:sz w:val="24"/>
          <w:szCs w:val="24"/>
        </w:rPr>
      </w:pPr>
      <w:r w:rsidRPr="00902DED">
        <w:rPr>
          <w:b/>
          <w:bCs/>
          <w:sz w:val="24"/>
          <w:szCs w:val="24"/>
        </w:rPr>
        <w:t xml:space="preserve">Primary Service Area </w:t>
      </w:r>
      <w:r w:rsidR="00DF45C5">
        <w:rPr>
          <w:b/>
          <w:bCs/>
          <w:sz w:val="24"/>
          <w:szCs w:val="24"/>
        </w:rPr>
        <w:t xml:space="preserve">– </w:t>
      </w:r>
      <w:r w:rsidR="00101B78" w:rsidRPr="00101B78">
        <w:rPr>
          <w:sz w:val="24"/>
          <w:szCs w:val="24"/>
        </w:rPr>
        <w:t>The majority of</w:t>
      </w:r>
      <w:r w:rsidR="00101B78">
        <w:rPr>
          <w:b/>
          <w:bCs/>
          <w:sz w:val="24"/>
          <w:szCs w:val="24"/>
        </w:rPr>
        <w:t xml:space="preserve"> </w:t>
      </w:r>
      <w:r w:rsidR="00DF45C5">
        <w:rPr>
          <w:sz w:val="24"/>
          <w:szCs w:val="24"/>
        </w:rPr>
        <w:t xml:space="preserve">SSHS and SSHS MRI patients reside in the </w:t>
      </w:r>
      <w:r w:rsidR="00101B78">
        <w:rPr>
          <w:sz w:val="24"/>
          <w:szCs w:val="24"/>
        </w:rPr>
        <w:t>Norfolk and Plymouth Counties</w:t>
      </w:r>
      <w:r w:rsidR="00DF45C5">
        <w:rPr>
          <w:sz w:val="24"/>
          <w:szCs w:val="24"/>
        </w:rPr>
        <w:t xml:space="preserve">. </w:t>
      </w:r>
    </w:p>
    <w:p w14:paraId="0A926F9E" w14:textId="2015B3EB" w:rsidR="00F7468B" w:rsidRPr="0060112A" w:rsidRDefault="00F7468B" w:rsidP="00646990">
      <w:pPr>
        <w:pStyle w:val="Caption"/>
        <w:jc w:val="center"/>
        <w:rPr>
          <w:b/>
          <w:bCs/>
          <w:i w:val="0"/>
          <w:iCs w:val="0"/>
          <w:color w:val="auto"/>
          <w:sz w:val="24"/>
          <w:szCs w:val="24"/>
        </w:rPr>
      </w:pPr>
      <w:r w:rsidRPr="0060112A">
        <w:rPr>
          <w:b/>
          <w:bCs/>
          <w:i w:val="0"/>
          <w:iCs w:val="0"/>
          <w:color w:val="auto"/>
          <w:sz w:val="24"/>
          <w:szCs w:val="24"/>
        </w:rPr>
        <w:t>Table</w:t>
      </w:r>
      <w:r w:rsidR="00646990">
        <w:rPr>
          <w:b/>
          <w:bCs/>
          <w:i w:val="0"/>
          <w:iCs w:val="0"/>
          <w:color w:val="auto"/>
          <w:sz w:val="24"/>
          <w:szCs w:val="24"/>
        </w:rPr>
        <w:t xml:space="preserve"> </w:t>
      </w:r>
      <w:r w:rsidR="00105E82">
        <w:rPr>
          <w:b/>
          <w:bCs/>
          <w:i w:val="0"/>
          <w:iCs w:val="0"/>
          <w:color w:val="auto"/>
          <w:sz w:val="24"/>
          <w:szCs w:val="24"/>
        </w:rPr>
        <w:t>2</w:t>
      </w:r>
      <w:r w:rsidRPr="0060112A">
        <w:rPr>
          <w:b/>
          <w:bCs/>
          <w:i w:val="0"/>
          <w:iCs w:val="0"/>
          <w:color w:val="auto"/>
          <w:sz w:val="24"/>
          <w:szCs w:val="24"/>
        </w:rPr>
        <w:t>: Overview of Patient Population</w:t>
      </w:r>
    </w:p>
    <w:tbl>
      <w:tblPr>
        <w:tblStyle w:val="TableGrid"/>
        <w:tblW w:w="0" w:type="auto"/>
        <w:jc w:val="center"/>
        <w:tblLook w:val="04A0" w:firstRow="1" w:lastRow="0" w:firstColumn="1" w:lastColumn="0" w:noHBand="0" w:noVBand="1"/>
        <w:tblCaption w:val="Table 2: Overview of Patient Population"/>
        <w:tblDescription w:val=" SSHS patients  SSHS MRI patients&#10;Total Unique Patients (FY20) 197,808 14,097&#10;Gender &#10;Female&#10;Male &#10;59%&#10;41% &#10;60.4%&#10;39.6%&#10;Age &#10;0-17&#10;18-64&#10;65+ &#10;18%&#10;58.3%&#10;23.6% &#10;1.5%&#10;55.7%&#10;42.7%&#10;Race/Ethnicity &#10;White&#10;Black or African American&#10;Asian/Pacific American&#10;Other&#10;Did not report  &#10;75.7%&#10;3.4%&#10;2%&#10;14%&#10;4.7% &#10;89%&#10;2.5%&#10;1.5%&#10;5.9%&#10;0.6%&#10;Patient Origin  70% of SSHS patients are from 17 communities  70% of SSHS MRI patients are from 14 communities &#10;"/>
      </w:tblPr>
      <w:tblGrid>
        <w:gridCol w:w="2965"/>
        <w:gridCol w:w="2786"/>
        <w:gridCol w:w="4901"/>
      </w:tblGrid>
      <w:tr w:rsidR="00460A58" w:rsidRPr="00FD4D92" w14:paraId="40870384" w14:textId="51AA5DAB" w:rsidTr="0057267F">
        <w:trPr>
          <w:tblHeader/>
          <w:jc w:val="center"/>
        </w:trPr>
        <w:tc>
          <w:tcPr>
            <w:tcW w:w="2965" w:type="dxa"/>
          </w:tcPr>
          <w:p w14:paraId="10055CC7" w14:textId="77777777" w:rsidR="00460A58" w:rsidRPr="00FD4D92" w:rsidRDefault="00460A58" w:rsidP="00A67E02">
            <w:pPr>
              <w:contextualSpacing/>
              <w:rPr>
                <w:rFonts w:cstheme="minorHAnsi"/>
              </w:rPr>
            </w:pPr>
          </w:p>
        </w:tc>
        <w:tc>
          <w:tcPr>
            <w:tcW w:w="2786" w:type="dxa"/>
            <w:shd w:val="clear" w:color="auto" w:fill="F2F2F2" w:themeFill="background1" w:themeFillShade="F2"/>
          </w:tcPr>
          <w:p w14:paraId="38C507B9" w14:textId="623551CB" w:rsidR="00460A58" w:rsidRPr="00FD4D92" w:rsidRDefault="00460A58" w:rsidP="00A67E02">
            <w:pPr>
              <w:contextualSpacing/>
              <w:rPr>
                <w:rFonts w:cstheme="minorHAnsi"/>
                <w:b/>
              </w:rPr>
            </w:pPr>
            <w:r w:rsidRPr="00FD4D92">
              <w:rPr>
                <w:rFonts w:cstheme="minorHAnsi"/>
                <w:b/>
              </w:rPr>
              <w:t>SSHS</w:t>
            </w:r>
            <w:r w:rsidR="00BC1364" w:rsidRPr="00FD4D92">
              <w:rPr>
                <w:rFonts w:cstheme="minorHAnsi"/>
                <w:b/>
              </w:rPr>
              <w:t xml:space="preserve"> patients </w:t>
            </w:r>
          </w:p>
        </w:tc>
        <w:tc>
          <w:tcPr>
            <w:tcW w:w="0" w:type="auto"/>
            <w:shd w:val="clear" w:color="auto" w:fill="F2F2F2" w:themeFill="background1" w:themeFillShade="F2"/>
          </w:tcPr>
          <w:p w14:paraId="0FD84D61" w14:textId="0375CCD1" w:rsidR="00460A58" w:rsidRPr="00FD4D92" w:rsidRDefault="00460A58" w:rsidP="00A67E02">
            <w:pPr>
              <w:contextualSpacing/>
              <w:rPr>
                <w:rFonts w:cstheme="minorHAnsi"/>
                <w:b/>
              </w:rPr>
            </w:pPr>
            <w:r w:rsidRPr="00FD4D92">
              <w:rPr>
                <w:rFonts w:cstheme="minorHAnsi"/>
                <w:b/>
              </w:rPr>
              <w:t>SSHS MRI patients</w:t>
            </w:r>
          </w:p>
        </w:tc>
      </w:tr>
      <w:tr w:rsidR="00460A58" w:rsidRPr="00FD4D92" w14:paraId="38304225" w14:textId="781D370F" w:rsidTr="00BA371E">
        <w:trPr>
          <w:jc w:val="center"/>
        </w:trPr>
        <w:tc>
          <w:tcPr>
            <w:tcW w:w="2965" w:type="dxa"/>
            <w:tcBorders>
              <w:bottom w:val="single" w:sz="4" w:space="0" w:color="auto"/>
            </w:tcBorders>
          </w:tcPr>
          <w:p w14:paraId="169EA803" w14:textId="4067641C" w:rsidR="00460A58" w:rsidRPr="00FD4D92" w:rsidRDefault="00460A58" w:rsidP="00A67E02">
            <w:pPr>
              <w:contextualSpacing/>
              <w:rPr>
                <w:rFonts w:cstheme="minorHAnsi"/>
                <w:b/>
              </w:rPr>
            </w:pPr>
            <w:r w:rsidRPr="00FD4D92">
              <w:rPr>
                <w:rFonts w:cstheme="minorHAnsi"/>
                <w:b/>
              </w:rPr>
              <w:t>Total Unique Patients (FY20)</w:t>
            </w:r>
          </w:p>
        </w:tc>
        <w:tc>
          <w:tcPr>
            <w:tcW w:w="2786" w:type="dxa"/>
            <w:tcBorders>
              <w:bottom w:val="single" w:sz="4" w:space="0" w:color="auto"/>
            </w:tcBorders>
          </w:tcPr>
          <w:p w14:paraId="5FA03263" w14:textId="4CEA7743" w:rsidR="00460A58" w:rsidRPr="00FD4D92" w:rsidRDefault="00460A58" w:rsidP="00A67E02">
            <w:pPr>
              <w:contextualSpacing/>
              <w:rPr>
                <w:rFonts w:cstheme="minorHAnsi"/>
              </w:rPr>
            </w:pPr>
            <w:r w:rsidRPr="00FD4D92">
              <w:rPr>
                <w:rFonts w:cstheme="minorHAnsi"/>
              </w:rPr>
              <w:t>197,808</w:t>
            </w:r>
          </w:p>
        </w:tc>
        <w:tc>
          <w:tcPr>
            <w:tcW w:w="0" w:type="auto"/>
            <w:tcBorders>
              <w:bottom w:val="single" w:sz="4" w:space="0" w:color="auto"/>
            </w:tcBorders>
          </w:tcPr>
          <w:p w14:paraId="13D63CD4" w14:textId="6A4DEF19" w:rsidR="00460A58" w:rsidRPr="00FD4D92" w:rsidRDefault="00460A58" w:rsidP="00A67E02">
            <w:pPr>
              <w:contextualSpacing/>
              <w:rPr>
                <w:rFonts w:cstheme="minorHAnsi"/>
              </w:rPr>
            </w:pPr>
            <w:r w:rsidRPr="00FD4D92">
              <w:rPr>
                <w:rFonts w:cstheme="minorHAnsi"/>
              </w:rPr>
              <w:t>14,097</w:t>
            </w:r>
          </w:p>
        </w:tc>
      </w:tr>
      <w:tr w:rsidR="00460A58" w:rsidRPr="00FD4D92" w14:paraId="3D4251BE" w14:textId="1CE84698" w:rsidTr="00BA371E">
        <w:trPr>
          <w:jc w:val="center"/>
        </w:trPr>
        <w:tc>
          <w:tcPr>
            <w:tcW w:w="2965" w:type="dxa"/>
          </w:tcPr>
          <w:p w14:paraId="2E6666C6" w14:textId="77777777" w:rsidR="00460A58" w:rsidRPr="00FD4D92" w:rsidRDefault="00460A58" w:rsidP="00A67E02">
            <w:pPr>
              <w:contextualSpacing/>
              <w:rPr>
                <w:rFonts w:cstheme="minorHAnsi"/>
                <w:b/>
              </w:rPr>
            </w:pPr>
            <w:r w:rsidRPr="00FD4D92">
              <w:rPr>
                <w:rFonts w:cstheme="minorHAnsi"/>
                <w:b/>
              </w:rPr>
              <w:t xml:space="preserve">Gender </w:t>
            </w:r>
          </w:p>
          <w:p w14:paraId="298191E6" w14:textId="77777777" w:rsidR="00460A58" w:rsidRPr="00FD4D92" w:rsidRDefault="00460A58" w:rsidP="00A67E02">
            <w:pPr>
              <w:ind w:left="288"/>
              <w:contextualSpacing/>
              <w:rPr>
                <w:rFonts w:cstheme="minorHAnsi"/>
              </w:rPr>
            </w:pPr>
            <w:r w:rsidRPr="00FD4D92">
              <w:rPr>
                <w:rFonts w:cstheme="minorHAnsi"/>
              </w:rPr>
              <w:t>Female</w:t>
            </w:r>
          </w:p>
          <w:p w14:paraId="6AC6E178" w14:textId="77777777" w:rsidR="00460A58" w:rsidRPr="00FD4D92" w:rsidRDefault="00460A58" w:rsidP="00A67E02">
            <w:pPr>
              <w:ind w:left="288"/>
              <w:contextualSpacing/>
              <w:rPr>
                <w:rFonts w:cstheme="minorHAnsi"/>
              </w:rPr>
            </w:pPr>
            <w:r w:rsidRPr="00FD4D92">
              <w:rPr>
                <w:rFonts w:cstheme="minorHAnsi"/>
              </w:rPr>
              <w:t>Male</w:t>
            </w:r>
          </w:p>
        </w:tc>
        <w:tc>
          <w:tcPr>
            <w:tcW w:w="2786" w:type="dxa"/>
          </w:tcPr>
          <w:p w14:paraId="4EB4A000" w14:textId="77777777" w:rsidR="00460A58" w:rsidRPr="00FD4D92" w:rsidRDefault="00460A58" w:rsidP="00A67E02">
            <w:pPr>
              <w:contextualSpacing/>
              <w:rPr>
                <w:rFonts w:cstheme="minorHAnsi"/>
              </w:rPr>
            </w:pPr>
          </w:p>
          <w:p w14:paraId="76E3D753" w14:textId="77777777" w:rsidR="00460A58" w:rsidRPr="00FD4D92" w:rsidRDefault="00460A58" w:rsidP="00A67E02">
            <w:pPr>
              <w:contextualSpacing/>
              <w:rPr>
                <w:rFonts w:cstheme="minorHAnsi"/>
              </w:rPr>
            </w:pPr>
            <w:r w:rsidRPr="00FD4D92">
              <w:rPr>
                <w:rFonts w:cstheme="minorHAnsi"/>
              </w:rPr>
              <w:t>59%</w:t>
            </w:r>
          </w:p>
          <w:p w14:paraId="52FD2D61" w14:textId="3CDC5A0F" w:rsidR="00460A58" w:rsidRPr="00FD4D92" w:rsidRDefault="00460A58" w:rsidP="00A67E02">
            <w:pPr>
              <w:contextualSpacing/>
              <w:rPr>
                <w:rFonts w:cstheme="minorHAnsi"/>
              </w:rPr>
            </w:pPr>
            <w:r w:rsidRPr="00FD4D92">
              <w:rPr>
                <w:rFonts w:cstheme="minorHAnsi"/>
              </w:rPr>
              <w:t>41%</w:t>
            </w:r>
          </w:p>
        </w:tc>
        <w:tc>
          <w:tcPr>
            <w:tcW w:w="0" w:type="auto"/>
          </w:tcPr>
          <w:p w14:paraId="7C6AE5C4" w14:textId="77777777" w:rsidR="00460A58" w:rsidRPr="00FD4D92" w:rsidRDefault="00460A58" w:rsidP="00460A58">
            <w:pPr>
              <w:contextualSpacing/>
              <w:rPr>
                <w:rFonts w:cstheme="minorHAnsi"/>
              </w:rPr>
            </w:pPr>
          </w:p>
          <w:p w14:paraId="465E9F24" w14:textId="651F4A1B" w:rsidR="00460A58" w:rsidRPr="00FD4D92" w:rsidRDefault="00460A58" w:rsidP="00460A58">
            <w:pPr>
              <w:contextualSpacing/>
              <w:rPr>
                <w:rFonts w:cstheme="minorHAnsi"/>
              </w:rPr>
            </w:pPr>
            <w:r w:rsidRPr="00FD4D92">
              <w:rPr>
                <w:rFonts w:cstheme="minorHAnsi"/>
              </w:rPr>
              <w:t>60.4%</w:t>
            </w:r>
          </w:p>
          <w:p w14:paraId="15E8E3D4" w14:textId="370C121A" w:rsidR="00460A58" w:rsidRPr="00FD4D92" w:rsidRDefault="00460A58" w:rsidP="00460A58">
            <w:pPr>
              <w:contextualSpacing/>
              <w:rPr>
                <w:rFonts w:cstheme="minorHAnsi"/>
              </w:rPr>
            </w:pPr>
            <w:r w:rsidRPr="00FD4D92">
              <w:rPr>
                <w:rFonts w:cstheme="minorHAnsi"/>
              </w:rPr>
              <w:t>39.6%</w:t>
            </w:r>
          </w:p>
        </w:tc>
      </w:tr>
      <w:tr w:rsidR="00460A58" w:rsidRPr="00FD4D92" w14:paraId="2BA80E83" w14:textId="2278EEBF" w:rsidTr="00BA371E">
        <w:trPr>
          <w:jc w:val="center"/>
        </w:trPr>
        <w:tc>
          <w:tcPr>
            <w:tcW w:w="2965" w:type="dxa"/>
          </w:tcPr>
          <w:p w14:paraId="3446BEE4" w14:textId="77777777" w:rsidR="00460A58" w:rsidRPr="00FD4D92" w:rsidRDefault="00460A58" w:rsidP="00A67E02">
            <w:pPr>
              <w:contextualSpacing/>
              <w:rPr>
                <w:rFonts w:cstheme="minorHAnsi"/>
                <w:b/>
              </w:rPr>
            </w:pPr>
            <w:r w:rsidRPr="00FD4D92">
              <w:rPr>
                <w:rFonts w:cstheme="minorHAnsi"/>
                <w:b/>
              </w:rPr>
              <w:t xml:space="preserve">Age </w:t>
            </w:r>
          </w:p>
          <w:p w14:paraId="1915F4A4" w14:textId="182AEADF" w:rsidR="00460A58" w:rsidRPr="00FD4D92" w:rsidRDefault="00460A58" w:rsidP="00A67E02">
            <w:pPr>
              <w:ind w:left="288"/>
              <w:contextualSpacing/>
              <w:rPr>
                <w:rFonts w:cstheme="minorHAnsi"/>
              </w:rPr>
            </w:pPr>
            <w:r w:rsidRPr="00FD4D92">
              <w:rPr>
                <w:rFonts w:cstheme="minorHAnsi"/>
              </w:rPr>
              <w:t>0-17</w:t>
            </w:r>
          </w:p>
          <w:p w14:paraId="418118D8" w14:textId="6E8134B2" w:rsidR="00345E56" w:rsidRPr="00FD4D92" w:rsidRDefault="00345E56" w:rsidP="00A67E02">
            <w:pPr>
              <w:ind w:left="288"/>
              <w:contextualSpacing/>
              <w:rPr>
                <w:rFonts w:cstheme="minorHAnsi"/>
              </w:rPr>
            </w:pPr>
            <w:r w:rsidRPr="00FD4D92">
              <w:rPr>
                <w:rFonts w:cstheme="minorHAnsi"/>
              </w:rPr>
              <w:t>18-64</w:t>
            </w:r>
          </w:p>
          <w:p w14:paraId="75BA9047" w14:textId="5D11791D" w:rsidR="00460A58" w:rsidRPr="00FD4D92" w:rsidRDefault="00345E56" w:rsidP="00883875">
            <w:pPr>
              <w:ind w:left="288"/>
              <w:contextualSpacing/>
              <w:rPr>
                <w:rFonts w:cstheme="minorHAnsi"/>
              </w:rPr>
            </w:pPr>
            <w:r w:rsidRPr="00FD4D92">
              <w:rPr>
                <w:rFonts w:cstheme="minorHAnsi"/>
              </w:rPr>
              <w:t>65+</w:t>
            </w:r>
          </w:p>
        </w:tc>
        <w:tc>
          <w:tcPr>
            <w:tcW w:w="2786" w:type="dxa"/>
          </w:tcPr>
          <w:p w14:paraId="4738102A" w14:textId="77777777" w:rsidR="00460A58" w:rsidRPr="00FD4D92" w:rsidRDefault="00460A58" w:rsidP="00A67E02">
            <w:pPr>
              <w:contextualSpacing/>
              <w:rPr>
                <w:rFonts w:cstheme="minorHAnsi"/>
              </w:rPr>
            </w:pPr>
          </w:p>
          <w:p w14:paraId="79B03171" w14:textId="557CFEC5" w:rsidR="00460A58" w:rsidRPr="00FD4D92" w:rsidRDefault="00460A58" w:rsidP="00A67E02">
            <w:pPr>
              <w:contextualSpacing/>
              <w:rPr>
                <w:rFonts w:cstheme="minorHAnsi"/>
              </w:rPr>
            </w:pPr>
            <w:r w:rsidRPr="00FD4D92">
              <w:rPr>
                <w:rFonts w:cstheme="minorHAnsi"/>
              </w:rPr>
              <w:t>18%</w:t>
            </w:r>
          </w:p>
          <w:p w14:paraId="3746BA50" w14:textId="6AC31A7E" w:rsidR="00345E56" w:rsidRPr="00FD4D92" w:rsidRDefault="00345E56" w:rsidP="00A67E02">
            <w:pPr>
              <w:contextualSpacing/>
              <w:rPr>
                <w:rFonts w:cstheme="minorHAnsi"/>
              </w:rPr>
            </w:pPr>
            <w:r w:rsidRPr="00FD4D92">
              <w:rPr>
                <w:rFonts w:cstheme="minorHAnsi"/>
              </w:rPr>
              <w:t>58.3%</w:t>
            </w:r>
          </w:p>
          <w:p w14:paraId="6E3A0FA0" w14:textId="3F856C05" w:rsidR="00460A58" w:rsidRPr="00FD4D92" w:rsidRDefault="00345E56" w:rsidP="00A67E02">
            <w:pPr>
              <w:contextualSpacing/>
              <w:rPr>
                <w:rFonts w:cstheme="minorHAnsi"/>
              </w:rPr>
            </w:pPr>
            <w:r w:rsidRPr="00FD4D92">
              <w:rPr>
                <w:rFonts w:cstheme="minorHAnsi"/>
              </w:rPr>
              <w:t>23.6%</w:t>
            </w:r>
          </w:p>
        </w:tc>
        <w:tc>
          <w:tcPr>
            <w:tcW w:w="0" w:type="auto"/>
          </w:tcPr>
          <w:p w14:paraId="387D2442" w14:textId="77777777" w:rsidR="00460A58" w:rsidRPr="00FD4D92" w:rsidRDefault="00460A58" w:rsidP="00A67E02">
            <w:pPr>
              <w:contextualSpacing/>
              <w:rPr>
                <w:rFonts w:cstheme="minorHAnsi"/>
              </w:rPr>
            </w:pPr>
          </w:p>
          <w:p w14:paraId="467135A6" w14:textId="7930119E" w:rsidR="00460A58" w:rsidRPr="00FD4D92" w:rsidRDefault="00460A58" w:rsidP="00A67E02">
            <w:pPr>
              <w:contextualSpacing/>
              <w:rPr>
                <w:rFonts w:cstheme="minorHAnsi"/>
              </w:rPr>
            </w:pPr>
            <w:r w:rsidRPr="00FD4D92">
              <w:rPr>
                <w:rFonts w:cstheme="minorHAnsi"/>
              </w:rPr>
              <w:t>1.5%</w:t>
            </w:r>
          </w:p>
          <w:p w14:paraId="4420E085" w14:textId="5ADB534C" w:rsidR="00345E56" w:rsidRPr="00FD4D92" w:rsidRDefault="00345E56" w:rsidP="00A67E02">
            <w:pPr>
              <w:contextualSpacing/>
              <w:rPr>
                <w:rFonts w:cstheme="minorHAnsi"/>
              </w:rPr>
            </w:pPr>
            <w:r w:rsidRPr="00FD4D92">
              <w:rPr>
                <w:rFonts w:cstheme="minorHAnsi"/>
              </w:rPr>
              <w:t>55.7%</w:t>
            </w:r>
          </w:p>
          <w:p w14:paraId="146BC7BE" w14:textId="026032B1" w:rsidR="0089771E" w:rsidRPr="00FD4D92" w:rsidRDefault="00345E56" w:rsidP="00A67E02">
            <w:pPr>
              <w:contextualSpacing/>
              <w:rPr>
                <w:rFonts w:cstheme="minorHAnsi"/>
              </w:rPr>
            </w:pPr>
            <w:r w:rsidRPr="00FD4D92">
              <w:rPr>
                <w:rFonts w:cstheme="minorHAnsi"/>
              </w:rPr>
              <w:t>42.7%</w:t>
            </w:r>
          </w:p>
        </w:tc>
      </w:tr>
      <w:tr w:rsidR="00460A58" w:rsidRPr="00FD4D92" w14:paraId="792C261B" w14:textId="05DA79E7" w:rsidTr="00BA371E">
        <w:trPr>
          <w:jc w:val="center"/>
        </w:trPr>
        <w:tc>
          <w:tcPr>
            <w:tcW w:w="2965" w:type="dxa"/>
          </w:tcPr>
          <w:p w14:paraId="69417C26" w14:textId="77777777" w:rsidR="00460A58" w:rsidRPr="00FD4D92" w:rsidRDefault="00460A58" w:rsidP="00A67E02">
            <w:pPr>
              <w:contextualSpacing/>
              <w:rPr>
                <w:rFonts w:cstheme="minorHAnsi"/>
                <w:b/>
              </w:rPr>
            </w:pPr>
            <w:r w:rsidRPr="00FD4D92">
              <w:rPr>
                <w:rFonts w:cstheme="minorHAnsi"/>
                <w:b/>
              </w:rPr>
              <w:t>Race/Ethnicity</w:t>
            </w:r>
            <w:r w:rsidRPr="00FD4D92">
              <w:rPr>
                <w:rStyle w:val="FootnoteReference"/>
                <w:rFonts w:cstheme="minorHAnsi"/>
                <w:b/>
              </w:rPr>
              <w:footnoteReference w:id="3"/>
            </w:r>
          </w:p>
          <w:p w14:paraId="10449F5D" w14:textId="77777777" w:rsidR="00460A58" w:rsidRPr="00FD4D92" w:rsidRDefault="00460A58" w:rsidP="00A67E02">
            <w:pPr>
              <w:ind w:left="288"/>
              <w:contextualSpacing/>
              <w:rPr>
                <w:rFonts w:cstheme="minorHAnsi"/>
              </w:rPr>
            </w:pPr>
            <w:r w:rsidRPr="00FD4D92">
              <w:rPr>
                <w:rFonts w:cstheme="minorHAnsi"/>
              </w:rPr>
              <w:t>White</w:t>
            </w:r>
          </w:p>
          <w:p w14:paraId="33A2794B" w14:textId="77777777" w:rsidR="00460A58" w:rsidRPr="00FD4D92" w:rsidRDefault="00460A58" w:rsidP="00A67E02">
            <w:pPr>
              <w:ind w:left="288"/>
              <w:contextualSpacing/>
              <w:rPr>
                <w:rFonts w:cstheme="minorHAnsi"/>
              </w:rPr>
            </w:pPr>
            <w:r w:rsidRPr="00FD4D92">
              <w:rPr>
                <w:rFonts w:cstheme="minorHAnsi"/>
              </w:rPr>
              <w:t>Black or African American</w:t>
            </w:r>
          </w:p>
          <w:p w14:paraId="7B140929" w14:textId="580428B2" w:rsidR="00460A58" w:rsidRPr="00FD4D92" w:rsidRDefault="00460A58" w:rsidP="00A67E02">
            <w:pPr>
              <w:ind w:left="288"/>
              <w:contextualSpacing/>
              <w:rPr>
                <w:rFonts w:cstheme="minorHAnsi"/>
              </w:rPr>
            </w:pPr>
            <w:r w:rsidRPr="00FD4D92">
              <w:rPr>
                <w:rFonts w:cstheme="minorHAnsi"/>
              </w:rPr>
              <w:t>Asian/Pacific American</w:t>
            </w:r>
          </w:p>
          <w:p w14:paraId="6D505DA5" w14:textId="53F8F967" w:rsidR="00460A58" w:rsidRPr="00FD4D92" w:rsidRDefault="00460A58" w:rsidP="00A67E02">
            <w:pPr>
              <w:ind w:left="288"/>
              <w:contextualSpacing/>
              <w:rPr>
                <w:rFonts w:cstheme="minorHAnsi"/>
              </w:rPr>
            </w:pPr>
            <w:r w:rsidRPr="00FD4D92">
              <w:rPr>
                <w:rFonts w:cstheme="minorHAnsi"/>
              </w:rPr>
              <w:t>Other</w:t>
            </w:r>
          </w:p>
          <w:p w14:paraId="3614A14F" w14:textId="5E1BB1A0" w:rsidR="00460A58" w:rsidRPr="00FD4D92" w:rsidRDefault="00460A58" w:rsidP="00A67E02">
            <w:pPr>
              <w:ind w:left="288"/>
              <w:contextualSpacing/>
              <w:rPr>
                <w:rFonts w:cstheme="minorHAnsi"/>
              </w:rPr>
            </w:pPr>
            <w:r w:rsidRPr="00FD4D92">
              <w:rPr>
                <w:rFonts w:cstheme="minorHAnsi"/>
              </w:rPr>
              <w:t xml:space="preserve">Did not report </w:t>
            </w:r>
          </w:p>
        </w:tc>
        <w:tc>
          <w:tcPr>
            <w:tcW w:w="2786" w:type="dxa"/>
          </w:tcPr>
          <w:p w14:paraId="1EF66E92" w14:textId="77777777" w:rsidR="00460A58" w:rsidRPr="00FD4D92" w:rsidRDefault="00460A58" w:rsidP="00A67E02">
            <w:pPr>
              <w:contextualSpacing/>
              <w:rPr>
                <w:rFonts w:cstheme="minorHAnsi"/>
              </w:rPr>
            </w:pPr>
          </w:p>
          <w:p w14:paraId="3B5F7D74" w14:textId="77777777" w:rsidR="00460A58" w:rsidRPr="00FD4D92" w:rsidRDefault="00460A58" w:rsidP="00A67E02">
            <w:pPr>
              <w:contextualSpacing/>
              <w:rPr>
                <w:rFonts w:cstheme="minorHAnsi"/>
              </w:rPr>
            </w:pPr>
            <w:r w:rsidRPr="00FD4D92">
              <w:rPr>
                <w:rFonts w:cstheme="minorHAnsi"/>
              </w:rPr>
              <w:t>75.7%</w:t>
            </w:r>
          </w:p>
          <w:p w14:paraId="470185F5" w14:textId="77777777" w:rsidR="00460A58" w:rsidRPr="00FD4D92" w:rsidRDefault="00460A58" w:rsidP="00A67E02">
            <w:pPr>
              <w:contextualSpacing/>
              <w:rPr>
                <w:rFonts w:cstheme="minorHAnsi"/>
              </w:rPr>
            </w:pPr>
            <w:r w:rsidRPr="00FD4D92">
              <w:rPr>
                <w:rFonts w:cstheme="minorHAnsi"/>
              </w:rPr>
              <w:t>3.4%</w:t>
            </w:r>
          </w:p>
          <w:p w14:paraId="189308C0" w14:textId="77777777" w:rsidR="00460A58" w:rsidRPr="00FD4D92" w:rsidRDefault="00460A58" w:rsidP="00A67E02">
            <w:pPr>
              <w:contextualSpacing/>
              <w:rPr>
                <w:rFonts w:cstheme="minorHAnsi"/>
              </w:rPr>
            </w:pPr>
            <w:r w:rsidRPr="00FD4D92">
              <w:rPr>
                <w:rFonts w:cstheme="minorHAnsi"/>
              </w:rPr>
              <w:t>2%</w:t>
            </w:r>
          </w:p>
          <w:p w14:paraId="414667FF" w14:textId="4B0F5C6E" w:rsidR="00460A58" w:rsidRPr="00FD4D92" w:rsidRDefault="00460A58" w:rsidP="00A67E02">
            <w:pPr>
              <w:contextualSpacing/>
              <w:rPr>
                <w:rFonts w:cstheme="minorHAnsi"/>
              </w:rPr>
            </w:pPr>
            <w:r w:rsidRPr="00FD4D92">
              <w:rPr>
                <w:rFonts w:cstheme="minorHAnsi"/>
              </w:rPr>
              <w:t>14%</w:t>
            </w:r>
          </w:p>
          <w:p w14:paraId="28862420" w14:textId="2B669506" w:rsidR="00460A58" w:rsidRPr="00FD4D92" w:rsidRDefault="00460A58" w:rsidP="00A67E02">
            <w:pPr>
              <w:contextualSpacing/>
              <w:rPr>
                <w:rFonts w:cstheme="minorHAnsi"/>
              </w:rPr>
            </w:pPr>
            <w:r w:rsidRPr="00FD4D92">
              <w:rPr>
                <w:rFonts w:cstheme="minorHAnsi"/>
              </w:rPr>
              <w:t>4.7%</w:t>
            </w:r>
          </w:p>
        </w:tc>
        <w:tc>
          <w:tcPr>
            <w:tcW w:w="0" w:type="auto"/>
          </w:tcPr>
          <w:p w14:paraId="272C38ED" w14:textId="77777777" w:rsidR="00460A58" w:rsidRPr="00FD4D92" w:rsidRDefault="00460A58" w:rsidP="00A67E02">
            <w:pPr>
              <w:contextualSpacing/>
              <w:rPr>
                <w:rFonts w:cstheme="minorHAnsi"/>
              </w:rPr>
            </w:pPr>
          </w:p>
          <w:p w14:paraId="7105381A" w14:textId="77777777" w:rsidR="00460A58" w:rsidRPr="00FD4D92" w:rsidRDefault="00460A58" w:rsidP="00460A58">
            <w:pPr>
              <w:contextualSpacing/>
              <w:rPr>
                <w:rFonts w:cstheme="minorHAnsi"/>
              </w:rPr>
            </w:pPr>
            <w:r w:rsidRPr="00FD4D92">
              <w:rPr>
                <w:rFonts w:cstheme="minorHAnsi"/>
              </w:rPr>
              <w:t>89%</w:t>
            </w:r>
          </w:p>
          <w:p w14:paraId="70462A50" w14:textId="77777777" w:rsidR="00460A58" w:rsidRPr="00FD4D92" w:rsidRDefault="00460A58" w:rsidP="00460A58">
            <w:pPr>
              <w:contextualSpacing/>
              <w:rPr>
                <w:rFonts w:cstheme="minorHAnsi"/>
              </w:rPr>
            </w:pPr>
            <w:r w:rsidRPr="00FD4D92">
              <w:rPr>
                <w:rFonts w:cstheme="minorHAnsi"/>
              </w:rPr>
              <w:t>2.5%</w:t>
            </w:r>
          </w:p>
          <w:p w14:paraId="4ED23C6B" w14:textId="77777777" w:rsidR="00460A58" w:rsidRPr="00FD4D92" w:rsidRDefault="00460A58" w:rsidP="00460A58">
            <w:pPr>
              <w:contextualSpacing/>
              <w:rPr>
                <w:rFonts w:cstheme="minorHAnsi"/>
              </w:rPr>
            </w:pPr>
            <w:r w:rsidRPr="00FD4D92">
              <w:rPr>
                <w:rFonts w:cstheme="minorHAnsi"/>
              </w:rPr>
              <w:t>1.5%</w:t>
            </w:r>
          </w:p>
          <w:p w14:paraId="7264AA5D" w14:textId="77777777" w:rsidR="00460A58" w:rsidRPr="00FD4D92" w:rsidRDefault="00460A58" w:rsidP="00460A58">
            <w:pPr>
              <w:contextualSpacing/>
              <w:rPr>
                <w:rFonts w:cstheme="minorHAnsi"/>
              </w:rPr>
            </w:pPr>
            <w:r w:rsidRPr="00FD4D92">
              <w:rPr>
                <w:rFonts w:cstheme="minorHAnsi"/>
              </w:rPr>
              <w:t>5.9%</w:t>
            </w:r>
          </w:p>
          <w:p w14:paraId="29833709" w14:textId="1AE8954B" w:rsidR="00460A58" w:rsidRPr="00FD4D92" w:rsidRDefault="00460A58" w:rsidP="00460A58">
            <w:pPr>
              <w:contextualSpacing/>
              <w:rPr>
                <w:rFonts w:cstheme="minorHAnsi"/>
              </w:rPr>
            </w:pPr>
            <w:r w:rsidRPr="00FD4D92">
              <w:rPr>
                <w:rFonts w:cstheme="minorHAnsi"/>
              </w:rPr>
              <w:t>0.6%</w:t>
            </w:r>
          </w:p>
        </w:tc>
      </w:tr>
      <w:tr w:rsidR="00460A58" w:rsidRPr="00FD4D92" w14:paraId="7863082D" w14:textId="29E31CE0" w:rsidTr="00BA371E">
        <w:trPr>
          <w:jc w:val="center"/>
        </w:trPr>
        <w:tc>
          <w:tcPr>
            <w:tcW w:w="2965" w:type="dxa"/>
          </w:tcPr>
          <w:p w14:paraId="66FB7329" w14:textId="01967654" w:rsidR="00460A58" w:rsidRPr="00FD4D92" w:rsidRDefault="00460A58" w:rsidP="007D0487">
            <w:pPr>
              <w:contextualSpacing/>
              <w:rPr>
                <w:rFonts w:cstheme="minorHAnsi"/>
                <w:b/>
              </w:rPr>
            </w:pPr>
            <w:r w:rsidRPr="00FD4D92">
              <w:rPr>
                <w:rFonts w:cstheme="minorHAnsi"/>
                <w:b/>
              </w:rPr>
              <w:t xml:space="preserve">Patient Origin </w:t>
            </w:r>
          </w:p>
        </w:tc>
        <w:tc>
          <w:tcPr>
            <w:tcW w:w="2786" w:type="dxa"/>
          </w:tcPr>
          <w:p w14:paraId="32F530B5" w14:textId="59CC6320" w:rsidR="001C7466" w:rsidRPr="00FD4D92" w:rsidRDefault="00460A58" w:rsidP="00A67E02">
            <w:pPr>
              <w:contextualSpacing/>
              <w:rPr>
                <w:rFonts w:cstheme="minorHAnsi"/>
              </w:rPr>
            </w:pPr>
            <w:r w:rsidRPr="00FD4D92">
              <w:rPr>
                <w:rFonts w:cstheme="minorHAnsi"/>
              </w:rPr>
              <w:t>70%</w:t>
            </w:r>
            <w:r w:rsidR="001C7466" w:rsidRPr="00FD4D92">
              <w:rPr>
                <w:rFonts w:cstheme="minorHAnsi"/>
              </w:rPr>
              <w:t xml:space="preserve"> of SSHS patients are from 17 communities</w:t>
            </w:r>
            <w:r w:rsidRPr="00FD4D92">
              <w:rPr>
                <w:rStyle w:val="FootnoteReference"/>
                <w:rFonts w:cstheme="minorHAnsi"/>
              </w:rPr>
              <w:footnoteReference w:id="4"/>
            </w:r>
          </w:p>
        </w:tc>
        <w:tc>
          <w:tcPr>
            <w:tcW w:w="0" w:type="auto"/>
          </w:tcPr>
          <w:p w14:paraId="08D79798" w14:textId="750A24B2" w:rsidR="00460A58" w:rsidRPr="00FD4D92" w:rsidRDefault="00460A58" w:rsidP="00A67E02">
            <w:pPr>
              <w:contextualSpacing/>
              <w:rPr>
                <w:rFonts w:cstheme="minorHAnsi"/>
              </w:rPr>
            </w:pPr>
            <w:r w:rsidRPr="00FD4D92">
              <w:rPr>
                <w:rFonts w:cstheme="minorHAnsi"/>
              </w:rPr>
              <w:t>70%</w:t>
            </w:r>
            <w:r w:rsidR="001C7466" w:rsidRPr="00FD4D92">
              <w:rPr>
                <w:rFonts w:cstheme="minorHAnsi"/>
              </w:rPr>
              <w:t xml:space="preserve"> of SSHS MRI patients</w:t>
            </w:r>
            <w:r w:rsidR="0021428A" w:rsidRPr="00FD4D92">
              <w:rPr>
                <w:rFonts w:cstheme="minorHAnsi"/>
              </w:rPr>
              <w:t xml:space="preserve"> a</w:t>
            </w:r>
            <w:r w:rsidR="001C7466" w:rsidRPr="00FD4D92">
              <w:rPr>
                <w:rFonts w:cstheme="minorHAnsi"/>
              </w:rPr>
              <w:t>re from 14 communities</w:t>
            </w:r>
            <w:r w:rsidRPr="00FD4D92">
              <w:rPr>
                <w:rStyle w:val="FootnoteReference"/>
                <w:rFonts w:cstheme="minorHAnsi"/>
              </w:rPr>
              <w:footnoteReference w:id="5"/>
            </w:r>
          </w:p>
        </w:tc>
      </w:tr>
    </w:tbl>
    <w:p w14:paraId="2548A775" w14:textId="36D69827" w:rsidR="0036358B" w:rsidRDefault="0036358B">
      <w:pPr>
        <w:rPr>
          <w:b/>
          <w:bCs/>
          <w:sz w:val="28"/>
          <w:szCs w:val="28"/>
        </w:rPr>
      </w:pPr>
    </w:p>
    <w:p w14:paraId="1C7A7A95" w14:textId="1B685242" w:rsidR="00A72BA2" w:rsidRPr="00A72BA2" w:rsidRDefault="00A72BA2" w:rsidP="00667357">
      <w:pPr>
        <w:spacing w:line="240" w:lineRule="auto"/>
        <w:rPr>
          <w:sz w:val="24"/>
          <w:szCs w:val="24"/>
        </w:rPr>
      </w:pPr>
      <w:r w:rsidRPr="00A72BA2">
        <w:rPr>
          <w:sz w:val="24"/>
          <w:szCs w:val="24"/>
        </w:rPr>
        <w:t xml:space="preserve">Table </w:t>
      </w:r>
      <w:r w:rsidR="00C41C8B">
        <w:rPr>
          <w:sz w:val="24"/>
          <w:szCs w:val="24"/>
        </w:rPr>
        <w:t>3</w:t>
      </w:r>
      <w:r w:rsidRPr="00A72BA2">
        <w:rPr>
          <w:sz w:val="24"/>
          <w:szCs w:val="24"/>
        </w:rPr>
        <w:t xml:space="preserve"> below presents </w:t>
      </w:r>
      <w:r w:rsidR="004F47AB">
        <w:rPr>
          <w:sz w:val="24"/>
          <w:szCs w:val="24"/>
        </w:rPr>
        <w:t>FY</w:t>
      </w:r>
      <w:r w:rsidRPr="00A72BA2">
        <w:rPr>
          <w:sz w:val="24"/>
          <w:szCs w:val="24"/>
        </w:rPr>
        <w:t xml:space="preserve">20 </w:t>
      </w:r>
      <w:r>
        <w:rPr>
          <w:sz w:val="24"/>
          <w:szCs w:val="24"/>
        </w:rPr>
        <w:t>payer mix and alternative payment methods (APMs)</w:t>
      </w:r>
      <w:r w:rsidRPr="00A72BA2">
        <w:rPr>
          <w:sz w:val="24"/>
          <w:szCs w:val="24"/>
        </w:rPr>
        <w:t xml:space="preserve"> for </w:t>
      </w:r>
      <w:r w:rsidR="004F47AB">
        <w:rPr>
          <w:sz w:val="24"/>
          <w:szCs w:val="24"/>
        </w:rPr>
        <w:t>SSHS</w:t>
      </w:r>
      <w:r w:rsidRPr="00A72BA2">
        <w:rPr>
          <w:sz w:val="24"/>
          <w:szCs w:val="24"/>
        </w:rPr>
        <w:t xml:space="preserve"> and </w:t>
      </w:r>
      <w:r w:rsidR="004F47AB">
        <w:rPr>
          <w:sz w:val="24"/>
          <w:szCs w:val="24"/>
        </w:rPr>
        <w:t>SSHS</w:t>
      </w:r>
      <w:r w:rsidRPr="00A72BA2">
        <w:rPr>
          <w:sz w:val="24"/>
          <w:szCs w:val="24"/>
        </w:rPr>
        <w:t xml:space="preserve"> MRI patient populations. </w:t>
      </w:r>
      <w:r w:rsidR="00073588">
        <w:rPr>
          <w:sz w:val="24"/>
          <w:szCs w:val="24"/>
        </w:rPr>
        <w:t xml:space="preserve">Commercial payers </w:t>
      </w:r>
      <w:r w:rsidR="008004CF">
        <w:rPr>
          <w:sz w:val="24"/>
          <w:szCs w:val="24"/>
        </w:rPr>
        <w:t>are</w:t>
      </w:r>
      <w:r w:rsidR="00073588">
        <w:rPr>
          <w:sz w:val="24"/>
          <w:szCs w:val="24"/>
        </w:rPr>
        <w:t xml:space="preserve"> the primary payer source for SSHS patients and SSHS MRI patients, followed by Medicare. </w:t>
      </w:r>
    </w:p>
    <w:p w14:paraId="19AE4E75" w14:textId="60B7A77F" w:rsidR="00902DED" w:rsidRPr="0060112A" w:rsidRDefault="00902DED" w:rsidP="00C75E2D">
      <w:pPr>
        <w:pStyle w:val="Caption"/>
        <w:jc w:val="center"/>
        <w:rPr>
          <w:b/>
          <w:bCs/>
          <w:i w:val="0"/>
          <w:iCs w:val="0"/>
          <w:color w:val="auto"/>
          <w:sz w:val="24"/>
          <w:szCs w:val="24"/>
        </w:rPr>
      </w:pPr>
      <w:r w:rsidRPr="0060112A">
        <w:rPr>
          <w:b/>
          <w:bCs/>
          <w:i w:val="0"/>
          <w:iCs w:val="0"/>
          <w:color w:val="auto"/>
          <w:sz w:val="24"/>
          <w:szCs w:val="24"/>
        </w:rPr>
        <w:t xml:space="preserve">Table </w:t>
      </w:r>
      <w:r w:rsidR="00105E82">
        <w:rPr>
          <w:b/>
          <w:bCs/>
          <w:i w:val="0"/>
          <w:iCs w:val="0"/>
          <w:color w:val="auto"/>
          <w:sz w:val="24"/>
          <w:szCs w:val="24"/>
        </w:rPr>
        <w:t>3</w:t>
      </w:r>
      <w:r w:rsidRPr="0060112A">
        <w:rPr>
          <w:b/>
          <w:bCs/>
          <w:i w:val="0"/>
          <w:iCs w:val="0"/>
          <w:color w:val="auto"/>
          <w:sz w:val="24"/>
          <w:szCs w:val="24"/>
        </w:rPr>
        <w:t>: Payer Mix and APM Contracts</w:t>
      </w:r>
    </w:p>
    <w:tbl>
      <w:tblPr>
        <w:tblStyle w:val="TableGrid"/>
        <w:tblW w:w="0" w:type="auto"/>
        <w:jc w:val="center"/>
        <w:tblLook w:val="04A0" w:firstRow="1" w:lastRow="0" w:firstColumn="1" w:lastColumn="0" w:noHBand="0" w:noVBand="1"/>
        <w:tblCaption w:val="Table 3: Payer Mix and APM Contracts"/>
        <w:tblDescription w:val=" SSHS patients  SSHS MRI patients&#10;Payer Mix  &#10;Commercial&#10;PPO/Indemnity&#10;HMO/POS&#10;MassHealth&#10;Managed Medicaid&#10;Commercial Medicare&#10;Medicare FFS&#10;All Other&#10;Total &#10;&#10;16.8%&#10;31.3%&#10;2.8%&#10;2.0%&#10;8.6%&#10;31.1%&#10;7.4%&#10;100% &#10;&#10;21.55%&#10;30.65%&#10;1.88%&#10;1.15%&#10;9.52%&#10;35.04%&#10;0.21%&#10;100%&#10;APM Contract Percentages&#10;ACO and APM Contracts&#10;Non-ACO and Non-APM Contracts&#10;Total &#10;3.4%&#10;96.6%&#10;100% &#10;4.4%&#10;95.6%&#10;100%&#10;"/>
      </w:tblPr>
      <w:tblGrid>
        <w:gridCol w:w="3551"/>
        <w:gridCol w:w="1468"/>
        <w:gridCol w:w="1894"/>
      </w:tblGrid>
      <w:tr w:rsidR="00902DED" w:rsidRPr="005A7598" w14:paraId="0A0BC667" w14:textId="77777777" w:rsidTr="0057267F">
        <w:trPr>
          <w:tblHeader/>
          <w:jc w:val="center"/>
        </w:trPr>
        <w:tc>
          <w:tcPr>
            <w:tcW w:w="0" w:type="auto"/>
          </w:tcPr>
          <w:p w14:paraId="33A76DDF" w14:textId="77777777" w:rsidR="00902DED" w:rsidRPr="005A7598" w:rsidRDefault="00902DED" w:rsidP="002A3098">
            <w:pPr>
              <w:contextualSpacing/>
              <w:rPr>
                <w:rFonts w:cstheme="minorHAnsi"/>
              </w:rPr>
            </w:pPr>
          </w:p>
        </w:tc>
        <w:tc>
          <w:tcPr>
            <w:tcW w:w="0" w:type="auto"/>
            <w:shd w:val="clear" w:color="auto" w:fill="F2F2F2" w:themeFill="background1" w:themeFillShade="F2"/>
          </w:tcPr>
          <w:p w14:paraId="392EC2E1" w14:textId="77777777" w:rsidR="00902DED" w:rsidRPr="005A7598" w:rsidRDefault="00902DED" w:rsidP="002A3098">
            <w:pPr>
              <w:contextualSpacing/>
              <w:rPr>
                <w:rFonts w:cstheme="minorHAnsi"/>
                <w:b/>
              </w:rPr>
            </w:pPr>
            <w:r w:rsidRPr="005A7598">
              <w:rPr>
                <w:rFonts w:cstheme="minorHAnsi"/>
                <w:b/>
              </w:rPr>
              <w:t>SSHS</w:t>
            </w:r>
            <w:r>
              <w:rPr>
                <w:rFonts w:cstheme="minorHAnsi"/>
                <w:b/>
              </w:rPr>
              <w:t xml:space="preserve"> patients </w:t>
            </w:r>
          </w:p>
        </w:tc>
        <w:tc>
          <w:tcPr>
            <w:tcW w:w="0" w:type="auto"/>
            <w:shd w:val="clear" w:color="auto" w:fill="F2F2F2" w:themeFill="background1" w:themeFillShade="F2"/>
          </w:tcPr>
          <w:p w14:paraId="51F6F46C" w14:textId="77777777" w:rsidR="00902DED" w:rsidRPr="005A7598" w:rsidRDefault="00902DED" w:rsidP="002A3098">
            <w:pPr>
              <w:contextualSpacing/>
              <w:rPr>
                <w:rFonts w:cstheme="minorHAnsi"/>
                <w:b/>
              </w:rPr>
            </w:pPr>
            <w:r>
              <w:rPr>
                <w:rFonts w:cstheme="minorHAnsi"/>
                <w:b/>
              </w:rPr>
              <w:t>SSHS MRI patients</w:t>
            </w:r>
          </w:p>
        </w:tc>
      </w:tr>
      <w:tr w:rsidR="00902DED" w:rsidRPr="005A7598" w14:paraId="722DD8B6" w14:textId="77777777" w:rsidTr="00100E92">
        <w:trPr>
          <w:jc w:val="center"/>
        </w:trPr>
        <w:tc>
          <w:tcPr>
            <w:tcW w:w="0" w:type="auto"/>
          </w:tcPr>
          <w:p w14:paraId="463F1CFC" w14:textId="77777777" w:rsidR="00902DED" w:rsidRPr="005A7598" w:rsidRDefault="00902DED" w:rsidP="002A3098">
            <w:pPr>
              <w:contextualSpacing/>
              <w:rPr>
                <w:rFonts w:cstheme="minorHAnsi"/>
                <w:b/>
              </w:rPr>
            </w:pPr>
            <w:r w:rsidRPr="005A7598">
              <w:rPr>
                <w:rFonts w:cstheme="minorHAnsi"/>
                <w:b/>
              </w:rPr>
              <w:t xml:space="preserve">Payer Mix  </w:t>
            </w:r>
          </w:p>
          <w:p w14:paraId="7E47DCB7" w14:textId="77777777" w:rsidR="00902DED" w:rsidRPr="005A7598" w:rsidRDefault="00902DED" w:rsidP="002A3098">
            <w:pPr>
              <w:ind w:left="288"/>
              <w:contextualSpacing/>
              <w:rPr>
                <w:rFonts w:cstheme="minorHAnsi"/>
              </w:rPr>
            </w:pPr>
            <w:r w:rsidRPr="005A7598">
              <w:rPr>
                <w:rFonts w:cstheme="minorHAnsi"/>
              </w:rPr>
              <w:t>Commercial</w:t>
            </w:r>
          </w:p>
          <w:p w14:paraId="25EB4B46" w14:textId="77777777" w:rsidR="00902DED" w:rsidRPr="005A7598" w:rsidRDefault="00902DED" w:rsidP="002A3098">
            <w:pPr>
              <w:ind w:left="432"/>
              <w:contextualSpacing/>
              <w:rPr>
                <w:rFonts w:cstheme="minorHAnsi"/>
              </w:rPr>
            </w:pPr>
            <w:r w:rsidRPr="005A7598">
              <w:rPr>
                <w:rFonts w:cstheme="minorHAnsi"/>
              </w:rPr>
              <w:t>PPO/Indemnity</w:t>
            </w:r>
          </w:p>
          <w:p w14:paraId="4EB37A65" w14:textId="77777777" w:rsidR="00902DED" w:rsidRPr="005A7598" w:rsidRDefault="00902DED" w:rsidP="002A3098">
            <w:pPr>
              <w:ind w:left="432"/>
              <w:contextualSpacing/>
              <w:rPr>
                <w:rFonts w:cstheme="minorHAnsi"/>
              </w:rPr>
            </w:pPr>
            <w:r w:rsidRPr="005A7598">
              <w:rPr>
                <w:rFonts w:cstheme="minorHAnsi"/>
              </w:rPr>
              <w:t>HMO/POS</w:t>
            </w:r>
          </w:p>
          <w:p w14:paraId="566B56D9" w14:textId="77777777" w:rsidR="00902DED" w:rsidRPr="005A7598" w:rsidRDefault="00902DED" w:rsidP="002A3098">
            <w:pPr>
              <w:ind w:left="288"/>
              <w:contextualSpacing/>
              <w:rPr>
                <w:rFonts w:cstheme="minorHAnsi"/>
              </w:rPr>
            </w:pPr>
            <w:r w:rsidRPr="005A7598">
              <w:rPr>
                <w:rFonts w:cstheme="minorHAnsi"/>
              </w:rPr>
              <w:t>MassHealth</w:t>
            </w:r>
          </w:p>
          <w:p w14:paraId="6EEF9AB8" w14:textId="77777777" w:rsidR="00902DED" w:rsidRPr="005A7598" w:rsidRDefault="00902DED" w:rsidP="002A3098">
            <w:pPr>
              <w:ind w:left="288"/>
              <w:contextualSpacing/>
              <w:rPr>
                <w:rFonts w:cstheme="minorHAnsi"/>
              </w:rPr>
            </w:pPr>
            <w:r w:rsidRPr="005A7598">
              <w:rPr>
                <w:rFonts w:cstheme="minorHAnsi"/>
              </w:rPr>
              <w:t>Managed Medicaid</w:t>
            </w:r>
          </w:p>
          <w:p w14:paraId="790F8784" w14:textId="77777777" w:rsidR="00902DED" w:rsidRPr="005A7598" w:rsidRDefault="00902DED" w:rsidP="002A3098">
            <w:pPr>
              <w:ind w:left="288"/>
              <w:contextualSpacing/>
              <w:rPr>
                <w:rFonts w:cstheme="minorHAnsi"/>
              </w:rPr>
            </w:pPr>
            <w:r w:rsidRPr="005A7598">
              <w:rPr>
                <w:rFonts w:cstheme="minorHAnsi"/>
              </w:rPr>
              <w:t>Commercial Medicare</w:t>
            </w:r>
          </w:p>
          <w:p w14:paraId="63CECAC3" w14:textId="77777777" w:rsidR="00902DED" w:rsidRPr="005A7598" w:rsidRDefault="00902DED" w:rsidP="002A3098">
            <w:pPr>
              <w:ind w:left="288"/>
              <w:contextualSpacing/>
              <w:rPr>
                <w:rFonts w:cstheme="minorHAnsi"/>
              </w:rPr>
            </w:pPr>
            <w:r w:rsidRPr="005A7598">
              <w:rPr>
                <w:rFonts w:cstheme="minorHAnsi"/>
              </w:rPr>
              <w:t>Medicare FFS</w:t>
            </w:r>
          </w:p>
          <w:p w14:paraId="7B7FEBD3" w14:textId="77777777" w:rsidR="00902DED" w:rsidRDefault="00902DED" w:rsidP="002A3098">
            <w:pPr>
              <w:ind w:left="288"/>
              <w:contextualSpacing/>
              <w:rPr>
                <w:rFonts w:cstheme="minorHAnsi"/>
              </w:rPr>
            </w:pPr>
            <w:r w:rsidRPr="005A7598">
              <w:rPr>
                <w:rFonts w:cstheme="minorHAnsi"/>
              </w:rPr>
              <w:t>All Other</w:t>
            </w:r>
          </w:p>
          <w:p w14:paraId="0F4585C4" w14:textId="6731D920" w:rsidR="002E78CF" w:rsidRPr="005A7598" w:rsidRDefault="002E78CF" w:rsidP="002A3098">
            <w:pPr>
              <w:ind w:left="288"/>
              <w:contextualSpacing/>
              <w:rPr>
                <w:rFonts w:cstheme="minorHAnsi"/>
                <w:b/>
              </w:rPr>
            </w:pPr>
            <w:r>
              <w:rPr>
                <w:rFonts w:cstheme="minorHAnsi"/>
                <w:b/>
              </w:rPr>
              <w:t>Total</w:t>
            </w:r>
          </w:p>
        </w:tc>
        <w:tc>
          <w:tcPr>
            <w:tcW w:w="0" w:type="auto"/>
          </w:tcPr>
          <w:p w14:paraId="79296B65" w14:textId="77777777" w:rsidR="00902DED" w:rsidRPr="005A7598" w:rsidRDefault="00902DED" w:rsidP="002A3098">
            <w:pPr>
              <w:contextualSpacing/>
              <w:rPr>
                <w:rFonts w:cstheme="minorHAnsi"/>
              </w:rPr>
            </w:pPr>
          </w:p>
          <w:p w14:paraId="4509EE90" w14:textId="77777777" w:rsidR="00902DED" w:rsidRPr="005A7598" w:rsidRDefault="00902DED" w:rsidP="002A3098">
            <w:pPr>
              <w:contextualSpacing/>
              <w:rPr>
                <w:rFonts w:cstheme="minorHAnsi"/>
              </w:rPr>
            </w:pPr>
          </w:p>
          <w:p w14:paraId="2911E14E" w14:textId="77777777" w:rsidR="00902DED" w:rsidRPr="005A7598" w:rsidRDefault="00902DED" w:rsidP="002A3098">
            <w:pPr>
              <w:contextualSpacing/>
              <w:rPr>
                <w:rFonts w:cstheme="minorHAnsi"/>
              </w:rPr>
            </w:pPr>
            <w:r w:rsidRPr="005A7598">
              <w:rPr>
                <w:rFonts w:cstheme="minorHAnsi"/>
              </w:rPr>
              <w:t>16.8%</w:t>
            </w:r>
          </w:p>
          <w:p w14:paraId="2DFD42C1" w14:textId="77777777" w:rsidR="00902DED" w:rsidRPr="005A7598" w:rsidRDefault="00902DED" w:rsidP="002A3098">
            <w:pPr>
              <w:contextualSpacing/>
              <w:rPr>
                <w:rFonts w:cstheme="minorHAnsi"/>
              </w:rPr>
            </w:pPr>
            <w:r w:rsidRPr="005A7598">
              <w:rPr>
                <w:rFonts w:cstheme="minorHAnsi"/>
              </w:rPr>
              <w:t>31.3%</w:t>
            </w:r>
          </w:p>
          <w:p w14:paraId="67F6C2A6" w14:textId="77777777" w:rsidR="00902DED" w:rsidRPr="005A7598" w:rsidRDefault="00902DED" w:rsidP="002A3098">
            <w:pPr>
              <w:contextualSpacing/>
              <w:rPr>
                <w:rFonts w:cstheme="minorHAnsi"/>
              </w:rPr>
            </w:pPr>
            <w:r w:rsidRPr="005A7598">
              <w:rPr>
                <w:rFonts w:cstheme="minorHAnsi"/>
              </w:rPr>
              <w:t>2.8%</w:t>
            </w:r>
          </w:p>
          <w:p w14:paraId="009640A9" w14:textId="77777777" w:rsidR="00902DED" w:rsidRPr="005A7598" w:rsidRDefault="00902DED" w:rsidP="002A3098">
            <w:pPr>
              <w:contextualSpacing/>
              <w:rPr>
                <w:rFonts w:cstheme="minorHAnsi"/>
              </w:rPr>
            </w:pPr>
            <w:r w:rsidRPr="005A7598">
              <w:rPr>
                <w:rFonts w:cstheme="minorHAnsi"/>
              </w:rPr>
              <w:t>2.0%</w:t>
            </w:r>
          </w:p>
          <w:p w14:paraId="1F3B4B85" w14:textId="77777777" w:rsidR="00902DED" w:rsidRPr="005A7598" w:rsidRDefault="00902DED" w:rsidP="002A3098">
            <w:pPr>
              <w:contextualSpacing/>
              <w:rPr>
                <w:rFonts w:cstheme="minorHAnsi"/>
              </w:rPr>
            </w:pPr>
            <w:r w:rsidRPr="005A7598">
              <w:rPr>
                <w:rFonts w:cstheme="minorHAnsi"/>
              </w:rPr>
              <w:t>8.6%</w:t>
            </w:r>
          </w:p>
          <w:p w14:paraId="40CCE2AB" w14:textId="77777777" w:rsidR="00902DED" w:rsidRPr="005A7598" w:rsidRDefault="00902DED" w:rsidP="002A3098">
            <w:pPr>
              <w:contextualSpacing/>
              <w:rPr>
                <w:rFonts w:cstheme="minorHAnsi"/>
              </w:rPr>
            </w:pPr>
            <w:r w:rsidRPr="005A7598">
              <w:rPr>
                <w:rFonts w:cstheme="minorHAnsi"/>
              </w:rPr>
              <w:t>31.1%</w:t>
            </w:r>
          </w:p>
          <w:p w14:paraId="4E2C418D" w14:textId="77777777" w:rsidR="00902DED" w:rsidRDefault="00902DED" w:rsidP="002A3098">
            <w:pPr>
              <w:contextualSpacing/>
              <w:rPr>
                <w:rFonts w:cstheme="minorHAnsi"/>
              </w:rPr>
            </w:pPr>
            <w:r w:rsidRPr="005A7598">
              <w:rPr>
                <w:rFonts w:cstheme="minorHAnsi"/>
              </w:rPr>
              <w:t>7.4%</w:t>
            </w:r>
          </w:p>
          <w:p w14:paraId="0F2085B1" w14:textId="101A2D64" w:rsidR="002E78CF" w:rsidRPr="002E78CF" w:rsidRDefault="002E78CF" w:rsidP="002A3098">
            <w:pPr>
              <w:contextualSpacing/>
              <w:rPr>
                <w:rFonts w:cstheme="minorHAnsi"/>
                <w:b/>
                <w:bCs/>
              </w:rPr>
            </w:pPr>
            <w:r w:rsidRPr="002E78CF">
              <w:rPr>
                <w:rFonts w:cstheme="minorHAnsi"/>
                <w:b/>
                <w:bCs/>
              </w:rPr>
              <w:t>100%</w:t>
            </w:r>
          </w:p>
        </w:tc>
        <w:tc>
          <w:tcPr>
            <w:tcW w:w="0" w:type="auto"/>
          </w:tcPr>
          <w:p w14:paraId="54221899" w14:textId="77777777" w:rsidR="00902DED" w:rsidRDefault="00902DED" w:rsidP="002A3098">
            <w:pPr>
              <w:contextualSpacing/>
              <w:rPr>
                <w:rFonts w:cstheme="minorHAnsi"/>
              </w:rPr>
            </w:pPr>
          </w:p>
          <w:p w14:paraId="6D0B76E6" w14:textId="77777777" w:rsidR="00744A90" w:rsidRDefault="00744A90" w:rsidP="002A3098">
            <w:pPr>
              <w:contextualSpacing/>
              <w:rPr>
                <w:rFonts w:cstheme="minorHAnsi"/>
              </w:rPr>
            </w:pPr>
          </w:p>
          <w:p w14:paraId="4746887E" w14:textId="77777777" w:rsidR="00261AD6" w:rsidRDefault="006961A6" w:rsidP="006961A6">
            <w:pPr>
              <w:contextualSpacing/>
              <w:rPr>
                <w:rFonts w:cstheme="minorHAnsi"/>
              </w:rPr>
            </w:pPr>
            <w:r>
              <w:rPr>
                <w:rFonts w:cstheme="minorHAnsi"/>
              </w:rPr>
              <w:t>21.55%</w:t>
            </w:r>
          </w:p>
          <w:p w14:paraId="5894A1EF" w14:textId="77777777" w:rsidR="006961A6" w:rsidRDefault="006961A6" w:rsidP="006961A6">
            <w:pPr>
              <w:contextualSpacing/>
              <w:rPr>
                <w:rFonts w:cstheme="minorHAnsi"/>
              </w:rPr>
            </w:pPr>
            <w:r>
              <w:rPr>
                <w:rFonts w:cstheme="minorHAnsi"/>
              </w:rPr>
              <w:t>30.65%</w:t>
            </w:r>
          </w:p>
          <w:p w14:paraId="293F3C50" w14:textId="77777777" w:rsidR="006961A6" w:rsidRDefault="006961A6" w:rsidP="006961A6">
            <w:pPr>
              <w:contextualSpacing/>
              <w:rPr>
                <w:rFonts w:cstheme="minorHAnsi"/>
              </w:rPr>
            </w:pPr>
            <w:r>
              <w:rPr>
                <w:rFonts w:cstheme="minorHAnsi"/>
              </w:rPr>
              <w:t>1.88%</w:t>
            </w:r>
          </w:p>
          <w:p w14:paraId="4C3E6A9C" w14:textId="77777777" w:rsidR="006961A6" w:rsidRDefault="006961A6" w:rsidP="006961A6">
            <w:pPr>
              <w:contextualSpacing/>
              <w:rPr>
                <w:rFonts w:cstheme="minorHAnsi"/>
              </w:rPr>
            </w:pPr>
            <w:r>
              <w:rPr>
                <w:rFonts w:cstheme="minorHAnsi"/>
              </w:rPr>
              <w:t>1.15%</w:t>
            </w:r>
          </w:p>
          <w:p w14:paraId="4C1C2674" w14:textId="77777777" w:rsidR="006961A6" w:rsidRDefault="006961A6" w:rsidP="006961A6">
            <w:pPr>
              <w:contextualSpacing/>
              <w:rPr>
                <w:rFonts w:cstheme="minorHAnsi"/>
              </w:rPr>
            </w:pPr>
            <w:r>
              <w:rPr>
                <w:rFonts w:cstheme="minorHAnsi"/>
              </w:rPr>
              <w:t>9.52%</w:t>
            </w:r>
          </w:p>
          <w:p w14:paraId="71ADD7EC" w14:textId="77777777" w:rsidR="006961A6" w:rsidRDefault="006961A6" w:rsidP="006961A6">
            <w:pPr>
              <w:contextualSpacing/>
              <w:rPr>
                <w:rFonts w:cstheme="minorHAnsi"/>
              </w:rPr>
            </w:pPr>
            <w:r>
              <w:rPr>
                <w:rFonts w:cstheme="minorHAnsi"/>
              </w:rPr>
              <w:t>35.04%</w:t>
            </w:r>
          </w:p>
          <w:p w14:paraId="4921485B" w14:textId="77777777" w:rsidR="006961A6" w:rsidRDefault="006961A6" w:rsidP="006961A6">
            <w:pPr>
              <w:contextualSpacing/>
              <w:rPr>
                <w:rFonts w:cstheme="minorHAnsi"/>
              </w:rPr>
            </w:pPr>
            <w:r>
              <w:rPr>
                <w:rFonts w:cstheme="minorHAnsi"/>
              </w:rPr>
              <w:t>0.21%</w:t>
            </w:r>
          </w:p>
          <w:p w14:paraId="1403D5CD" w14:textId="6833FC67" w:rsidR="002E78CF" w:rsidRPr="002E78CF" w:rsidRDefault="002E78CF" w:rsidP="006961A6">
            <w:pPr>
              <w:contextualSpacing/>
              <w:rPr>
                <w:rFonts w:cstheme="minorHAnsi"/>
                <w:b/>
                <w:bCs/>
              </w:rPr>
            </w:pPr>
            <w:r w:rsidRPr="002E78CF">
              <w:rPr>
                <w:rFonts w:cstheme="minorHAnsi"/>
                <w:b/>
                <w:bCs/>
              </w:rPr>
              <w:t>100%</w:t>
            </w:r>
          </w:p>
        </w:tc>
      </w:tr>
      <w:tr w:rsidR="00902DED" w:rsidRPr="005A7598" w14:paraId="08B8C2E5" w14:textId="77777777" w:rsidTr="00100E92">
        <w:trPr>
          <w:jc w:val="center"/>
        </w:trPr>
        <w:tc>
          <w:tcPr>
            <w:tcW w:w="0" w:type="auto"/>
          </w:tcPr>
          <w:p w14:paraId="63DFA3A5" w14:textId="77777777" w:rsidR="00902DED" w:rsidRPr="005A7598" w:rsidRDefault="00902DED" w:rsidP="002A3098">
            <w:pPr>
              <w:contextualSpacing/>
              <w:rPr>
                <w:rFonts w:cstheme="minorHAnsi"/>
                <w:b/>
              </w:rPr>
            </w:pPr>
            <w:r w:rsidRPr="005A7598">
              <w:rPr>
                <w:rFonts w:cstheme="minorHAnsi"/>
                <w:b/>
              </w:rPr>
              <w:t>APM Contract Percentages</w:t>
            </w:r>
          </w:p>
          <w:p w14:paraId="1595CF94" w14:textId="77777777" w:rsidR="00902DED" w:rsidRPr="005A7598" w:rsidRDefault="00902DED" w:rsidP="002A3098">
            <w:pPr>
              <w:ind w:left="288"/>
              <w:contextualSpacing/>
              <w:rPr>
                <w:rFonts w:cstheme="minorHAnsi"/>
                <w:bCs/>
              </w:rPr>
            </w:pPr>
            <w:r w:rsidRPr="005A7598">
              <w:rPr>
                <w:rFonts w:cstheme="minorHAnsi"/>
                <w:bCs/>
              </w:rPr>
              <w:t>ACO and APM Contracts</w:t>
            </w:r>
          </w:p>
          <w:p w14:paraId="28D8601F" w14:textId="77777777" w:rsidR="00902DED" w:rsidRDefault="00902DED" w:rsidP="002A3098">
            <w:pPr>
              <w:ind w:left="288"/>
              <w:contextualSpacing/>
              <w:rPr>
                <w:rFonts w:cstheme="minorHAnsi"/>
                <w:bCs/>
              </w:rPr>
            </w:pPr>
            <w:r w:rsidRPr="005A7598">
              <w:rPr>
                <w:rFonts w:cstheme="minorHAnsi"/>
                <w:bCs/>
              </w:rPr>
              <w:t>Non-ACO and Non-APM Contracts</w:t>
            </w:r>
          </w:p>
          <w:p w14:paraId="2F49240D" w14:textId="41B7BE48" w:rsidR="002E78CF" w:rsidRPr="005A7598" w:rsidRDefault="002E78CF" w:rsidP="002A3098">
            <w:pPr>
              <w:ind w:left="288"/>
              <w:contextualSpacing/>
              <w:rPr>
                <w:rFonts w:cstheme="minorHAnsi"/>
                <w:b/>
              </w:rPr>
            </w:pPr>
            <w:r>
              <w:rPr>
                <w:rFonts w:cstheme="minorHAnsi"/>
                <w:b/>
                <w:bCs/>
              </w:rPr>
              <w:t>Total</w:t>
            </w:r>
          </w:p>
        </w:tc>
        <w:tc>
          <w:tcPr>
            <w:tcW w:w="0" w:type="auto"/>
          </w:tcPr>
          <w:p w14:paraId="23F8E4E9" w14:textId="77777777" w:rsidR="00902DED" w:rsidRPr="005A7598" w:rsidRDefault="00902DED" w:rsidP="002A3098">
            <w:pPr>
              <w:contextualSpacing/>
              <w:rPr>
                <w:rFonts w:cstheme="minorHAnsi"/>
              </w:rPr>
            </w:pPr>
          </w:p>
          <w:p w14:paraId="1E727E7C" w14:textId="77777777" w:rsidR="00902DED" w:rsidRPr="005A7598" w:rsidRDefault="00902DED" w:rsidP="002A3098">
            <w:pPr>
              <w:contextualSpacing/>
              <w:rPr>
                <w:rFonts w:cstheme="minorHAnsi"/>
              </w:rPr>
            </w:pPr>
            <w:r w:rsidRPr="005A7598">
              <w:rPr>
                <w:rFonts w:cstheme="minorHAnsi"/>
              </w:rPr>
              <w:t>3.4%</w:t>
            </w:r>
          </w:p>
          <w:p w14:paraId="765A7AC1" w14:textId="77777777" w:rsidR="00902DED" w:rsidRDefault="00902DED" w:rsidP="002A3098">
            <w:pPr>
              <w:contextualSpacing/>
              <w:rPr>
                <w:rFonts w:cstheme="minorHAnsi"/>
              </w:rPr>
            </w:pPr>
            <w:r w:rsidRPr="005A7598">
              <w:rPr>
                <w:rFonts w:cstheme="minorHAnsi"/>
              </w:rPr>
              <w:t>96.6%</w:t>
            </w:r>
          </w:p>
          <w:p w14:paraId="296B2B99" w14:textId="750CD5B2" w:rsidR="002E78CF" w:rsidRPr="002E78CF" w:rsidRDefault="002E78CF" w:rsidP="002A3098">
            <w:pPr>
              <w:contextualSpacing/>
              <w:rPr>
                <w:rFonts w:cstheme="minorHAnsi"/>
                <w:b/>
                <w:bCs/>
              </w:rPr>
            </w:pPr>
            <w:r w:rsidRPr="002E78CF">
              <w:rPr>
                <w:rFonts w:cstheme="minorHAnsi"/>
                <w:b/>
                <w:bCs/>
              </w:rPr>
              <w:t>100%</w:t>
            </w:r>
          </w:p>
        </w:tc>
        <w:tc>
          <w:tcPr>
            <w:tcW w:w="0" w:type="auto"/>
          </w:tcPr>
          <w:p w14:paraId="0F744A2D" w14:textId="4F685880" w:rsidR="00902DED" w:rsidRDefault="00902DED" w:rsidP="002A3098">
            <w:pPr>
              <w:contextualSpacing/>
              <w:rPr>
                <w:rFonts w:cstheme="minorHAnsi"/>
              </w:rPr>
            </w:pPr>
          </w:p>
          <w:p w14:paraId="7CED3DE0" w14:textId="346BAD17" w:rsidR="00261AD6" w:rsidRDefault="00261AD6" w:rsidP="002A3098">
            <w:pPr>
              <w:contextualSpacing/>
              <w:rPr>
                <w:rFonts w:cstheme="minorHAnsi"/>
              </w:rPr>
            </w:pPr>
            <w:r>
              <w:rPr>
                <w:rFonts w:cstheme="minorHAnsi"/>
              </w:rPr>
              <w:t>4.4%</w:t>
            </w:r>
          </w:p>
          <w:p w14:paraId="620F3D19" w14:textId="086F124A" w:rsidR="00902DED" w:rsidRDefault="00261AD6" w:rsidP="002A3098">
            <w:pPr>
              <w:contextualSpacing/>
              <w:rPr>
                <w:rFonts w:cstheme="minorHAnsi"/>
              </w:rPr>
            </w:pPr>
            <w:r>
              <w:rPr>
                <w:rFonts w:cstheme="minorHAnsi"/>
              </w:rPr>
              <w:t>95.6%</w:t>
            </w:r>
          </w:p>
          <w:p w14:paraId="7B4E5FA9" w14:textId="44DA91DA" w:rsidR="002E78CF" w:rsidRPr="002E78CF" w:rsidRDefault="002E78CF" w:rsidP="002A3098">
            <w:pPr>
              <w:contextualSpacing/>
              <w:rPr>
                <w:rFonts w:cstheme="minorHAnsi"/>
                <w:b/>
                <w:bCs/>
              </w:rPr>
            </w:pPr>
            <w:r w:rsidRPr="002E78CF">
              <w:rPr>
                <w:rFonts w:cstheme="minorHAnsi"/>
                <w:b/>
                <w:bCs/>
              </w:rPr>
              <w:t>100%</w:t>
            </w:r>
          </w:p>
        </w:tc>
      </w:tr>
    </w:tbl>
    <w:p w14:paraId="5CDDFD24" w14:textId="353AFB96" w:rsidR="00902DED" w:rsidRDefault="00902DED">
      <w:pPr>
        <w:rPr>
          <w:b/>
          <w:bCs/>
          <w:sz w:val="28"/>
          <w:szCs w:val="28"/>
        </w:rPr>
      </w:pPr>
    </w:p>
    <w:p w14:paraId="7FCD2EEA" w14:textId="77777777" w:rsidR="00F67AA2" w:rsidRDefault="00F67AA2">
      <w:pPr>
        <w:rPr>
          <w:b/>
          <w:bCs/>
          <w:sz w:val="28"/>
          <w:szCs w:val="28"/>
        </w:rPr>
      </w:pPr>
      <w:r w:rsidRPr="00F67AA2">
        <w:rPr>
          <w:b/>
          <w:bCs/>
          <w:sz w:val="28"/>
          <w:szCs w:val="28"/>
        </w:rPr>
        <w:t>Factor 1: a) Patient Panel Need</w:t>
      </w:r>
    </w:p>
    <w:p w14:paraId="6B85FB2D" w14:textId="1B874939" w:rsidR="007E5143" w:rsidRDefault="00BF0F02">
      <w:pPr>
        <w:rPr>
          <w:sz w:val="24"/>
          <w:szCs w:val="24"/>
        </w:rPr>
      </w:pPr>
      <w:r>
        <w:rPr>
          <w:sz w:val="24"/>
          <w:szCs w:val="24"/>
        </w:rPr>
        <w:t>The Applicant attributes Patient Panel need for expanded access to MR imaging to the following:</w:t>
      </w:r>
    </w:p>
    <w:p w14:paraId="54825050" w14:textId="0CE8A5EF" w:rsidR="00CB6880" w:rsidRDefault="00DE7CA5" w:rsidP="002D6EBF">
      <w:pPr>
        <w:pStyle w:val="ListParagraph"/>
        <w:numPr>
          <w:ilvl w:val="0"/>
          <w:numId w:val="2"/>
        </w:numPr>
        <w:spacing w:line="240" w:lineRule="auto"/>
        <w:rPr>
          <w:sz w:val="24"/>
          <w:szCs w:val="24"/>
        </w:rPr>
      </w:pPr>
      <w:r>
        <w:rPr>
          <w:sz w:val="24"/>
          <w:szCs w:val="24"/>
        </w:rPr>
        <w:t>Need to a</w:t>
      </w:r>
      <w:r w:rsidR="008028A4">
        <w:rPr>
          <w:sz w:val="24"/>
          <w:szCs w:val="24"/>
        </w:rPr>
        <w:t>ddress capacity constraints to r</w:t>
      </w:r>
      <w:r w:rsidR="00BF0F02">
        <w:rPr>
          <w:sz w:val="24"/>
          <w:szCs w:val="24"/>
        </w:rPr>
        <w:t>educ</w:t>
      </w:r>
      <w:r w:rsidR="002809E6">
        <w:rPr>
          <w:sz w:val="24"/>
          <w:szCs w:val="24"/>
        </w:rPr>
        <w:t>e</w:t>
      </w:r>
      <w:r w:rsidR="00BF0F02">
        <w:rPr>
          <w:sz w:val="24"/>
          <w:szCs w:val="24"/>
        </w:rPr>
        <w:t xml:space="preserve"> </w:t>
      </w:r>
      <w:r w:rsidR="00CB6880">
        <w:rPr>
          <w:sz w:val="24"/>
          <w:szCs w:val="24"/>
        </w:rPr>
        <w:t>delays in access to imaging</w:t>
      </w:r>
      <w:r w:rsidR="002809E6">
        <w:rPr>
          <w:sz w:val="24"/>
          <w:szCs w:val="24"/>
        </w:rPr>
        <w:t xml:space="preserve"> at SSH</w:t>
      </w:r>
    </w:p>
    <w:p w14:paraId="64DA847E" w14:textId="446B4484" w:rsidR="008028A4" w:rsidRDefault="008028A4" w:rsidP="002D6EBF">
      <w:pPr>
        <w:pStyle w:val="ListParagraph"/>
        <w:numPr>
          <w:ilvl w:val="0"/>
          <w:numId w:val="2"/>
        </w:numPr>
        <w:spacing w:line="240" w:lineRule="auto"/>
        <w:rPr>
          <w:sz w:val="24"/>
          <w:szCs w:val="24"/>
        </w:rPr>
      </w:pPr>
      <w:r>
        <w:rPr>
          <w:sz w:val="24"/>
          <w:szCs w:val="24"/>
        </w:rPr>
        <w:t>Need to increase types of scans performed at SSH</w:t>
      </w:r>
    </w:p>
    <w:p w14:paraId="0C637B94" w14:textId="736D00B4" w:rsidR="00CB6880" w:rsidRDefault="00CB6880" w:rsidP="002D6EBF">
      <w:pPr>
        <w:pStyle w:val="ListParagraph"/>
        <w:numPr>
          <w:ilvl w:val="0"/>
          <w:numId w:val="2"/>
        </w:numPr>
        <w:spacing w:line="240" w:lineRule="auto"/>
        <w:rPr>
          <w:sz w:val="24"/>
          <w:szCs w:val="24"/>
        </w:rPr>
      </w:pPr>
      <w:r>
        <w:rPr>
          <w:sz w:val="24"/>
          <w:szCs w:val="24"/>
        </w:rPr>
        <w:t xml:space="preserve">Need for expanded capacity to address increasing demand </w:t>
      </w:r>
      <w:r w:rsidR="00510D93">
        <w:rPr>
          <w:sz w:val="24"/>
          <w:szCs w:val="24"/>
        </w:rPr>
        <w:t>for MR</w:t>
      </w:r>
      <w:r w:rsidR="00AE2658">
        <w:rPr>
          <w:sz w:val="24"/>
          <w:szCs w:val="24"/>
        </w:rPr>
        <w:t xml:space="preserve"> imaging</w:t>
      </w:r>
    </w:p>
    <w:p w14:paraId="37C0FC5E" w14:textId="77777777" w:rsidR="0022469B" w:rsidRDefault="0022469B" w:rsidP="0022469B">
      <w:pPr>
        <w:pStyle w:val="ListParagraph"/>
        <w:spacing w:line="240" w:lineRule="auto"/>
        <w:rPr>
          <w:sz w:val="24"/>
          <w:szCs w:val="24"/>
        </w:rPr>
      </w:pPr>
    </w:p>
    <w:p w14:paraId="63ACA310" w14:textId="0043DFEF" w:rsidR="0001463A" w:rsidRDefault="0001463A" w:rsidP="002D6EBF">
      <w:pPr>
        <w:pStyle w:val="ListParagraph"/>
        <w:numPr>
          <w:ilvl w:val="0"/>
          <w:numId w:val="3"/>
        </w:numPr>
        <w:spacing w:line="240" w:lineRule="auto"/>
        <w:rPr>
          <w:b/>
          <w:bCs/>
          <w:sz w:val="24"/>
          <w:szCs w:val="24"/>
        </w:rPr>
      </w:pPr>
      <w:r w:rsidRPr="0001463A">
        <w:rPr>
          <w:b/>
          <w:bCs/>
          <w:sz w:val="24"/>
          <w:szCs w:val="24"/>
        </w:rPr>
        <w:t xml:space="preserve">Reducing </w:t>
      </w:r>
      <w:r w:rsidR="00CB6880">
        <w:rPr>
          <w:b/>
          <w:bCs/>
          <w:sz w:val="24"/>
          <w:szCs w:val="24"/>
        </w:rPr>
        <w:t>delays in access</w:t>
      </w:r>
      <w:r w:rsidRPr="0001463A">
        <w:rPr>
          <w:b/>
          <w:bCs/>
          <w:sz w:val="24"/>
          <w:szCs w:val="24"/>
        </w:rPr>
        <w:t xml:space="preserve"> </w:t>
      </w:r>
      <w:r w:rsidR="00CB6880">
        <w:rPr>
          <w:b/>
          <w:bCs/>
          <w:sz w:val="24"/>
          <w:szCs w:val="24"/>
        </w:rPr>
        <w:t>to</w:t>
      </w:r>
      <w:r w:rsidRPr="0001463A">
        <w:rPr>
          <w:b/>
          <w:bCs/>
          <w:sz w:val="24"/>
          <w:szCs w:val="24"/>
        </w:rPr>
        <w:t xml:space="preserve"> imaging</w:t>
      </w:r>
    </w:p>
    <w:p w14:paraId="46F28D72" w14:textId="6161BC1B" w:rsidR="00835613" w:rsidRPr="0001463A" w:rsidRDefault="00835613" w:rsidP="00344EFE">
      <w:pPr>
        <w:pStyle w:val="ListParagraph"/>
        <w:numPr>
          <w:ilvl w:val="1"/>
          <w:numId w:val="3"/>
        </w:numPr>
        <w:spacing w:line="240" w:lineRule="auto"/>
        <w:rPr>
          <w:b/>
          <w:bCs/>
          <w:sz w:val="24"/>
          <w:szCs w:val="24"/>
        </w:rPr>
      </w:pPr>
      <w:r>
        <w:rPr>
          <w:b/>
          <w:bCs/>
          <w:sz w:val="24"/>
          <w:szCs w:val="24"/>
        </w:rPr>
        <w:t>Background</w:t>
      </w:r>
    </w:p>
    <w:p w14:paraId="72D1A786" w14:textId="0485ACF0" w:rsidR="00321970" w:rsidRDefault="00981996" w:rsidP="00667357">
      <w:pPr>
        <w:spacing w:line="240" w:lineRule="auto"/>
        <w:rPr>
          <w:sz w:val="24"/>
          <w:szCs w:val="24"/>
        </w:rPr>
      </w:pPr>
      <w:r>
        <w:rPr>
          <w:sz w:val="24"/>
          <w:szCs w:val="24"/>
        </w:rPr>
        <w:t>South Shore Health System (SSHS)</w:t>
      </w:r>
      <w:r w:rsidR="00011D5C">
        <w:rPr>
          <w:sz w:val="24"/>
          <w:szCs w:val="24"/>
        </w:rPr>
        <w:t xml:space="preserve"> currently has three 1.5T MRI units </w:t>
      </w:r>
      <w:r w:rsidR="008A76FE">
        <w:rPr>
          <w:sz w:val="24"/>
          <w:szCs w:val="24"/>
        </w:rPr>
        <w:t xml:space="preserve">licensed to </w:t>
      </w:r>
      <w:r w:rsidR="003124DA">
        <w:rPr>
          <w:sz w:val="24"/>
          <w:szCs w:val="24"/>
        </w:rPr>
        <w:t>South Shore Hospital (SSH)</w:t>
      </w:r>
      <w:r w:rsidR="00321970">
        <w:rPr>
          <w:sz w:val="24"/>
          <w:szCs w:val="24"/>
        </w:rPr>
        <w:t xml:space="preserve"> as shown in Table </w:t>
      </w:r>
      <w:r w:rsidR="00C41C8B">
        <w:rPr>
          <w:sz w:val="24"/>
          <w:szCs w:val="24"/>
        </w:rPr>
        <w:t>4</w:t>
      </w:r>
      <w:r w:rsidR="00321970">
        <w:rPr>
          <w:sz w:val="24"/>
          <w:szCs w:val="24"/>
        </w:rPr>
        <w:t xml:space="preserve"> below</w:t>
      </w:r>
      <w:r w:rsidR="003124DA">
        <w:rPr>
          <w:sz w:val="24"/>
          <w:szCs w:val="24"/>
        </w:rPr>
        <w:t xml:space="preserve">. </w:t>
      </w:r>
      <w:r w:rsidR="008A76FE">
        <w:rPr>
          <w:sz w:val="24"/>
          <w:szCs w:val="24"/>
        </w:rPr>
        <w:t xml:space="preserve">The units are </w:t>
      </w:r>
      <w:r w:rsidR="00011D5C">
        <w:rPr>
          <w:sz w:val="24"/>
          <w:szCs w:val="24"/>
        </w:rPr>
        <w:t>located at SSH</w:t>
      </w:r>
      <w:r w:rsidR="008A76FE">
        <w:rPr>
          <w:sz w:val="24"/>
          <w:szCs w:val="24"/>
        </w:rPr>
        <w:t xml:space="preserve"> main campus</w:t>
      </w:r>
      <w:r w:rsidR="00011D5C">
        <w:rPr>
          <w:sz w:val="24"/>
          <w:szCs w:val="24"/>
        </w:rPr>
        <w:t>, and two outpatient satellites: the Cancer Center, and South Shore Orthopedics.</w:t>
      </w:r>
      <w:r w:rsidR="00704946">
        <w:rPr>
          <w:rStyle w:val="FootnoteReference"/>
          <w:sz w:val="24"/>
          <w:szCs w:val="24"/>
        </w:rPr>
        <w:footnoteReference w:id="6"/>
      </w:r>
      <w:r w:rsidR="00011D5C">
        <w:rPr>
          <w:sz w:val="24"/>
          <w:szCs w:val="24"/>
        </w:rPr>
        <w:t xml:space="preserve"> </w:t>
      </w:r>
    </w:p>
    <w:p w14:paraId="3ECCA565" w14:textId="51849AAA" w:rsidR="00321970" w:rsidRPr="00321970" w:rsidRDefault="00321970" w:rsidP="00144893">
      <w:pPr>
        <w:spacing w:line="240" w:lineRule="auto"/>
        <w:jc w:val="center"/>
        <w:rPr>
          <w:b/>
          <w:bCs/>
          <w:sz w:val="24"/>
          <w:szCs w:val="24"/>
        </w:rPr>
      </w:pPr>
      <w:r w:rsidRPr="00321970">
        <w:rPr>
          <w:b/>
          <w:bCs/>
          <w:sz w:val="24"/>
          <w:szCs w:val="24"/>
        </w:rPr>
        <w:t xml:space="preserve">Table </w:t>
      </w:r>
      <w:r w:rsidR="00105E82">
        <w:rPr>
          <w:b/>
          <w:bCs/>
          <w:sz w:val="24"/>
          <w:szCs w:val="24"/>
        </w:rPr>
        <w:t>4</w:t>
      </w:r>
      <w:r w:rsidRPr="00321970">
        <w:rPr>
          <w:b/>
          <w:bCs/>
          <w:sz w:val="24"/>
          <w:szCs w:val="24"/>
        </w:rPr>
        <w:t xml:space="preserve">: </w:t>
      </w:r>
      <w:r w:rsidR="003F40DB">
        <w:rPr>
          <w:b/>
          <w:bCs/>
          <w:sz w:val="24"/>
          <w:szCs w:val="24"/>
        </w:rPr>
        <w:t>SSHS</w:t>
      </w:r>
      <w:r w:rsidRPr="00321970">
        <w:rPr>
          <w:b/>
          <w:bCs/>
          <w:sz w:val="24"/>
          <w:szCs w:val="24"/>
        </w:rPr>
        <w:t xml:space="preserve"> MRI imaging Capacity</w:t>
      </w:r>
    </w:p>
    <w:tbl>
      <w:tblPr>
        <w:tblStyle w:val="TableGrid"/>
        <w:tblW w:w="0" w:type="auto"/>
        <w:jc w:val="center"/>
        <w:tblLook w:val="04A0" w:firstRow="1" w:lastRow="0" w:firstColumn="1" w:lastColumn="0" w:noHBand="0" w:noVBand="1"/>
        <w:tblCaption w:val="Table 4: SSHS MRI Imaging Capacity"/>
        <w:tblDescription w:val=" Existing &#10;MRI Units Proposed &#10;MRI Units Total MRI Units &#10;After Project Implementation&#10;South Shore Hospital (1) 1.5T  (1) 3.0T (1) 1.5T, (1) 3.0T&#10;Cancer Center (1) 1.5T  (1) 1.5T&#10;Orthopedic Center  (1) 1.5T  (1) 1.5T&#10;"/>
      </w:tblPr>
      <w:tblGrid>
        <w:gridCol w:w="2094"/>
        <w:gridCol w:w="1122"/>
        <w:gridCol w:w="1122"/>
        <w:gridCol w:w="2915"/>
      </w:tblGrid>
      <w:tr w:rsidR="00A42860" w:rsidRPr="00667357" w14:paraId="42445D8C" w14:textId="77777777" w:rsidTr="0057267F">
        <w:trPr>
          <w:tblHeader/>
          <w:jc w:val="center"/>
        </w:trPr>
        <w:tc>
          <w:tcPr>
            <w:tcW w:w="0" w:type="auto"/>
          </w:tcPr>
          <w:p w14:paraId="371D937C" w14:textId="77777777" w:rsidR="00A42860" w:rsidRPr="00667357" w:rsidRDefault="00A42860" w:rsidP="0036358B"/>
        </w:tc>
        <w:tc>
          <w:tcPr>
            <w:tcW w:w="0" w:type="auto"/>
            <w:shd w:val="clear" w:color="auto" w:fill="F2F2F2" w:themeFill="background1" w:themeFillShade="F2"/>
          </w:tcPr>
          <w:p w14:paraId="3274F630" w14:textId="77777777" w:rsidR="00FF78DD" w:rsidRDefault="00A42860" w:rsidP="0036358B">
            <w:pPr>
              <w:rPr>
                <w:b/>
                <w:bCs/>
              </w:rPr>
            </w:pPr>
            <w:r>
              <w:rPr>
                <w:b/>
                <w:bCs/>
              </w:rPr>
              <w:t xml:space="preserve">Existing </w:t>
            </w:r>
          </w:p>
          <w:p w14:paraId="04AFDF2E" w14:textId="7A413401" w:rsidR="00A42860" w:rsidRPr="00667357" w:rsidRDefault="00A42860" w:rsidP="0036358B">
            <w:pPr>
              <w:rPr>
                <w:b/>
                <w:bCs/>
              </w:rPr>
            </w:pPr>
            <w:r w:rsidRPr="00667357">
              <w:rPr>
                <w:b/>
                <w:bCs/>
              </w:rPr>
              <w:t>MRI</w:t>
            </w:r>
            <w:r>
              <w:rPr>
                <w:b/>
                <w:bCs/>
              </w:rPr>
              <w:t xml:space="preserve"> Units</w:t>
            </w:r>
          </w:p>
        </w:tc>
        <w:tc>
          <w:tcPr>
            <w:tcW w:w="0" w:type="auto"/>
            <w:shd w:val="clear" w:color="auto" w:fill="F2F2F2" w:themeFill="background1" w:themeFillShade="F2"/>
          </w:tcPr>
          <w:p w14:paraId="68E84354" w14:textId="77777777" w:rsidR="00FF78DD" w:rsidRDefault="00A42860" w:rsidP="0036358B">
            <w:pPr>
              <w:rPr>
                <w:b/>
                <w:bCs/>
              </w:rPr>
            </w:pPr>
            <w:r>
              <w:rPr>
                <w:b/>
                <w:bCs/>
              </w:rPr>
              <w:t>Proposed</w:t>
            </w:r>
            <w:r w:rsidR="003F40DB">
              <w:rPr>
                <w:b/>
                <w:bCs/>
              </w:rPr>
              <w:t xml:space="preserve"> </w:t>
            </w:r>
          </w:p>
          <w:p w14:paraId="7E6C43AC" w14:textId="3D85F94D" w:rsidR="00A42860" w:rsidRPr="00667357" w:rsidRDefault="00FF78DD" w:rsidP="0036358B">
            <w:pPr>
              <w:rPr>
                <w:b/>
                <w:bCs/>
              </w:rPr>
            </w:pPr>
            <w:r>
              <w:rPr>
                <w:b/>
                <w:bCs/>
              </w:rPr>
              <w:t xml:space="preserve">MRI </w:t>
            </w:r>
            <w:r w:rsidR="003F40DB">
              <w:rPr>
                <w:b/>
                <w:bCs/>
              </w:rPr>
              <w:t>Units</w:t>
            </w:r>
          </w:p>
        </w:tc>
        <w:tc>
          <w:tcPr>
            <w:tcW w:w="0" w:type="auto"/>
            <w:shd w:val="clear" w:color="auto" w:fill="F2F2F2" w:themeFill="background1" w:themeFillShade="F2"/>
          </w:tcPr>
          <w:p w14:paraId="0E554588" w14:textId="77777777" w:rsidR="00FF78DD" w:rsidRDefault="00591528" w:rsidP="0036358B">
            <w:pPr>
              <w:rPr>
                <w:b/>
                <w:bCs/>
              </w:rPr>
            </w:pPr>
            <w:r>
              <w:rPr>
                <w:b/>
                <w:bCs/>
              </w:rPr>
              <w:t xml:space="preserve">Total </w:t>
            </w:r>
            <w:r w:rsidR="00A42860">
              <w:rPr>
                <w:b/>
                <w:bCs/>
              </w:rPr>
              <w:t xml:space="preserve">MRI Units </w:t>
            </w:r>
          </w:p>
          <w:p w14:paraId="6A11A719" w14:textId="57B9CF5F" w:rsidR="00A42860" w:rsidRPr="00667357" w:rsidRDefault="00A42860" w:rsidP="0036358B">
            <w:pPr>
              <w:rPr>
                <w:b/>
                <w:bCs/>
              </w:rPr>
            </w:pPr>
            <w:r>
              <w:rPr>
                <w:b/>
                <w:bCs/>
              </w:rPr>
              <w:t xml:space="preserve">After </w:t>
            </w:r>
            <w:r w:rsidR="003F40DB">
              <w:rPr>
                <w:b/>
                <w:bCs/>
              </w:rPr>
              <w:t xml:space="preserve">Project </w:t>
            </w:r>
            <w:r>
              <w:rPr>
                <w:b/>
                <w:bCs/>
              </w:rPr>
              <w:t>Implementation</w:t>
            </w:r>
          </w:p>
        </w:tc>
      </w:tr>
      <w:tr w:rsidR="00A42860" w:rsidRPr="00667357" w14:paraId="1FC36E92" w14:textId="77777777" w:rsidTr="0038294A">
        <w:trPr>
          <w:jc w:val="center"/>
        </w:trPr>
        <w:tc>
          <w:tcPr>
            <w:tcW w:w="0" w:type="auto"/>
          </w:tcPr>
          <w:p w14:paraId="53C59A2D" w14:textId="6C869942" w:rsidR="00A42860" w:rsidRPr="00667357" w:rsidRDefault="00A42860" w:rsidP="0036358B">
            <w:r w:rsidRPr="00667357">
              <w:t>South Shore Hospital</w:t>
            </w:r>
          </w:p>
        </w:tc>
        <w:tc>
          <w:tcPr>
            <w:tcW w:w="0" w:type="auto"/>
          </w:tcPr>
          <w:p w14:paraId="5EB893C7" w14:textId="7FB601D1" w:rsidR="00A42860" w:rsidRPr="00667357" w:rsidRDefault="00A42860" w:rsidP="0036358B">
            <w:r w:rsidRPr="00667357">
              <w:t xml:space="preserve">(1) 1.5T </w:t>
            </w:r>
          </w:p>
        </w:tc>
        <w:tc>
          <w:tcPr>
            <w:tcW w:w="0" w:type="auto"/>
          </w:tcPr>
          <w:p w14:paraId="677D563B" w14:textId="2A1D56F3" w:rsidR="00A42860" w:rsidRPr="00667357" w:rsidRDefault="00A42860" w:rsidP="0036358B">
            <w:r>
              <w:t>(1) 3.0T</w:t>
            </w:r>
          </w:p>
        </w:tc>
        <w:tc>
          <w:tcPr>
            <w:tcW w:w="0" w:type="auto"/>
          </w:tcPr>
          <w:p w14:paraId="6A0A148E" w14:textId="1A6D2050" w:rsidR="00A42860" w:rsidRPr="00667357" w:rsidRDefault="00A42860" w:rsidP="0036358B">
            <w:r w:rsidRPr="00667357">
              <w:t>(1) 1.5T, (1) 3.0T</w:t>
            </w:r>
          </w:p>
        </w:tc>
      </w:tr>
      <w:tr w:rsidR="00A42860" w:rsidRPr="00667357" w14:paraId="716F9AB3" w14:textId="77777777" w:rsidTr="0038294A">
        <w:trPr>
          <w:jc w:val="center"/>
        </w:trPr>
        <w:tc>
          <w:tcPr>
            <w:tcW w:w="0" w:type="auto"/>
          </w:tcPr>
          <w:p w14:paraId="2775887E" w14:textId="07424EFA" w:rsidR="00A42860" w:rsidRPr="00667357" w:rsidRDefault="00A42860" w:rsidP="00321970">
            <w:r w:rsidRPr="00667357">
              <w:t>Cancer Center</w:t>
            </w:r>
          </w:p>
        </w:tc>
        <w:tc>
          <w:tcPr>
            <w:tcW w:w="0" w:type="auto"/>
          </w:tcPr>
          <w:p w14:paraId="63021F1D" w14:textId="04709F8C" w:rsidR="00A42860" w:rsidRPr="00667357" w:rsidRDefault="00A42860" w:rsidP="00321970">
            <w:r w:rsidRPr="00667357">
              <w:t>(1) 1.5T</w:t>
            </w:r>
          </w:p>
        </w:tc>
        <w:tc>
          <w:tcPr>
            <w:tcW w:w="0" w:type="auto"/>
          </w:tcPr>
          <w:p w14:paraId="218C1AEB" w14:textId="77777777" w:rsidR="00A42860" w:rsidRPr="00667357" w:rsidRDefault="00A42860" w:rsidP="00321970"/>
        </w:tc>
        <w:tc>
          <w:tcPr>
            <w:tcW w:w="0" w:type="auto"/>
          </w:tcPr>
          <w:p w14:paraId="63709777" w14:textId="39054166" w:rsidR="00A42860" w:rsidRPr="00667357" w:rsidRDefault="00A42860" w:rsidP="00321970">
            <w:r w:rsidRPr="00667357">
              <w:t>(1) 1.5T</w:t>
            </w:r>
          </w:p>
        </w:tc>
      </w:tr>
      <w:tr w:rsidR="00A42860" w:rsidRPr="00667357" w14:paraId="57AC094F" w14:textId="77777777" w:rsidTr="0038294A">
        <w:trPr>
          <w:jc w:val="center"/>
        </w:trPr>
        <w:tc>
          <w:tcPr>
            <w:tcW w:w="0" w:type="auto"/>
          </w:tcPr>
          <w:p w14:paraId="618EC980" w14:textId="161CFD34" w:rsidR="00A42860" w:rsidRPr="00667357" w:rsidRDefault="00A42860" w:rsidP="00321970">
            <w:r w:rsidRPr="00667357">
              <w:t xml:space="preserve">Orthopedic Center </w:t>
            </w:r>
          </w:p>
        </w:tc>
        <w:tc>
          <w:tcPr>
            <w:tcW w:w="0" w:type="auto"/>
          </w:tcPr>
          <w:p w14:paraId="3DD512BC" w14:textId="6FA571A2" w:rsidR="00A42860" w:rsidRPr="00667357" w:rsidRDefault="00A42860" w:rsidP="00321970">
            <w:r w:rsidRPr="00667357">
              <w:t>(1) 1.5T</w:t>
            </w:r>
          </w:p>
        </w:tc>
        <w:tc>
          <w:tcPr>
            <w:tcW w:w="0" w:type="auto"/>
          </w:tcPr>
          <w:p w14:paraId="470A8568" w14:textId="77777777" w:rsidR="00A42860" w:rsidRPr="00667357" w:rsidRDefault="00A42860" w:rsidP="00321970"/>
        </w:tc>
        <w:tc>
          <w:tcPr>
            <w:tcW w:w="0" w:type="auto"/>
          </w:tcPr>
          <w:p w14:paraId="323C8AF8" w14:textId="19AAAF1D" w:rsidR="00A42860" w:rsidRPr="00667357" w:rsidRDefault="00A42860" w:rsidP="00321970">
            <w:r w:rsidRPr="00667357">
              <w:t>(1) 1.5T</w:t>
            </w:r>
          </w:p>
        </w:tc>
      </w:tr>
    </w:tbl>
    <w:p w14:paraId="0FBACC16" w14:textId="39FCC3DB" w:rsidR="007760BF" w:rsidRDefault="007760BF" w:rsidP="0036358B">
      <w:pPr>
        <w:spacing w:line="240" w:lineRule="auto"/>
        <w:rPr>
          <w:sz w:val="24"/>
          <w:szCs w:val="24"/>
        </w:rPr>
      </w:pPr>
    </w:p>
    <w:p w14:paraId="30F28120" w14:textId="44A728F3" w:rsidR="007760BF" w:rsidRDefault="00DA0E52" w:rsidP="0036358B">
      <w:pPr>
        <w:spacing w:line="240" w:lineRule="auto"/>
        <w:rPr>
          <w:sz w:val="24"/>
          <w:szCs w:val="24"/>
        </w:rPr>
      </w:pPr>
      <w:r>
        <w:rPr>
          <w:sz w:val="24"/>
          <w:szCs w:val="24"/>
        </w:rPr>
        <w:t xml:space="preserve">Table </w:t>
      </w:r>
      <w:r w:rsidR="00C41C8B">
        <w:rPr>
          <w:sz w:val="24"/>
          <w:szCs w:val="24"/>
        </w:rPr>
        <w:t>5</w:t>
      </w:r>
      <w:r>
        <w:rPr>
          <w:sz w:val="24"/>
          <w:szCs w:val="24"/>
        </w:rPr>
        <w:t xml:space="preserve"> below</w:t>
      </w:r>
      <w:r w:rsidR="003E49B7" w:rsidRPr="003E49B7">
        <w:rPr>
          <w:sz w:val="24"/>
          <w:szCs w:val="24"/>
        </w:rPr>
        <w:t xml:space="preserve"> </w:t>
      </w:r>
      <w:r w:rsidR="003E49B7">
        <w:rPr>
          <w:sz w:val="24"/>
          <w:szCs w:val="24"/>
        </w:rPr>
        <w:t xml:space="preserve">shows </w:t>
      </w:r>
      <w:r w:rsidR="003E49B7" w:rsidRPr="003E49B7">
        <w:rPr>
          <w:sz w:val="24"/>
          <w:szCs w:val="24"/>
        </w:rPr>
        <w:t xml:space="preserve">data </w:t>
      </w:r>
      <w:r w:rsidR="00A4129A" w:rsidRPr="00A4129A">
        <w:rPr>
          <w:sz w:val="24"/>
          <w:szCs w:val="24"/>
        </w:rPr>
        <w:t>from January 2021 through June 2021</w:t>
      </w:r>
      <w:r w:rsidR="00A4129A">
        <w:rPr>
          <w:sz w:val="24"/>
          <w:szCs w:val="24"/>
        </w:rPr>
        <w:t xml:space="preserve"> </w:t>
      </w:r>
      <w:r w:rsidR="003E49B7" w:rsidRPr="003E49B7">
        <w:rPr>
          <w:sz w:val="24"/>
          <w:szCs w:val="24"/>
        </w:rPr>
        <w:t>on utilization of the existing MRI unit</w:t>
      </w:r>
      <w:r w:rsidR="003E49B7">
        <w:rPr>
          <w:sz w:val="24"/>
          <w:szCs w:val="24"/>
        </w:rPr>
        <w:t xml:space="preserve">s, including </w:t>
      </w:r>
      <w:r w:rsidR="00537B5F">
        <w:rPr>
          <w:sz w:val="24"/>
          <w:szCs w:val="24"/>
        </w:rPr>
        <w:t xml:space="preserve">weekly average scans. The Applicant states </w:t>
      </w:r>
      <w:r w:rsidR="00673229">
        <w:rPr>
          <w:sz w:val="24"/>
          <w:szCs w:val="24"/>
        </w:rPr>
        <w:t xml:space="preserve">this </w:t>
      </w:r>
      <w:r w:rsidR="00537B5F">
        <w:rPr>
          <w:sz w:val="24"/>
          <w:szCs w:val="24"/>
        </w:rPr>
        <w:t>utilization data show that each facility/center is operati</w:t>
      </w:r>
      <w:r w:rsidR="003E49B7">
        <w:rPr>
          <w:sz w:val="24"/>
          <w:szCs w:val="24"/>
        </w:rPr>
        <w:t>ng</w:t>
      </w:r>
      <w:r w:rsidR="00537B5F">
        <w:rPr>
          <w:sz w:val="24"/>
          <w:szCs w:val="24"/>
        </w:rPr>
        <w:t xml:space="preserve"> at nearly 100% capacity</w:t>
      </w:r>
      <w:r w:rsidR="003E49B7">
        <w:rPr>
          <w:sz w:val="24"/>
          <w:szCs w:val="24"/>
        </w:rPr>
        <w:t xml:space="preserve">. The Applicant </w:t>
      </w:r>
      <w:r w:rsidR="00537B5F">
        <w:rPr>
          <w:sz w:val="24"/>
          <w:szCs w:val="24"/>
        </w:rPr>
        <w:t>notes that for each center, no-shows and/or last minute cancellations prevent the center from reaching 100% capacity.</w:t>
      </w:r>
    </w:p>
    <w:p w14:paraId="4D955928" w14:textId="39FAE334" w:rsidR="008909E2" w:rsidRDefault="008909E2" w:rsidP="0036358B">
      <w:pPr>
        <w:spacing w:line="240" w:lineRule="auto"/>
        <w:rPr>
          <w:sz w:val="24"/>
          <w:szCs w:val="24"/>
        </w:rPr>
      </w:pPr>
    </w:p>
    <w:p w14:paraId="68EB0E8A" w14:textId="77777777" w:rsidR="004A7F52" w:rsidRDefault="004A7F52" w:rsidP="0036358B">
      <w:pPr>
        <w:spacing w:line="240" w:lineRule="auto"/>
        <w:rPr>
          <w:sz w:val="24"/>
          <w:szCs w:val="24"/>
        </w:rPr>
      </w:pPr>
    </w:p>
    <w:p w14:paraId="7FDC6DD7" w14:textId="742E275B" w:rsidR="00DA0E52" w:rsidRDefault="00DA0E52" w:rsidP="00DA0E52">
      <w:pPr>
        <w:spacing w:line="240" w:lineRule="auto"/>
        <w:jc w:val="center"/>
        <w:rPr>
          <w:b/>
          <w:bCs/>
          <w:sz w:val="24"/>
          <w:szCs w:val="24"/>
        </w:rPr>
      </w:pPr>
      <w:r w:rsidRPr="00DA0E52">
        <w:rPr>
          <w:b/>
          <w:bCs/>
          <w:sz w:val="24"/>
          <w:szCs w:val="24"/>
        </w:rPr>
        <w:t xml:space="preserve">Table </w:t>
      </w:r>
      <w:r w:rsidR="00105E82">
        <w:rPr>
          <w:b/>
          <w:bCs/>
          <w:sz w:val="24"/>
          <w:szCs w:val="24"/>
        </w:rPr>
        <w:t>5</w:t>
      </w:r>
      <w:r w:rsidRPr="00DA0E52">
        <w:rPr>
          <w:b/>
          <w:bCs/>
          <w:sz w:val="24"/>
          <w:szCs w:val="24"/>
        </w:rPr>
        <w:t>: SSHS MRI Operating Capacity</w:t>
      </w:r>
    </w:p>
    <w:tbl>
      <w:tblPr>
        <w:tblStyle w:val="TableGrid"/>
        <w:tblW w:w="0" w:type="auto"/>
        <w:jc w:val="center"/>
        <w:tblLook w:val="04A0" w:firstRow="1" w:lastRow="0" w:firstColumn="1" w:lastColumn="0" w:noHBand="0" w:noVBand="1"/>
        <w:tblCaption w:val="Table 5: SSHS MRI Operating Capacity"/>
        <w:tblDescription w:val=" Days/Hours of Operation Capacity Per Week Average Exams/Week &#10;(Jan-Jun 2021)&#10;Cancer Center M-Th: 7am – 11pm&#10;F-Sa: 7am – 3:30pm  90 exams 89 exams &#10;South Shore Orthopedics M-Th: 7am – 11pm&#10;F-Sa: 7am – 3:30pm 85 exams  84 exams &#10;South Shore Hospital Main Campus  Su-Sa: 7am – 11pm&#10; 136 exams  135 exams &#10;&#10;"/>
      </w:tblPr>
      <w:tblGrid>
        <w:gridCol w:w="3595"/>
        <w:gridCol w:w="2340"/>
        <w:gridCol w:w="1620"/>
        <w:gridCol w:w="1795"/>
      </w:tblGrid>
      <w:tr w:rsidR="00DA0E52" w:rsidRPr="00832D3A" w14:paraId="3AD6B171" w14:textId="77777777" w:rsidTr="0057267F">
        <w:trPr>
          <w:tblHeader/>
          <w:jc w:val="center"/>
        </w:trPr>
        <w:tc>
          <w:tcPr>
            <w:tcW w:w="3595" w:type="dxa"/>
          </w:tcPr>
          <w:p w14:paraId="0D96DB4F" w14:textId="77777777" w:rsidR="00DA0E52" w:rsidRPr="00210FAD" w:rsidRDefault="00DA0E52" w:rsidP="008303F6">
            <w:pPr>
              <w:rPr>
                <w:rFonts w:cstheme="minorHAnsi"/>
                <w:bCs/>
              </w:rPr>
            </w:pPr>
          </w:p>
        </w:tc>
        <w:tc>
          <w:tcPr>
            <w:tcW w:w="2340" w:type="dxa"/>
            <w:shd w:val="clear" w:color="auto" w:fill="F2F2F2" w:themeFill="background1" w:themeFillShade="F2"/>
          </w:tcPr>
          <w:p w14:paraId="6F681F2B" w14:textId="77777777" w:rsidR="00DA0E52" w:rsidRPr="00210FAD" w:rsidRDefault="00DA0E52" w:rsidP="008303F6">
            <w:pPr>
              <w:rPr>
                <w:rFonts w:cstheme="minorHAnsi"/>
                <w:b/>
              </w:rPr>
            </w:pPr>
            <w:r w:rsidRPr="00210FAD">
              <w:rPr>
                <w:rFonts w:cstheme="minorHAnsi"/>
                <w:b/>
              </w:rPr>
              <w:t>Days/Hours of Operation</w:t>
            </w:r>
          </w:p>
        </w:tc>
        <w:tc>
          <w:tcPr>
            <w:tcW w:w="1620" w:type="dxa"/>
            <w:shd w:val="clear" w:color="auto" w:fill="F2F2F2" w:themeFill="background1" w:themeFillShade="F2"/>
          </w:tcPr>
          <w:p w14:paraId="08809AAD" w14:textId="77777777" w:rsidR="00DA0E52" w:rsidRPr="00210FAD" w:rsidRDefault="00DA0E52" w:rsidP="008303F6">
            <w:pPr>
              <w:rPr>
                <w:rFonts w:cstheme="minorHAnsi"/>
                <w:b/>
              </w:rPr>
            </w:pPr>
            <w:r w:rsidRPr="00210FAD">
              <w:rPr>
                <w:rFonts w:cstheme="minorHAnsi"/>
                <w:b/>
              </w:rPr>
              <w:t>Capacity Per Week</w:t>
            </w:r>
          </w:p>
        </w:tc>
        <w:tc>
          <w:tcPr>
            <w:tcW w:w="1795" w:type="dxa"/>
            <w:shd w:val="clear" w:color="auto" w:fill="F2F2F2" w:themeFill="background1" w:themeFillShade="F2"/>
          </w:tcPr>
          <w:p w14:paraId="7E4731F3" w14:textId="77777777" w:rsidR="00DA0E52" w:rsidRDefault="00DA0E52" w:rsidP="008303F6">
            <w:pPr>
              <w:rPr>
                <w:rFonts w:cstheme="minorHAnsi"/>
                <w:b/>
              </w:rPr>
            </w:pPr>
            <w:r w:rsidRPr="00210FAD">
              <w:rPr>
                <w:rFonts w:cstheme="minorHAnsi"/>
                <w:b/>
              </w:rPr>
              <w:t xml:space="preserve">Average Exams/Week </w:t>
            </w:r>
          </w:p>
          <w:p w14:paraId="48BAA19C" w14:textId="1ADBD355" w:rsidR="00DA0E52" w:rsidRPr="00210FAD" w:rsidRDefault="00DA0E52" w:rsidP="008303F6">
            <w:pPr>
              <w:rPr>
                <w:rFonts w:cstheme="minorHAnsi"/>
                <w:b/>
              </w:rPr>
            </w:pPr>
            <w:r w:rsidRPr="00210FAD">
              <w:rPr>
                <w:rFonts w:cstheme="minorHAnsi"/>
                <w:bCs/>
                <w:i/>
                <w:iCs/>
              </w:rPr>
              <w:t>(Jan-Jun 2021)</w:t>
            </w:r>
          </w:p>
        </w:tc>
      </w:tr>
      <w:tr w:rsidR="00DA0E52" w:rsidRPr="00832D3A" w14:paraId="2963979B" w14:textId="77777777" w:rsidTr="007D292A">
        <w:trPr>
          <w:jc w:val="center"/>
        </w:trPr>
        <w:tc>
          <w:tcPr>
            <w:tcW w:w="3595" w:type="dxa"/>
          </w:tcPr>
          <w:p w14:paraId="596218BC" w14:textId="77777777" w:rsidR="00DA0E52" w:rsidRPr="00210FAD" w:rsidRDefault="00DA0E52" w:rsidP="008303F6">
            <w:pPr>
              <w:rPr>
                <w:rFonts w:cstheme="minorHAnsi"/>
                <w:bCs/>
              </w:rPr>
            </w:pPr>
            <w:r w:rsidRPr="00210FAD">
              <w:rPr>
                <w:rFonts w:cstheme="minorHAnsi"/>
                <w:bCs/>
              </w:rPr>
              <w:t>Cancer Center</w:t>
            </w:r>
          </w:p>
        </w:tc>
        <w:tc>
          <w:tcPr>
            <w:tcW w:w="2340" w:type="dxa"/>
          </w:tcPr>
          <w:p w14:paraId="235BD896" w14:textId="77777777" w:rsidR="00DA0E52" w:rsidRPr="00210FAD" w:rsidRDefault="00DA0E52" w:rsidP="008303F6">
            <w:pPr>
              <w:rPr>
                <w:rFonts w:cstheme="minorHAnsi"/>
                <w:bCs/>
              </w:rPr>
            </w:pPr>
            <w:r w:rsidRPr="00210FAD">
              <w:rPr>
                <w:rFonts w:cstheme="minorHAnsi"/>
                <w:bCs/>
              </w:rPr>
              <w:t>M-Th: 7am – 11pm</w:t>
            </w:r>
          </w:p>
          <w:p w14:paraId="1590C8BD" w14:textId="77777777" w:rsidR="00DA0E52" w:rsidRPr="00210FAD" w:rsidRDefault="00DA0E52" w:rsidP="008303F6">
            <w:pPr>
              <w:rPr>
                <w:rFonts w:cstheme="minorHAnsi"/>
                <w:bCs/>
              </w:rPr>
            </w:pPr>
            <w:r w:rsidRPr="00210FAD">
              <w:rPr>
                <w:rFonts w:cstheme="minorHAnsi"/>
                <w:bCs/>
              </w:rPr>
              <w:t xml:space="preserve">F-Sa: 7am – 3:30pm </w:t>
            </w:r>
          </w:p>
        </w:tc>
        <w:tc>
          <w:tcPr>
            <w:tcW w:w="1620" w:type="dxa"/>
          </w:tcPr>
          <w:p w14:paraId="6E71B0C2" w14:textId="77777777" w:rsidR="00DA0E52" w:rsidRPr="00210FAD" w:rsidRDefault="00DA0E52" w:rsidP="008303F6">
            <w:pPr>
              <w:rPr>
                <w:rFonts w:cstheme="minorHAnsi"/>
                <w:bCs/>
              </w:rPr>
            </w:pPr>
            <w:r w:rsidRPr="00210FAD">
              <w:rPr>
                <w:rFonts w:cstheme="minorHAnsi"/>
                <w:bCs/>
              </w:rPr>
              <w:t>90 exams</w:t>
            </w:r>
          </w:p>
        </w:tc>
        <w:tc>
          <w:tcPr>
            <w:tcW w:w="1795" w:type="dxa"/>
          </w:tcPr>
          <w:p w14:paraId="1A96E1DD" w14:textId="77777777" w:rsidR="00DA0E52" w:rsidRPr="00210FAD" w:rsidRDefault="00DA0E52" w:rsidP="008303F6">
            <w:pPr>
              <w:rPr>
                <w:rFonts w:cstheme="minorHAnsi"/>
                <w:bCs/>
              </w:rPr>
            </w:pPr>
            <w:r w:rsidRPr="00210FAD">
              <w:rPr>
                <w:rFonts w:cstheme="minorHAnsi"/>
                <w:bCs/>
              </w:rPr>
              <w:t xml:space="preserve">89 exams </w:t>
            </w:r>
          </w:p>
        </w:tc>
      </w:tr>
      <w:tr w:rsidR="00DA0E52" w:rsidRPr="00832D3A" w14:paraId="56FCB59B" w14:textId="77777777" w:rsidTr="007D292A">
        <w:trPr>
          <w:jc w:val="center"/>
        </w:trPr>
        <w:tc>
          <w:tcPr>
            <w:tcW w:w="3595" w:type="dxa"/>
          </w:tcPr>
          <w:p w14:paraId="6CBBD140" w14:textId="77777777" w:rsidR="00DA0E52" w:rsidRPr="00210FAD" w:rsidRDefault="00DA0E52" w:rsidP="008303F6">
            <w:pPr>
              <w:rPr>
                <w:rFonts w:cstheme="minorHAnsi"/>
                <w:bCs/>
              </w:rPr>
            </w:pPr>
            <w:r w:rsidRPr="00210FAD">
              <w:rPr>
                <w:rFonts w:cstheme="minorHAnsi"/>
                <w:bCs/>
              </w:rPr>
              <w:t>South Shore Orthopedics</w:t>
            </w:r>
          </w:p>
        </w:tc>
        <w:tc>
          <w:tcPr>
            <w:tcW w:w="2340" w:type="dxa"/>
          </w:tcPr>
          <w:p w14:paraId="7C576A13" w14:textId="77777777" w:rsidR="00DA0E52" w:rsidRPr="00210FAD" w:rsidRDefault="00DA0E52" w:rsidP="008303F6">
            <w:pPr>
              <w:rPr>
                <w:rFonts w:cstheme="minorHAnsi"/>
                <w:bCs/>
              </w:rPr>
            </w:pPr>
            <w:r w:rsidRPr="00210FAD">
              <w:rPr>
                <w:rFonts w:cstheme="minorHAnsi"/>
                <w:bCs/>
              </w:rPr>
              <w:t>M-Th: 7am – 11pm</w:t>
            </w:r>
          </w:p>
          <w:p w14:paraId="408D5569" w14:textId="77777777" w:rsidR="00DA0E52" w:rsidRPr="00210FAD" w:rsidRDefault="00DA0E52" w:rsidP="008303F6">
            <w:pPr>
              <w:rPr>
                <w:rFonts w:cstheme="minorHAnsi"/>
                <w:bCs/>
              </w:rPr>
            </w:pPr>
            <w:r w:rsidRPr="00210FAD">
              <w:rPr>
                <w:rFonts w:cstheme="minorHAnsi"/>
                <w:bCs/>
              </w:rPr>
              <w:t>F-Sa: 7am – 3:30pm</w:t>
            </w:r>
          </w:p>
        </w:tc>
        <w:tc>
          <w:tcPr>
            <w:tcW w:w="1620" w:type="dxa"/>
          </w:tcPr>
          <w:p w14:paraId="09127663" w14:textId="77777777" w:rsidR="00DA0E52" w:rsidRPr="00210FAD" w:rsidRDefault="00DA0E52" w:rsidP="008303F6">
            <w:pPr>
              <w:rPr>
                <w:rFonts w:cstheme="minorHAnsi"/>
                <w:bCs/>
              </w:rPr>
            </w:pPr>
            <w:r w:rsidRPr="00210FAD">
              <w:rPr>
                <w:rFonts w:cstheme="minorHAnsi"/>
                <w:bCs/>
              </w:rPr>
              <w:t xml:space="preserve">85 exams </w:t>
            </w:r>
          </w:p>
        </w:tc>
        <w:tc>
          <w:tcPr>
            <w:tcW w:w="1795" w:type="dxa"/>
          </w:tcPr>
          <w:p w14:paraId="24547441" w14:textId="77777777" w:rsidR="00DA0E52" w:rsidRPr="00210FAD" w:rsidRDefault="00DA0E52" w:rsidP="008303F6">
            <w:pPr>
              <w:rPr>
                <w:rFonts w:cstheme="minorHAnsi"/>
                <w:bCs/>
              </w:rPr>
            </w:pPr>
            <w:r w:rsidRPr="00210FAD">
              <w:rPr>
                <w:rFonts w:cstheme="minorHAnsi"/>
                <w:bCs/>
              </w:rPr>
              <w:t xml:space="preserve">84 exams </w:t>
            </w:r>
          </w:p>
        </w:tc>
      </w:tr>
      <w:tr w:rsidR="00DA0E52" w:rsidRPr="00832D3A" w14:paraId="55C3EA65" w14:textId="77777777" w:rsidTr="007D292A">
        <w:trPr>
          <w:jc w:val="center"/>
        </w:trPr>
        <w:tc>
          <w:tcPr>
            <w:tcW w:w="3595" w:type="dxa"/>
          </w:tcPr>
          <w:p w14:paraId="37CFECE7" w14:textId="77777777" w:rsidR="00DA0E52" w:rsidRPr="00210FAD" w:rsidRDefault="00DA0E52" w:rsidP="008303F6">
            <w:pPr>
              <w:rPr>
                <w:rFonts w:cstheme="minorHAnsi"/>
                <w:bCs/>
              </w:rPr>
            </w:pPr>
            <w:r w:rsidRPr="00210FAD">
              <w:rPr>
                <w:rFonts w:cstheme="minorHAnsi"/>
                <w:bCs/>
              </w:rPr>
              <w:t xml:space="preserve">South Shore Hospital Main Campus </w:t>
            </w:r>
          </w:p>
        </w:tc>
        <w:tc>
          <w:tcPr>
            <w:tcW w:w="2340" w:type="dxa"/>
          </w:tcPr>
          <w:p w14:paraId="3EC01B7B" w14:textId="77777777" w:rsidR="00DA0E52" w:rsidRPr="00210FAD" w:rsidRDefault="00DA0E52" w:rsidP="008303F6">
            <w:pPr>
              <w:rPr>
                <w:rFonts w:cstheme="minorHAnsi"/>
                <w:bCs/>
              </w:rPr>
            </w:pPr>
            <w:r w:rsidRPr="00210FAD">
              <w:rPr>
                <w:rFonts w:cstheme="minorHAnsi"/>
                <w:bCs/>
              </w:rPr>
              <w:t>Su-Sa: 7am – 11pm</w:t>
            </w:r>
          </w:p>
          <w:p w14:paraId="6AEB150C" w14:textId="77777777" w:rsidR="00DA0E52" w:rsidRPr="00210FAD" w:rsidRDefault="00DA0E52" w:rsidP="008303F6">
            <w:pPr>
              <w:rPr>
                <w:rFonts w:cstheme="minorHAnsi"/>
                <w:bCs/>
              </w:rPr>
            </w:pPr>
          </w:p>
        </w:tc>
        <w:tc>
          <w:tcPr>
            <w:tcW w:w="1620" w:type="dxa"/>
          </w:tcPr>
          <w:p w14:paraId="5793659E" w14:textId="77777777" w:rsidR="00DA0E52" w:rsidRPr="00210FAD" w:rsidRDefault="00DA0E52" w:rsidP="008303F6">
            <w:pPr>
              <w:rPr>
                <w:rFonts w:cstheme="minorHAnsi"/>
                <w:bCs/>
              </w:rPr>
            </w:pPr>
            <w:r w:rsidRPr="00210FAD">
              <w:rPr>
                <w:rFonts w:cstheme="minorHAnsi"/>
                <w:bCs/>
              </w:rPr>
              <w:t xml:space="preserve">136 exams </w:t>
            </w:r>
          </w:p>
        </w:tc>
        <w:tc>
          <w:tcPr>
            <w:tcW w:w="1795" w:type="dxa"/>
          </w:tcPr>
          <w:p w14:paraId="4CAE4CC4" w14:textId="77777777" w:rsidR="00DA0E52" w:rsidRPr="00210FAD" w:rsidRDefault="00DA0E52" w:rsidP="008303F6">
            <w:pPr>
              <w:rPr>
                <w:rFonts w:cstheme="minorHAnsi"/>
                <w:bCs/>
              </w:rPr>
            </w:pPr>
            <w:r w:rsidRPr="00210FAD">
              <w:rPr>
                <w:rFonts w:cstheme="minorHAnsi"/>
                <w:bCs/>
              </w:rPr>
              <w:t xml:space="preserve">135 exams </w:t>
            </w:r>
          </w:p>
        </w:tc>
      </w:tr>
    </w:tbl>
    <w:p w14:paraId="56D878E3" w14:textId="77777777" w:rsidR="00A026E8" w:rsidRDefault="00A026E8" w:rsidP="00667357">
      <w:pPr>
        <w:spacing w:line="240" w:lineRule="auto"/>
        <w:rPr>
          <w:sz w:val="24"/>
          <w:szCs w:val="24"/>
        </w:rPr>
      </w:pPr>
    </w:p>
    <w:p w14:paraId="463D2A77" w14:textId="73233496" w:rsidR="0036358B" w:rsidRDefault="008A76FE" w:rsidP="00667357">
      <w:pPr>
        <w:spacing w:line="240" w:lineRule="auto"/>
        <w:rPr>
          <w:sz w:val="24"/>
          <w:szCs w:val="24"/>
        </w:rPr>
      </w:pPr>
      <w:r>
        <w:rPr>
          <w:sz w:val="24"/>
          <w:szCs w:val="24"/>
        </w:rPr>
        <w:t xml:space="preserve">The Applicant provided SSHS historical MRI scan volume for </w:t>
      </w:r>
      <w:r w:rsidR="00767596">
        <w:rPr>
          <w:sz w:val="24"/>
          <w:szCs w:val="24"/>
        </w:rPr>
        <w:t>SSH, and the two outpatient centers</w:t>
      </w:r>
      <w:r>
        <w:rPr>
          <w:sz w:val="24"/>
          <w:szCs w:val="24"/>
        </w:rPr>
        <w:t xml:space="preserve">, which is shown in Table </w:t>
      </w:r>
      <w:r w:rsidR="00C41C8B">
        <w:rPr>
          <w:sz w:val="24"/>
          <w:szCs w:val="24"/>
        </w:rPr>
        <w:t>6</w:t>
      </w:r>
      <w:r>
        <w:rPr>
          <w:sz w:val="24"/>
          <w:szCs w:val="24"/>
        </w:rPr>
        <w:t xml:space="preserve"> below. </w:t>
      </w:r>
      <w:r w:rsidR="00751C96">
        <w:rPr>
          <w:sz w:val="24"/>
          <w:szCs w:val="24"/>
        </w:rPr>
        <w:t xml:space="preserve">Total MRI scan volume increased by 2% from FY18 to FY19 and decreased by 9% from FY19 and FY20. </w:t>
      </w:r>
      <w:r>
        <w:rPr>
          <w:sz w:val="24"/>
          <w:szCs w:val="24"/>
        </w:rPr>
        <w:t xml:space="preserve">The Applicant noted that during the COVID-19 pandemic, MRI utilization decreased slightly. </w:t>
      </w:r>
      <w:r w:rsidR="00BF42B8">
        <w:rPr>
          <w:sz w:val="24"/>
          <w:szCs w:val="24"/>
        </w:rPr>
        <w:t>The Applicant anticipates MRI volume will return to pre-pandemic levels and steadily increase in the future.</w:t>
      </w:r>
    </w:p>
    <w:p w14:paraId="51A16C26" w14:textId="48D0369C" w:rsidR="008A76FE" w:rsidRPr="0060112A" w:rsidRDefault="008A76FE" w:rsidP="00144893">
      <w:pPr>
        <w:pStyle w:val="Caption"/>
        <w:jc w:val="center"/>
        <w:rPr>
          <w:b/>
          <w:bCs/>
          <w:i w:val="0"/>
          <w:iCs w:val="0"/>
          <w:color w:val="auto"/>
          <w:sz w:val="24"/>
          <w:szCs w:val="24"/>
        </w:rPr>
      </w:pPr>
      <w:r w:rsidRPr="0060112A">
        <w:rPr>
          <w:b/>
          <w:bCs/>
          <w:i w:val="0"/>
          <w:iCs w:val="0"/>
          <w:color w:val="auto"/>
          <w:sz w:val="24"/>
          <w:szCs w:val="24"/>
        </w:rPr>
        <w:t xml:space="preserve">Table </w:t>
      </w:r>
      <w:r w:rsidR="00105E82">
        <w:rPr>
          <w:b/>
          <w:bCs/>
          <w:i w:val="0"/>
          <w:iCs w:val="0"/>
          <w:color w:val="auto"/>
          <w:sz w:val="24"/>
          <w:szCs w:val="24"/>
        </w:rPr>
        <w:t>6</w:t>
      </w:r>
      <w:r w:rsidRPr="0060112A">
        <w:rPr>
          <w:b/>
          <w:bCs/>
          <w:i w:val="0"/>
          <w:iCs w:val="0"/>
          <w:color w:val="auto"/>
          <w:sz w:val="24"/>
          <w:szCs w:val="24"/>
        </w:rPr>
        <w:t xml:space="preserve">: </w:t>
      </w:r>
      <w:r w:rsidR="003B5948">
        <w:rPr>
          <w:b/>
          <w:bCs/>
          <w:i w:val="0"/>
          <w:iCs w:val="0"/>
          <w:color w:val="auto"/>
          <w:sz w:val="24"/>
          <w:szCs w:val="24"/>
        </w:rPr>
        <w:t>SSHS</w:t>
      </w:r>
      <w:r w:rsidRPr="0060112A">
        <w:rPr>
          <w:b/>
          <w:bCs/>
          <w:i w:val="0"/>
          <w:iCs w:val="0"/>
          <w:color w:val="auto"/>
          <w:sz w:val="24"/>
          <w:szCs w:val="24"/>
        </w:rPr>
        <w:t xml:space="preserve"> MRI Scans by Location</w:t>
      </w:r>
    </w:p>
    <w:tbl>
      <w:tblPr>
        <w:tblStyle w:val="TableGrid"/>
        <w:tblW w:w="0" w:type="auto"/>
        <w:jc w:val="center"/>
        <w:tblLook w:val="04A0" w:firstRow="1" w:lastRow="0" w:firstColumn="1" w:lastColumn="0" w:noHBand="0" w:noVBand="1"/>
        <w:tblCaption w:val="Table 6: SSHS MRI Scans by Location"/>
        <w:tblDescription w:val=" FY18 FY19 FY20&#10;South Shore Hospital Main Campus 7,497  7,471  6,497&#10;Cancer Center 4,019  4,386  4,285&#10;South Shore Orthopedics 3,716  3,697  3,315&#10;Total 15,232&#10;15,554&#10;14,097"/>
      </w:tblPr>
      <w:tblGrid>
        <w:gridCol w:w="3369"/>
        <w:gridCol w:w="831"/>
        <w:gridCol w:w="831"/>
        <w:gridCol w:w="831"/>
      </w:tblGrid>
      <w:tr w:rsidR="008A76FE" w14:paraId="28193A2E" w14:textId="77777777" w:rsidTr="0057267F">
        <w:trPr>
          <w:tblHeader/>
          <w:jc w:val="center"/>
        </w:trPr>
        <w:tc>
          <w:tcPr>
            <w:tcW w:w="0" w:type="auto"/>
          </w:tcPr>
          <w:p w14:paraId="0B20298E" w14:textId="77777777" w:rsidR="008A76FE" w:rsidRDefault="008A76FE" w:rsidP="002A3098"/>
        </w:tc>
        <w:tc>
          <w:tcPr>
            <w:tcW w:w="0" w:type="auto"/>
            <w:shd w:val="clear" w:color="auto" w:fill="F2F2F2" w:themeFill="background1" w:themeFillShade="F2"/>
          </w:tcPr>
          <w:p w14:paraId="6BE6E561" w14:textId="6B5B707A" w:rsidR="008A76FE" w:rsidRPr="0071402E" w:rsidRDefault="008A76FE" w:rsidP="002A3098">
            <w:pPr>
              <w:rPr>
                <w:b/>
                <w:bCs/>
              </w:rPr>
            </w:pPr>
            <w:r w:rsidRPr="0071402E">
              <w:rPr>
                <w:b/>
                <w:bCs/>
              </w:rPr>
              <w:t>FY18</w:t>
            </w:r>
          </w:p>
        </w:tc>
        <w:tc>
          <w:tcPr>
            <w:tcW w:w="0" w:type="auto"/>
            <w:shd w:val="clear" w:color="auto" w:fill="F2F2F2" w:themeFill="background1" w:themeFillShade="F2"/>
          </w:tcPr>
          <w:p w14:paraId="13FAAE4E" w14:textId="73EB9DFB" w:rsidR="008A76FE" w:rsidRPr="0071402E" w:rsidRDefault="008A76FE" w:rsidP="002A3098">
            <w:pPr>
              <w:rPr>
                <w:b/>
                <w:bCs/>
              </w:rPr>
            </w:pPr>
            <w:r w:rsidRPr="0071402E">
              <w:rPr>
                <w:b/>
                <w:bCs/>
              </w:rPr>
              <w:t>FY19</w:t>
            </w:r>
          </w:p>
        </w:tc>
        <w:tc>
          <w:tcPr>
            <w:tcW w:w="0" w:type="auto"/>
            <w:shd w:val="clear" w:color="auto" w:fill="F2F2F2" w:themeFill="background1" w:themeFillShade="F2"/>
          </w:tcPr>
          <w:p w14:paraId="12FDA7C0" w14:textId="1624BEC9" w:rsidR="008A76FE" w:rsidRPr="0071402E" w:rsidRDefault="008A76FE" w:rsidP="002A3098">
            <w:pPr>
              <w:rPr>
                <w:b/>
                <w:bCs/>
              </w:rPr>
            </w:pPr>
            <w:r w:rsidRPr="0071402E">
              <w:rPr>
                <w:b/>
                <w:bCs/>
              </w:rPr>
              <w:t>FY20</w:t>
            </w:r>
          </w:p>
        </w:tc>
      </w:tr>
      <w:tr w:rsidR="008A76FE" w14:paraId="06407E12" w14:textId="77777777" w:rsidTr="00B90B05">
        <w:trPr>
          <w:jc w:val="center"/>
        </w:trPr>
        <w:tc>
          <w:tcPr>
            <w:tcW w:w="0" w:type="auto"/>
          </w:tcPr>
          <w:p w14:paraId="6AD9D0D9" w14:textId="77777777" w:rsidR="008A76FE" w:rsidRPr="00767596" w:rsidRDefault="008A76FE" w:rsidP="002A3098">
            <w:r w:rsidRPr="00767596">
              <w:t>South Shore Hospital Main Campus</w:t>
            </w:r>
          </w:p>
        </w:tc>
        <w:tc>
          <w:tcPr>
            <w:tcW w:w="0" w:type="auto"/>
          </w:tcPr>
          <w:p w14:paraId="412E0261" w14:textId="77777777" w:rsidR="008A76FE" w:rsidRDefault="008A76FE" w:rsidP="002A3098">
            <w:r w:rsidRPr="002C31F7">
              <w:t xml:space="preserve">7,497 </w:t>
            </w:r>
          </w:p>
        </w:tc>
        <w:tc>
          <w:tcPr>
            <w:tcW w:w="0" w:type="auto"/>
          </w:tcPr>
          <w:p w14:paraId="1D1E0C4C" w14:textId="77777777" w:rsidR="008A76FE" w:rsidRDefault="008A76FE" w:rsidP="002A3098">
            <w:r w:rsidRPr="002C31F7">
              <w:t xml:space="preserve">7,471 </w:t>
            </w:r>
          </w:p>
        </w:tc>
        <w:tc>
          <w:tcPr>
            <w:tcW w:w="0" w:type="auto"/>
          </w:tcPr>
          <w:p w14:paraId="24CA76E9" w14:textId="77777777" w:rsidR="008A76FE" w:rsidRDefault="008A76FE" w:rsidP="002A3098">
            <w:r w:rsidRPr="002C31F7">
              <w:t>6,497</w:t>
            </w:r>
          </w:p>
        </w:tc>
      </w:tr>
      <w:tr w:rsidR="008A76FE" w14:paraId="06F0D751" w14:textId="77777777" w:rsidTr="00B90B05">
        <w:trPr>
          <w:jc w:val="center"/>
        </w:trPr>
        <w:tc>
          <w:tcPr>
            <w:tcW w:w="0" w:type="auto"/>
          </w:tcPr>
          <w:p w14:paraId="73313F91" w14:textId="77777777" w:rsidR="008A76FE" w:rsidRPr="00767596" w:rsidRDefault="008A76FE" w:rsidP="002A3098">
            <w:r w:rsidRPr="00767596">
              <w:t>Cancer Center</w:t>
            </w:r>
          </w:p>
        </w:tc>
        <w:tc>
          <w:tcPr>
            <w:tcW w:w="0" w:type="auto"/>
          </w:tcPr>
          <w:p w14:paraId="4360A55F" w14:textId="77777777" w:rsidR="008A76FE" w:rsidRDefault="008A76FE" w:rsidP="002A3098">
            <w:r w:rsidRPr="001F7B91">
              <w:t xml:space="preserve">4,019 </w:t>
            </w:r>
          </w:p>
        </w:tc>
        <w:tc>
          <w:tcPr>
            <w:tcW w:w="0" w:type="auto"/>
          </w:tcPr>
          <w:p w14:paraId="6DB5058D" w14:textId="77777777" w:rsidR="008A76FE" w:rsidRDefault="008A76FE" w:rsidP="002A3098">
            <w:r w:rsidRPr="001F7B91">
              <w:t xml:space="preserve">4,386 </w:t>
            </w:r>
          </w:p>
        </w:tc>
        <w:tc>
          <w:tcPr>
            <w:tcW w:w="0" w:type="auto"/>
          </w:tcPr>
          <w:p w14:paraId="54A2DC78" w14:textId="77777777" w:rsidR="008A76FE" w:rsidRDefault="008A76FE" w:rsidP="002A3098">
            <w:r w:rsidRPr="001F7B91">
              <w:t>4,285</w:t>
            </w:r>
          </w:p>
        </w:tc>
      </w:tr>
      <w:tr w:rsidR="008A76FE" w14:paraId="5562DD85" w14:textId="77777777" w:rsidTr="00B90B05">
        <w:trPr>
          <w:jc w:val="center"/>
        </w:trPr>
        <w:tc>
          <w:tcPr>
            <w:tcW w:w="0" w:type="auto"/>
          </w:tcPr>
          <w:p w14:paraId="6080EB3B" w14:textId="77777777" w:rsidR="008A76FE" w:rsidRPr="00767596" w:rsidRDefault="008A76FE" w:rsidP="002A3098">
            <w:r w:rsidRPr="00767596">
              <w:t>South Shore Orthopedics</w:t>
            </w:r>
          </w:p>
        </w:tc>
        <w:tc>
          <w:tcPr>
            <w:tcW w:w="0" w:type="auto"/>
          </w:tcPr>
          <w:p w14:paraId="4CCD2819" w14:textId="77777777" w:rsidR="008A76FE" w:rsidRDefault="008A76FE" w:rsidP="002A3098">
            <w:r w:rsidRPr="00B16F50">
              <w:t xml:space="preserve">3,716 </w:t>
            </w:r>
          </w:p>
        </w:tc>
        <w:tc>
          <w:tcPr>
            <w:tcW w:w="0" w:type="auto"/>
          </w:tcPr>
          <w:p w14:paraId="758835F9" w14:textId="77777777" w:rsidR="008A76FE" w:rsidRDefault="008A76FE" w:rsidP="002A3098">
            <w:r w:rsidRPr="00B16F50">
              <w:t xml:space="preserve">3,697 </w:t>
            </w:r>
          </w:p>
        </w:tc>
        <w:tc>
          <w:tcPr>
            <w:tcW w:w="0" w:type="auto"/>
          </w:tcPr>
          <w:p w14:paraId="058B8B12" w14:textId="77777777" w:rsidR="008A76FE" w:rsidRDefault="008A76FE" w:rsidP="002A3098">
            <w:r w:rsidRPr="00B16F50">
              <w:t>3,315</w:t>
            </w:r>
          </w:p>
        </w:tc>
      </w:tr>
      <w:tr w:rsidR="008A76FE" w14:paraId="6EDEC723" w14:textId="77777777" w:rsidTr="00B90B05">
        <w:trPr>
          <w:jc w:val="center"/>
        </w:trPr>
        <w:tc>
          <w:tcPr>
            <w:tcW w:w="0" w:type="auto"/>
          </w:tcPr>
          <w:p w14:paraId="4CD9290F" w14:textId="77777777" w:rsidR="008A76FE" w:rsidRPr="0071402E" w:rsidRDefault="008A76FE" w:rsidP="002A3098">
            <w:pPr>
              <w:rPr>
                <w:b/>
                <w:bCs/>
              </w:rPr>
            </w:pPr>
            <w:r w:rsidRPr="0071402E">
              <w:rPr>
                <w:b/>
                <w:bCs/>
              </w:rPr>
              <w:t>Total</w:t>
            </w:r>
          </w:p>
        </w:tc>
        <w:tc>
          <w:tcPr>
            <w:tcW w:w="0" w:type="auto"/>
          </w:tcPr>
          <w:p w14:paraId="4208F3F3" w14:textId="77777777" w:rsidR="008A76FE" w:rsidRPr="00A362F6" w:rsidRDefault="008A76FE" w:rsidP="002A3098">
            <w:pPr>
              <w:rPr>
                <w:b/>
                <w:bCs/>
              </w:rPr>
            </w:pPr>
            <w:r w:rsidRPr="00A362F6">
              <w:rPr>
                <w:b/>
                <w:bCs/>
              </w:rPr>
              <w:fldChar w:fldCharType="begin"/>
            </w:r>
            <w:r w:rsidRPr="00A362F6">
              <w:rPr>
                <w:b/>
                <w:bCs/>
              </w:rPr>
              <w:instrText xml:space="preserve"> =SUM(ABOVE) </w:instrText>
            </w:r>
            <w:r w:rsidRPr="00A362F6">
              <w:rPr>
                <w:b/>
                <w:bCs/>
              </w:rPr>
              <w:fldChar w:fldCharType="separate"/>
            </w:r>
            <w:r w:rsidRPr="00A362F6">
              <w:rPr>
                <w:b/>
                <w:bCs/>
                <w:noProof/>
              </w:rPr>
              <w:t>15,232</w:t>
            </w:r>
            <w:r w:rsidRPr="00A362F6">
              <w:rPr>
                <w:b/>
                <w:bCs/>
              </w:rPr>
              <w:fldChar w:fldCharType="end"/>
            </w:r>
          </w:p>
        </w:tc>
        <w:tc>
          <w:tcPr>
            <w:tcW w:w="0" w:type="auto"/>
          </w:tcPr>
          <w:p w14:paraId="6C838066" w14:textId="77777777" w:rsidR="008A76FE" w:rsidRPr="00A362F6" w:rsidRDefault="008A76FE" w:rsidP="002A3098">
            <w:pPr>
              <w:rPr>
                <w:b/>
                <w:bCs/>
              </w:rPr>
            </w:pPr>
            <w:r w:rsidRPr="00A362F6">
              <w:rPr>
                <w:b/>
                <w:bCs/>
              </w:rPr>
              <w:fldChar w:fldCharType="begin"/>
            </w:r>
            <w:r w:rsidRPr="00A362F6">
              <w:rPr>
                <w:b/>
                <w:bCs/>
              </w:rPr>
              <w:instrText xml:space="preserve"> =SUM(ABOVE) </w:instrText>
            </w:r>
            <w:r w:rsidRPr="00A362F6">
              <w:rPr>
                <w:b/>
                <w:bCs/>
              </w:rPr>
              <w:fldChar w:fldCharType="separate"/>
            </w:r>
            <w:r w:rsidRPr="00A362F6">
              <w:rPr>
                <w:b/>
                <w:bCs/>
                <w:noProof/>
              </w:rPr>
              <w:t>15,554</w:t>
            </w:r>
            <w:r w:rsidRPr="00A362F6">
              <w:rPr>
                <w:b/>
                <w:bCs/>
              </w:rPr>
              <w:fldChar w:fldCharType="end"/>
            </w:r>
          </w:p>
        </w:tc>
        <w:tc>
          <w:tcPr>
            <w:tcW w:w="0" w:type="auto"/>
          </w:tcPr>
          <w:p w14:paraId="0BE1C211" w14:textId="77777777" w:rsidR="008A76FE" w:rsidRPr="00A362F6" w:rsidRDefault="008A76FE" w:rsidP="002A3098">
            <w:pPr>
              <w:rPr>
                <w:b/>
                <w:bCs/>
              </w:rPr>
            </w:pPr>
            <w:r w:rsidRPr="00A362F6">
              <w:rPr>
                <w:b/>
                <w:bCs/>
              </w:rPr>
              <w:fldChar w:fldCharType="begin"/>
            </w:r>
            <w:r w:rsidRPr="00A362F6">
              <w:rPr>
                <w:b/>
                <w:bCs/>
              </w:rPr>
              <w:instrText xml:space="preserve"> =SUM(ABOVE) </w:instrText>
            </w:r>
            <w:r w:rsidRPr="00A362F6">
              <w:rPr>
                <w:b/>
                <w:bCs/>
              </w:rPr>
              <w:fldChar w:fldCharType="separate"/>
            </w:r>
            <w:r w:rsidRPr="00A362F6">
              <w:rPr>
                <w:b/>
                <w:bCs/>
                <w:noProof/>
              </w:rPr>
              <w:t>14,097</w:t>
            </w:r>
            <w:r w:rsidRPr="00A362F6">
              <w:rPr>
                <w:b/>
                <w:bCs/>
              </w:rPr>
              <w:fldChar w:fldCharType="end"/>
            </w:r>
          </w:p>
        </w:tc>
      </w:tr>
    </w:tbl>
    <w:p w14:paraId="4BBC4E73" w14:textId="77777777" w:rsidR="00415FB9" w:rsidRDefault="00415FB9" w:rsidP="007760BF">
      <w:pPr>
        <w:spacing w:line="240" w:lineRule="auto"/>
        <w:rPr>
          <w:sz w:val="24"/>
          <w:szCs w:val="24"/>
        </w:rPr>
      </w:pPr>
    </w:p>
    <w:p w14:paraId="1728DE09" w14:textId="69293BB0" w:rsidR="003B6DC0" w:rsidRDefault="00A7703B" w:rsidP="007760BF">
      <w:pPr>
        <w:spacing w:line="240" w:lineRule="auto"/>
        <w:rPr>
          <w:sz w:val="24"/>
          <w:szCs w:val="24"/>
        </w:rPr>
      </w:pPr>
      <w:r w:rsidRPr="00A7703B">
        <w:rPr>
          <w:sz w:val="24"/>
          <w:szCs w:val="24"/>
        </w:rPr>
        <w:t>The</w:t>
      </w:r>
      <w:r w:rsidR="007760BF" w:rsidRPr="00A7703B">
        <w:rPr>
          <w:sz w:val="24"/>
          <w:szCs w:val="24"/>
        </w:rPr>
        <w:t xml:space="preserve"> Application provided </w:t>
      </w:r>
      <w:r w:rsidR="000A04AF">
        <w:rPr>
          <w:sz w:val="24"/>
          <w:szCs w:val="24"/>
        </w:rPr>
        <w:t xml:space="preserve">the </w:t>
      </w:r>
      <w:r w:rsidR="007760BF" w:rsidRPr="00A7703B">
        <w:rPr>
          <w:sz w:val="24"/>
          <w:szCs w:val="24"/>
        </w:rPr>
        <w:t>number of unique MRI patients</w:t>
      </w:r>
      <w:r w:rsidR="00635F33">
        <w:rPr>
          <w:sz w:val="24"/>
          <w:szCs w:val="24"/>
        </w:rPr>
        <w:t xml:space="preserve"> </w:t>
      </w:r>
      <w:r w:rsidR="007760BF" w:rsidRPr="00A7703B">
        <w:rPr>
          <w:sz w:val="24"/>
          <w:szCs w:val="24"/>
        </w:rPr>
        <w:t>broken down by age cohort for FY19.</w:t>
      </w:r>
      <w:r w:rsidR="00415FB9">
        <w:rPr>
          <w:rStyle w:val="FootnoteReference"/>
          <w:sz w:val="24"/>
          <w:szCs w:val="24"/>
        </w:rPr>
        <w:footnoteReference w:id="7"/>
      </w:r>
      <w:r w:rsidR="007760BF" w:rsidRPr="00A7703B">
        <w:rPr>
          <w:sz w:val="24"/>
          <w:szCs w:val="24"/>
        </w:rPr>
        <w:t xml:space="preserve"> This information</w:t>
      </w:r>
      <w:r w:rsidR="003B6DC0">
        <w:rPr>
          <w:sz w:val="24"/>
          <w:szCs w:val="24"/>
        </w:rPr>
        <w:t>, which</w:t>
      </w:r>
      <w:r w:rsidR="007760BF" w:rsidRPr="00A7703B">
        <w:rPr>
          <w:sz w:val="24"/>
          <w:szCs w:val="24"/>
        </w:rPr>
        <w:t xml:space="preserve"> is shown in Table </w:t>
      </w:r>
      <w:r w:rsidR="00C41C8B">
        <w:rPr>
          <w:sz w:val="24"/>
          <w:szCs w:val="24"/>
        </w:rPr>
        <w:t>7</w:t>
      </w:r>
      <w:r w:rsidR="007760BF" w:rsidRPr="00A7703B">
        <w:rPr>
          <w:sz w:val="24"/>
          <w:szCs w:val="24"/>
        </w:rPr>
        <w:t xml:space="preserve"> below</w:t>
      </w:r>
      <w:r w:rsidR="003B6DC0">
        <w:rPr>
          <w:sz w:val="24"/>
          <w:szCs w:val="24"/>
        </w:rPr>
        <w:t>, demonstrate the following:</w:t>
      </w:r>
    </w:p>
    <w:p w14:paraId="56E602E5" w14:textId="60633E39" w:rsidR="003B6DC0" w:rsidRDefault="004A4023" w:rsidP="002D6EBF">
      <w:pPr>
        <w:pStyle w:val="ListParagraph"/>
        <w:numPr>
          <w:ilvl w:val="0"/>
          <w:numId w:val="1"/>
        </w:numPr>
        <w:spacing w:line="240" w:lineRule="auto"/>
        <w:rPr>
          <w:sz w:val="24"/>
          <w:szCs w:val="24"/>
        </w:rPr>
      </w:pPr>
      <w:r w:rsidRPr="003B6DC0">
        <w:rPr>
          <w:sz w:val="24"/>
          <w:szCs w:val="24"/>
        </w:rPr>
        <w:t xml:space="preserve">The 18-54 </w:t>
      </w:r>
      <w:r w:rsidR="004317DB" w:rsidRPr="003B6DC0">
        <w:rPr>
          <w:sz w:val="24"/>
          <w:szCs w:val="24"/>
        </w:rPr>
        <w:t xml:space="preserve">age cohort </w:t>
      </w:r>
      <w:r w:rsidRPr="003B6DC0">
        <w:rPr>
          <w:sz w:val="24"/>
          <w:szCs w:val="24"/>
        </w:rPr>
        <w:t xml:space="preserve">was the largest </w:t>
      </w:r>
      <w:r w:rsidR="003D2624">
        <w:rPr>
          <w:sz w:val="24"/>
          <w:szCs w:val="24"/>
        </w:rPr>
        <w:t xml:space="preserve">single </w:t>
      </w:r>
      <w:r w:rsidRPr="003B6DC0">
        <w:rPr>
          <w:sz w:val="24"/>
          <w:szCs w:val="24"/>
        </w:rPr>
        <w:t>age cohort across all three sites</w:t>
      </w:r>
      <w:r w:rsidR="004317DB" w:rsidRPr="003B6DC0">
        <w:rPr>
          <w:sz w:val="24"/>
          <w:szCs w:val="24"/>
        </w:rPr>
        <w:t xml:space="preserve"> representing</w:t>
      </w:r>
      <w:r w:rsidRPr="003B6DC0">
        <w:rPr>
          <w:sz w:val="24"/>
          <w:szCs w:val="24"/>
        </w:rPr>
        <w:t xml:space="preserve"> 40% of Cancer Center MRI patients, </w:t>
      </w:r>
      <w:r w:rsidR="004317DB" w:rsidRPr="003B6DC0">
        <w:rPr>
          <w:sz w:val="24"/>
          <w:szCs w:val="24"/>
        </w:rPr>
        <w:t xml:space="preserve">35% of South Shore Orthopedic patients, and 27% of SSH MRI patients. </w:t>
      </w:r>
    </w:p>
    <w:p w14:paraId="036AB82B" w14:textId="412761BE" w:rsidR="003B6DC0" w:rsidRDefault="00957436" w:rsidP="002D6EBF">
      <w:pPr>
        <w:pStyle w:val="ListParagraph"/>
        <w:numPr>
          <w:ilvl w:val="0"/>
          <w:numId w:val="1"/>
        </w:numPr>
        <w:spacing w:line="240" w:lineRule="auto"/>
        <w:rPr>
          <w:sz w:val="24"/>
          <w:szCs w:val="24"/>
        </w:rPr>
      </w:pPr>
      <w:r w:rsidRPr="003B6DC0">
        <w:rPr>
          <w:sz w:val="24"/>
          <w:szCs w:val="24"/>
        </w:rPr>
        <w:t xml:space="preserve">The </w:t>
      </w:r>
      <w:r w:rsidR="0037435B">
        <w:rPr>
          <w:sz w:val="24"/>
          <w:szCs w:val="24"/>
        </w:rPr>
        <w:t xml:space="preserve">combination of the three </w:t>
      </w:r>
      <w:r w:rsidRPr="003B6DC0">
        <w:rPr>
          <w:sz w:val="24"/>
          <w:szCs w:val="24"/>
        </w:rPr>
        <w:t xml:space="preserve">age </w:t>
      </w:r>
      <w:r w:rsidR="0037435B">
        <w:rPr>
          <w:sz w:val="24"/>
          <w:szCs w:val="24"/>
        </w:rPr>
        <w:t xml:space="preserve">cohorts that comprise the </w:t>
      </w:r>
      <w:r w:rsidRPr="003B6DC0">
        <w:rPr>
          <w:sz w:val="24"/>
          <w:szCs w:val="24"/>
        </w:rPr>
        <w:t xml:space="preserve">65 and older population represent </w:t>
      </w:r>
      <w:r w:rsidR="0037435B">
        <w:rPr>
          <w:sz w:val="24"/>
          <w:szCs w:val="24"/>
        </w:rPr>
        <w:t xml:space="preserve">the largest group: </w:t>
      </w:r>
      <w:r w:rsidRPr="003B6DC0">
        <w:rPr>
          <w:sz w:val="24"/>
          <w:szCs w:val="24"/>
        </w:rPr>
        <w:t xml:space="preserve">35% of Cancer Center MRI patients, 41% of South Shore Orthopedic MRI patients, and 53% of SSH MRI patients. </w:t>
      </w:r>
    </w:p>
    <w:p w14:paraId="7482370C" w14:textId="09486F46" w:rsidR="00835613" w:rsidRDefault="00703DE4" w:rsidP="002032BF">
      <w:pPr>
        <w:pStyle w:val="ListParagraph"/>
        <w:numPr>
          <w:ilvl w:val="0"/>
          <w:numId w:val="1"/>
        </w:numPr>
        <w:spacing w:line="240" w:lineRule="auto"/>
      </w:pPr>
      <w:r w:rsidRPr="003B6DC0">
        <w:rPr>
          <w:sz w:val="24"/>
          <w:szCs w:val="24"/>
        </w:rPr>
        <w:t>MRI p</w:t>
      </w:r>
      <w:r w:rsidR="003C5FD2" w:rsidRPr="003B6DC0">
        <w:rPr>
          <w:sz w:val="24"/>
          <w:szCs w:val="24"/>
        </w:rPr>
        <w:t xml:space="preserve">atients </w:t>
      </w:r>
      <w:r w:rsidR="00FF483F" w:rsidRPr="003B6DC0">
        <w:rPr>
          <w:sz w:val="24"/>
          <w:szCs w:val="24"/>
        </w:rPr>
        <w:t xml:space="preserve">in the </w:t>
      </w:r>
      <w:r w:rsidR="003C5FD2" w:rsidRPr="003B6DC0">
        <w:rPr>
          <w:sz w:val="24"/>
          <w:szCs w:val="24"/>
        </w:rPr>
        <w:t xml:space="preserve">65-74 </w:t>
      </w:r>
      <w:r w:rsidR="00FF483F" w:rsidRPr="003B6DC0">
        <w:rPr>
          <w:sz w:val="24"/>
          <w:szCs w:val="24"/>
        </w:rPr>
        <w:t xml:space="preserve">age cohort </w:t>
      </w:r>
      <w:r w:rsidR="003C5FD2" w:rsidRPr="003B6DC0">
        <w:rPr>
          <w:sz w:val="24"/>
          <w:szCs w:val="24"/>
        </w:rPr>
        <w:t>comprised the largest percentage of MRI patients</w:t>
      </w:r>
      <w:r w:rsidR="0079439B" w:rsidRPr="003B6DC0">
        <w:rPr>
          <w:sz w:val="24"/>
          <w:szCs w:val="24"/>
        </w:rPr>
        <w:t xml:space="preserve"> </w:t>
      </w:r>
      <w:r w:rsidR="004317DB" w:rsidRPr="003B6DC0">
        <w:rPr>
          <w:sz w:val="24"/>
          <w:szCs w:val="24"/>
        </w:rPr>
        <w:t>age</w:t>
      </w:r>
      <w:r w:rsidR="006B226A">
        <w:rPr>
          <w:sz w:val="24"/>
          <w:szCs w:val="24"/>
        </w:rPr>
        <w:t>d</w:t>
      </w:r>
      <w:r w:rsidR="004317DB" w:rsidRPr="003B6DC0">
        <w:rPr>
          <w:sz w:val="24"/>
          <w:szCs w:val="24"/>
        </w:rPr>
        <w:t xml:space="preserve"> 65 and older </w:t>
      </w:r>
      <w:r w:rsidR="0079439B" w:rsidRPr="003B6DC0">
        <w:rPr>
          <w:sz w:val="24"/>
          <w:szCs w:val="24"/>
        </w:rPr>
        <w:t>across</w:t>
      </w:r>
      <w:r w:rsidR="003C5FD2" w:rsidRPr="003B6DC0">
        <w:rPr>
          <w:sz w:val="24"/>
          <w:szCs w:val="24"/>
        </w:rPr>
        <w:t xml:space="preserve"> all three sites. </w:t>
      </w:r>
    </w:p>
    <w:p w14:paraId="47460A88" w14:textId="18559AA2" w:rsidR="0037785E" w:rsidRDefault="0037785E" w:rsidP="00542409">
      <w:pPr>
        <w:spacing w:line="240" w:lineRule="auto"/>
        <w:rPr>
          <w:b/>
          <w:bCs/>
          <w:sz w:val="24"/>
          <w:szCs w:val="24"/>
        </w:rPr>
      </w:pPr>
    </w:p>
    <w:p w14:paraId="2CC1F3DD" w14:textId="0779F188" w:rsidR="00D72DAF" w:rsidRDefault="00D72DAF" w:rsidP="00D72DAF">
      <w:pPr>
        <w:spacing w:line="240" w:lineRule="auto"/>
        <w:jc w:val="center"/>
        <w:rPr>
          <w:b/>
          <w:bCs/>
          <w:sz w:val="24"/>
          <w:szCs w:val="24"/>
        </w:rPr>
      </w:pPr>
      <w:r w:rsidRPr="00D72DAF">
        <w:rPr>
          <w:b/>
          <w:bCs/>
          <w:sz w:val="24"/>
          <w:szCs w:val="24"/>
        </w:rPr>
        <w:t xml:space="preserve">Table </w:t>
      </w:r>
      <w:r w:rsidR="00105E82">
        <w:rPr>
          <w:b/>
          <w:bCs/>
          <w:sz w:val="24"/>
          <w:szCs w:val="24"/>
        </w:rPr>
        <w:t>7</w:t>
      </w:r>
      <w:r w:rsidRPr="00D72DAF">
        <w:rPr>
          <w:b/>
          <w:bCs/>
          <w:sz w:val="24"/>
          <w:szCs w:val="24"/>
        </w:rPr>
        <w:t>:</w:t>
      </w:r>
      <w:r w:rsidR="00383B05" w:rsidRPr="00383B05">
        <w:rPr>
          <w:rFonts w:cstheme="minorHAnsi"/>
          <w:b/>
        </w:rPr>
        <w:t xml:space="preserve"> </w:t>
      </w:r>
      <w:r w:rsidR="00383B05" w:rsidRPr="00383B05">
        <w:rPr>
          <w:b/>
          <w:bCs/>
          <w:sz w:val="24"/>
          <w:szCs w:val="24"/>
        </w:rPr>
        <w:t xml:space="preserve">SSHS MRI </w:t>
      </w:r>
      <w:r w:rsidR="00383B05">
        <w:rPr>
          <w:b/>
          <w:bCs/>
          <w:sz w:val="24"/>
          <w:szCs w:val="24"/>
        </w:rPr>
        <w:t xml:space="preserve">Total Unique Patients </w:t>
      </w:r>
      <w:r w:rsidR="004A4023">
        <w:rPr>
          <w:b/>
          <w:bCs/>
          <w:sz w:val="24"/>
          <w:szCs w:val="24"/>
        </w:rPr>
        <w:t>by Age Cohort</w:t>
      </w:r>
    </w:p>
    <w:tbl>
      <w:tblPr>
        <w:tblStyle w:val="TableGrid"/>
        <w:tblW w:w="7807" w:type="dxa"/>
        <w:jc w:val="center"/>
        <w:tblLayout w:type="fixed"/>
        <w:tblLook w:val="04A0" w:firstRow="1" w:lastRow="0" w:firstColumn="1" w:lastColumn="0" w:noHBand="0" w:noVBand="1"/>
        <w:tblCaption w:val="Table 7: SSHS MRI Total Unique Patients by Age Cohort"/>
        <w:tblDescription w:val="Age Cohort Cancer Center South Shore Orthopedics South Shore Hospital Main Campus&#10; # % # % # %&#10;0-17 52 1.5% 35 1.1% 92 1.9%&#10;18-54 1,370 39.9% 1102 34.8% 1,324 27.0%&#10;55-64 815 23.7% 725 22.9% 863 17.6%&#10;65-74 680 19.8% 678 21.4% 1022 20.9%&#10;75-84 408 11.9% 458 14.5% 954 19.5%&#10;85+ 107 3.1% 166 5.2% 641 13.1%&#10;Total  3,432 100% 3,164 100% 4,896&#10;100%&#10;"/>
      </w:tblPr>
      <w:tblGrid>
        <w:gridCol w:w="1272"/>
        <w:gridCol w:w="955"/>
        <w:gridCol w:w="900"/>
        <w:gridCol w:w="1080"/>
        <w:gridCol w:w="1260"/>
        <w:gridCol w:w="1260"/>
        <w:gridCol w:w="1080"/>
      </w:tblGrid>
      <w:tr w:rsidR="00284CA5" w:rsidRPr="007B72E0" w14:paraId="5E52DA3E" w14:textId="20D44E0C" w:rsidTr="00405BFD">
        <w:trPr>
          <w:trHeight w:val="602"/>
          <w:tblHeader/>
          <w:jc w:val="center"/>
        </w:trPr>
        <w:tc>
          <w:tcPr>
            <w:tcW w:w="1272" w:type="dxa"/>
            <w:shd w:val="clear" w:color="auto" w:fill="F2F2F2" w:themeFill="background1" w:themeFillShade="F2"/>
          </w:tcPr>
          <w:p w14:paraId="3A473AC4" w14:textId="77777777" w:rsidR="00284CA5" w:rsidRPr="007B72E0" w:rsidRDefault="00284CA5" w:rsidP="008303F6">
            <w:pPr>
              <w:jc w:val="center"/>
              <w:rPr>
                <w:rFonts w:cstheme="minorHAnsi"/>
                <w:b/>
                <w:bCs/>
              </w:rPr>
            </w:pPr>
            <w:r w:rsidRPr="007B72E0">
              <w:rPr>
                <w:rFonts w:cstheme="minorHAnsi"/>
                <w:b/>
                <w:bCs/>
              </w:rPr>
              <w:t>Age Cohort</w:t>
            </w:r>
          </w:p>
        </w:tc>
        <w:tc>
          <w:tcPr>
            <w:tcW w:w="6535" w:type="dxa"/>
            <w:gridSpan w:val="6"/>
            <w:shd w:val="clear" w:color="auto" w:fill="F2F2F2" w:themeFill="background1" w:themeFillShade="F2"/>
          </w:tcPr>
          <w:p w14:paraId="31CF52CD" w14:textId="77777777" w:rsidR="00284CA5" w:rsidRPr="007B72E0" w:rsidRDefault="00284CA5" w:rsidP="008303F6">
            <w:pPr>
              <w:jc w:val="center"/>
              <w:rPr>
                <w:rFonts w:cstheme="minorHAnsi"/>
                <w:b/>
                <w:bCs/>
              </w:rPr>
            </w:pPr>
            <w:r w:rsidRPr="007B72E0">
              <w:rPr>
                <w:rFonts w:cstheme="minorHAnsi"/>
                <w:b/>
                <w:bCs/>
              </w:rPr>
              <w:t>Cancer Center</w:t>
            </w:r>
          </w:p>
          <w:p w14:paraId="33105B24" w14:textId="158531AC" w:rsidR="00284CA5" w:rsidRPr="007B72E0" w:rsidRDefault="00284CA5" w:rsidP="008303F6">
            <w:pPr>
              <w:jc w:val="center"/>
              <w:rPr>
                <w:rFonts w:cstheme="minorHAnsi"/>
                <w:b/>
                <w:bCs/>
              </w:rPr>
            </w:pPr>
            <w:r w:rsidRPr="007B72E0">
              <w:rPr>
                <w:rFonts w:cstheme="minorHAnsi"/>
                <w:b/>
                <w:bCs/>
              </w:rPr>
              <w:t>South Shore Orthopedics</w:t>
            </w:r>
          </w:p>
          <w:p w14:paraId="0BC2DD42" w14:textId="4DBEFD83" w:rsidR="00284CA5" w:rsidRPr="007B72E0" w:rsidRDefault="00284CA5" w:rsidP="008303F6">
            <w:pPr>
              <w:jc w:val="center"/>
              <w:rPr>
                <w:rFonts w:cstheme="minorHAnsi"/>
                <w:b/>
                <w:bCs/>
              </w:rPr>
            </w:pPr>
            <w:r w:rsidRPr="007B72E0">
              <w:rPr>
                <w:rFonts w:cstheme="minorHAnsi"/>
                <w:b/>
                <w:bCs/>
              </w:rPr>
              <w:t>South Shore Hospital Main Campus</w:t>
            </w:r>
          </w:p>
        </w:tc>
      </w:tr>
      <w:tr w:rsidR="00BF13BF" w:rsidRPr="007B72E0" w14:paraId="68A54FBF" w14:textId="77777777" w:rsidTr="00284CA5">
        <w:trPr>
          <w:jc w:val="center"/>
        </w:trPr>
        <w:tc>
          <w:tcPr>
            <w:tcW w:w="1272" w:type="dxa"/>
          </w:tcPr>
          <w:p w14:paraId="322ED58D" w14:textId="77777777" w:rsidR="00BF13BF" w:rsidRPr="007B72E0" w:rsidRDefault="00BF13BF" w:rsidP="00BF13BF">
            <w:pPr>
              <w:rPr>
                <w:rFonts w:cstheme="minorHAnsi"/>
              </w:rPr>
            </w:pPr>
          </w:p>
        </w:tc>
        <w:tc>
          <w:tcPr>
            <w:tcW w:w="955" w:type="dxa"/>
          </w:tcPr>
          <w:p w14:paraId="49C341D6" w14:textId="28F13FA2" w:rsidR="00BF13BF" w:rsidRPr="007B72E0" w:rsidRDefault="00BF13BF" w:rsidP="00BF13BF">
            <w:pPr>
              <w:jc w:val="center"/>
              <w:rPr>
                <w:rFonts w:cstheme="minorHAnsi"/>
              </w:rPr>
            </w:pPr>
            <w:r w:rsidRPr="007B72E0">
              <w:rPr>
                <w:rFonts w:cstheme="minorHAnsi"/>
              </w:rPr>
              <w:t>#</w:t>
            </w:r>
          </w:p>
        </w:tc>
        <w:tc>
          <w:tcPr>
            <w:tcW w:w="900" w:type="dxa"/>
          </w:tcPr>
          <w:p w14:paraId="62C190BF" w14:textId="4A22FD3F" w:rsidR="00BF13BF" w:rsidRPr="007B72E0" w:rsidRDefault="00BF13BF" w:rsidP="00BF13BF">
            <w:pPr>
              <w:jc w:val="center"/>
              <w:rPr>
                <w:rFonts w:cstheme="minorHAnsi"/>
              </w:rPr>
            </w:pPr>
            <w:r w:rsidRPr="007B72E0">
              <w:rPr>
                <w:rFonts w:cstheme="minorHAnsi"/>
              </w:rPr>
              <w:t>%</w:t>
            </w:r>
          </w:p>
        </w:tc>
        <w:tc>
          <w:tcPr>
            <w:tcW w:w="1080" w:type="dxa"/>
          </w:tcPr>
          <w:p w14:paraId="36DADFB5" w14:textId="75F248F4" w:rsidR="00BF13BF" w:rsidRPr="007B72E0" w:rsidRDefault="00BF13BF" w:rsidP="00BF13BF">
            <w:pPr>
              <w:jc w:val="center"/>
              <w:rPr>
                <w:rFonts w:cstheme="minorHAnsi"/>
              </w:rPr>
            </w:pPr>
            <w:r w:rsidRPr="007B72E0">
              <w:rPr>
                <w:rFonts w:cstheme="minorHAnsi"/>
              </w:rPr>
              <w:t>#</w:t>
            </w:r>
          </w:p>
        </w:tc>
        <w:tc>
          <w:tcPr>
            <w:tcW w:w="1260" w:type="dxa"/>
          </w:tcPr>
          <w:p w14:paraId="05C4E0F3" w14:textId="6AE5BEAF" w:rsidR="00BF13BF" w:rsidRPr="007B72E0" w:rsidRDefault="00BF13BF" w:rsidP="00BF13BF">
            <w:pPr>
              <w:jc w:val="center"/>
              <w:rPr>
                <w:rFonts w:cstheme="minorHAnsi"/>
              </w:rPr>
            </w:pPr>
            <w:r w:rsidRPr="007B72E0">
              <w:rPr>
                <w:rFonts w:cstheme="minorHAnsi"/>
              </w:rPr>
              <w:t>%</w:t>
            </w:r>
          </w:p>
        </w:tc>
        <w:tc>
          <w:tcPr>
            <w:tcW w:w="1260" w:type="dxa"/>
          </w:tcPr>
          <w:p w14:paraId="6CF6749C" w14:textId="509A7ECC" w:rsidR="00BF13BF" w:rsidRPr="007B72E0" w:rsidRDefault="00BF13BF" w:rsidP="00BF13BF">
            <w:pPr>
              <w:jc w:val="center"/>
              <w:rPr>
                <w:rFonts w:cstheme="minorHAnsi"/>
              </w:rPr>
            </w:pPr>
            <w:r w:rsidRPr="007B72E0">
              <w:rPr>
                <w:rFonts w:cstheme="minorHAnsi"/>
              </w:rPr>
              <w:t>#</w:t>
            </w:r>
          </w:p>
        </w:tc>
        <w:tc>
          <w:tcPr>
            <w:tcW w:w="1080" w:type="dxa"/>
          </w:tcPr>
          <w:p w14:paraId="45E47690" w14:textId="51FF3C23" w:rsidR="00BF13BF" w:rsidRPr="007B72E0" w:rsidRDefault="00BF13BF" w:rsidP="00BF13BF">
            <w:pPr>
              <w:jc w:val="center"/>
              <w:rPr>
                <w:rFonts w:cstheme="minorHAnsi"/>
              </w:rPr>
            </w:pPr>
            <w:r w:rsidRPr="007B72E0">
              <w:rPr>
                <w:rFonts w:cstheme="minorHAnsi"/>
              </w:rPr>
              <w:t>%</w:t>
            </w:r>
          </w:p>
        </w:tc>
      </w:tr>
      <w:tr w:rsidR="00BF13BF" w:rsidRPr="007B72E0" w14:paraId="51A43860" w14:textId="4DAED79C" w:rsidTr="00284CA5">
        <w:trPr>
          <w:jc w:val="center"/>
        </w:trPr>
        <w:tc>
          <w:tcPr>
            <w:tcW w:w="1272" w:type="dxa"/>
          </w:tcPr>
          <w:p w14:paraId="2B8B65F3" w14:textId="77777777" w:rsidR="00BF13BF" w:rsidRPr="007B72E0" w:rsidRDefault="00BF13BF" w:rsidP="00BF13BF">
            <w:pPr>
              <w:rPr>
                <w:rFonts w:cstheme="minorHAnsi"/>
              </w:rPr>
            </w:pPr>
            <w:r w:rsidRPr="007B72E0">
              <w:rPr>
                <w:rFonts w:cstheme="minorHAnsi"/>
              </w:rPr>
              <w:t>0-17</w:t>
            </w:r>
          </w:p>
        </w:tc>
        <w:tc>
          <w:tcPr>
            <w:tcW w:w="955" w:type="dxa"/>
          </w:tcPr>
          <w:p w14:paraId="1DD2E48F" w14:textId="77777777" w:rsidR="00BF13BF" w:rsidRPr="007B72E0" w:rsidRDefault="00BF13BF" w:rsidP="00BF13BF">
            <w:pPr>
              <w:jc w:val="center"/>
              <w:rPr>
                <w:rFonts w:cstheme="minorHAnsi"/>
              </w:rPr>
            </w:pPr>
            <w:r w:rsidRPr="007B72E0">
              <w:rPr>
                <w:rFonts w:cstheme="minorHAnsi"/>
              </w:rPr>
              <w:t>52</w:t>
            </w:r>
          </w:p>
        </w:tc>
        <w:tc>
          <w:tcPr>
            <w:tcW w:w="900" w:type="dxa"/>
          </w:tcPr>
          <w:p w14:paraId="0E37292B" w14:textId="4BD527E4" w:rsidR="00BF13BF" w:rsidRPr="007B72E0" w:rsidRDefault="00BF13BF" w:rsidP="00BF13BF">
            <w:pPr>
              <w:jc w:val="center"/>
              <w:rPr>
                <w:rFonts w:cstheme="minorHAnsi"/>
              </w:rPr>
            </w:pPr>
            <w:r w:rsidRPr="007B72E0">
              <w:rPr>
                <w:rFonts w:cstheme="minorHAnsi"/>
              </w:rPr>
              <w:t>1.5%</w:t>
            </w:r>
          </w:p>
        </w:tc>
        <w:tc>
          <w:tcPr>
            <w:tcW w:w="1080" w:type="dxa"/>
          </w:tcPr>
          <w:p w14:paraId="3E970E27" w14:textId="170DF9DC" w:rsidR="00BF13BF" w:rsidRPr="007B72E0" w:rsidRDefault="00BF13BF" w:rsidP="00BF13BF">
            <w:pPr>
              <w:jc w:val="center"/>
              <w:rPr>
                <w:rFonts w:cstheme="minorHAnsi"/>
              </w:rPr>
            </w:pPr>
            <w:r w:rsidRPr="007B72E0">
              <w:rPr>
                <w:rFonts w:cstheme="minorHAnsi"/>
              </w:rPr>
              <w:t>35</w:t>
            </w:r>
          </w:p>
        </w:tc>
        <w:tc>
          <w:tcPr>
            <w:tcW w:w="1260" w:type="dxa"/>
          </w:tcPr>
          <w:p w14:paraId="7F80E7D2" w14:textId="28398787" w:rsidR="00BF13BF" w:rsidRPr="007B72E0" w:rsidRDefault="00BF13BF" w:rsidP="00BF13BF">
            <w:pPr>
              <w:jc w:val="center"/>
              <w:rPr>
                <w:rFonts w:cstheme="minorHAnsi"/>
              </w:rPr>
            </w:pPr>
            <w:r w:rsidRPr="007B72E0">
              <w:rPr>
                <w:rFonts w:cstheme="minorHAnsi"/>
              </w:rPr>
              <w:t>1.1%</w:t>
            </w:r>
          </w:p>
        </w:tc>
        <w:tc>
          <w:tcPr>
            <w:tcW w:w="1260" w:type="dxa"/>
          </w:tcPr>
          <w:p w14:paraId="4406BD98" w14:textId="73863A8B" w:rsidR="00BF13BF" w:rsidRPr="007B72E0" w:rsidRDefault="00BF13BF" w:rsidP="00BF13BF">
            <w:pPr>
              <w:jc w:val="center"/>
              <w:rPr>
                <w:rFonts w:cstheme="minorHAnsi"/>
              </w:rPr>
            </w:pPr>
            <w:r w:rsidRPr="007B72E0">
              <w:rPr>
                <w:rFonts w:cstheme="minorHAnsi"/>
              </w:rPr>
              <w:t>92</w:t>
            </w:r>
          </w:p>
        </w:tc>
        <w:tc>
          <w:tcPr>
            <w:tcW w:w="1080" w:type="dxa"/>
          </w:tcPr>
          <w:p w14:paraId="47926313" w14:textId="7E53AF11" w:rsidR="00BF13BF" w:rsidRPr="007B72E0" w:rsidRDefault="00BF13BF" w:rsidP="00BF13BF">
            <w:pPr>
              <w:jc w:val="center"/>
              <w:rPr>
                <w:rFonts w:cstheme="minorHAnsi"/>
              </w:rPr>
            </w:pPr>
            <w:r w:rsidRPr="007B72E0">
              <w:rPr>
                <w:rFonts w:cstheme="minorHAnsi"/>
              </w:rPr>
              <w:t>1.9%</w:t>
            </w:r>
          </w:p>
        </w:tc>
      </w:tr>
      <w:tr w:rsidR="00BF13BF" w:rsidRPr="007B72E0" w14:paraId="7FC3DB0B" w14:textId="55EF9CDA" w:rsidTr="00284CA5">
        <w:trPr>
          <w:jc w:val="center"/>
        </w:trPr>
        <w:tc>
          <w:tcPr>
            <w:tcW w:w="1272" w:type="dxa"/>
          </w:tcPr>
          <w:p w14:paraId="241391A5" w14:textId="77777777" w:rsidR="00BF13BF" w:rsidRPr="007B72E0" w:rsidRDefault="00BF13BF" w:rsidP="00BF13BF">
            <w:pPr>
              <w:rPr>
                <w:rFonts w:cstheme="minorHAnsi"/>
              </w:rPr>
            </w:pPr>
            <w:r w:rsidRPr="007B72E0">
              <w:rPr>
                <w:rFonts w:cstheme="minorHAnsi"/>
              </w:rPr>
              <w:t>18-54</w:t>
            </w:r>
          </w:p>
        </w:tc>
        <w:tc>
          <w:tcPr>
            <w:tcW w:w="955" w:type="dxa"/>
          </w:tcPr>
          <w:p w14:paraId="1DC72775" w14:textId="62496002" w:rsidR="00BF13BF" w:rsidRPr="007B72E0" w:rsidRDefault="00BF13BF" w:rsidP="00BF13BF">
            <w:pPr>
              <w:jc w:val="center"/>
              <w:rPr>
                <w:rFonts w:cstheme="minorHAnsi"/>
              </w:rPr>
            </w:pPr>
            <w:r w:rsidRPr="007B72E0">
              <w:rPr>
                <w:rFonts w:cstheme="minorHAnsi"/>
              </w:rPr>
              <w:t>1</w:t>
            </w:r>
            <w:r w:rsidR="00FA3420">
              <w:rPr>
                <w:rFonts w:cstheme="minorHAnsi"/>
              </w:rPr>
              <w:t>,</w:t>
            </w:r>
            <w:r w:rsidRPr="007B72E0">
              <w:rPr>
                <w:rFonts w:cstheme="minorHAnsi"/>
              </w:rPr>
              <w:t>370</w:t>
            </w:r>
          </w:p>
        </w:tc>
        <w:tc>
          <w:tcPr>
            <w:tcW w:w="900" w:type="dxa"/>
          </w:tcPr>
          <w:p w14:paraId="4250B02B" w14:textId="327F7D79" w:rsidR="00BF13BF" w:rsidRPr="007B72E0" w:rsidRDefault="00BF13BF" w:rsidP="00BF13BF">
            <w:pPr>
              <w:jc w:val="center"/>
              <w:rPr>
                <w:rFonts w:cstheme="minorHAnsi"/>
              </w:rPr>
            </w:pPr>
            <w:r w:rsidRPr="007B72E0">
              <w:rPr>
                <w:rFonts w:cstheme="minorHAnsi"/>
              </w:rPr>
              <w:t>39.9%</w:t>
            </w:r>
          </w:p>
        </w:tc>
        <w:tc>
          <w:tcPr>
            <w:tcW w:w="1080" w:type="dxa"/>
          </w:tcPr>
          <w:p w14:paraId="7C417609" w14:textId="75330B98" w:rsidR="00BF13BF" w:rsidRPr="007B72E0" w:rsidRDefault="00BF13BF" w:rsidP="00BF13BF">
            <w:pPr>
              <w:jc w:val="center"/>
              <w:rPr>
                <w:rFonts w:cstheme="minorHAnsi"/>
              </w:rPr>
            </w:pPr>
            <w:r w:rsidRPr="007B72E0">
              <w:rPr>
                <w:rFonts w:cstheme="minorHAnsi"/>
              </w:rPr>
              <w:t>1102</w:t>
            </w:r>
          </w:p>
        </w:tc>
        <w:tc>
          <w:tcPr>
            <w:tcW w:w="1260" w:type="dxa"/>
          </w:tcPr>
          <w:p w14:paraId="310ECA98" w14:textId="052C0DCA" w:rsidR="00BF13BF" w:rsidRPr="007B72E0" w:rsidRDefault="00BF13BF" w:rsidP="00BF13BF">
            <w:pPr>
              <w:jc w:val="center"/>
              <w:rPr>
                <w:rFonts w:cstheme="minorHAnsi"/>
              </w:rPr>
            </w:pPr>
            <w:r w:rsidRPr="007B72E0">
              <w:rPr>
                <w:rFonts w:cstheme="minorHAnsi"/>
              </w:rPr>
              <w:t>34.8%</w:t>
            </w:r>
          </w:p>
        </w:tc>
        <w:tc>
          <w:tcPr>
            <w:tcW w:w="1260" w:type="dxa"/>
          </w:tcPr>
          <w:p w14:paraId="765A42DC" w14:textId="5E259170" w:rsidR="00BF13BF" w:rsidRPr="007B72E0" w:rsidRDefault="00BF13BF" w:rsidP="00BF13BF">
            <w:pPr>
              <w:jc w:val="center"/>
              <w:rPr>
                <w:rFonts w:cstheme="minorHAnsi"/>
              </w:rPr>
            </w:pPr>
            <w:r w:rsidRPr="007B72E0">
              <w:rPr>
                <w:rFonts w:cstheme="minorHAnsi"/>
              </w:rPr>
              <w:t>1</w:t>
            </w:r>
            <w:r w:rsidR="00FA3420">
              <w:rPr>
                <w:rFonts w:cstheme="minorHAnsi"/>
              </w:rPr>
              <w:t>,</w:t>
            </w:r>
            <w:r w:rsidRPr="007B72E0">
              <w:rPr>
                <w:rFonts w:cstheme="minorHAnsi"/>
              </w:rPr>
              <w:t>324</w:t>
            </w:r>
          </w:p>
        </w:tc>
        <w:tc>
          <w:tcPr>
            <w:tcW w:w="1080" w:type="dxa"/>
          </w:tcPr>
          <w:p w14:paraId="646145F0" w14:textId="3FB28C97" w:rsidR="00BF13BF" w:rsidRPr="007B72E0" w:rsidRDefault="00BF13BF" w:rsidP="00BF13BF">
            <w:pPr>
              <w:jc w:val="center"/>
              <w:rPr>
                <w:rFonts w:cstheme="minorHAnsi"/>
              </w:rPr>
            </w:pPr>
            <w:r w:rsidRPr="007B72E0">
              <w:rPr>
                <w:rFonts w:cstheme="minorHAnsi"/>
              </w:rPr>
              <w:t>27.0%</w:t>
            </w:r>
          </w:p>
        </w:tc>
      </w:tr>
      <w:tr w:rsidR="00BF13BF" w:rsidRPr="007B72E0" w14:paraId="2C374518" w14:textId="02C4F3DD" w:rsidTr="00284CA5">
        <w:trPr>
          <w:jc w:val="center"/>
        </w:trPr>
        <w:tc>
          <w:tcPr>
            <w:tcW w:w="1272" w:type="dxa"/>
          </w:tcPr>
          <w:p w14:paraId="17B72F35" w14:textId="77777777" w:rsidR="00BF13BF" w:rsidRPr="007B72E0" w:rsidRDefault="00BF13BF" w:rsidP="00BF13BF">
            <w:pPr>
              <w:rPr>
                <w:rFonts w:cstheme="minorHAnsi"/>
              </w:rPr>
            </w:pPr>
            <w:r w:rsidRPr="007B72E0">
              <w:rPr>
                <w:rFonts w:cstheme="minorHAnsi"/>
              </w:rPr>
              <w:t>55-64</w:t>
            </w:r>
          </w:p>
        </w:tc>
        <w:tc>
          <w:tcPr>
            <w:tcW w:w="955" w:type="dxa"/>
          </w:tcPr>
          <w:p w14:paraId="699AC19E" w14:textId="77777777" w:rsidR="00BF13BF" w:rsidRPr="007B72E0" w:rsidRDefault="00BF13BF" w:rsidP="00BF13BF">
            <w:pPr>
              <w:jc w:val="center"/>
              <w:rPr>
                <w:rFonts w:cstheme="minorHAnsi"/>
              </w:rPr>
            </w:pPr>
            <w:r w:rsidRPr="007B72E0">
              <w:rPr>
                <w:rFonts w:cstheme="minorHAnsi"/>
              </w:rPr>
              <w:t>815</w:t>
            </w:r>
          </w:p>
        </w:tc>
        <w:tc>
          <w:tcPr>
            <w:tcW w:w="900" w:type="dxa"/>
          </w:tcPr>
          <w:p w14:paraId="40A6F9E3" w14:textId="373D4F19" w:rsidR="00BF13BF" w:rsidRPr="007B72E0" w:rsidRDefault="00BF13BF" w:rsidP="00BF13BF">
            <w:pPr>
              <w:jc w:val="center"/>
              <w:rPr>
                <w:rFonts w:cstheme="minorHAnsi"/>
              </w:rPr>
            </w:pPr>
            <w:r w:rsidRPr="007B72E0">
              <w:rPr>
                <w:rFonts w:cstheme="minorHAnsi"/>
              </w:rPr>
              <w:t>23.7%</w:t>
            </w:r>
          </w:p>
        </w:tc>
        <w:tc>
          <w:tcPr>
            <w:tcW w:w="1080" w:type="dxa"/>
          </w:tcPr>
          <w:p w14:paraId="7102C188" w14:textId="2C833578" w:rsidR="00BF13BF" w:rsidRPr="007B72E0" w:rsidRDefault="00BF13BF" w:rsidP="00BF13BF">
            <w:pPr>
              <w:jc w:val="center"/>
              <w:rPr>
                <w:rFonts w:cstheme="minorHAnsi"/>
              </w:rPr>
            </w:pPr>
            <w:r w:rsidRPr="007B72E0">
              <w:rPr>
                <w:rFonts w:cstheme="minorHAnsi"/>
              </w:rPr>
              <w:t>725</w:t>
            </w:r>
          </w:p>
        </w:tc>
        <w:tc>
          <w:tcPr>
            <w:tcW w:w="1260" w:type="dxa"/>
          </w:tcPr>
          <w:p w14:paraId="658E54AA" w14:textId="4D7D5FE2" w:rsidR="00BF13BF" w:rsidRPr="007B72E0" w:rsidRDefault="00BF13BF" w:rsidP="00BF13BF">
            <w:pPr>
              <w:jc w:val="center"/>
              <w:rPr>
                <w:rFonts w:cstheme="minorHAnsi"/>
              </w:rPr>
            </w:pPr>
            <w:r w:rsidRPr="007B72E0">
              <w:rPr>
                <w:rFonts w:cstheme="minorHAnsi"/>
              </w:rPr>
              <w:t>22.9%</w:t>
            </w:r>
          </w:p>
        </w:tc>
        <w:tc>
          <w:tcPr>
            <w:tcW w:w="1260" w:type="dxa"/>
          </w:tcPr>
          <w:p w14:paraId="11C77745" w14:textId="1F7EFBCB" w:rsidR="00BF13BF" w:rsidRPr="007B72E0" w:rsidRDefault="00BF13BF" w:rsidP="00BF13BF">
            <w:pPr>
              <w:jc w:val="center"/>
              <w:rPr>
                <w:rFonts w:cstheme="minorHAnsi"/>
              </w:rPr>
            </w:pPr>
            <w:r w:rsidRPr="007B72E0">
              <w:rPr>
                <w:rFonts w:cstheme="minorHAnsi"/>
              </w:rPr>
              <w:t>863</w:t>
            </w:r>
          </w:p>
        </w:tc>
        <w:tc>
          <w:tcPr>
            <w:tcW w:w="1080" w:type="dxa"/>
          </w:tcPr>
          <w:p w14:paraId="58CC196F" w14:textId="736D25AF" w:rsidR="00BF13BF" w:rsidRPr="007B72E0" w:rsidRDefault="00BF13BF" w:rsidP="00BF13BF">
            <w:pPr>
              <w:jc w:val="center"/>
              <w:rPr>
                <w:rFonts w:cstheme="minorHAnsi"/>
              </w:rPr>
            </w:pPr>
            <w:r w:rsidRPr="007B72E0">
              <w:rPr>
                <w:rFonts w:cstheme="minorHAnsi"/>
              </w:rPr>
              <w:t>17.6%</w:t>
            </w:r>
          </w:p>
        </w:tc>
      </w:tr>
      <w:tr w:rsidR="00BF13BF" w:rsidRPr="007B72E0" w14:paraId="40ADD940" w14:textId="28F8A15A" w:rsidTr="00284CA5">
        <w:trPr>
          <w:jc w:val="center"/>
        </w:trPr>
        <w:tc>
          <w:tcPr>
            <w:tcW w:w="1272" w:type="dxa"/>
          </w:tcPr>
          <w:p w14:paraId="5F6277F1" w14:textId="77777777" w:rsidR="00BF13BF" w:rsidRPr="007B72E0" w:rsidRDefault="00BF13BF" w:rsidP="00BF13BF">
            <w:pPr>
              <w:rPr>
                <w:rFonts w:cstheme="minorHAnsi"/>
              </w:rPr>
            </w:pPr>
            <w:r w:rsidRPr="007B72E0">
              <w:rPr>
                <w:rFonts w:cstheme="minorHAnsi"/>
              </w:rPr>
              <w:t>65-74</w:t>
            </w:r>
          </w:p>
        </w:tc>
        <w:tc>
          <w:tcPr>
            <w:tcW w:w="955" w:type="dxa"/>
          </w:tcPr>
          <w:p w14:paraId="5FA04AAA" w14:textId="77777777" w:rsidR="00BF13BF" w:rsidRPr="007B72E0" w:rsidRDefault="00BF13BF" w:rsidP="00BF13BF">
            <w:pPr>
              <w:jc w:val="center"/>
              <w:rPr>
                <w:rFonts w:cstheme="minorHAnsi"/>
              </w:rPr>
            </w:pPr>
            <w:r w:rsidRPr="007B72E0">
              <w:rPr>
                <w:rFonts w:cstheme="minorHAnsi"/>
              </w:rPr>
              <w:t>680</w:t>
            </w:r>
          </w:p>
        </w:tc>
        <w:tc>
          <w:tcPr>
            <w:tcW w:w="900" w:type="dxa"/>
          </w:tcPr>
          <w:p w14:paraId="3D9A84AF" w14:textId="38437E71" w:rsidR="00BF13BF" w:rsidRPr="007B72E0" w:rsidRDefault="00BF13BF" w:rsidP="00BF13BF">
            <w:pPr>
              <w:jc w:val="center"/>
              <w:rPr>
                <w:rFonts w:cstheme="minorHAnsi"/>
              </w:rPr>
            </w:pPr>
            <w:r w:rsidRPr="007B72E0">
              <w:rPr>
                <w:rFonts w:cstheme="minorHAnsi"/>
              </w:rPr>
              <w:t>19.8%</w:t>
            </w:r>
          </w:p>
        </w:tc>
        <w:tc>
          <w:tcPr>
            <w:tcW w:w="1080" w:type="dxa"/>
          </w:tcPr>
          <w:p w14:paraId="235D4E1A" w14:textId="60CD4344" w:rsidR="00BF13BF" w:rsidRPr="007B72E0" w:rsidRDefault="00BF13BF" w:rsidP="00BF13BF">
            <w:pPr>
              <w:jc w:val="center"/>
              <w:rPr>
                <w:rFonts w:cstheme="minorHAnsi"/>
              </w:rPr>
            </w:pPr>
            <w:r w:rsidRPr="007B72E0">
              <w:rPr>
                <w:rFonts w:cstheme="minorHAnsi"/>
              </w:rPr>
              <w:t>678</w:t>
            </w:r>
          </w:p>
        </w:tc>
        <w:tc>
          <w:tcPr>
            <w:tcW w:w="1260" w:type="dxa"/>
          </w:tcPr>
          <w:p w14:paraId="277E9F3A" w14:textId="2B21FE81" w:rsidR="00BF13BF" w:rsidRPr="007B72E0" w:rsidRDefault="00BF13BF" w:rsidP="00BF13BF">
            <w:pPr>
              <w:jc w:val="center"/>
              <w:rPr>
                <w:rFonts w:cstheme="minorHAnsi"/>
              </w:rPr>
            </w:pPr>
            <w:r w:rsidRPr="007B72E0">
              <w:rPr>
                <w:rFonts w:cstheme="minorHAnsi"/>
              </w:rPr>
              <w:t>21.4%</w:t>
            </w:r>
          </w:p>
        </w:tc>
        <w:tc>
          <w:tcPr>
            <w:tcW w:w="1260" w:type="dxa"/>
          </w:tcPr>
          <w:p w14:paraId="4D89F5F7" w14:textId="2052E742" w:rsidR="00BF13BF" w:rsidRPr="007B72E0" w:rsidRDefault="00BF13BF" w:rsidP="00BF13BF">
            <w:pPr>
              <w:jc w:val="center"/>
              <w:rPr>
                <w:rFonts w:cstheme="minorHAnsi"/>
              </w:rPr>
            </w:pPr>
            <w:r w:rsidRPr="007B72E0">
              <w:rPr>
                <w:rFonts w:cstheme="minorHAnsi"/>
              </w:rPr>
              <w:t>1022</w:t>
            </w:r>
          </w:p>
        </w:tc>
        <w:tc>
          <w:tcPr>
            <w:tcW w:w="1080" w:type="dxa"/>
          </w:tcPr>
          <w:p w14:paraId="6552C4FF" w14:textId="421E9CAF" w:rsidR="00BF13BF" w:rsidRPr="007B72E0" w:rsidRDefault="00BF13BF" w:rsidP="00BF13BF">
            <w:pPr>
              <w:jc w:val="center"/>
              <w:rPr>
                <w:rFonts w:cstheme="minorHAnsi"/>
              </w:rPr>
            </w:pPr>
            <w:r w:rsidRPr="007B72E0">
              <w:rPr>
                <w:rFonts w:cstheme="minorHAnsi"/>
              </w:rPr>
              <w:t>20.9%</w:t>
            </w:r>
          </w:p>
        </w:tc>
      </w:tr>
      <w:tr w:rsidR="00BF13BF" w:rsidRPr="007B72E0" w14:paraId="32A5ABD0" w14:textId="335C5988" w:rsidTr="00284CA5">
        <w:trPr>
          <w:jc w:val="center"/>
        </w:trPr>
        <w:tc>
          <w:tcPr>
            <w:tcW w:w="1272" w:type="dxa"/>
          </w:tcPr>
          <w:p w14:paraId="687441E4" w14:textId="77777777" w:rsidR="00BF13BF" w:rsidRPr="007B72E0" w:rsidRDefault="00BF13BF" w:rsidP="00BF13BF">
            <w:pPr>
              <w:rPr>
                <w:rFonts w:cstheme="minorHAnsi"/>
              </w:rPr>
            </w:pPr>
            <w:r w:rsidRPr="007B72E0">
              <w:rPr>
                <w:rFonts w:cstheme="minorHAnsi"/>
              </w:rPr>
              <w:t>75-84</w:t>
            </w:r>
          </w:p>
        </w:tc>
        <w:tc>
          <w:tcPr>
            <w:tcW w:w="955" w:type="dxa"/>
          </w:tcPr>
          <w:p w14:paraId="4F10B945" w14:textId="77777777" w:rsidR="00BF13BF" w:rsidRPr="007B72E0" w:rsidRDefault="00BF13BF" w:rsidP="00BF13BF">
            <w:pPr>
              <w:jc w:val="center"/>
              <w:rPr>
                <w:rFonts w:cstheme="minorHAnsi"/>
              </w:rPr>
            </w:pPr>
            <w:r w:rsidRPr="007B72E0">
              <w:rPr>
                <w:rFonts w:cstheme="minorHAnsi"/>
              </w:rPr>
              <w:t>408</w:t>
            </w:r>
          </w:p>
        </w:tc>
        <w:tc>
          <w:tcPr>
            <w:tcW w:w="900" w:type="dxa"/>
          </w:tcPr>
          <w:p w14:paraId="32C3C0BC" w14:textId="1CA1B714" w:rsidR="00BF13BF" w:rsidRPr="007B72E0" w:rsidRDefault="00BF13BF" w:rsidP="00BF13BF">
            <w:pPr>
              <w:jc w:val="center"/>
              <w:rPr>
                <w:rFonts w:cstheme="minorHAnsi"/>
              </w:rPr>
            </w:pPr>
            <w:r w:rsidRPr="007B72E0">
              <w:rPr>
                <w:rFonts w:cstheme="minorHAnsi"/>
              </w:rPr>
              <w:t>11.9%</w:t>
            </w:r>
          </w:p>
        </w:tc>
        <w:tc>
          <w:tcPr>
            <w:tcW w:w="1080" w:type="dxa"/>
          </w:tcPr>
          <w:p w14:paraId="4FA0660E" w14:textId="6BE10683" w:rsidR="00BF13BF" w:rsidRPr="007B72E0" w:rsidRDefault="00BF13BF" w:rsidP="00BF13BF">
            <w:pPr>
              <w:jc w:val="center"/>
              <w:rPr>
                <w:rFonts w:cstheme="minorHAnsi"/>
              </w:rPr>
            </w:pPr>
            <w:r w:rsidRPr="007B72E0">
              <w:rPr>
                <w:rFonts w:cstheme="minorHAnsi"/>
              </w:rPr>
              <w:t>458</w:t>
            </w:r>
          </w:p>
        </w:tc>
        <w:tc>
          <w:tcPr>
            <w:tcW w:w="1260" w:type="dxa"/>
          </w:tcPr>
          <w:p w14:paraId="40A373F8" w14:textId="04DBB89E" w:rsidR="00BF13BF" w:rsidRPr="007B72E0" w:rsidRDefault="00BF13BF" w:rsidP="00BF13BF">
            <w:pPr>
              <w:jc w:val="center"/>
              <w:rPr>
                <w:rFonts w:cstheme="minorHAnsi"/>
              </w:rPr>
            </w:pPr>
            <w:r w:rsidRPr="007B72E0">
              <w:rPr>
                <w:rFonts w:cstheme="minorHAnsi"/>
              </w:rPr>
              <w:t>14.5%</w:t>
            </w:r>
          </w:p>
        </w:tc>
        <w:tc>
          <w:tcPr>
            <w:tcW w:w="1260" w:type="dxa"/>
          </w:tcPr>
          <w:p w14:paraId="577806B1" w14:textId="3FAF3C27" w:rsidR="00BF13BF" w:rsidRPr="007B72E0" w:rsidRDefault="00BF13BF" w:rsidP="00BF13BF">
            <w:pPr>
              <w:jc w:val="center"/>
              <w:rPr>
                <w:rFonts w:cstheme="minorHAnsi"/>
              </w:rPr>
            </w:pPr>
            <w:r w:rsidRPr="007B72E0">
              <w:rPr>
                <w:rFonts w:cstheme="minorHAnsi"/>
              </w:rPr>
              <w:t>954</w:t>
            </w:r>
          </w:p>
        </w:tc>
        <w:tc>
          <w:tcPr>
            <w:tcW w:w="1080" w:type="dxa"/>
          </w:tcPr>
          <w:p w14:paraId="78E389A6" w14:textId="5852E0FF" w:rsidR="00BF13BF" w:rsidRPr="007B72E0" w:rsidRDefault="00BF13BF" w:rsidP="00BF13BF">
            <w:pPr>
              <w:jc w:val="center"/>
              <w:rPr>
                <w:rFonts w:cstheme="minorHAnsi"/>
              </w:rPr>
            </w:pPr>
            <w:r w:rsidRPr="007B72E0">
              <w:rPr>
                <w:rFonts w:cstheme="minorHAnsi"/>
              </w:rPr>
              <w:t>19.5%</w:t>
            </w:r>
          </w:p>
        </w:tc>
      </w:tr>
      <w:tr w:rsidR="00BF13BF" w:rsidRPr="007B72E0" w14:paraId="13AA7B49" w14:textId="4C249DF0" w:rsidTr="00284CA5">
        <w:trPr>
          <w:jc w:val="center"/>
        </w:trPr>
        <w:tc>
          <w:tcPr>
            <w:tcW w:w="1272" w:type="dxa"/>
          </w:tcPr>
          <w:p w14:paraId="18BD198A" w14:textId="77777777" w:rsidR="00BF13BF" w:rsidRPr="007B72E0" w:rsidRDefault="00BF13BF" w:rsidP="00BF13BF">
            <w:pPr>
              <w:rPr>
                <w:rFonts w:cstheme="minorHAnsi"/>
              </w:rPr>
            </w:pPr>
            <w:r w:rsidRPr="007B72E0">
              <w:rPr>
                <w:rFonts w:cstheme="minorHAnsi"/>
              </w:rPr>
              <w:t>85+</w:t>
            </w:r>
          </w:p>
        </w:tc>
        <w:tc>
          <w:tcPr>
            <w:tcW w:w="955" w:type="dxa"/>
          </w:tcPr>
          <w:p w14:paraId="298987D8" w14:textId="77777777" w:rsidR="00BF13BF" w:rsidRPr="007B72E0" w:rsidRDefault="00BF13BF" w:rsidP="00BF13BF">
            <w:pPr>
              <w:jc w:val="center"/>
              <w:rPr>
                <w:rFonts w:cstheme="minorHAnsi"/>
              </w:rPr>
            </w:pPr>
            <w:r w:rsidRPr="007B72E0">
              <w:rPr>
                <w:rFonts w:cstheme="minorHAnsi"/>
              </w:rPr>
              <w:t>107</w:t>
            </w:r>
          </w:p>
        </w:tc>
        <w:tc>
          <w:tcPr>
            <w:tcW w:w="900" w:type="dxa"/>
          </w:tcPr>
          <w:p w14:paraId="2C2D2DFB" w14:textId="364697EC" w:rsidR="00BF13BF" w:rsidRPr="007B72E0" w:rsidRDefault="00BF13BF" w:rsidP="00BF13BF">
            <w:pPr>
              <w:jc w:val="center"/>
              <w:rPr>
                <w:rFonts w:cstheme="minorHAnsi"/>
              </w:rPr>
            </w:pPr>
            <w:r w:rsidRPr="007B72E0">
              <w:rPr>
                <w:rFonts w:cstheme="minorHAnsi"/>
              </w:rPr>
              <w:t>3.1%</w:t>
            </w:r>
          </w:p>
        </w:tc>
        <w:tc>
          <w:tcPr>
            <w:tcW w:w="1080" w:type="dxa"/>
          </w:tcPr>
          <w:p w14:paraId="1C2D329A" w14:textId="1AC5AA91" w:rsidR="00BF13BF" w:rsidRPr="007B72E0" w:rsidRDefault="00BF13BF" w:rsidP="00BF13BF">
            <w:pPr>
              <w:jc w:val="center"/>
              <w:rPr>
                <w:rFonts w:cstheme="minorHAnsi"/>
              </w:rPr>
            </w:pPr>
            <w:r w:rsidRPr="007B72E0">
              <w:rPr>
                <w:rFonts w:cstheme="minorHAnsi"/>
              </w:rPr>
              <w:t>166</w:t>
            </w:r>
          </w:p>
        </w:tc>
        <w:tc>
          <w:tcPr>
            <w:tcW w:w="1260" w:type="dxa"/>
          </w:tcPr>
          <w:p w14:paraId="1EDC8919" w14:textId="6E17A650" w:rsidR="00BF13BF" w:rsidRPr="007B72E0" w:rsidRDefault="00BF13BF" w:rsidP="00BF13BF">
            <w:pPr>
              <w:jc w:val="center"/>
              <w:rPr>
                <w:rFonts w:cstheme="minorHAnsi"/>
              </w:rPr>
            </w:pPr>
            <w:r w:rsidRPr="007B72E0">
              <w:rPr>
                <w:rFonts w:cstheme="minorHAnsi"/>
              </w:rPr>
              <w:t>5.2%</w:t>
            </w:r>
          </w:p>
        </w:tc>
        <w:tc>
          <w:tcPr>
            <w:tcW w:w="1260" w:type="dxa"/>
          </w:tcPr>
          <w:p w14:paraId="0CFAFC37" w14:textId="59A4B5BA" w:rsidR="00BF13BF" w:rsidRPr="007B72E0" w:rsidRDefault="00BF13BF" w:rsidP="00BF13BF">
            <w:pPr>
              <w:jc w:val="center"/>
              <w:rPr>
                <w:rFonts w:cstheme="minorHAnsi"/>
              </w:rPr>
            </w:pPr>
            <w:r w:rsidRPr="007B72E0">
              <w:rPr>
                <w:rFonts w:cstheme="minorHAnsi"/>
              </w:rPr>
              <w:t>641</w:t>
            </w:r>
          </w:p>
        </w:tc>
        <w:tc>
          <w:tcPr>
            <w:tcW w:w="1080" w:type="dxa"/>
          </w:tcPr>
          <w:p w14:paraId="33CBEB1C" w14:textId="6C8947E1" w:rsidR="00BF13BF" w:rsidRPr="007B72E0" w:rsidRDefault="00BF13BF" w:rsidP="00BF13BF">
            <w:pPr>
              <w:jc w:val="center"/>
              <w:rPr>
                <w:rFonts w:cstheme="minorHAnsi"/>
              </w:rPr>
            </w:pPr>
            <w:r w:rsidRPr="007B72E0">
              <w:rPr>
                <w:rFonts w:cstheme="minorHAnsi"/>
              </w:rPr>
              <w:t>13.1%</w:t>
            </w:r>
          </w:p>
        </w:tc>
      </w:tr>
      <w:tr w:rsidR="00BF13BF" w:rsidRPr="007B72E0" w14:paraId="0D447230" w14:textId="310772BB" w:rsidTr="00284CA5">
        <w:trPr>
          <w:jc w:val="center"/>
        </w:trPr>
        <w:tc>
          <w:tcPr>
            <w:tcW w:w="1272" w:type="dxa"/>
          </w:tcPr>
          <w:p w14:paraId="0E4866EE" w14:textId="77777777" w:rsidR="00BF13BF" w:rsidRPr="007B72E0" w:rsidRDefault="00BF13BF" w:rsidP="00BF13BF">
            <w:pPr>
              <w:rPr>
                <w:rFonts w:cstheme="minorHAnsi"/>
                <w:b/>
                <w:bCs/>
              </w:rPr>
            </w:pPr>
            <w:r w:rsidRPr="007B72E0">
              <w:rPr>
                <w:rFonts w:cstheme="minorHAnsi"/>
                <w:b/>
                <w:bCs/>
              </w:rPr>
              <w:t xml:space="preserve">Total </w:t>
            </w:r>
          </w:p>
        </w:tc>
        <w:tc>
          <w:tcPr>
            <w:tcW w:w="955" w:type="dxa"/>
          </w:tcPr>
          <w:p w14:paraId="0AA16FE9" w14:textId="0E2D0557" w:rsidR="00BF13BF" w:rsidRPr="00EA4B9F" w:rsidRDefault="00BF13BF" w:rsidP="00BF13BF">
            <w:pPr>
              <w:jc w:val="center"/>
              <w:rPr>
                <w:rFonts w:cstheme="minorHAnsi"/>
                <w:b/>
                <w:bCs/>
              </w:rPr>
            </w:pPr>
            <w:r w:rsidRPr="00EA4B9F">
              <w:rPr>
                <w:rFonts w:cstheme="minorHAnsi"/>
                <w:b/>
                <w:bCs/>
              </w:rPr>
              <w:t>3</w:t>
            </w:r>
            <w:r w:rsidR="00FA3420">
              <w:rPr>
                <w:rFonts w:cstheme="minorHAnsi"/>
                <w:b/>
                <w:bCs/>
              </w:rPr>
              <w:t>,</w:t>
            </w:r>
            <w:r w:rsidRPr="00EA4B9F">
              <w:rPr>
                <w:rFonts w:cstheme="minorHAnsi"/>
                <w:b/>
                <w:bCs/>
              </w:rPr>
              <w:t>432</w:t>
            </w:r>
          </w:p>
        </w:tc>
        <w:tc>
          <w:tcPr>
            <w:tcW w:w="900" w:type="dxa"/>
          </w:tcPr>
          <w:p w14:paraId="13FB27AB" w14:textId="467261ED" w:rsidR="00BF13BF" w:rsidRPr="00EA4B9F" w:rsidRDefault="00C36B37" w:rsidP="00BF13BF">
            <w:pPr>
              <w:jc w:val="center"/>
              <w:rPr>
                <w:rFonts w:cstheme="minorHAnsi"/>
                <w:b/>
                <w:bCs/>
              </w:rPr>
            </w:pPr>
            <w:r w:rsidRPr="00EA4B9F">
              <w:rPr>
                <w:rFonts w:cstheme="minorHAnsi"/>
                <w:b/>
                <w:bCs/>
              </w:rPr>
              <w:t>100%</w:t>
            </w:r>
          </w:p>
        </w:tc>
        <w:tc>
          <w:tcPr>
            <w:tcW w:w="1080" w:type="dxa"/>
          </w:tcPr>
          <w:p w14:paraId="6E4F0101" w14:textId="6E92BB6C" w:rsidR="00BF13BF" w:rsidRPr="00EA4B9F" w:rsidRDefault="00BF13BF" w:rsidP="00BF13BF">
            <w:pPr>
              <w:jc w:val="center"/>
              <w:rPr>
                <w:rFonts w:cstheme="minorHAnsi"/>
                <w:b/>
                <w:bCs/>
              </w:rPr>
            </w:pPr>
            <w:r w:rsidRPr="00EA4B9F">
              <w:rPr>
                <w:rFonts w:cstheme="minorHAnsi"/>
                <w:b/>
                <w:bCs/>
              </w:rPr>
              <w:t>3</w:t>
            </w:r>
            <w:r w:rsidR="00FA3420">
              <w:rPr>
                <w:rFonts w:cstheme="minorHAnsi"/>
                <w:b/>
                <w:bCs/>
              </w:rPr>
              <w:t>,</w:t>
            </w:r>
            <w:r w:rsidRPr="00EA4B9F">
              <w:rPr>
                <w:rFonts w:cstheme="minorHAnsi"/>
                <w:b/>
                <w:bCs/>
              </w:rPr>
              <w:t>164</w:t>
            </w:r>
          </w:p>
        </w:tc>
        <w:tc>
          <w:tcPr>
            <w:tcW w:w="1260" w:type="dxa"/>
          </w:tcPr>
          <w:p w14:paraId="269040E3" w14:textId="0E56CF00" w:rsidR="00BF13BF" w:rsidRPr="00EA4B9F" w:rsidRDefault="00C36B37" w:rsidP="00BF13BF">
            <w:pPr>
              <w:jc w:val="center"/>
              <w:rPr>
                <w:rFonts w:cstheme="minorHAnsi"/>
                <w:b/>
                <w:bCs/>
              </w:rPr>
            </w:pPr>
            <w:r w:rsidRPr="00EA4B9F">
              <w:rPr>
                <w:rFonts w:cstheme="minorHAnsi"/>
                <w:b/>
                <w:bCs/>
              </w:rPr>
              <w:t>100%</w:t>
            </w:r>
          </w:p>
        </w:tc>
        <w:tc>
          <w:tcPr>
            <w:tcW w:w="1260" w:type="dxa"/>
          </w:tcPr>
          <w:p w14:paraId="67E66884" w14:textId="12C12E93" w:rsidR="00BF13BF" w:rsidRPr="00EA4B9F" w:rsidRDefault="00F94672" w:rsidP="00BF13BF">
            <w:pPr>
              <w:jc w:val="center"/>
              <w:rPr>
                <w:rFonts w:cstheme="minorHAnsi"/>
                <w:b/>
                <w:bCs/>
              </w:rPr>
            </w:pPr>
            <w:r>
              <w:rPr>
                <w:rFonts w:cstheme="minorHAnsi"/>
                <w:b/>
                <w:bCs/>
              </w:rPr>
              <w:fldChar w:fldCharType="begin"/>
            </w:r>
            <w:r>
              <w:rPr>
                <w:rFonts w:cstheme="minorHAnsi"/>
                <w:b/>
                <w:bCs/>
              </w:rPr>
              <w:instrText xml:space="preserve"> =SUM(ABOVE) </w:instrText>
            </w:r>
            <w:r>
              <w:rPr>
                <w:rFonts w:cstheme="minorHAnsi"/>
                <w:b/>
                <w:bCs/>
              </w:rPr>
              <w:fldChar w:fldCharType="separate"/>
            </w:r>
            <w:r>
              <w:rPr>
                <w:rFonts w:cstheme="minorHAnsi"/>
                <w:b/>
                <w:bCs/>
                <w:noProof/>
              </w:rPr>
              <w:t>4,896</w:t>
            </w:r>
            <w:r>
              <w:rPr>
                <w:rFonts w:cstheme="minorHAnsi"/>
                <w:b/>
                <w:bCs/>
              </w:rPr>
              <w:fldChar w:fldCharType="end"/>
            </w:r>
          </w:p>
        </w:tc>
        <w:tc>
          <w:tcPr>
            <w:tcW w:w="1080" w:type="dxa"/>
          </w:tcPr>
          <w:p w14:paraId="05C93672" w14:textId="239E2F99" w:rsidR="00BF13BF" w:rsidRPr="00EA4B9F" w:rsidRDefault="00C36B37" w:rsidP="00BF13BF">
            <w:pPr>
              <w:jc w:val="center"/>
              <w:rPr>
                <w:rFonts w:cstheme="minorHAnsi"/>
                <w:b/>
                <w:bCs/>
              </w:rPr>
            </w:pPr>
            <w:r w:rsidRPr="00EA4B9F">
              <w:rPr>
                <w:rFonts w:cstheme="minorHAnsi"/>
                <w:b/>
                <w:bCs/>
              </w:rPr>
              <w:t>100%</w:t>
            </w:r>
          </w:p>
        </w:tc>
      </w:tr>
    </w:tbl>
    <w:p w14:paraId="1318D244" w14:textId="60A3753F" w:rsidR="00383B05" w:rsidRDefault="004602F7" w:rsidP="00383B05">
      <w:pPr>
        <w:spacing w:line="240" w:lineRule="auto"/>
        <w:rPr>
          <w:b/>
          <w:bCs/>
          <w:sz w:val="24"/>
          <w:szCs w:val="24"/>
        </w:rPr>
      </w:pPr>
      <w:r>
        <w:rPr>
          <w:b/>
          <w:bCs/>
          <w:sz w:val="24"/>
          <w:szCs w:val="24"/>
        </w:rPr>
        <w:t xml:space="preserve"> </w:t>
      </w:r>
    </w:p>
    <w:p w14:paraId="5AFE7B5A" w14:textId="3AE187F4" w:rsidR="008A6CA4" w:rsidRPr="008A6CA4" w:rsidRDefault="00835613" w:rsidP="00344EFE">
      <w:pPr>
        <w:ind w:left="1080"/>
        <w:rPr>
          <w:i/>
          <w:iCs/>
          <w:sz w:val="24"/>
          <w:szCs w:val="24"/>
        </w:rPr>
      </w:pPr>
      <w:r>
        <w:rPr>
          <w:i/>
          <w:iCs/>
          <w:sz w:val="24"/>
          <w:szCs w:val="24"/>
        </w:rPr>
        <w:t xml:space="preserve">b. </w:t>
      </w:r>
      <w:r w:rsidR="001A7437">
        <w:rPr>
          <w:i/>
          <w:iCs/>
          <w:sz w:val="24"/>
          <w:szCs w:val="24"/>
        </w:rPr>
        <w:t>Demand</w:t>
      </w:r>
      <w:r w:rsidR="008A6CA4" w:rsidRPr="008A6CA4">
        <w:rPr>
          <w:i/>
          <w:iCs/>
          <w:sz w:val="24"/>
          <w:szCs w:val="24"/>
        </w:rPr>
        <w:t xml:space="preserve"> </w:t>
      </w:r>
    </w:p>
    <w:p w14:paraId="160FAB24" w14:textId="734A5F29" w:rsidR="00FF6E51" w:rsidRDefault="00E76004" w:rsidP="00FF6E51">
      <w:pPr>
        <w:spacing w:line="240" w:lineRule="auto"/>
        <w:rPr>
          <w:sz w:val="24"/>
          <w:szCs w:val="24"/>
        </w:rPr>
      </w:pPr>
      <w:r>
        <w:rPr>
          <w:sz w:val="24"/>
          <w:szCs w:val="24"/>
        </w:rPr>
        <w:t>SSH</w:t>
      </w:r>
      <w:r w:rsidR="003D2624">
        <w:rPr>
          <w:sz w:val="24"/>
          <w:szCs w:val="24"/>
        </w:rPr>
        <w:t>S</w:t>
      </w:r>
      <w:r w:rsidR="00BC1364">
        <w:rPr>
          <w:sz w:val="24"/>
          <w:szCs w:val="24"/>
        </w:rPr>
        <w:t xml:space="preserve"> offers MRI</w:t>
      </w:r>
      <w:r>
        <w:rPr>
          <w:sz w:val="24"/>
          <w:szCs w:val="24"/>
        </w:rPr>
        <w:t xml:space="preserve"> services </w:t>
      </w:r>
      <w:r w:rsidR="00BC1364">
        <w:rPr>
          <w:sz w:val="24"/>
          <w:szCs w:val="24"/>
        </w:rPr>
        <w:t>to emergency room patients, inpatients and outpatients.</w:t>
      </w:r>
      <w:r w:rsidR="00FF6E51">
        <w:rPr>
          <w:sz w:val="24"/>
          <w:szCs w:val="24"/>
        </w:rPr>
        <w:t xml:space="preserve"> </w:t>
      </w:r>
      <w:r w:rsidR="0037435B">
        <w:rPr>
          <w:sz w:val="24"/>
          <w:szCs w:val="24"/>
        </w:rPr>
        <w:t>The Applicant provided data on MRI utilization that show that roughly 73% of scans performed at the Hospital’s main campus were for outpatients</w:t>
      </w:r>
      <w:r w:rsidR="00FF6E51" w:rsidRPr="0001463A">
        <w:rPr>
          <w:sz w:val="24"/>
          <w:szCs w:val="24"/>
        </w:rPr>
        <w:t>.</w:t>
      </w:r>
      <w:r w:rsidR="009C23FE">
        <w:rPr>
          <w:rStyle w:val="FootnoteReference"/>
          <w:sz w:val="24"/>
          <w:szCs w:val="24"/>
        </w:rPr>
        <w:footnoteReference w:id="8"/>
      </w:r>
      <w:r w:rsidR="00FF6E51">
        <w:rPr>
          <w:sz w:val="24"/>
          <w:szCs w:val="24"/>
        </w:rPr>
        <w:t xml:space="preserve"> </w:t>
      </w:r>
      <w:r w:rsidR="00D71DFC" w:rsidRPr="004602F7">
        <w:rPr>
          <w:sz w:val="24"/>
          <w:szCs w:val="24"/>
        </w:rPr>
        <w:t>The Applicant states there were 7,472 total scans performed on 4,901 unique patients at SSH main campus in calendar year (CY) 2019.</w:t>
      </w:r>
    </w:p>
    <w:p w14:paraId="71DAA7A1" w14:textId="54B72A78" w:rsidR="00D6162F" w:rsidRDefault="00D6162F" w:rsidP="00D6162F">
      <w:pPr>
        <w:tabs>
          <w:tab w:val="left" w:pos="4455"/>
        </w:tabs>
        <w:spacing w:line="240" w:lineRule="auto"/>
        <w:contextualSpacing/>
        <w:rPr>
          <w:sz w:val="24"/>
          <w:szCs w:val="24"/>
        </w:rPr>
      </w:pPr>
      <w:r w:rsidRPr="00D6162F">
        <w:rPr>
          <w:sz w:val="24"/>
          <w:szCs w:val="24"/>
        </w:rPr>
        <w:t xml:space="preserve">In order to understand access to MRI services at the South Shore Hospital (SSH) where the proposed MRI will be implemented, </w:t>
      </w:r>
      <w:r w:rsidR="00263593">
        <w:rPr>
          <w:sz w:val="24"/>
          <w:szCs w:val="24"/>
        </w:rPr>
        <w:t xml:space="preserve">the Applicant </w:t>
      </w:r>
      <w:r w:rsidRPr="00D6162F">
        <w:rPr>
          <w:sz w:val="24"/>
          <w:szCs w:val="24"/>
        </w:rPr>
        <w:t>provide</w:t>
      </w:r>
      <w:r w:rsidR="00263593">
        <w:rPr>
          <w:sz w:val="24"/>
          <w:szCs w:val="24"/>
        </w:rPr>
        <w:t>d</w:t>
      </w:r>
      <w:r w:rsidRPr="00D6162F">
        <w:rPr>
          <w:sz w:val="24"/>
          <w:szCs w:val="24"/>
        </w:rPr>
        <w:t xml:space="preserve"> </w:t>
      </w:r>
      <w:r w:rsidR="00263593">
        <w:rPr>
          <w:sz w:val="24"/>
          <w:szCs w:val="24"/>
        </w:rPr>
        <w:t>information</w:t>
      </w:r>
      <w:r w:rsidR="00795A82">
        <w:rPr>
          <w:sz w:val="24"/>
          <w:szCs w:val="24"/>
        </w:rPr>
        <w:t xml:space="preserve"> on the racial/ethnic makeup of SSH MRI patients </w:t>
      </w:r>
      <w:r w:rsidRPr="00D6162F">
        <w:rPr>
          <w:sz w:val="24"/>
          <w:szCs w:val="24"/>
        </w:rPr>
        <w:t>for FY20</w:t>
      </w:r>
      <w:r w:rsidR="00263593">
        <w:rPr>
          <w:sz w:val="24"/>
          <w:szCs w:val="24"/>
        </w:rPr>
        <w:t xml:space="preserve">, which is shown in Table </w:t>
      </w:r>
      <w:r w:rsidR="00C41C8B">
        <w:rPr>
          <w:sz w:val="24"/>
          <w:szCs w:val="24"/>
        </w:rPr>
        <w:t>8</w:t>
      </w:r>
      <w:r w:rsidR="00263593">
        <w:rPr>
          <w:sz w:val="24"/>
          <w:szCs w:val="24"/>
        </w:rPr>
        <w:t xml:space="preserve"> below. </w:t>
      </w:r>
    </w:p>
    <w:p w14:paraId="70AB3418" w14:textId="72FA7846" w:rsidR="000109B4" w:rsidRDefault="000109B4" w:rsidP="00D6162F">
      <w:pPr>
        <w:tabs>
          <w:tab w:val="left" w:pos="4455"/>
        </w:tabs>
        <w:spacing w:line="240" w:lineRule="auto"/>
        <w:contextualSpacing/>
        <w:rPr>
          <w:sz w:val="24"/>
          <w:szCs w:val="24"/>
        </w:rPr>
      </w:pPr>
    </w:p>
    <w:p w14:paraId="33F494E4" w14:textId="119D0662" w:rsidR="00D6162F" w:rsidRDefault="000109B4" w:rsidP="00316995">
      <w:pPr>
        <w:tabs>
          <w:tab w:val="left" w:pos="4455"/>
        </w:tabs>
        <w:spacing w:line="240" w:lineRule="auto"/>
        <w:contextualSpacing/>
        <w:jc w:val="center"/>
        <w:rPr>
          <w:b/>
          <w:bCs/>
          <w:sz w:val="24"/>
          <w:szCs w:val="24"/>
        </w:rPr>
      </w:pPr>
      <w:r w:rsidRPr="000109B4">
        <w:rPr>
          <w:b/>
          <w:bCs/>
          <w:sz w:val="24"/>
          <w:szCs w:val="24"/>
        </w:rPr>
        <w:t xml:space="preserve">Table </w:t>
      </w:r>
      <w:r w:rsidR="00105E82">
        <w:rPr>
          <w:b/>
          <w:bCs/>
          <w:sz w:val="24"/>
          <w:szCs w:val="24"/>
        </w:rPr>
        <w:t>8</w:t>
      </w:r>
      <w:r w:rsidR="002D7B5E">
        <w:rPr>
          <w:b/>
          <w:bCs/>
          <w:sz w:val="24"/>
          <w:szCs w:val="24"/>
        </w:rPr>
        <w:t xml:space="preserve">: </w:t>
      </w:r>
      <w:r w:rsidR="002D7B5E" w:rsidRPr="002D7B5E">
        <w:rPr>
          <w:b/>
          <w:bCs/>
          <w:sz w:val="24"/>
          <w:szCs w:val="24"/>
        </w:rPr>
        <w:t xml:space="preserve">SSH MRI </w:t>
      </w:r>
      <w:r w:rsidR="002D7B5E">
        <w:rPr>
          <w:b/>
          <w:bCs/>
          <w:sz w:val="24"/>
          <w:szCs w:val="24"/>
        </w:rPr>
        <w:t>Race/Ethnicity</w:t>
      </w:r>
      <w:r w:rsidR="002D7B5E" w:rsidRPr="002D7B5E">
        <w:rPr>
          <w:b/>
          <w:bCs/>
          <w:sz w:val="24"/>
          <w:szCs w:val="24"/>
        </w:rPr>
        <w:t xml:space="preserve"> by Patient Status (FY20</w:t>
      </w:r>
      <w:r w:rsidR="002D7B5E">
        <w:rPr>
          <w:b/>
          <w:bCs/>
          <w:sz w:val="24"/>
          <w:szCs w:val="24"/>
        </w:rPr>
        <w:t>)</w:t>
      </w:r>
    </w:p>
    <w:p w14:paraId="447BE38E" w14:textId="77777777" w:rsidR="00316995" w:rsidRPr="00316995" w:rsidRDefault="00316995" w:rsidP="00316995">
      <w:pPr>
        <w:tabs>
          <w:tab w:val="left" w:pos="4455"/>
        </w:tabs>
        <w:spacing w:line="240" w:lineRule="auto"/>
        <w:contextualSpacing/>
        <w:jc w:val="center"/>
        <w:rPr>
          <w:b/>
          <w:bCs/>
          <w:sz w:val="24"/>
          <w:szCs w:val="24"/>
        </w:rPr>
      </w:pPr>
    </w:p>
    <w:tbl>
      <w:tblPr>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1720"/>
        <w:gridCol w:w="1055"/>
        <w:gridCol w:w="1222"/>
      </w:tblGrid>
      <w:tr w:rsidR="00316995" w:rsidRPr="00FD4D92" w14:paraId="07B33AEF" w14:textId="77777777" w:rsidTr="00316995">
        <w:trPr>
          <w:trHeight w:val="300"/>
          <w:jc w:val="center"/>
        </w:trPr>
        <w:tc>
          <w:tcPr>
            <w:tcW w:w="4179" w:type="dxa"/>
            <w:shd w:val="clear" w:color="auto" w:fill="F2F2F2" w:themeFill="background1" w:themeFillShade="F2"/>
            <w:noWrap/>
            <w:hideMark/>
          </w:tcPr>
          <w:p w14:paraId="254FBE48" w14:textId="77777777" w:rsidR="00316995" w:rsidRPr="00FD4D92" w:rsidRDefault="00316995" w:rsidP="00D6162F">
            <w:pPr>
              <w:spacing w:after="0" w:line="240" w:lineRule="auto"/>
              <w:rPr>
                <w:rFonts w:eastAsia="Times New Roman" w:cstheme="minorHAnsi"/>
                <w:b/>
                <w:bCs/>
              </w:rPr>
            </w:pPr>
            <w:r w:rsidRPr="00FD4D92">
              <w:rPr>
                <w:rFonts w:eastAsia="Times New Roman" w:cstheme="minorHAnsi"/>
                <w:b/>
                <w:bCs/>
              </w:rPr>
              <w:t>Race / Ethnicity</w:t>
            </w:r>
          </w:p>
        </w:tc>
        <w:tc>
          <w:tcPr>
            <w:tcW w:w="1720" w:type="dxa"/>
            <w:shd w:val="clear" w:color="auto" w:fill="F2F2F2" w:themeFill="background1" w:themeFillShade="F2"/>
            <w:noWrap/>
            <w:hideMark/>
          </w:tcPr>
          <w:p w14:paraId="7F43A353" w14:textId="77777777" w:rsidR="00316995" w:rsidRPr="00FD4D92" w:rsidRDefault="00316995" w:rsidP="00D6162F">
            <w:pPr>
              <w:spacing w:after="0" w:line="240" w:lineRule="auto"/>
              <w:jc w:val="center"/>
              <w:rPr>
                <w:rFonts w:eastAsia="Times New Roman" w:cstheme="minorHAnsi"/>
                <w:b/>
                <w:bCs/>
              </w:rPr>
            </w:pPr>
            <w:r w:rsidRPr="00FD4D92">
              <w:rPr>
                <w:rFonts w:eastAsia="Times New Roman" w:cstheme="minorHAnsi"/>
                <w:b/>
                <w:bCs/>
              </w:rPr>
              <w:t>Emergency</w:t>
            </w:r>
          </w:p>
        </w:tc>
        <w:tc>
          <w:tcPr>
            <w:tcW w:w="1055" w:type="dxa"/>
            <w:shd w:val="clear" w:color="auto" w:fill="F2F2F2" w:themeFill="background1" w:themeFillShade="F2"/>
            <w:noWrap/>
            <w:hideMark/>
          </w:tcPr>
          <w:p w14:paraId="60DD98D1" w14:textId="77777777" w:rsidR="00316995" w:rsidRPr="00FD4D92" w:rsidRDefault="00316995" w:rsidP="00D6162F">
            <w:pPr>
              <w:spacing w:after="0" w:line="240" w:lineRule="auto"/>
              <w:jc w:val="center"/>
              <w:rPr>
                <w:rFonts w:eastAsia="Times New Roman" w:cstheme="minorHAnsi"/>
                <w:b/>
                <w:bCs/>
              </w:rPr>
            </w:pPr>
            <w:r w:rsidRPr="00FD4D92">
              <w:rPr>
                <w:rFonts w:eastAsia="Times New Roman" w:cstheme="minorHAnsi"/>
                <w:b/>
                <w:bCs/>
              </w:rPr>
              <w:t>Inpatient</w:t>
            </w:r>
          </w:p>
        </w:tc>
        <w:tc>
          <w:tcPr>
            <w:tcW w:w="1222" w:type="dxa"/>
            <w:shd w:val="clear" w:color="auto" w:fill="F2F2F2" w:themeFill="background1" w:themeFillShade="F2"/>
            <w:noWrap/>
            <w:hideMark/>
          </w:tcPr>
          <w:p w14:paraId="303C78E5" w14:textId="77777777" w:rsidR="00316995" w:rsidRPr="00FD4D92" w:rsidRDefault="00316995" w:rsidP="00D6162F">
            <w:pPr>
              <w:spacing w:after="0" w:line="240" w:lineRule="auto"/>
              <w:jc w:val="center"/>
              <w:rPr>
                <w:rFonts w:eastAsia="Times New Roman" w:cstheme="minorHAnsi"/>
                <w:b/>
                <w:bCs/>
              </w:rPr>
            </w:pPr>
            <w:r w:rsidRPr="00FD4D92">
              <w:rPr>
                <w:rFonts w:eastAsia="Times New Roman" w:cstheme="minorHAnsi"/>
                <w:b/>
                <w:bCs/>
              </w:rPr>
              <w:t>Outpatient</w:t>
            </w:r>
          </w:p>
        </w:tc>
      </w:tr>
      <w:tr w:rsidR="00316995" w:rsidRPr="00FD4D92" w14:paraId="381D021D" w14:textId="77777777" w:rsidTr="00316995">
        <w:trPr>
          <w:trHeight w:val="300"/>
          <w:jc w:val="center"/>
        </w:trPr>
        <w:tc>
          <w:tcPr>
            <w:tcW w:w="4179" w:type="dxa"/>
            <w:shd w:val="clear" w:color="auto" w:fill="auto"/>
            <w:noWrap/>
            <w:hideMark/>
          </w:tcPr>
          <w:p w14:paraId="01E8A79D"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American Indian or Alaska Native</w:t>
            </w:r>
          </w:p>
        </w:tc>
        <w:tc>
          <w:tcPr>
            <w:tcW w:w="1720" w:type="dxa"/>
            <w:shd w:val="clear" w:color="auto" w:fill="auto"/>
            <w:noWrap/>
          </w:tcPr>
          <w:p w14:paraId="5572DBC5" w14:textId="75EEEB10" w:rsidR="00316995" w:rsidRPr="00FD4D92" w:rsidRDefault="00316995" w:rsidP="00316995">
            <w:pPr>
              <w:spacing w:after="0" w:line="240" w:lineRule="auto"/>
              <w:jc w:val="center"/>
              <w:rPr>
                <w:rFonts w:eastAsia="Times New Roman" w:cstheme="minorHAnsi"/>
              </w:rPr>
            </w:pPr>
            <w:r w:rsidRPr="00012694">
              <w:t>0.50%</w:t>
            </w:r>
          </w:p>
        </w:tc>
        <w:tc>
          <w:tcPr>
            <w:tcW w:w="1055" w:type="dxa"/>
            <w:shd w:val="clear" w:color="auto" w:fill="auto"/>
            <w:noWrap/>
          </w:tcPr>
          <w:p w14:paraId="3265F514" w14:textId="69BCA937" w:rsidR="00316995" w:rsidRPr="00FD4D92" w:rsidRDefault="00316995" w:rsidP="00316995">
            <w:pPr>
              <w:spacing w:after="0" w:line="240" w:lineRule="auto"/>
              <w:jc w:val="center"/>
              <w:rPr>
                <w:rFonts w:eastAsia="Times New Roman" w:cstheme="minorHAnsi"/>
              </w:rPr>
            </w:pPr>
            <w:r w:rsidRPr="00012694">
              <w:t>0.14%</w:t>
            </w:r>
          </w:p>
        </w:tc>
        <w:tc>
          <w:tcPr>
            <w:tcW w:w="1222" w:type="dxa"/>
            <w:shd w:val="clear" w:color="auto" w:fill="auto"/>
            <w:noWrap/>
          </w:tcPr>
          <w:p w14:paraId="0C77C8F3" w14:textId="05B48C1C" w:rsidR="00316995" w:rsidRPr="00FD4D92" w:rsidRDefault="00316995" w:rsidP="00316995">
            <w:pPr>
              <w:spacing w:after="0" w:line="240" w:lineRule="auto"/>
              <w:jc w:val="center"/>
              <w:rPr>
                <w:rFonts w:eastAsia="Times New Roman" w:cstheme="minorHAnsi"/>
              </w:rPr>
            </w:pPr>
            <w:r w:rsidRPr="00012694">
              <w:t>0.23%</w:t>
            </w:r>
          </w:p>
        </w:tc>
      </w:tr>
      <w:tr w:rsidR="00316995" w:rsidRPr="00FD4D92" w14:paraId="21019198" w14:textId="77777777" w:rsidTr="00316995">
        <w:trPr>
          <w:trHeight w:val="300"/>
          <w:jc w:val="center"/>
        </w:trPr>
        <w:tc>
          <w:tcPr>
            <w:tcW w:w="4179" w:type="dxa"/>
            <w:shd w:val="clear" w:color="auto" w:fill="auto"/>
            <w:noWrap/>
            <w:hideMark/>
          </w:tcPr>
          <w:p w14:paraId="4BE6D7B2"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Asian</w:t>
            </w:r>
          </w:p>
        </w:tc>
        <w:tc>
          <w:tcPr>
            <w:tcW w:w="1720" w:type="dxa"/>
            <w:shd w:val="clear" w:color="auto" w:fill="auto"/>
            <w:noWrap/>
          </w:tcPr>
          <w:p w14:paraId="71ED943D" w14:textId="7A6FBB93" w:rsidR="00316995" w:rsidRPr="00FD4D92" w:rsidRDefault="00316995" w:rsidP="00316995">
            <w:pPr>
              <w:spacing w:after="0" w:line="240" w:lineRule="auto"/>
              <w:jc w:val="center"/>
              <w:rPr>
                <w:rFonts w:eastAsia="Times New Roman" w:cstheme="minorHAnsi"/>
              </w:rPr>
            </w:pPr>
            <w:r w:rsidRPr="00012694">
              <w:t>1.01%</w:t>
            </w:r>
          </w:p>
        </w:tc>
        <w:tc>
          <w:tcPr>
            <w:tcW w:w="1055" w:type="dxa"/>
            <w:shd w:val="clear" w:color="auto" w:fill="auto"/>
            <w:noWrap/>
          </w:tcPr>
          <w:p w14:paraId="425CDA6D" w14:textId="2B7BF974" w:rsidR="00316995" w:rsidRPr="00FD4D92" w:rsidRDefault="00316995" w:rsidP="00316995">
            <w:pPr>
              <w:spacing w:after="0" w:line="240" w:lineRule="auto"/>
              <w:jc w:val="center"/>
              <w:rPr>
                <w:rFonts w:eastAsia="Times New Roman" w:cstheme="minorHAnsi"/>
              </w:rPr>
            </w:pPr>
            <w:r w:rsidRPr="00012694">
              <w:t>1.76%</w:t>
            </w:r>
          </w:p>
        </w:tc>
        <w:tc>
          <w:tcPr>
            <w:tcW w:w="1222" w:type="dxa"/>
            <w:shd w:val="clear" w:color="auto" w:fill="auto"/>
            <w:noWrap/>
          </w:tcPr>
          <w:p w14:paraId="7F346195" w14:textId="4E1DA524" w:rsidR="00316995" w:rsidRPr="00FD4D92" w:rsidRDefault="00316995" w:rsidP="00316995">
            <w:pPr>
              <w:spacing w:after="0" w:line="240" w:lineRule="auto"/>
              <w:jc w:val="center"/>
              <w:rPr>
                <w:rFonts w:eastAsia="Times New Roman" w:cstheme="minorHAnsi"/>
              </w:rPr>
            </w:pPr>
            <w:r w:rsidRPr="00012694">
              <w:t>2.27%</w:t>
            </w:r>
          </w:p>
        </w:tc>
      </w:tr>
      <w:tr w:rsidR="00316995" w:rsidRPr="00FD4D92" w14:paraId="429423BF" w14:textId="77777777" w:rsidTr="00316995">
        <w:trPr>
          <w:trHeight w:val="300"/>
          <w:jc w:val="center"/>
        </w:trPr>
        <w:tc>
          <w:tcPr>
            <w:tcW w:w="4179" w:type="dxa"/>
            <w:shd w:val="clear" w:color="auto" w:fill="auto"/>
            <w:noWrap/>
            <w:hideMark/>
          </w:tcPr>
          <w:p w14:paraId="543B4331"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Black or African American</w:t>
            </w:r>
          </w:p>
        </w:tc>
        <w:tc>
          <w:tcPr>
            <w:tcW w:w="1720" w:type="dxa"/>
            <w:shd w:val="clear" w:color="auto" w:fill="auto"/>
            <w:noWrap/>
          </w:tcPr>
          <w:p w14:paraId="008D99E1" w14:textId="6255334A" w:rsidR="00316995" w:rsidRPr="00FD4D92" w:rsidRDefault="00316995" w:rsidP="00316995">
            <w:pPr>
              <w:spacing w:after="0" w:line="240" w:lineRule="auto"/>
              <w:jc w:val="center"/>
              <w:rPr>
                <w:rFonts w:eastAsia="Times New Roman" w:cstheme="minorHAnsi"/>
              </w:rPr>
            </w:pPr>
            <w:r w:rsidRPr="00012694">
              <w:t>1.51%</w:t>
            </w:r>
          </w:p>
        </w:tc>
        <w:tc>
          <w:tcPr>
            <w:tcW w:w="1055" w:type="dxa"/>
            <w:shd w:val="clear" w:color="auto" w:fill="auto"/>
            <w:noWrap/>
          </w:tcPr>
          <w:p w14:paraId="5354EF81" w14:textId="799D7638" w:rsidR="00316995" w:rsidRPr="00FD4D92" w:rsidRDefault="00316995" w:rsidP="00316995">
            <w:pPr>
              <w:spacing w:after="0" w:line="240" w:lineRule="auto"/>
              <w:jc w:val="center"/>
              <w:rPr>
                <w:rFonts w:eastAsia="Times New Roman" w:cstheme="minorHAnsi"/>
              </w:rPr>
            </w:pPr>
            <w:r w:rsidRPr="00012694">
              <w:t>3.93%</w:t>
            </w:r>
          </w:p>
        </w:tc>
        <w:tc>
          <w:tcPr>
            <w:tcW w:w="1222" w:type="dxa"/>
            <w:shd w:val="clear" w:color="auto" w:fill="auto"/>
            <w:noWrap/>
          </w:tcPr>
          <w:p w14:paraId="7C750C7D" w14:textId="28CD4878" w:rsidR="00316995" w:rsidRPr="00FD4D92" w:rsidRDefault="00316995" w:rsidP="00316995">
            <w:pPr>
              <w:spacing w:after="0" w:line="240" w:lineRule="auto"/>
              <w:jc w:val="center"/>
              <w:rPr>
                <w:rFonts w:eastAsia="Times New Roman" w:cstheme="minorHAnsi"/>
              </w:rPr>
            </w:pPr>
            <w:r w:rsidRPr="00012694">
              <w:t>3.10%</w:t>
            </w:r>
          </w:p>
        </w:tc>
      </w:tr>
      <w:tr w:rsidR="00316995" w:rsidRPr="00FD4D92" w14:paraId="5C5912E7" w14:textId="77777777" w:rsidTr="00316995">
        <w:trPr>
          <w:trHeight w:val="300"/>
          <w:jc w:val="center"/>
        </w:trPr>
        <w:tc>
          <w:tcPr>
            <w:tcW w:w="4179" w:type="dxa"/>
            <w:shd w:val="clear" w:color="auto" w:fill="auto"/>
            <w:noWrap/>
            <w:hideMark/>
          </w:tcPr>
          <w:p w14:paraId="482C2A75"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Decline to Answer</w:t>
            </w:r>
          </w:p>
        </w:tc>
        <w:tc>
          <w:tcPr>
            <w:tcW w:w="1720" w:type="dxa"/>
            <w:shd w:val="clear" w:color="auto" w:fill="auto"/>
            <w:noWrap/>
          </w:tcPr>
          <w:p w14:paraId="61659CB3" w14:textId="6661DC76" w:rsidR="00316995" w:rsidRPr="00FD4D92" w:rsidRDefault="00316995" w:rsidP="00316995">
            <w:pPr>
              <w:spacing w:after="0" w:line="240" w:lineRule="auto"/>
              <w:jc w:val="center"/>
              <w:rPr>
                <w:rFonts w:eastAsia="Times New Roman" w:cstheme="minorHAnsi"/>
              </w:rPr>
            </w:pPr>
            <w:r w:rsidRPr="00012694">
              <w:t>0.00%</w:t>
            </w:r>
          </w:p>
        </w:tc>
        <w:tc>
          <w:tcPr>
            <w:tcW w:w="1055" w:type="dxa"/>
            <w:shd w:val="clear" w:color="auto" w:fill="auto"/>
            <w:noWrap/>
          </w:tcPr>
          <w:p w14:paraId="123962D6" w14:textId="535395E6" w:rsidR="00316995" w:rsidRPr="00FD4D92" w:rsidRDefault="00316995" w:rsidP="00316995">
            <w:pPr>
              <w:spacing w:after="0" w:line="240" w:lineRule="auto"/>
              <w:jc w:val="center"/>
              <w:rPr>
                <w:rFonts w:eastAsia="Times New Roman" w:cstheme="minorHAnsi"/>
              </w:rPr>
            </w:pPr>
            <w:r w:rsidRPr="00012694">
              <w:t>0.05%</w:t>
            </w:r>
          </w:p>
        </w:tc>
        <w:tc>
          <w:tcPr>
            <w:tcW w:w="1222" w:type="dxa"/>
            <w:shd w:val="clear" w:color="auto" w:fill="auto"/>
            <w:noWrap/>
          </w:tcPr>
          <w:p w14:paraId="3E915D1F" w14:textId="48AA7C22" w:rsidR="00316995" w:rsidRPr="00FD4D92" w:rsidRDefault="00316995" w:rsidP="00316995">
            <w:pPr>
              <w:spacing w:after="0" w:line="240" w:lineRule="auto"/>
              <w:jc w:val="center"/>
              <w:rPr>
                <w:rFonts w:eastAsia="Times New Roman" w:cstheme="minorHAnsi"/>
              </w:rPr>
            </w:pPr>
            <w:r w:rsidRPr="00012694">
              <w:t>0.11%</w:t>
            </w:r>
          </w:p>
        </w:tc>
      </w:tr>
      <w:tr w:rsidR="00316995" w:rsidRPr="00FD4D92" w14:paraId="281DC44E" w14:textId="77777777" w:rsidTr="00316995">
        <w:trPr>
          <w:trHeight w:val="300"/>
          <w:jc w:val="center"/>
        </w:trPr>
        <w:tc>
          <w:tcPr>
            <w:tcW w:w="4179" w:type="dxa"/>
            <w:shd w:val="clear" w:color="auto" w:fill="auto"/>
            <w:noWrap/>
            <w:hideMark/>
          </w:tcPr>
          <w:p w14:paraId="60371204"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Native Hawaiian or Other Pacific Islander</w:t>
            </w:r>
          </w:p>
        </w:tc>
        <w:tc>
          <w:tcPr>
            <w:tcW w:w="1720" w:type="dxa"/>
            <w:shd w:val="clear" w:color="auto" w:fill="auto"/>
            <w:noWrap/>
          </w:tcPr>
          <w:p w14:paraId="3BBB0516" w14:textId="4F690D8D" w:rsidR="00316995" w:rsidRPr="00FD4D92" w:rsidRDefault="00316995" w:rsidP="00316995">
            <w:pPr>
              <w:spacing w:after="0" w:line="240" w:lineRule="auto"/>
              <w:jc w:val="center"/>
              <w:rPr>
                <w:rFonts w:eastAsia="Times New Roman" w:cstheme="minorHAnsi"/>
              </w:rPr>
            </w:pPr>
            <w:r w:rsidRPr="00012694">
              <w:t>0.00%</w:t>
            </w:r>
          </w:p>
        </w:tc>
        <w:tc>
          <w:tcPr>
            <w:tcW w:w="1055" w:type="dxa"/>
            <w:shd w:val="clear" w:color="auto" w:fill="auto"/>
            <w:noWrap/>
          </w:tcPr>
          <w:p w14:paraId="10BEEA79" w14:textId="0C39B4F7" w:rsidR="00316995" w:rsidRPr="00FD4D92" w:rsidRDefault="00316995" w:rsidP="00316995">
            <w:pPr>
              <w:spacing w:after="0" w:line="240" w:lineRule="auto"/>
              <w:jc w:val="center"/>
              <w:rPr>
                <w:rFonts w:eastAsia="Times New Roman" w:cstheme="minorHAnsi"/>
              </w:rPr>
            </w:pPr>
            <w:r w:rsidRPr="00012694">
              <w:t>0.03%</w:t>
            </w:r>
          </w:p>
        </w:tc>
        <w:tc>
          <w:tcPr>
            <w:tcW w:w="1222" w:type="dxa"/>
            <w:shd w:val="clear" w:color="auto" w:fill="auto"/>
            <w:noWrap/>
          </w:tcPr>
          <w:p w14:paraId="0735D065" w14:textId="1CE019EF" w:rsidR="00316995" w:rsidRPr="00FD4D92" w:rsidRDefault="00316995" w:rsidP="00316995">
            <w:pPr>
              <w:spacing w:after="0" w:line="240" w:lineRule="auto"/>
              <w:jc w:val="center"/>
              <w:rPr>
                <w:rFonts w:eastAsia="Times New Roman" w:cstheme="minorHAnsi"/>
              </w:rPr>
            </w:pPr>
            <w:r w:rsidRPr="00012694">
              <w:t>0.00%</w:t>
            </w:r>
          </w:p>
        </w:tc>
      </w:tr>
      <w:tr w:rsidR="00316995" w:rsidRPr="00FD4D92" w14:paraId="4927883D" w14:textId="77777777" w:rsidTr="00316995">
        <w:trPr>
          <w:trHeight w:val="300"/>
          <w:jc w:val="center"/>
        </w:trPr>
        <w:tc>
          <w:tcPr>
            <w:tcW w:w="4179" w:type="dxa"/>
            <w:shd w:val="clear" w:color="auto" w:fill="auto"/>
            <w:noWrap/>
            <w:hideMark/>
          </w:tcPr>
          <w:p w14:paraId="1900B5B6"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Other</w:t>
            </w:r>
          </w:p>
        </w:tc>
        <w:tc>
          <w:tcPr>
            <w:tcW w:w="1720" w:type="dxa"/>
            <w:shd w:val="clear" w:color="auto" w:fill="auto"/>
            <w:noWrap/>
          </w:tcPr>
          <w:p w14:paraId="4B47C4A2" w14:textId="5C4FB41F" w:rsidR="00316995" w:rsidRPr="00FD4D92" w:rsidRDefault="00316995" w:rsidP="00316995">
            <w:pPr>
              <w:spacing w:after="0" w:line="240" w:lineRule="auto"/>
              <w:jc w:val="center"/>
              <w:rPr>
                <w:rFonts w:eastAsia="Times New Roman" w:cstheme="minorHAnsi"/>
              </w:rPr>
            </w:pPr>
            <w:r w:rsidRPr="00012694">
              <w:t>8.04%</w:t>
            </w:r>
          </w:p>
        </w:tc>
        <w:tc>
          <w:tcPr>
            <w:tcW w:w="1055" w:type="dxa"/>
            <w:shd w:val="clear" w:color="auto" w:fill="auto"/>
            <w:noWrap/>
          </w:tcPr>
          <w:p w14:paraId="1B4F5990" w14:textId="78BE0258" w:rsidR="00316995" w:rsidRPr="00FD4D92" w:rsidRDefault="00316995" w:rsidP="00316995">
            <w:pPr>
              <w:spacing w:after="0" w:line="240" w:lineRule="auto"/>
              <w:jc w:val="center"/>
              <w:rPr>
                <w:rFonts w:eastAsia="Times New Roman" w:cstheme="minorHAnsi"/>
              </w:rPr>
            </w:pPr>
            <w:r w:rsidRPr="00012694">
              <w:t>3.08%</w:t>
            </w:r>
          </w:p>
        </w:tc>
        <w:tc>
          <w:tcPr>
            <w:tcW w:w="1222" w:type="dxa"/>
            <w:shd w:val="clear" w:color="auto" w:fill="auto"/>
            <w:noWrap/>
          </w:tcPr>
          <w:p w14:paraId="4E2BB391" w14:textId="2C6CD831" w:rsidR="00316995" w:rsidRPr="00FD4D92" w:rsidRDefault="00316995" w:rsidP="00316995">
            <w:pPr>
              <w:spacing w:after="0" w:line="240" w:lineRule="auto"/>
              <w:jc w:val="center"/>
              <w:rPr>
                <w:rFonts w:eastAsia="Times New Roman" w:cstheme="minorHAnsi"/>
              </w:rPr>
            </w:pPr>
            <w:r w:rsidRPr="00012694">
              <w:t>5.19%</w:t>
            </w:r>
          </w:p>
        </w:tc>
      </w:tr>
      <w:tr w:rsidR="00316995" w:rsidRPr="00FD4D92" w14:paraId="12B3F4EA" w14:textId="77777777" w:rsidTr="00316995">
        <w:trPr>
          <w:trHeight w:val="300"/>
          <w:jc w:val="center"/>
        </w:trPr>
        <w:tc>
          <w:tcPr>
            <w:tcW w:w="4179" w:type="dxa"/>
            <w:shd w:val="clear" w:color="auto" w:fill="auto"/>
            <w:noWrap/>
            <w:hideMark/>
          </w:tcPr>
          <w:p w14:paraId="0CA25944"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Unknown</w:t>
            </w:r>
          </w:p>
        </w:tc>
        <w:tc>
          <w:tcPr>
            <w:tcW w:w="1720" w:type="dxa"/>
            <w:shd w:val="clear" w:color="auto" w:fill="auto"/>
            <w:noWrap/>
          </w:tcPr>
          <w:p w14:paraId="4B4735A8" w14:textId="66AE8AC4" w:rsidR="00316995" w:rsidRPr="00FD4D92" w:rsidRDefault="00316995" w:rsidP="00316995">
            <w:pPr>
              <w:spacing w:after="0" w:line="240" w:lineRule="auto"/>
              <w:jc w:val="center"/>
              <w:rPr>
                <w:rFonts w:eastAsia="Times New Roman" w:cstheme="minorHAnsi"/>
              </w:rPr>
            </w:pPr>
            <w:r w:rsidRPr="00012694">
              <w:t>0.50%</w:t>
            </w:r>
          </w:p>
        </w:tc>
        <w:tc>
          <w:tcPr>
            <w:tcW w:w="1055" w:type="dxa"/>
            <w:shd w:val="clear" w:color="auto" w:fill="auto"/>
            <w:noWrap/>
          </w:tcPr>
          <w:p w14:paraId="05E25177" w14:textId="510E7F88" w:rsidR="00316995" w:rsidRPr="00FD4D92" w:rsidRDefault="00316995" w:rsidP="00316995">
            <w:pPr>
              <w:spacing w:after="0" w:line="240" w:lineRule="auto"/>
              <w:jc w:val="center"/>
              <w:rPr>
                <w:rFonts w:eastAsia="Times New Roman" w:cstheme="minorHAnsi"/>
              </w:rPr>
            </w:pPr>
            <w:r w:rsidRPr="00012694">
              <w:t>0.71%</w:t>
            </w:r>
          </w:p>
        </w:tc>
        <w:tc>
          <w:tcPr>
            <w:tcW w:w="1222" w:type="dxa"/>
            <w:shd w:val="clear" w:color="auto" w:fill="auto"/>
            <w:noWrap/>
          </w:tcPr>
          <w:p w14:paraId="565BF721" w14:textId="343F67B0" w:rsidR="00316995" w:rsidRPr="00FD4D92" w:rsidRDefault="00316995" w:rsidP="00316995">
            <w:pPr>
              <w:spacing w:after="0" w:line="240" w:lineRule="auto"/>
              <w:jc w:val="center"/>
              <w:rPr>
                <w:rFonts w:eastAsia="Times New Roman" w:cstheme="minorHAnsi"/>
              </w:rPr>
            </w:pPr>
            <w:r w:rsidRPr="00012694">
              <w:t>0.19%</w:t>
            </w:r>
          </w:p>
        </w:tc>
      </w:tr>
      <w:tr w:rsidR="00316995" w:rsidRPr="00FD4D92" w14:paraId="7B031169" w14:textId="77777777" w:rsidTr="00316995">
        <w:trPr>
          <w:trHeight w:val="300"/>
          <w:jc w:val="center"/>
        </w:trPr>
        <w:tc>
          <w:tcPr>
            <w:tcW w:w="4179" w:type="dxa"/>
            <w:shd w:val="clear" w:color="auto" w:fill="auto"/>
            <w:noWrap/>
            <w:hideMark/>
          </w:tcPr>
          <w:p w14:paraId="1CC763FE"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White/Caucasian</w:t>
            </w:r>
          </w:p>
        </w:tc>
        <w:tc>
          <w:tcPr>
            <w:tcW w:w="1720" w:type="dxa"/>
            <w:shd w:val="clear" w:color="auto" w:fill="auto"/>
            <w:noWrap/>
          </w:tcPr>
          <w:p w14:paraId="2853B67B" w14:textId="7F799843" w:rsidR="00316995" w:rsidRPr="00FD4D92" w:rsidRDefault="00316995" w:rsidP="00316995">
            <w:pPr>
              <w:spacing w:after="0" w:line="240" w:lineRule="auto"/>
              <w:jc w:val="center"/>
              <w:rPr>
                <w:rFonts w:eastAsia="Times New Roman" w:cstheme="minorHAnsi"/>
              </w:rPr>
            </w:pPr>
            <w:r w:rsidRPr="00012694">
              <w:t>88.44%</w:t>
            </w:r>
          </w:p>
        </w:tc>
        <w:tc>
          <w:tcPr>
            <w:tcW w:w="1055" w:type="dxa"/>
            <w:shd w:val="clear" w:color="auto" w:fill="auto"/>
            <w:noWrap/>
          </w:tcPr>
          <w:p w14:paraId="2E8C50CB" w14:textId="76D32D8F" w:rsidR="00316995" w:rsidRPr="00FD4D92" w:rsidRDefault="00316995" w:rsidP="00316995">
            <w:pPr>
              <w:spacing w:after="0" w:line="240" w:lineRule="auto"/>
              <w:jc w:val="center"/>
              <w:rPr>
                <w:rFonts w:eastAsia="Times New Roman" w:cstheme="minorHAnsi"/>
              </w:rPr>
            </w:pPr>
            <w:r w:rsidRPr="00012694">
              <w:t>90.30%</w:t>
            </w:r>
          </w:p>
        </w:tc>
        <w:tc>
          <w:tcPr>
            <w:tcW w:w="1222" w:type="dxa"/>
            <w:shd w:val="clear" w:color="auto" w:fill="auto"/>
            <w:noWrap/>
          </w:tcPr>
          <w:p w14:paraId="580459DB" w14:textId="1E87C475" w:rsidR="00316995" w:rsidRPr="00FD4D92" w:rsidRDefault="00316995" w:rsidP="00316995">
            <w:pPr>
              <w:spacing w:after="0" w:line="240" w:lineRule="auto"/>
              <w:jc w:val="center"/>
              <w:rPr>
                <w:rFonts w:eastAsia="Times New Roman" w:cstheme="minorHAnsi"/>
              </w:rPr>
            </w:pPr>
            <w:r w:rsidRPr="00012694">
              <w:t>88.91%</w:t>
            </w:r>
          </w:p>
        </w:tc>
      </w:tr>
      <w:tr w:rsidR="00316995" w:rsidRPr="00FD4D92" w14:paraId="4F71299B" w14:textId="77777777" w:rsidTr="00316995">
        <w:trPr>
          <w:trHeight w:val="300"/>
          <w:jc w:val="center"/>
        </w:trPr>
        <w:tc>
          <w:tcPr>
            <w:tcW w:w="4179" w:type="dxa"/>
            <w:shd w:val="clear" w:color="auto" w:fill="FFFFFF" w:themeFill="background1"/>
            <w:noWrap/>
            <w:hideMark/>
          </w:tcPr>
          <w:p w14:paraId="3FBFF316" w14:textId="7813D48B" w:rsidR="00316995" w:rsidRPr="00FD4D92" w:rsidRDefault="00316995" w:rsidP="00316995">
            <w:pPr>
              <w:spacing w:after="0" w:line="240" w:lineRule="auto"/>
              <w:rPr>
                <w:rFonts w:eastAsia="Times New Roman" w:cstheme="minorHAnsi"/>
                <w:b/>
                <w:bCs/>
              </w:rPr>
            </w:pPr>
            <w:r w:rsidRPr="00FD4D92">
              <w:rPr>
                <w:rFonts w:eastAsia="Times New Roman" w:cstheme="minorHAnsi"/>
                <w:b/>
                <w:bCs/>
              </w:rPr>
              <w:t>Total</w:t>
            </w:r>
          </w:p>
        </w:tc>
        <w:tc>
          <w:tcPr>
            <w:tcW w:w="1720" w:type="dxa"/>
            <w:shd w:val="clear" w:color="auto" w:fill="FFFFFF" w:themeFill="background1"/>
            <w:noWrap/>
          </w:tcPr>
          <w:p w14:paraId="41DD7C44" w14:textId="237558BF" w:rsidR="00316995" w:rsidRPr="00351909" w:rsidRDefault="00316995" w:rsidP="00316995">
            <w:pPr>
              <w:spacing w:after="0" w:line="240" w:lineRule="auto"/>
              <w:jc w:val="center"/>
              <w:rPr>
                <w:rFonts w:eastAsia="Times New Roman" w:cstheme="minorHAnsi"/>
                <w:b/>
                <w:bCs/>
              </w:rPr>
            </w:pPr>
            <w:r w:rsidRPr="00351909">
              <w:rPr>
                <w:b/>
                <w:bCs/>
              </w:rPr>
              <w:t>100%</w:t>
            </w:r>
          </w:p>
        </w:tc>
        <w:tc>
          <w:tcPr>
            <w:tcW w:w="1055" w:type="dxa"/>
            <w:shd w:val="clear" w:color="auto" w:fill="FFFFFF" w:themeFill="background1"/>
            <w:noWrap/>
          </w:tcPr>
          <w:p w14:paraId="68F51E68" w14:textId="297BB096" w:rsidR="00316995" w:rsidRPr="00351909" w:rsidRDefault="00316995" w:rsidP="00316995">
            <w:pPr>
              <w:spacing w:after="0" w:line="240" w:lineRule="auto"/>
              <w:jc w:val="center"/>
              <w:rPr>
                <w:rFonts w:eastAsia="Times New Roman" w:cstheme="minorHAnsi"/>
                <w:b/>
                <w:bCs/>
              </w:rPr>
            </w:pPr>
            <w:r w:rsidRPr="00351909">
              <w:rPr>
                <w:b/>
                <w:bCs/>
              </w:rPr>
              <w:t>100%</w:t>
            </w:r>
          </w:p>
        </w:tc>
        <w:tc>
          <w:tcPr>
            <w:tcW w:w="1222" w:type="dxa"/>
            <w:shd w:val="clear" w:color="auto" w:fill="FFFFFF" w:themeFill="background1"/>
            <w:noWrap/>
          </w:tcPr>
          <w:p w14:paraId="1E9C7697" w14:textId="42370F7C" w:rsidR="00316995" w:rsidRPr="00351909" w:rsidRDefault="00316995" w:rsidP="00316995">
            <w:pPr>
              <w:spacing w:after="0" w:line="240" w:lineRule="auto"/>
              <w:jc w:val="center"/>
              <w:rPr>
                <w:rFonts w:eastAsia="Times New Roman" w:cstheme="minorHAnsi"/>
                <w:b/>
                <w:bCs/>
              </w:rPr>
            </w:pPr>
            <w:r w:rsidRPr="00351909">
              <w:rPr>
                <w:b/>
                <w:bCs/>
              </w:rPr>
              <w:t>100%</w:t>
            </w:r>
          </w:p>
        </w:tc>
      </w:tr>
    </w:tbl>
    <w:p w14:paraId="47841584" w14:textId="77777777" w:rsidR="002778C6" w:rsidRDefault="002778C6" w:rsidP="00BC74B5">
      <w:pPr>
        <w:tabs>
          <w:tab w:val="left" w:pos="4455"/>
        </w:tabs>
        <w:spacing w:line="240" w:lineRule="auto"/>
        <w:contextualSpacing/>
        <w:rPr>
          <w:sz w:val="24"/>
          <w:szCs w:val="24"/>
        </w:rPr>
      </w:pPr>
    </w:p>
    <w:p w14:paraId="716D3107" w14:textId="1DB803E0" w:rsidR="00BC74B5" w:rsidRDefault="00BC74B5" w:rsidP="00BC74B5">
      <w:pPr>
        <w:tabs>
          <w:tab w:val="left" w:pos="4455"/>
        </w:tabs>
        <w:spacing w:line="240" w:lineRule="auto"/>
        <w:contextualSpacing/>
        <w:rPr>
          <w:sz w:val="24"/>
          <w:szCs w:val="24"/>
        </w:rPr>
      </w:pPr>
      <w:r w:rsidRPr="00BC74B5">
        <w:rPr>
          <w:sz w:val="24"/>
          <w:szCs w:val="24"/>
        </w:rPr>
        <w:t xml:space="preserve">The Applicant also provided the </w:t>
      </w:r>
      <w:r w:rsidR="00263593">
        <w:rPr>
          <w:sz w:val="24"/>
          <w:szCs w:val="24"/>
        </w:rPr>
        <w:t>information</w:t>
      </w:r>
      <w:r w:rsidRPr="00BC74B5">
        <w:rPr>
          <w:sz w:val="24"/>
          <w:szCs w:val="24"/>
        </w:rPr>
        <w:t xml:space="preserve"> on the payer mix of SSH MRI patients for FY20</w:t>
      </w:r>
      <w:r w:rsidR="00263593">
        <w:rPr>
          <w:sz w:val="24"/>
          <w:szCs w:val="24"/>
        </w:rPr>
        <w:t xml:space="preserve">, which is shown in Table </w:t>
      </w:r>
      <w:r w:rsidR="00C41C8B">
        <w:rPr>
          <w:sz w:val="24"/>
          <w:szCs w:val="24"/>
        </w:rPr>
        <w:t>9</w:t>
      </w:r>
      <w:r w:rsidR="00E97424">
        <w:rPr>
          <w:sz w:val="24"/>
          <w:szCs w:val="24"/>
        </w:rPr>
        <w:t xml:space="preserve"> </w:t>
      </w:r>
      <w:r w:rsidR="00263593">
        <w:rPr>
          <w:sz w:val="24"/>
          <w:szCs w:val="24"/>
        </w:rPr>
        <w:t>below.</w:t>
      </w:r>
    </w:p>
    <w:p w14:paraId="7B3AB63A" w14:textId="166DCDDA" w:rsidR="008766C7" w:rsidRDefault="008766C7" w:rsidP="00BC74B5">
      <w:pPr>
        <w:tabs>
          <w:tab w:val="left" w:pos="4455"/>
        </w:tabs>
        <w:spacing w:line="240" w:lineRule="auto"/>
        <w:contextualSpacing/>
        <w:rPr>
          <w:sz w:val="24"/>
          <w:szCs w:val="24"/>
        </w:rPr>
      </w:pPr>
    </w:p>
    <w:p w14:paraId="7FD51A1D" w14:textId="3FAAD90D" w:rsidR="00796917" w:rsidRDefault="00796917" w:rsidP="00542409">
      <w:pPr>
        <w:tabs>
          <w:tab w:val="left" w:pos="4455"/>
        </w:tabs>
        <w:spacing w:line="240" w:lineRule="auto"/>
        <w:contextualSpacing/>
        <w:rPr>
          <w:b/>
          <w:bCs/>
          <w:sz w:val="24"/>
          <w:szCs w:val="24"/>
        </w:rPr>
      </w:pPr>
    </w:p>
    <w:p w14:paraId="3043F282" w14:textId="5E8F0BC1" w:rsidR="000109B4" w:rsidRPr="000109B4" w:rsidRDefault="000109B4" w:rsidP="000109B4">
      <w:pPr>
        <w:tabs>
          <w:tab w:val="left" w:pos="4455"/>
        </w:tabs>
        <w:spacing w:line="240" w:lineRule="auto"/>
        <w:contextualSpacing/>
        <w:jc w:val="center"/>
        <w:rPr>
          <w:b/>
          <w:bCs/>
          <w:sz w:val="24"/>
          <w:szCs w:val="24"/>
        </w:rPr>
      </w:pPr>
      <w:r w:rsidRPr="000109B4">
        <w:rPr>
          <w:b/>
          <w:bCs/>
          <w:sz w:val="24"/>
          <w:szCs w:val="24"/>
        </w:rPr>
        <w:t xml:space="preserve">Table </w:t>
      </w:r>
      <w:r w:rsidR="00105E82">
        <w:rPr>
          <w:b/>
          <w:bCs/>
          <w:sz w:val="24"/>
          <w:szCs w:val="24"/>
        </w:rPr>
        <w:t>9</w:t>
      </w:r>
      <w:r w:rsidRPr="000109B4">
        <w:rPr>
          <w:b/>
          <w:bCs/>
          <w:sz w:val="24"/>
          <w:szCs w:val="24"/>
        </w:rPr>
        <w:t>:</w:t>
      </w:r>
      <w:r w:rsidR="00C75E2D">
        <w:rPr>
          <w:b/>
          <w:bCs/>
          <w:sz w:val="24"/>
          <w:szCs w:val="24"/>
        </w:rPr>
        <w:t xml:space="preserve"> SSH MRI Payer Mix by Patient Status (FY20)</w:t>
      </w:r>
    </w:p>
    <w:p w14:paraId="5B5972CF" w14:textId="4FE87AAF" w:rsidR="00D6162F" w:rsidRDefault="00D6162F" w:rsidP="00D6162F">
      <w:pPr>
        <w:tabs>
          <w:tab w:val="left" w:pos="4455"/>
        </w:tabs>
        <w:spacing w:line="240" w:lineRule="auto"/>
        <w:contextualSpacing/>
        <w:rPr>
          <w:sz w:val="24"/>
          <w:szCs w:val="24"/>
        </w:rPr>
      </w:pPr>
    </w:p>
    <w:tbl>
      <w:tblPr>
        <w:tblpPr w:leftFromText="180" w:rightFromText="180" w:vertAnchor="text" w:horzAnchor="margin" w:tblpXSpec="center" w:tblpY="11"/>
        <w:tblW w:w="7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710"/>
        <w:gridCol w:w="1440"/>
        <w:gridCol w:w="1350"/>
      </w:tblGrid>
      <w:tr w:rsidR="00316995" w:rsidRPr="00FD4D92" w14:paraId="07BB493B" w14:textId="77777777" w:rsidTr="00316995">
        <w:trPr>
          <w:trHeight w:val="300"/>
        </w:trPr>
        <w:tc>
          <w:tcPr>
            <w:tcW w:w="2790" w:type="dxa"/>
            <w:shd w:val="clear" w:color="auto" w:fill="F2F2F2" w:themeFill="background1" w:themeFillShade="F2"/>
            <w:noWrap/>
            <w:vAlign w:val="bottom"/>
            <w:hideMark/>
          </w:tcPr>
          <w:p w14:paraId="1E8D71A9" w14:textId="77777777" w:rsidR="00316995" w:rsidRPr="00FD4D92" w:rsidRDefault="00316995" w:rsidP="00D6162F">
            <w:pPr>
              <w:spacing w:after="0" w:line="240" w:lineRule="auto"/>
              <w:rPr>
                <w:rFonts w:eastAsia="Times New Roman" w:cstheme="minorHAnsi"/>
                <w:b/>
                <w:bCs/>
              </w:rPr>
            </w:pPr>
            <w:r w:rsidRPr="00FD4D92">
              <w:rPr>
                <w:rFonts w:eastAsia="Times New Roman" w:cstheme="minorHAnsi"/>
                <w:b/>
                <w:bCs/>
              </w:rPr>
              <w:t>Payer Mix</w:t>
            </w:r>
          </w:p>
        </w:tc>
        <w:tc>
          <w:tcPr>
            <w:tcW w:w="1710" w:type="dxa"/>
            <w:shd w:val="clear" w:color="auto" w:fill="F2F2F2" w:themeFill="background1" w:themeFillShade="F2"/>
            <w:noWrap/>
            <w:vAlign w:val="bottom"/>
            <w:hideMark/>
          </w:tcPr>
          <w:p w14:paraId="334E1A77" w14:textId="77777777" w:rsidR="00316995" w:rsidRPr="00FD4D92" w:rsidRDefault="00316995" w:rsidP="00D6162F">
            <w:pPr>
              <w:spacing w:after="0" w:line="240" w:lineRule="auto"/>
              <w:jc w:val="center"/>
              <w:rPr>
                <w:rFonts w:eastAsia="Times New Roman" w:cstheme="minorHAnsi"/>
                <w:b/>
                <w:bCs/>
              </w:rPr>
            </w:pPr>
            <w:r w:rsidRPr="00FD4D92">
              <w:rPr>
                <w:rFonts w:eastAsia="Times New Roman" w:cstheme="minorHAnsi"/>
                <w:b/>
                <w:bCs/>
              </w:rPr>
              <w:t>Emergency</w:t>
            </w:r>
          </w:p>
        </w:tc>
        <w:tc>
          <w:tcPr>
            <w:tcW w:w="1440" w:type="dxa"/>
            <w:shd w:val="clear" w:color="auto" w:fill="F2F2F2" w:themeFill="background1" w:themeFillShade="F2"/>
            <w:noWrap/>
            <w:vAlign w:val="bottom"/>
            <w:hideMark/>
          </w:tcPr>
          <w:p w14:paraId="565A184D" w14:textId="77777777" w:rsidR="00316995" w:rsidRPr="00FD4D92" w:rsidRDefault="00316995" w:rsidP="00D6162F">
            <w:pPr>
              <w:spacing w:after="0" w:line="240" w:lineRule="auto"/>
              <w:jc w:val="center"/>
              <w:rPr>
                <w:rFonts w:eastAsia="Times New Roman" w:cstheme="minorHAnsi"/>
                <w:b/>
                <w:bCs/>
              </w:rPr>
            </w:pPr>
            <w:r w:rsidRPr="00FD4D92">
              <w:rPr>
                <w:rFonts w:eastAsia="Times New Roman" w:cstheme="minorHAnsi"/>
                <w:b/>
                <w:bCs/>
              </w:rPr>
              <w:t>Inpatient</w:t>
            </w:r>
          </w:p>
        </w:tc>
        <w:tc>
          <w:tcPr>
            <w:tcW w:w="1350" w:type="dxa"/>
            <w:shd w:val="clear" w:color="auto" w:fill="F2F2F2" w:themeFill="background1" w:themeFillShade="F2"/>
            <w:noWrap/>
            <w:vAlign w:val="bottom"/>
            <w:hideMark/>
          </w:tcPr>
          <w:p w14:paraId="59633057" w14:textId="77777777" w:rsidR="00316995" w:rsidRPr="00FD4D92" w:rsidRDefault="00316995" w:rsidP="00D6162F">
            <w:pPr>
              <w:spacing w:after="0" w:line="240" w:lineRule="auto"/>
              <w:jc w:val="center"/>
              <w:rPr>
                <w:rFonts w:eastAsia="Times New Roman" w:cstheme="minorHAnsi"/>
                <w:b/>
                <w:bCs/>
              </w:rPr>
            </w:pPr>
            <w:r w:rsidRPr="00FD4D92">
              <w:rPr>
                <w:rFonts w:eastAsia="Times New Roman" w:cstheme="minorHAnsi"/>
                <w:b/>
                <w:bCs/>
              </w:rPr>
              <w:t>Outpatient</w:t>
            </w:r>
          </w:p>
        </w:tc>
      </w:tr>
      <w:tr w:rsidR="00316995" w:rsidRPr="00FD4D92" w14:paraId="3394B6D8" w14:textId="77777777" w:rsidTr="008C3255">
        <w:trPr>
          <w:trHeight w:val="300"/>
        </w:trPr>
        <w:tc>
          <w:tcPr>
            <w:tcW w:w="2790" w:type="dxa"/>
            <w:shd w:val="clear" w:color="auto" w:fill="auto"/>
            <w:noWrap/>
            <w:vAlign w:val="bottom"/>
            <w:hideMark/>
          </w:tcPr>
          <w:p w14:paraId="36F51E39"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All Other</w:t>
            </w:r>
          </w:p>
        </w:tc>
        <w:tc>
          <w:tcPr>
            <w:tcW w:w="1710" w:type="dxa"/>
            <w:shd w:val="clear" w:color="auto" w:fill="auto"/>
            <w:noWrap/>
          </w:tcPr>
          <w:p w14:paraId="7495369D" w14:textId="2D9593BF" w:rsidR="00316995" w:rsidRPr="00FD4D92" w:rsidRDefault="00316995" w:rsidP="00316995">
            <w:pPr>
              <w:spacing w:after="0" w:line="240" w:lineRule="auto"/>
              <w:jc w:val="center"/>
              <w:rPr>
                <w:rFonts w:eastAsia="Times New Roman" w:cstheme="minorHAnsi"/>
              </w:rPr>
            </w:pPr>
            <w:r w:rsidRPr="003431F0">
              <w:t>9.55%</w:t>
            </w:r>
          </w:p>
        </w:tc>
        <w:tc>
          <w:tcPr>
            <w:tcW w:w="1440" w:type="dxa"/>
            <w:shd w:val="clear" w:color="auto" w:fill="auto"/>
            <w:noWrap/>
          </w:tcPr>
          <w:p w14:paraId="1B5D10EF" w14:textId="5E51DE80" w:rsidR="00316995" w:rsidRPr="00FD4D92" w:rsidRDefault="00316995" w:rsidP="00316995">
            <w:pPr>
              <w:spacing w:after="0" w:line="240" w:lineRule="auto"/>
              <w:jc w:val="center"/>
              <w:rPr>
                <w:rFonts w:eastAsia="Times New Roman" w:cstheme="minorHAnsi"/>
              </w:rPr>
            </w:pPr>
            <w:r w:rsidRPr="003431F0">
              <w:t>1.90%</w:t>
            </w:r>
          </w:p>
        </w:tc>
        <w:tc>
          <w:tcPr>
            <w:tcW w:w="1350" w:type="dxa"/>
            <w:shd w:val="clear" w:color="auto" w:fill="auto"/>
            <w:noWrap/>
          </w:tcPr>
          <w:p w14:paraId="5C5F69E1" w14:textId="05D1C5B8" w:rsidR="00316995" w:rsidRPr="00FD4D92" w:rsidRDefault="00316995" w:rsidP="00316995">
            <w:pPr>
              <w:spacing w:after="0" w:line="240" w:lineRule="auto"/>
              <w:jc w:val="center"/>
              <w:rPr>
                <w:rFonts w:eastAsia="Times New Roman" w:cstheme="minorHAnsi"/>
              </w:rPr>
            </w:pPr>
            <w:r w:rsidRPr="003431F0">
              <w:t>2.50%</w:t>
            </w:r>
          </w:p>
        </w:tc>
      </w:tr>
      <w:tr w:rsidR="00316995" w:rsidRPr="00FD4D92" w14:paraId="02B396D5" w14:textId="77777777" w:rsidTr="008C3255">
        <w:trPr>
          <w:trHeight w:val="300"/>
        </w:trPr>
        <w:tc>
          <w:tcPr>
            <w:tcW w:w="2790" w:type="dxa"/>
            <w:shd w:val="clear" w:color="auto" w:fill="auto"/>
            <w:noWrap/>
            <w:vAlign w:val="bottom"/>
            <w:hideMark/>
          </w:tcPr>
          <w:p w14:paraId="6B374380"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Commercial HMO/POS</w:t>
            </w:r>
          </w:p>
        </w:tc>
        <w:tc>
          <w:tcPr>
            <w:tcW w:w="1710" w:type="dxa"/>
            <w:shd w:val="clear" w:color="auto" w:fill="auto"/>
            <w:noWrap/>
          </w:tcPr>
          <w:p w14:paraId="422566D5" w14:textId="5B9AE8ED" w:rsidR="00316995" w:rsidRPr="00FD4D92" w:rsidRDefault="00316995" w:rsidP="00316995">
            <w:pPr>
              <w:spacing w:after="0" w:line="240" w:lineRule="auto"/>
              <w:jc w:val="center"/>
              <w:rPr>
                <w:rFonts w:eastAsia="Times New Roman" w:cstheme="minorHAnsi"/>
              </w:rPr>
            </w:pPr>
            <w:r w:rsidRPr="003431F0">
              <w:t>29.15%</w:t>
            </w:r>
          </w:p>
        </w:tc>
        <w:tc>
          <w:tcPr>
            <w:tcW w:w="1440" w:type="dxa"/>
            <w:shd w:val="clear" w:color="auto" w:fill="auto"/>
            <w:noWrap/>
          </w:tcPr>
          <w:p w14:paraId="2FE6D16C" w14:textId="60E6B811" w:rsidR="00316995" w:rsidRPr="00FD4D92" w:rsidRDefault="00316995" w:rsidP="00316995">
            <w:pPr>
              <w:spacing w:after="0" w:line="240" w:lineRule="auto"/>
              <w:jc w:val="center"/>
              <w:rPr>
                <w:rFonts w:eastAsia="Times New Roman" w:cstheme="minorHAnsi"/>
              </w:rPr>
            </w:pPr>
            <w:r w:rsidRPr="003431F0">
              <w:t>13.87%</w:t>
            </w:r>
          </w:p>
        </w:tc>
        <w:tc>
          <w:tcPr>
            <w:tcW w:w="1350" w:type="dxa"/>
            <w:shd w:val="clear" w:color="auto" w:fill="auto"/>
            <w:noWrap/>
          </w:tcPr>
          <w:p w14:paraId="44FCE01F" w14:textId="0E305A91" w:rsidR="00316995" w:rsidRPr="00FD4D92" w:rsidRDefault="00316995" w:rsidP="00316995">
            <w:pPr>
              <w:spacing w:after="0" w:line="240" w:lineRule="auto"/>
              <w:jc w:val="center"/>
              <w:rPr>
                <w:rFonts w:eastAsia="Times New Roman" w:cstheme="minorHAnsi"/>
              </w:rPr>
            </w:pPr>
            <w:r w:rsidRPr="003431F0">
              <w:t>23.43%</w:t>
            </w:r>
          </w:p>
        </w:tc>
      </w:tr>
      <w:tr w:rsidR="00316995" w:rsidRPr="00FD4D92" w14:paraId="2C8DB9DC" w14:textId="77777777" w:rsidTr="008C3255">
        <w:trPr>
          <w:trHeight w:val="300"/>
        </w:trPr>
        <w:tc>
          <w:tcPr>
            <w:tcW w:w="2790" w:type="dxa"/>
            <w:shd w:val="clear" w:color="auto" w:fill="auto"/>
            <w:noWrap/>
            <w:vAlign w:val="bottom"/>
            <w:hideMark/>
          </w:tcPr>
          <w:p w14:paraId="3EAE1690"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Commercial Medicare</w:t>
            </w:r>
          </w:p>
        </w:tc>
        <w:tc>
          <w:tcPr>
            <w:tcW w:w="1710" w:type="dxa"/>
            <w:shd w:val="clear" w:color="auto" w:fill="auto"/>
            <w:noWrap/>
          </w:tcPr>
          <w:p w14:paraId="37A45A19" w14:textId="700F1FD9" w:rsidR="00316995" w:rsidRPr="00FD4D92" w:rsidRDefault="00316995" w:rsidP="00316995">
            <w:pPr>
              <w:spacing w:after="0" w:line="240" w:lineRule="auto"/>
              <w:jc w:val="center"/>
              <w:rPr>
                <w:rFonts w:eastAsia="Times New Roman" w:cstheme="minorHAnsi"/>
              </w:rPr>
            </w:pPr>
            <w:r w:rsidRPr="003431F0">
              <w:t>2.01%</w:t>
            </w:r>
          </w:p>
        </w:tc>
        <w:tc>
          <w:tcPr>
            <w:tcW w:w="1440" w:type="dxa"/>
            <w:shd w:val="clear" w:color="auto" w:fill="auto"/>
            <w:noWrap/>
          </w:tcPr>
          <w:p w14:paraId="37213C03" w14:textId="0F45CA5C" w:rsidR="00316995" w:rsidRPr="00FD4D92" w:rsidRDefault="00316995" w:rsidP="00316995">
            <w:pPr>
              <w:spacing w:after="0" w:line="240" w:lineRule="auto"/>
              <w:jc w:val="center"/>
              <w:rPr>
                <w:rFonts w:eastAsia="Times New Roman" w:cstheme="minorHAnsi"/>
              </w:rPr>
            </w:pPr>
            <w:r w:rsidRPr="003431F0">
              <w:t>11.56%</w:t>
            </w:r>
          </w:p>
        </w:tc>
        <w:tc>
          <w:tcPr>
            <w:tcW w:w="1350" w:type="dxa"/>
            <w:shd w:val="clear" w:color="auto" w:fill="auto"/>
            <w:noWrap/>
          </w:tcPr>
          <w:p w14:paraId="11080B25" w14:textId="0370EF16" w:rsidR="00316995" w:rsidRPr="00FD4D92" w:rsidRDefault="00316995" w:rsidP="00316995">
            <w:pPr>
              <w:spacing w:after="0" w:line="240" w:lineRule="auto"/>
              <w:jc w:val="center"/>
              <w:rPr>
                <w:rFonts w:eastAsia="Times New Roman" w:cstheme="minorHAnsi"/>
              </w:rPr>
            </w:pPr>
            <w:r w:rsidRPr="003431F0">
              <w:t>11.96%</w:t>
            </w:r>
          </w:p>
        </w:tc>
      </w:tr>
      <w:tr w:rsidR="00316995" w:rsidRPr="00FD4D92" w14:paraId="29D0C41A" w14:textId="77777777" w:rsidTr="008C3255">
        <w:trPr>
          <w:trHeight w:val="300"/>
        </w:trPr>
        <w:tc>
          <w:tcPr>
            <w:tcW w:w="2790" w:type="dxa"/>
            <w:shd w:val="clear" w:color="auto" w:fill="auto"/>
            <w:noWrap/>
            <w:vAlign w:val="bottom"/>
            <w:hideMark/>
          </w:tcPr>
          <w:p w14:paraId="54200303"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Commercial PPO/Indemnity</w:t>
            </w:r>
          </w:p>
        </w:tc>
        <w:tc>
          <w:tcPr>
            <w:tcW w:w="1710" w:type="dxa"/>
            <w:shd w:val="clear" w:color="auto" w:fill="auto"/>
            <w:noWrap/>
          </w:tcPr>
          <w:p w14:paraId="6B207EFA" w14:textId="1E90D34B" w:rsidR="00316995" w:rsidRPr="00FD4D92" w:rsidRDefault="00316995" w:rsidP="00316995">
            <w:pPr>
              <w:spacing w:after="0" w:line="240" w:lineRule="auto"/>
              <w:jc w:val="center"/>
              <w:rPr>
                <w:rFonts w:eastAsia="Times New Roman" w:cstheme="minorHAnsi"/>
              </w:rPr>
            </w:pPr>
            <w:r w:rsidRPr="003431F0">
              <w:t>18.59%</w:t>
            </w:r>
          </w:p>
        </w:tc>
        <w:tc>
          <w:tcPr>
            <w:tcW w:w="1440" w:type="dxa"/>
            <w:shd w:val="clear" w:color="auto" w:fill="auto"/>
            <w:noWrap/>
          </w:tcPr>
          <w:p w14:paraId="58B42472" w14:textId="3506B5D8" w:rsidR="00316995" w:rsidRPr="00FD4D92" w:rsidRDefault="00316995" w:rsidP="00316995">
            <w:pPr>
              <w:spacing w:after="0" w:line="240" w:lineRule="auto"/>
              <w:jc w:val="center"/>
              <w:rPr>
                <w:rFonts w:eastAsia="Times New Roman" w:cstheme="minorHAnsi"/>
              </w:rPr>
            </w:pPr>
            <w:r w:rsidRPr="003431F0">
              <w:t>11.48%</w:t>
            </w:r>
          </w:p>
        </w:tc>
        <w:tc>
          <w:tcPr>
            <w:tcW w:w="1350" w:type="dxa"/>
            <w:shd w:val="clear" w:color="auto" w:fill="auto"/>
            <w:noWrap/>
          </w:tcPr>
          <w:p w14:paraId="11E70B59" w14:textId="5D7AF1E3" w:rsidR="00316995" w:rsidRPr="00FD4D92" w:rsidRDefault="00316995" w:rsidP="00316995">
            <w:pPr>
              <w:spacing w:after="0" w:line="240" w:lineRule="auto"/>
              <w:jc w:val="center"/>
              <w:rPr>
                <w:rFonts w:eastAsia="Times New Roman" w:cstheme="minorHAnsi"/>
              </w:rPr>
            </w:pPr>
            <w:r w:rsidRPr="003431F0">
              <w:t>15.93%</w:t>
            </w:r>
          </w:p>
        </w:tc>
      </w:tr>
      <w:tr w:rsidR="00316995" w:rsidRPr="00FD4D92" w14:paraId="62DC9A78" w14:textId="77777777" w:rsidTr="008C3255">
        <w:trPr>
          <w:trHeight w:val="300"/>
        </w:trPr>
        <w:tc>
          <w:tcPr>
            <w:tcW w:w="2790" w:type="dxa"/>
            <w:shd w:val="clear" w:color="auto" w:fill="auto"/>
            <w:noWrap/>
            <w:vAlign w:val="bottom"/>
            <w:hideMark/>
          </w:tcPr>
          <w:p w14:paraId="48FFE9C5" w14:textId="4405FDA0" w:rsidR="00316995" w:rsidRPr="00FD4D92" w:rsidRDefault="00316995" w:rsidP="00316995">
            <w:pPr>
              <w:spacing w:after="0" w:line="240" w:lineRule="auto"/>
              <w:rPr>
                <w:rFonts w:eastAsia="Times New Roman" w:cstheme="minorHAnsi"/>
              </w:rPr>
            </w:pPr>
            <w:r w:rsidRPr="00FD4D92">
              <w:rPr>
                <w:rFonts w:eastAsia="Times New Roman" w:cstheme="minorHAnsi"/>
              </w:rPr>
              <w:t>Managed Medicaid</w:t>
            </w:r>
          </w:p>
        </w:tc>
        <w:tc>
          <w:tcPr>
            <w:tcW w:w="1710" w:type="dxa"/>
            <w:shd w:val="clear" w:color="auto" w:fill="auto"/>
            <w:noWrap/>
          </w:tcPr>
          <w:p w14:paraId="1CB7F99E" w14:textId="509E8A2C" w:rsidR="00316995" w:rsidRPr="00FD4D92" w:rsidRDefault="00316995" w:rsidP="00316995">
            <w:pPr>
              <w:spacing w:after="0" w:line="240" w:lineRule="auto"/>
              <w:jc w:val="center"/>
              <w:rPr>
                <w:rFonts w:eastAsia="Times New Roman" w:cstheme="minorHAnsi"/>
              </w:rPr>
            </w:pPr>
            <w:r w:rsidRPr="003431F0">
              <w:t>5.53%</w:t>
            </w:r>
          </w:p>
        </w:tc>
        <w:tc>
          <w:tcPr>
            <w:tcW w:w="1440" w:type="dxa"/>
            <w:shd w:val="clear" w:color="auto" w:fill="auto"/>
            <w:noWrap/>
          </w:tcPr>
          <w:p w14:paraId="58EFEE13" w14:textId="6D27ABB9" w:rsidR="00316995" w:rsidRPr="00FD4D92" w:rsidRDefault="00316995" w:rsidP="00316995">
            <w:pPr>
              <w:spacing w:after="0" w:line="240" w:lineRule="auto"/>
              <w:jc w:val="center"/>
              <w:rPr>
                <w:rFonts w:eastAsia="Times New Roman" w:cstheme="minorHAnsi"/>
              </w:rPr>
            </w:pPr>
            <w:r w:rsidRPr="003431F0">
              <w:t>2.80%</w:t>
            </w:r>
          </w:p>
        </w:tc>
        <w:tc>
          <w:tcPr>
            <w:tcW w:w="1350" w:type="dxa"/>
            <w:shd w:val="clear" w:color="auto" w:fill="auto"/>
            <w:noWrap/>
          </w:tcPr>
          <w:p w14:paraId="078D3A47" w14:textId="25F3CE12" w:rsidR="00316995" w:rsidRPr="00FD4D92" w:rsidRDefault="00316995" w:rsidP="00316995">
            <w:pPr>
              <w:spacing w:after="0" w:line="240" w:lineRule="auto"/>
              <w:jc w:val="center"/>
              <w:rPr>
                <w:rFonts w:eastAsia="Times New Roman" w:cstheme="minorHAnsi"/>
              </w:rPr>
            </w:pPr>
            <w:r w:rsidRPr="003431F0">
              <w:t>1.40%</w:t>
            </w:r>
          </w:p>
        </w:tc>
      </w:tr>
      <w:tr w:rsidR="00316995" w:rsidRPr="00FD4D92" w14:paraId="3929C09C" w14:textId="77777777" w:rsidTr="008C3255">
        <w:trPr>
          <w:trHeight w:val="300"/>
        </w:trPr>
        <w:tc>
          <w:tcPr>
            <w:tcW w:w="2790" w:type="dxa"/>
            <w:shd w:val="clear" w:color="auto" w:fill="auto"/>
            <w:noWrap/>
            <w:vAlign w:val="bottom"/>
            <w:hideMark/>
          </w:tcPr>
          <w:p w14:paraId="441EC6C2"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Mass Health</w:t>
            </w:r>
          </w:p>
        </w:tc>
        <w:tc>
          <w:tcPr>
            <w:tcW w:w="1710" w:type="dxa"/>
            <w:shd w:val="clear" w:color="auto" w:fill="auto"/>
            <w:noWrap/>
          </w:tcPr>
          <w:p w14:paraId="6BBBE028" w14:textId="153557BE" w:rsidR="00316995" w:rsidRPr="00FD4D92" w:rsidRDefault="00316995" w:rsidP="00316995">
            <w:pPr>
              <w:spacing w:after="0" w:line="240" w:lineRule="auto"/>
              <w:jc w:val="center"/>
              <w:rPr>
                <w:rFonts w:eastAsia="Times New Roman" w:cstheme="minorHAnsi"/>
              </w:rPr>
            </w:pPr>
            <w:r w:rsidRPr="003431F0">
              <w:t>18.09%</w:t>
            </w:r>
          </w:p>
        </w:tc>
        <w:tc>
          <w:tcPr>
            <w:tcW w:w="1440" w:type="dxa"/>
            <w:shd w:val="clear" w:color="auto" w:fill="auto"/>
            <w:noWrap/>
          </w:tcPr>
          <w:p w14:paraId="21935D03" w14:textId="3A73C746" w:rsidR="00316995" w:rsidRPr="00FD4D92" w:rsidRDefault="00316995" w:rsidP="00316995">
            <w:pPr>
              <w:spacing w:after="0" w:line="240" w:lineRule="auto"/>
              <w:jc w:val="center"/>
              <w:rPr>
                <w:rFonts w:eastAsia="Times New Roman" w:cstheme="minorHAnsi"/>
              </w:rPr>
            </w:pPr>
            <w:r w:rsidRPr="003431F0">
              <w:t>7.44%</w:t>
            </w:r>
          </w:p>
        </w:tc>
        <w:tc>
          <w:tcPr>
            <w:tcW w:w="1350" w:type="dxa"/>
            <w:shd w:val="clear" w:color="auto" w:fill="auto"/>
            <w:noWrap/>
          </w:tcPr>
          <w:p w14:paraId="2D6406F2" w14:textId="06B0AB90" w:rsidR="00316995" w:rsidRPr="00FD4D92" w:rsidRDefault="00316995" w:rsidP="00316995">
            <w:pPr>
              <w:spacing w:after="0" w:line="240" w:lineRule="auto"/>
              <w:jc w:val="center"/>
              <w:rPr>
                <w:rFonts w:eastAsia="Times New Roman" w:cstheme="minorHAnsi"/>
              </w:rPr>
            </w:pPr>
            <w:r w:rsidRPr="003431F0">
              <w:t>6.28%</w:t>
            </w:r>
          </w:p>
        </w:tc>
      </w:tr>
      <w:tr w:rsidR="00316995" w:rsidRPr="00FD4D92" w14:paraId="1E0E1A72" w14:textId="77777777" w:rsidTr="008C3255">
        <w:trPr>
          <w:trHeight w:val="300"/>
        </w:trPr>
        <w:tc>
          <w:tcPr>
            <w:tcW w:w="2790" w:type="dxa"/>
            <w:shd w:val="clear" w:color="auto" w:fill="auto"/>
            <w:noWrap/>
            <w:vAlign w:val="bottom"/>
            <w:hideMark/>
          </w:tcPr>
          <w:p w14:paraId="11CEF0C6" w14:textId="77777777" w:rsidR="00316995" w:rsidRPr="00FD4D92" w:rsidRDefault="00316995" w:rsidP="00316995">
            <w:pPr>
              <w:spacing w:after="0" w:line="240" w:lineRule="auto"/>
              <w:rPr>
                <w:rFonts w:eastAsia="Times New Roman" w:cstheme="minorHAnsi"/>
              </w:rPr>
            </w:pPr>
            <w:r w:rsidRPr="00FD4D92">
              <w:rPr>
                <w:rFonts w:eastAsia="Times New Roman" w:cstheme="minorHAnsi"/>
              </w:rPr>
              <w:t>Medicare FFS</w:t>
            </w:r>
          </w:p>
        </w:tc>
        <w:tc>
          <w:tcPr>
            <w:tcW w:w="1710" w:type="dxa"/>
            <w:shd w:val="clear" w:color="auto" w:fill="auto"/>
            <w:noWrap/>
          </w:tcPr>
          <w:p w14:paraId="4AF79613" w14:textId="42B272B4" w:rsidR="00316995" w:rsidRPr="00FD4D92" w:rsidRDefault="00316995" w:rsidP="00316995">
            <w:pPr>
              <w:spacing w:after="0" w:line="240" w:lineRule="auto"/>
              <w:jc w:val="center"/>
              <w:rPr>
                <w:rFonts w:eastAsia="Times New Roman" w:cstheme="minorHAnsi"/>
              </w:rPr>
            </w:pPr>
            <w:r w:rsidRPr="003431F0">
              <w:t>16.08%</w:t>
            </w:r>
          </w:p>
        </w:tc>
        <w:tc>
          <w:tcPr>
            <w:tcW w:w="1440" w:type="dxa"/>
            <w:shd w:val="clear" w:color="auto" w:fill="auto"/>
            <w:noWrap/>
          </w:tcPr>
          <w:p w14:paraId="17452EF2" w14:textId="52E7307E" w:rsidR="00316995" w:rsidRPr="00FD4D92" w:rsidRDefault="00316995" w:rsidP="00316995">
            <w:pPr>
              <w:spacing w:after="0" w:line="240" w:lineRule="auto"/>
              <w:jc w:val="center"/>
              <w:rPr>
                <w:rFonts w:eastAsia="Times New Roman" w:cstheme="minorHAnsi"/>
              </w:rPr>
            </w:pPr>
            <w:r w:rsidRPr="003431F0">
              <w:t>50.12%</w:t>
            </w:r>
          </w:p>
        </w:tc>
        <w:tc>
          <w:tcPr>
            <w:tcW w:w="1350" w:type="dxa"/>
            <w:shd w:val="clear" w:color="auto" w:fill="auto"/>
            <w:noWrap/>
          </w:tcPr>
          <w:p w14:paraId="5426BDCC" w14:textId="0A3C2818" w:rsidR="00316995" w:rsidRPr="00FD4D92" w:rsidRDefault="00316995" w:rsidP="00316995">
            <w:pPr>
              <w:spacing w:after="0" w:line="240" w:lineRule="auto"/>
              <w:jc w:val="center"/>
              <w:rPr>
                <w:rFonts w:eastAsia="Times New Roman" w:cstheme="minorHAnsi"/>
              </w:rPr>
            </w:pPr>
            <w:r w:rsidRPr="003431F0">
              <w:t>37.85%</w:t>
            </w:r>
          </w:p>
        </w:tc>
      </w:tr>
      <w:tr w:rsidR="00316995" w:rsidRPr="00FD4D92" w14:paraId="37E6C60A" w14:textId="77777777" w:rsidTr="008C3255">
        <w:trPr>
          <w:trHeight w:val="300"/>
        </w:trPr>
        <w:tc>
          <w:tcPr>
            <w:tcW w:w="2790" w:type="dxa"/>
            <w:shd w:val="clear" w:color="auto" w:fill="auto"/>
            <w:noWrap/>
            <w:vAlign w:val="bottom"/>
            <w:hideMark/>
          </w:tcPr>
          <w:p w14:paraId="1E195AF6" w14:textId="25EE9737" w:rsidR="00316995" w:rsidRPr="00FD4D92" w:rsidRDefault="00316995" w:rsidP="00316995">
            <w:pPr>
              <w:spacing w:after="0" w:line="240" w:lineRule="auto"/>
              <w:rPr>
                <w:rFonts w:eastAsia="Times New Roman" w:cstheme="minorHAnsi"/>
              </w:rPr>
            </w:pPr>
            <w:r w:rsidRPr="00FD4D92">
              <w:rPr>
                <w:rFonts w:eastAsia="Times New Roman" w:cstheme="minorHAnsi"/>
              </w:rPr>
              <w:t>Self-Pay</w:t>
            </w:r>
          </w:p>
        </w:tc>
        <w:tc>
          <w:tcPr>
            <w:tcW w:w="1710" w:type="dxa"/>
            <w:shd w:val="clear" w:color="auto" w:fill="auto"/>
            <w:noWrap/>
          </w:tcPr>
          <w:p w14:paraId="4DC35726" w14:textId="40DADDC9" w:rsidR="00316995" w:rsidRPr="00FD4D92" w:rsidRDefault="00316995" w:rsidP="00316995">
            <w:pPr>
              <w:spacing w:after="0" w:line="240" w:lineRule="auto"/>
              <w:jc w:val="center"/>
              <w:rPr>
                <w:rFonts w:eastAsia="Times New Roman" w:cstheme="minorHAnsi"/>
              </w:rPr>
            </w:pPr>
            <w:r w:rsidRPr="003431F0">
              <w:t>1.01%</w:t>
            </w:r>
          </w:p>
        </w:tc>
        <w:tc>
          <w:tcPr>
            <w:tcW w:w="1440" w:type="dxa"/>
            <w:shd w:val="clear" w:color="auto" w:fill="auto"/>
            <w:noWrap/>
          </w:tcPr>
          <w:p w14:paraId="59F32718" w14:textId="277B4349" w:rsidR="00316995" w:rsidRPr="00FD4D92" w:rsidRDefault="00316995" w:rsidP="00316995">
            <w:pPr>
              <w:spacing w:after="0" w:line="240" w:lineRule="auto"/>
              <w:jc w:val="center"/>
              <w:rPr>
                <w:rFonts w:eastAsia="Times New Roman" w:cstheme="minorHAnsi"/>
              </w:rPr>
            </w:pPr>
            <w:r w:rsidRPr="003431F0">
              <w:t>0.82%</w:t>
            </w:r>
          </w:p>
        </w:tc>
        <w:tc>
          <w:tcPr>
            <w:tcW w:w="1350" w:type="dxa"/>
            <w:shd w:val="clear" w:color="auto" w:fill="auto"/>
            <w:noWrap/>
          </w:tcPr>
          <w:p w14:paraId="602F98D6" w14:textId="3ED10423" w:rsidR="00316995" w:rsidRPr="00FD4D92" w:rsidRDefault="00316995" w:rsidP="00316995">
            <w:pPr>
              <w:spacing w:after="0" w:line="240" w:lineRule="auto"/>
              <w:jc w:val="center"/>
              <w:rPr>
                <w:rFonts w:eastAsia="Times New Roman" w:cstheme="minorHAnsi"/>
              </w:rPr>
            </w:pPr>
            <w:r w:rsidRPr="003431F0">
              <w:t>0.64%</w:t>
            </w:r>
          </w:p>
        </w:tc>
      </w:tr>
      <w:tr w:rsidR="00316995" w:rsidRPr="00FD4D92" w14:paraId="31CDB5D6" w14:textId="77777777" w:rsidTr="008C3255">
        <w:trPr>
          <w:trHeight w:val="300"/>
        </w:trPr>
        <w:tc>
          <w:tcPr>
            <w:tcW w:w="2790" w:type="dxa"/>
            <w:shd w:val="clear" w:color="auto" w:fill="FFFFFF" w:themeFill="background1"/>
            <w:noWrap/>
            <w:vAlign w:val="bottom"/>
            <w:hideMark/>
          </w:tcPr>
          <w:p w14:paraId="2B484A9F" w14:textId="2BCDD3DE" w:rsidR="00316995" w:rsidRPr="00FD4D92" w:rsidRDefault="00316995" w:rsidP="00316995">
            <w:pPr>
              <w:spacing w:after="0" w:line="240" w:lineRule="auto"/>
              <w:rPr>
                <w:rFonts w:eastAsia="Times New Roman" w:cstheme="minorHAnsi"/>
                <w:b/>
                <w:bCs/>
              </w:rPr>
            </w:pPr>
            <w:r w:rsidRPr="00FD4D92">
              <w:rPr>
                <w:rFonts w:eastAsia="Times New Roman" w:cstheme="minorHAnsi"/>
                <w:b/>
                <w:bCs/>
              </w:rPr>
              <w:t>Total</w:t>
            </w:r>
          </w:p>
        </w:tc>
        <w:tc>
          <w:tcPr>
            <w:tcW w:w="1710" w:type="dxa"/>
            <w:shd w:val="clear" w:color="auto" w:fill="FFFFFF" w:themeFill="background1"/>
            <w:noWrap/>
          </w:tcPr>
          <w:p w14:paraId="0F637933" w14:textId="674AD084" w:rsidR="00316995" w:rsidRPr="00351909" w:rsidRDefault="00316995" w:rsidP="00316995">
            <w:pPr>
              <w:spacing w:after="0" w:line="240" w:lineRule="auto"/>
              <w:jc w:val="center"/>
              <w:rPr>
                <w:rFonts w:eastAsia="Times New Roman" w:cstheme="minorHAnsi"/>
                <w:b/>
                <w:bCs/>
              </w:rPr>
            </w:pPr>
            <w:r w:rsidRPr="00351909">
              <w:rPr>
                <w:b/>
                <w:bCs/>
              </w:rPr>
              <w:t>100%</w:t>
            </w:r>
          </w:p>
        </w:tc>
        <w:tc>
          <w:tcPr>
            <w:tcW w:w="1440" w:type="dxa"/>
            <w:shd w:val="clear" w:color="auto" w:fill="FFFFFF" w:themeFill="background1"/>
            <w:noWrap/>
          </w:tcPr>
          <w:p w14:paraId="762D5F48" w14:textId="10EDA025" w:rsidR="00316995" w:rsidRPr="00351909" w:rsidRDefault="00316995" w:rsidP="00316995">
            <w:pPr>
              <w:spacing w:after="0" w:line="240" w:lineRule="auto"/>
              <w:jc w:val="center"/>
              <w:rPr>
                <w:rFonts w:eastAsia="Times New Roman" w:cstheme="minorHAnsi"/>
                <w:b/>
                <w:bCs/>
              </w:rPr>
            </w:pPr>
            <w:r w:rsidRPr="00351909">
              <w:rPr>
                <w:b/>
                <w:bCs/>
              </w:rPr>
              <w:t>100%</w:t>
            </w:r>
          </w:p>
        </w:tc>
        <w:tc>
          <w:tcPr>
            <w:tcW w:w="1350" w:type="dxa"/>
            <w:shd w:val="clear" w:color="auto" w:fill="FFFFFF" w:themeFill="background1"/>
            <w:noWrap/>
          </w:tcPr>
          <w:p w14:paraId="45AD517B" w14:textId="6D2B38B9" w:rsidR="00316995" w:rsidRPr="00351909" w:rsidRDefault="00316995" w:rsidP="00316995">
            <w:pPr>
              <w:spacing w:after="0" w:line="240" w:lineRule="auto"/>
              <w:jc w:val="center"/>
              <w:rPr>
                <w:rFonts w:eastAsia="Times New Roman" w:cstheme="minorHAnsi"/>
                <w:b/>
                <w:bCs/>
              </w:rPr>
            </w:pPr>
            <w:r w:rsidRPr="00351909">
              <w:rPr>
                <w:b/>
                <w:bCs/>
              </w:rPr>
              <w:t>100%</w:t>
            </w:r>
          </w:p>
        </w:tc>
      </w:tr>
    </w:tbl>
    <w:p w14:paraId="24B7754D" w14:textId="77777777" w:rsidR="00D6162F" w:rsidRPr="00D6162F" w:rsidRDefault="00D6162F" w:rsidP="00D6162F">
      <w:pPr>
        <w:tabs>
          <w:tab w:val="left" w:pos="4455"/>
        </w:tabs>
        <w:spacing w:line="240" w:lineRule="auto"/>
        <w:contextualSpacing/>
        <w:rPr>
          <w:sz w:val="24"/>
          <w:szCs w:val="24"/>
        </w:rPr>
      </w:pPr>
    </w:p>
    <w:p w14:paraId="3284E4B8" w14:textId="20CBA5F8" w:rsidR="00316995" w:rsidRDefault="00316995" w:rsidP="00667357">
      <w:pPr>
        <w:spacing w:line="240" w:lineRule="auto"/>
        <w:rPr>
          <w:sz w:val="24"/>
          <w:szCs w:val="24"/>
        </w:rPr>
      </w:pPr>
    </w:p>
    <w:p w14:paraId="596CE38F" w14:textId="77777777" w:rsidR="00316995" w:rsidRDefault="00316995" w:rsidP="00667357">
      <w:pPr>
        <w:spacing w:line="240" w:lineRule="auto"/>
        <w:rPr>
          <w:sz w:val="24"/>
          <w:szCs w:val="24"/>
        </w:rPr>
      </w:pPr>
    </w:p>
    <w:p w14:paraId="59AEF21D" w14:textId="4AC0B4C0" w:rsidR="00FE342A" w:rsidRDefault="000F5882" w:rsidP="00E96821">
      <w:pPr>
        <w:spacing w:line="240" w:lineRule="auto"/>
        <w:rPr>
          <w:sz w:val="24"/>
          <w:szCs w:val="24"/>
        </w:rPr>
      </w:pPr>
      <w:r w:rsidRPr="00204FCC">
        <w:rPr>
          <w:sz w:val="24"/>
          <w:szCs w:val="24"/>
        </w:rPr>
        <w:t xml:space="preserve">The Applicant states that in some cases, </w:t>
      </w:r>
      <w:r w:rsidR="005C3136" w:rsidRPr="00204FCC">
        <w:rPr>
          <w:sz w:val="24"/>
          <w:szCs w:val="24"/>
        </w:rPr>
        <w:t>a p</w:t>
      </w:r>
      <w:r w:rsidRPr="00204FCC">
        <w:rPr>
          <w:sz w:val="24"/>
          <w:szCs w:val="24"/>
        </w:rPr>
        <w:t xml:space="preserve">atient </w:t>
      </w:r>
      <w:r w:rsidR="00835613">
        <w:rPr>
          <w:sz w:val="24"/>
          <w:szCs w:val="24"/>
        </w:rPr>
        <w:t>cannot access</w:t>
      </w:r>
      <w:r w:rsidRPr="00204FCC">
        <w:rPr>
          <w:sz w:val="24"/>
          <w:szCs w:val="24"/>
        </w:rPr>
        <w:t xml:space="preserve"> </w:t>
      </w:r>
      <w:r w:rsidR="00120E27">
        <w:rPr>
          <w:sz w:val="24"/>
          <w:szCs w:val="24"/>
        </w:rPr>
        <w:t xml:space="preserve">the </w:t>
      </w:r>
      <w:r w:rsidR="007B6151">
        <w:rPr>
          <w:sz w:val="24"/>
          <w:szCs w:val="24"/>
        </w:rPr>
        <w:t>SSH’s</w:t>
      </w:r>
      <w:r w:rsidR="00F600B5">
        <w:rPr>
          <w:sz w:val="24"/>
          <w:szCs w:val="24"/>
        </w:rPr>
        <w:t xml:space="preserve"> current</w:t>
      </w:r>
      <w:r w:rsidRPr="00204FCC">
        <w:rPr>
          <w:sz w:val="24"/>
          <w:szCs w:val="24"/>
        </w:rPr>
        <w:t xml:space="preserve"> MRI unit </w:t>
      </w:r>
      <w:r w:rsidR="008B73B2">
        <w:rPr>
          <w:sz w:val="24"/>
          <w:szCs w:val="24"/>
        </w:rPr>
        <w:t>because</w:t>
      </w:r>
      <w:r w:rsidR="00120E27">
        <w:rPr>
          <w:sz w:val="24"/>
          <w:szCs w:val="24"/>
        </w:rPr>
        <w:t xml:space="preserve"> of</w:t>
      </w:r>
      <w:r w:rsidR="008B73B2">
        <w:rPr>
          <w:sz w:val="24"/>
          <w:szCs w:val="24"/>
        </w:rPr>
        <w:t xml:space="preserve"> 1) </w:t>
      </w:r>
      <w:r w:rsidRPr="00204FCC">
        <w:rPr>
          <w:sz w:val="24"/>
          <w:szCs w:val="24"/>
        </w:rPr>
        <w:t>the unit’s weight limit</w:t>
      </w:r>
      <w:r w:rsidR="0000377A">
        <w:rPr>
          <w:sz w:val="24"/>
          <w:szCs w:val="24"/>
        </w:rPr>
        <w:t>,</w:t>
      </w:r>
      <w:r w:rsidR="005C3136" w:rsidRPr="00204FCC">
        <w:rPr>
          <w:sz w:val="24"/>
          <w:szCs w:val="24"/>
        </w:rPr>
        <w:t xml:space="preserve"> and </w:t>
      </w:r>
      <w:r w:rsidR="008B73B2">
        <w:rPr>
          <w:sz w:val="24"/>
          <w:szCs w:val="24"/>
        </w:rPr>
        <w:t xml:space="preserve">2) </w:t>
      </w:r>
      <w:r w:rsidR="005C3136" w:rsidRPr="00204FCC">
        <w:rPr>
          <w:sz w:val="24"/>
          <w:szCs w:val="24"/>
        </w:rPr>
        <w:t xml:space="preserve">the </w:t>
      </w:r>
      <w:r w:rsidRPr="00204FCC">
        <w:rPr>
          <w:sz w:val="24"/>
          <w:szCs w:val="24"/>
        </w:rPr>
        <w:t xml:space="preserve">current unit is 18 years old and requires significant downtime for maintenance. </w:t>
      </w:r>
      <w:r w:rsidR="008B73B2">
        <w:rPr>
          <w:sz w:val="24"/>
          <w:szCs w:val="24"/>
        </w:rPr>
        <w:t>Patients that are</w:t>
      </w:r>
      <w:r w:rsidR="00B236BE" w:rsidRPr="00204FCC">
        <w:rPr>
          <w:sz w:val="24"/>
          <w:szCs w:val="24"/>
        </w:rPr>
        <w:t xml:space="preserve"> not able to be scanned on </w:t>
      </w:r>
      <w:r w:rsidR="00E36332">
        <w:rPr>
          <w:sz w:val="24"/>
          <w:szCs w:val="24"/>
        </w:rPr>
        <w:t>SSH’s</w:t>
      </w:r>
      <w:r w:rsidR="00B236BE" w:rsidRPr="00204FCC">
        <w:rPr>
          <w:sz w:val="24"/>
          <w:szCs w:val="24"/>
        </w:rPr>
        <w:t xml:space="preserve"> main campus MRI unit, are transferred via the Hospital-owned ambulance to </w:t>
      </w:r>
      <w:r w:rsidR="008B24E9" w:rsidRPr="00204FCC">
        <w:rPr>
          <w:sz w:val="24"/>
          <w:szCs w:val="24"/>
        </w:rPr>
        <w:t xml:space="preserve">one of the </w:t>
      </w:r>
      <w:r w:rsidR="001A4AE9">
        <w:rPr>
          <w:sz w:val="24"/>
          <w:szCs w:val="24"/>
        </w:rPr>
        <w:t>SSH’s</w:t>
      </w:r>
      <w:r w:rsidR="008B24E9" w:rsidRPr="00204FCC">
        <w:rPr>
          <w:sz w:val="24"/>
          <w:szCs w:val="24"/>
        </w:rPr>
        <w:t xml:space="preserve"> </w:t>
      </w:r>
      <w:r w:rsidR="00B236BE" w:rsidRPr="00204FCC">
        <w:rPr>
          <w:sz w:val="24"/>
          <w:szCs w:val="24"/>
        </w:rPr>
        <w:t>outpatient</w:t>
      </w:r>
      <w:r w:rsidR="008B24E9" w:rsidRPr="00204FCC">
        <w:rPr>
          <w:sz w:val="24"/>
          <w:szCs w:val="24"/>
        </w:rPr>
        <w:t xml:space="preserve"> MRI facilities for imaging</w:t>
      </w:r>
      <w:r w:rsidR="00B236BE" w:rsidRPr="00204FCC">
        <w:rPr>
          <w:sz w:val="24"/>
          <w:szCs w:val="24"/>
        </w:rPr>
        <w:t>.</w:t>
      </w:r>
      <w:r w:rsidR="0045298B" w:rsidRPr="0045298B">
        <w:rPr>
          <w:sz w:val="24"/>
          <w:szCs w:val="24"/>
        </w:rPr>
        <w:t xml:space="preserve"> </w:t>
      </w:r>
      <w:r w:rsidR="0045298B" w:rsidRPr="001A4AE9">
        <w:rPr>
          <w:sz w:val="24"/>
          <w:szCs w:val="24"/>
          <w:shd w:val="clear" w:color="auto" w:fill="FFFFFF" w:themeFill="background1"/>
        </w:rPr>
        <w:t xml:space="preserve">In </w:t>
      </w:r>
      <w:r w:rsidR="00C864F7" w:rsidRPr="001A4AE9">
        <w:rPr>
          <w:sz w:val="24"/>
          <w:szCs w:val="24"/>
          <w:shd w:val="clear" w:color="auto" w:fill="FFFFFF" w:themeFill="background1"/>
        </w:rPr>
        <w:t xml:space="preserve">CY19, 224 </w:t>
      </w:r>
      <w:r w:rsidR="0045298B" w:rsidRPr="001A4AE9">
        <w:rPr>
          <w:sz w:val="24"/>
          <w:szCs w:val="24"/>
          <w:shd w:val="clear" w:color="auto" w:fill="FFFFFF" w:themeFill="background1"/>
        </w:rPr>
        <w:t>patients were transported from SSH to SSH’s outpatient MRI facilities</w:t>
      </w:r>
      <w:r w:rsidR="00C864F7" w:rsidRPr="001A4AE9">
        <w:rPr>
          <w:sz w:val="24"/>
          <w:szCs w:val="24"/>
          <w:shd w:val="clear" w:color="auto" w:fill="FFFFFF" w:themeFill="background1"/>
        </w:rPr>
        <w:t xml:space="preserve"> and in CY20, 190 patients were transferred</w:t>
      </w:r>
      <w:r w:rsidR="0045298B" w:rsidRPr="001A4AE9">
        <w:rPr>
          <w:sz w:val="24"/>
          <w:szCs w:val="24"/>
          <w:shd w:val="clear" w:color="auto" w:fill="FFFFFF" w:themeFill="background1"/>
        </w:rPr>
        <w:t>.</w:t>
      </w:r>
      <w:r w:rsidR="000F7DDB">
        <w:rPr>
          <w:sz w:val="24"/>
          <w:szCs w:val="24"/>
        </w:rPr>
        <w:t xml:space="preserve"> The Applicant states the reason for each patient’s transfer is not tracked in their medical </w:t>
      </w:r>
      <w:r w:rsidR="00FE342A">
        <w:rPr>
          <w:sz w:val="24"/>
          <w:szCs w:val="24"/>
        </w:rPr>
        <w:t>record but</w:t>
      </w:r>
      <w:r w:rsidR="000F7DDB">
        <w:rPr>
          <w:sz w:val="24"/>
          <w:szCs w:val="24"/>
        </w:rPr>
        <w:t xml:space="preserve"> notes that the most common reasons for patient transfers </w:t>
      </w:r>
      <w:r w:rsidR="00CA49FE">
        <w:rPr>
          <w:sz w:val="24"/>
          <w:szCs w:val="24"/>
        </w:rPr>
        <w:t>are</w:t>
      </w:r>
      <w:r w:rsidR="001A4AE9">
        <w:rPr>
          <w:sz w:val="24"/>
          <w:szCs w:val="24"/>
        </w:rPr>
        <w:t xml:space="preserve"> 1) the p</w:t>
      </w:r>
      <w:r w:rsidR="000F7DDB">
        <w:rPr>
          <w:sz w:val="24"/>
          <w:szCs w:val="24"/>
        </w:rPr>
        <w:t xml:space="preserve">atient </w:t>
      </w:r>
      <w:r w:rsidR="001A4AE9">
        <w:rPr>
          <w:sz w:val="24"/>
          <w:szCs w:val="24"/>
        </w:rPr>
        <w:t xml:space="preserve">is </w:t>
      </w:r>
      <w:r w:rsidR="000F7DDB">
        <w:rPr>
          <w:sz w:val="24"/>
          <w:szCs w:val="24"/>
        </w:rPr>
        <w:t xml:space="preserve">over </w:t>
      </w:r>
      <w:r w:rsidR="001A4AE9">
        <w:rPr>
          <w:sz w:val="24"/>
          <w:szCs w:val="24"/>
        </w:rPr>
        <w:t xml:space="preserve">the </w:t>
      </w:r>
      <w:r w:rsidR="000F7DDB">
        <w:rPr>
          <w:sz w:val="24"/>
          <w:szCs w:val="24"/>
        </w:rPr>
        <w:t>table limit at SSH</w:t>
      </w:r>
      <w:r w:rsidR="001A4AE9">
        <w:rPr>
          <w:sz w:val="24"/>
          <w:szCs w:val="24"/>
        </w:rPr>
        <w:t>; 2) the p</w:t>
      </w:r>
      <w:r w:rsidR="000F7DDB">
        <w:rPr>
          <w:sz w:val="24"/>
          <w:szCs w:val="24"/>
        </w:rPr>
        <w:t>atient does not fit into the MRI scanner at SSH due to body</w:t>
      </w:r>
      <w:r w:rsidR="00534757">
        <w:rPr>
          <w:sz w:val="24"/>
          <w:szCs w:val="24"/>
        </w:rPr>
        <w:t xml:space="preserve"> </w:t>
      </w:r>
      <w:r w:rsidR="007E14DC">
        <w:rPr>
          <w:sz w:val="24"/>
          <w:szCs w:val="24"/>
        </w:rPr>
        <w:t xml:space="preserve">habitus or </w:t>
      </w:r>
      <w:r w:rsidR="00534757">
        <w:rPr>
          <w:sz w:val="24"/>
          <w:szCs w:val="24"/>
        </w:rPr>
        <w:t>physique</w:t>
      </w:r>
      <w:r w:rsidR="007E14DC">
        <w:rPr>
          <w:sz w:val="24"/>
          <w:szCs w:val="24"/>
        </w:rPr>
        <w:t>/</w:t>
      </w:r>
      <w:r w:rsidR="00534757">
        <w:rPr>
          <w:sz w:val="24"/>
          <w:szCs w:val="24"/>
        </w:rPr>
        <w:t>build</w:t>
      </w:r>
      <w:r w:rsidR="008967A8">
        <w:rPr>
          <w:sz w:val="24"/>
          <w:szCs w:val="24"/>
        </w:rPr>
        <w:t>;</w:t>
      </w:r>
      <w:r w:rsidR="001A4AE9">
        <w:rPr>
          <w:sz w:val="24"/>
          <w:szCs w:val="24"/>
        </w:rPr>
        <w:t xml:space="preserve"> </w:t>
      </w:r>
      <w:r w:rsidR="000F7DDB">
        <w:rPr>
          <w:sz w:val="24"/>
          <w:szCs w:val="24"/>
        </w:rPr>
        <w:t xml:space="preserve">and </w:t>
      </w:r>
      <w:r w:rsidR="001A4AE9">
        <w:rPr>
          <w:sz w:val="24"/>
          <w:szCs w:val="24"/>
        </w:rPr>
        <w:t xml:space="preserve">3) the </w:t>
      </w:r>
      <w:r w:rsidR="000F7DDB">
        <w:rPr>
          <w:sz w:val="24"/>
          <w:szCs w:val="24"/>
        </w:rPr>
        <w:t>patient has severe claustrophobia.</w:t>
      </w:r>
      <w:r w:rsidR="0017267B">
        <w:rPr>
          <w:rStyle w:val="FootnoteReference"/>
          <w:sz w:val="24"/>
          <w:szCs w:val="24"/>
        </w:rPr>
        <w:footnoteReference w:id="9"/>
      </w:r>
      <w:r w:rsidR="0045298B">
        <w:rPr>
          <w:sz w:val="24"/>
          <w:szCs w:val="24"/>
        </w:rPr>
        <w:t xml:space="preserve"> </w:t>
      </w:r>
    </w:p>
    <w:p w14:paraId="4C2122AB" w14:textId="688FF888" w:rsidR="00B0559D" w:rsidRDefault="00B0559D" w:rsidP="00E96821">
      <w:pPr>
        <w:spacing w:line="240" w:lineRule="auto"/>
        <w:rPr>
          <w:sz w:val="24"/>
          <w:szCs w:val="24"/>
        </w:rPr>
      </w:pPr>
      <w:r>
        <w:rPr>
          <w:sz w:val="24"/>
          <w:szCs w:val="24"/>
        </w:rPr>
        <w:t xml:space="preserve">The Applicant states that the current table has a limit of 300 </w:t>
      </w:r>
      <w:r w:rsidR="007759A2">
        <w:rPr>
          <w:sz w:val="24"/>
          <w:szCs w:val="24"/>
        </w:rPr>
        <w:t>lbs.</w:t>
      </w:r>
      <w:r w:rsidR="00FE342A">
        <w:rPr>
          <w:sz w:val="24"/>
          <w:szCs w:val="24"/>
        </w:rPr>
        <w:t xml:space="preserve"> and</w:t>
      </w:r>
      <w:r w:rsidR="001A7DC3">
        <w:rPr>
          <w:sz w:val="24"/>
          <w:szCs w:val="24"/>
        </w:rPr>
        <w:t xml:space="preserve"> </w:t>
      </w:r>
      <w:r>
        <w:rPr>
          <w:sz w:val="24"/>
          <w:szCs w:val="24"/>
        </w:rPr>
        <w:t>is 60cm in diameter</w:t>
      </w:r>
      <w:r w:rsidR="00FE342A">
        <w:rPr>
          <w:sz w:val="24"/>
          <w:szCs w:val="24"/>
        </w:rPr>
        <w:t>.</w:t>
      </w:r>
      <w:r>
        <w:rPr>
          <w:sz w:val="24"/>
          <w:szCs w:val="24"/>
        </w:rPr>
        <w:t xml:space="preserve"> </w:t>
      </w:r>
      <w:r w:rsidR="00FE342A">
        <w:rPr>
          <w:sz w:val="24"/>
          <w:szCs w:val="24"/>
        </w:rPr>
        <w:t>T</w:t>
      </w:r>
      <w:r>
        <w:rPr>
          <w:sz w:val="24"/>
          <w:szCs w:val="24"/>
        </w:rPr>
        <w:t>he proposed unit is capable of receiving patients up to 550</w:t>
      </w:r>
      <w:r w:rsidR="00FE342A">
        <w:rPr>
          <w:sz w:val="24"/>
          <w:szCs w:val="24"/>
        </w:rPr>
        <w:t xml:space="preserve"> </w:t>
      </w:r>
      <w:r w:rsidR="007759A2">
        <w:rPr>
          <w:sz w:val="24"/>
          <w:szCs w:val="24"/>
        </w:rPr>
        <w:t>lbs.</w:t>
      </w:r>
      <w:r>
        <w:rPr>
          <w:sz w:val="24"/>
          <w:szCs w:val="24"/>
        </w:rPr>
        <w:t xml:space="preserve">, is 70cm in diameter, is shorter in length and includes a patient comfort system with a series of mirrors to minimize the </w:t>
      </w:r>
      <w:r w:rsidR="006F18DA">
        <w:rPr>
          <w:sz w:val="24"/>
          <w:szCs w:val="24"/>
        </w:rPr>
        <w:t>claustrophobic</w:t>
      </w:r>
      <w:r>
        <w:rPr>
          <w:sz w:val="24"/>
          <w:szCs w:val="24"/>
        </w:rPr>
        <w:t xml:space="preserve"> effect for the patient. Further, the scanner room and patient spaces were designed to evoke a sense of calm and reduce patient </w:t>
      </w:r>
      <w:r w:rsidR="00FE342A">
        <w:rPr>
          <w:sz w:val="24"/>
          <w:szCs w:val="24"/>
        </w:rPr>
        <w:t>anxiety and</w:t>
      </w:r>
      <w:r>
        <w:rPr>
          <w:sz w:val="24"/>
          <w:szCs w:val="24"/>
        </w:rPr>
        <w:t xml:space="preserve"> includes an illuminated ceiling above the MRI table that mimics the outdoors, and a design concept for finishes and materials that evoke the natural environment in and around the South Shore</w:t>
      </w:r>
      <w:r w:rsidR="00A643C5">
        <w:rPr>
          <w:sz w:val="24"/>
          <w:szCs w:val="24"/>
        </w:rPr>
        <w:t xml:space="preserve">. </w:t>
      </w:r>
    </w:p>
    <w:p w14:paraId="4BD2D968" w14:textId="1D991482" w:rsidR="00FE342A" w:rsidRDefault="00FE342A" w:rsidP="00E96821">
      <w:pPr>
        <w:spacing w:line="240" w:lineRule="auto"/>
        <w:rPr>
          <w:sz w:val="24"/>
          <w:szCs w:val="24"/>
        </w:rPr>
      </w:pPr>
      <w:r w:rsidRPr="007B6151">
        <w:rPr>
          <w:sz w:val="24"/>
          <w:szCs w:val="24"/>
        </w:rPr>
        <w:t xml:space="preserve">The Applicant states there was 4% downtime on the existing MRI unit at SSH as validated by GE Service reports. </w:t>
      </w:r>
      <w:r>
        <w:rPr>
          <w:sz w:val="24"/>
          <w:szCs w:val="24"/>
        </w:rPr>
        <w:t xml:space="preserve">Further, </w:t>
      </w:r>
      <w:r w:rsidRPr="007B6151">
        <w:rPr>
          <w:sz w:val="24"/>
          <w:szCs w:val="24"/>
        </w:rPr>
        <w:t>calculations made by SSH</w:t>
      </w:r>
      <w:r>
        <w:rPr>
          <w:sz w:val="24"/>
          <w:szCs w:val="24"/>
        </w:rPr>
        <w:t>’s</w:t>
      </w:r>
      <w:r w:rsidRPr="007B6151">
        <w:rPr>
          <w:sz w:val="24"/>
          <w:szCs w:val="24"/>
        </w:rPr>
        <w:t xml:space="preserve"> clinical team reflect a similar amount of downtime on the existing MRI</w:t>
      </w:r>
      <w:r>
        <w:rPr>
          <w:sz w:val="24"/>
          <w:szCs w:val="24"/>
        </w:rPr>
        <w:t xml:space="preserve"> unit</w:t>
      </w:r>
      <w:r w:rsidRPr="007B6151">
        <w:rPr>
          <w:sz w:val="24"/>
          <w:szCs w:val="24"/>
        </w:rPr>
        <w:t>: out of the 5,824 hours a year of operation (16 cases a day, 7 days a week, 52 weeks), there were 232 hours of downtime, which represents 3.98% of the existing MRI’s operating capacity.</w:t>
      </w:r>
      <w:r w:rsidRPr="007B6151">
        <w:rPr>
          <w:rStyle w:val="FootnoteReference"/>
          <w:sz w:val="24"/>
          <w:szCs w:val="24"/>
        </w:rPr>
        <w:footnoteReference w:id="10"/>
      </w:r>
      <w:r w:rsidR="003D2624">
        <w:rPr>
          <w:sz w:val="24"/>
          <w:szCs w:val="24"/>
        </w:rPr>
        <w:t xml:space="preserve"> The Applicant states that </w:t>
      </w:r>
      <w:r w:rsidR="003D2624" w:rsidRPr="008D0B01">
        <w:rPr>
          <w:sz w:val="24"/>
          <w:szCs w:val="24"/>
        </w:rPr>
        <w:t xml:space="preserve">SSH plans to replace the </w:t>
      </w:r>
      <w:r w:rsidR="003D2624">
        <w:rPr>
          <w:sz w:val="24"/>
          <w:szCs w:val="24"/>
        </w:rPr>
        <w:t xml:space="preserve">existing </w:t>
      </w:r>
      <w:r w:rsidR="00796917" w:rsidRPr="00BD4BCB">
        <w:rPr>
          <w:sz w:val="24"/>
          <w:szCs w:val="24"/>
        </w:rPr>
        <w:t>18-year-old</w:t>
      </w:r>
      <w:r w:rsidR="003D2624" w:rsidRPr="008D0B01">
        <w:rPr>
          <w:sz w:val="24"/>
          <w:szCs w:val="24"/>
        </w:rPr>
        <w:t xml:space="preserve"> 1.5T </w:t>
      </w:r>
      <w:r w:rsidR="003D2624">
        <w:rPr>
          <w:sz w:val="24"/>
          <w:szCs w:val="24"/>
        </w:rPr>
        <w:t xml:space="preserve">MRI unit </w:t>
      </w:r>
      <w:r w:rsidR="003D2624" w:rsidRPr="008D0B01">
        <w:rPr>
          <w:sz w:val="24"/>
          <w:szCs w:val="24"/>
        </w:rPr>
        <w:t>with a new 1.5T machine concurrent with the addition of a 3T machine.</w:t>
      </w:r>
    </w:p>
    <w:p w14:paraId="63BBE977" w14:textId="400434DB" w:rsidR="00B35E61" w:rsidRPr="008D0B01" w:rsidRDefault="005524C9" w:rsidP="00B35E61">
      <w:pPr>
        <w:spacing w:line="240" w:lineRule="auto"/>
        <w:rPr>
          <w:sz w:val="24"/>
          <w:szCs w:val="24"/>
        </w:rPr>
      </w:pPr>
      <w:r w:rsidRPr="00204FCC">
        <w:rPr>
          <w:sz w:val="24"/>
          <w:szCs w:val="24"/>
        </w:rPr>
        <w:t>The Applicant assert</w:t>
      </w:r>
      <w:r w:rsidR="005B1219">
        <w:rPr>
          <w:sz w:val="24"/>
          <w:szCs w:val="24"/>
        </w:rPr>
        <w:t>s</w:t>
      </w:r>
      <w:r w:rsidRPr="00204FCC">
        <w:rPr>
          <w:sz w:val="24"/>
          <w:szCs w:val="24"/>
        </w:rPr>
        <w:t xml:space="preserve"> that transporting inpatients and emergency patients for imaging increases the risk of complications for complex and high acuity patients</w:t>
      </w:r>
      <w:r w:rsidR="005C3136" w:rsidRPr="00204FCC">
        <w:rPr>
          <w:sz w:val="24"/>
          <w:szCs w:val="24"/>
        </w:rPr>
        <w:t xml:space="preserve"> and negatively impacts patient satisfaction</w:t>
      </w:r>
      <w:r w:rsidRPr="00204FCC">
        <w:rPr>
          <w:sz w:val="24"/>
          <w:szCs w:val="24"/>
        </w:rPr>
        <w:t>. In addition, transferring inpatients and emergency patients to one of the outpatient facilities for imaging can disrupt an appointment fo</w:t>
      </w:r>
      <w:r w:rsidR="00A050F1">
        <w:rPr>
          <w:sz w:val="24"/>
          <w:szCs w:val="24"/>
        </w:rPr>
        <w:t>r</w:t>
      </w:r>
      <w:r w:rsidRPr="00204FCC">
        <w:rPr>
          <w:sz w:val="24"/>
          <w:szCs w:val="24"/>
        </w:rPr>
        <w:t xml:space="preserve"> a scheduled outpatient. </w:t>
      </w:r>
      <w:r w:rsidR="00E96821" w:rsidRPr="001A4AE9">
        <w:rPr>
          <w:sz w:val="24"/>
          <w:szCs w:val="24"/>
        </w:rPr>
        <w:t>The Applicant asserts that the Proposed Project is intended to greatly reduce or completely eliminate the need to transfer patients to SSHS out</w:t>
      </w:r>
      <w:r w:rsidR="00120E27">
        <w:rPr>
          <w:sz w:val="24"/>
          <w:szCs w:val="24"/>
        </w:rPr>
        <w:t>patient</w:t>
      </w:r>
      <w:r w:rsidR="00E96821" w:rsidRPr="001A4AE9">
        <w:rPr>
          <w:sz w:val="24"/>
          <w:szCs w:val="24"/>
        </w:rPr>
        <w:t xml:space="preserve"> facilities</w:t>
      </w:r>
      <w:r w:rsidR="00A643C5" w:rsidRPr="001A4AE9">
        <w:rPr>
          <w:sz w:val="24"/>
          <w:szCs w:val="24"/>
        </w:rPr>
        <w:t xml:space="preserve">. </w:t>
      </w:r>
    </w:p>
    <w:p w14:paraId="114D91DA" w14:textId="0E4A1C4F" w:rsidR="002809E6" w:rsidRPr="003042BC" w:rsidRDefault="002809E6" w:rsidP="002D6EBF">
      <w:pPr>
        <w:pStyle w:val="ListParagraph"/>
        <w:numPr>
          <w:ilvl w:val="0"/>
          <w:numId w:val="3"/>
        </w:numPr>
        <w:spacing w:line="240" w:lineRule="auto"/>
        <w:rPr>
          <w:b/>
          <w:bCs/>
          <w:sz w:val="24"/>
          <w:szCs w:val="24"/>
        </w:rPr>
      </w:pPr>
      <w:r w:rsidRPr="003042BC">
        <w:rPr>
          <w:b/>
          <w:bCs/>
          <w:sz w:val="24"/>
          <w:szCs w:val="24"/>
        </w:rPr>
        <w:t xml:space="preserve">Increasing types of scans performed </w:t>
      </w:r>
    </w:p>
    <w:p w14:paraId="6285E03B" w14:textId="46187D62" w:rsidR="00C9251D" w:rsidRDefault="00F07CB0" w:rsidP="00667357">
      <w:pPr>
        <w:spacing w:line="240" w:lineRule="auto"/>
        <w:rPr>
          <w:sz w:val="24"/>
          <w:szCs w:val="24"/>
        </w:rPr>
      </w:pPr>
      <w:r>
        <w:rPr>
          <w:sz w:val="24"/>
          <w:szCs w:val="24"/>
        </w:rPr>
        <w:t xml:space="preserve">SSH </w:t>
      </w:r>
      <w:r w:rsidR="00E312B3">
        <w:rPr>
          <w:sz w:val="24"/>
          <w:szCs w:val="24"/>
        </w:rPr>
        <w:t xml:space="preserve">has </w:t>
      </w:r>
      <w:r>
        <w:rPr>
          <w:sz w:val="24"/>
          <w:szCs w:val="24"/>
        </w:rPr>
        <w:t xml:space="preserve">only </w:t>
      </w:r>
      <w:r w:rsidR="00E312B3">
        <w:rPr>
          <w:sz w:val="24"/>
          <w:szCs w:val="24"/>
        </w:rPr>
        <w:t xml:space="preserve">a </w:t>
      </w:r>
      <w:r>
        <w:rPr>
          <w:sz w:val="24"/>
          <w:szCs w:val="24"/>
        </w:rPr>
        <w:t>1.5</w:t>
      </w:r>
      <w:r w:rsidR="0000377A">
        <w:rPr>
          <w:sz w:val="24"/>
          <w:szCs w:val="24"/>
        </w:rPr>
        <w:t>T</w:t>
      </w:r>
      <w:r>
        <w:rPr>
          <w:sz w:val="24"/>
          <w:szCs w:val="24"/>
        </w:rPr>
        <w:t xml:space="preserve"> MRI unit and i</w:t>
      </w:r>
      <w:r w:rsidR="006B1206">
        <w:rPr>
          <w:sz w:val="24"/>
          <w:szCs w:val="24"/>
        </w:rPr>
        <w:t>s</w:t>
      </w:r>
      <w:r>
        <w:rPr>
          <w:sz w:val="24"/>
          <w:szCs w:val="24"/>
        </w:rPr>
        <w:t xml:space="preserve"> not able to accommodate patients requiring MR imaging on a 3T MRI unit, </w:t>
      </w:r>
      <w:r w:rsidR="006B1206">
        <w:rPr>
          <w:sz w:val="24"/>
          <w:szCs w:val="24"/>
        </w:rPr>
        <w:t>which</w:t>
      </w:r>
      <w:r>
        <w:rPr>
          <w:sz w:val="24"/>
          <w:szCs w:val="24"/>
        </w:rPr>
        <w:t xml:space="preserve"> provides additional clinical capabilities</w:t>
      </w:r>
      <w:r w:rsidR="006B1206">
        <w:rPr>
          <w:sz w:val="24"/>
          <w:szCs w:val="24"/>
        </w:rPr>
        <w:t xml:space="preserve"> and increases access to additional types of MR</w:t>
      </w:r>
      <w:r w:rsidR="00A95904">
        <w:rPr>
          <w:sz w:val="24"/>
          <w:szCs w:val="24"/>
        </w:rPr>
        <w:t xml:space="preserve"> imaging</w:t>
      </w:r>
      <w:r>
        <w:rPr>
          <w:sz w:val="24"/>
          <w:szCs w:val="24"/>
        </w:rPr>
        <w:t xml:space="preserve">. </w:t>
      </w:r>
      <w:r w:rsidR="00041D23" w:rsidRPr="006D4754">
        <w:rPr>
          <w:sz w:val="24"/>
          <w:szCs w:val="24"/>
        </w:rPr>
        <w:t xml:space="preserve">The Applicant maintains that 3T MRI </w:t>
      </w:r>
      <w:r w:rsidR="0000377A">
        <w:rPr>
          <w:sz w:val="24"/>
          <w:szCs w:val="24"/>
        </w:rPr>
        <w:t>is</w:t>
      </w:r>
      <w:r w:rsidR="00041D23" w:rsidRPr="006D4754">
        <w:rPr>
          <w:sz w:val="24"/>
          <w:szCs w:val="24"/>
        </w:rPr>
        <w:t xml:space="preserve"> increasingly indicated for diagnosis of certain conditions and diseases, such as prostate cancer, brain and neck injuries</w:t>
      </w:r>
      <w:r w:rsidR="0093080C">
        <w:rPr>
          <w:sz w:val="24"/>
          <w:szCs w:val="24"/>
        </w:rPr>
        <w:t xml:space="preserve">, and for certain </w:t>
      </w:r>
      <w:r w:rsidR="0093080C" w:rsidRPr="0093080C">
        <w:rPr>
          <w:sz w:val="24"/>
          <w:szCs w:val="24"/>
        </w:rPr>
        <w:t>conditions found in premature birth neonates</w:t>
      </w:r>
      <w:r w:rsidR="00041D23" w:rsidRPr="006D4754">
        <w:rPr>
          <w:sz w:val="24"/>
          <w:szCs w:val="24"/>
        </w:rPr>
        <w:t xml:space="preserve">. </w:t>
      </w:r>
      <w:r>
        <w:rPr>
          <w:sz w:val="24"/>
          <w:szCs w:val="24"/>
        </w:rPr>
        <w:t xml:space="preserve">Under the existing situation, </w:t>
      </w:r>
      <w:r w:rsidR="00041D23" w:rsidRPr="006D4754">
        <w:rPr>
          <w:sz w:val="24"/>
          <w:szCs w:val="24"/>
        </w:rPr>
        <w:t>SSH</w:t>
      </w:r>
      <w:r w:rsidR="003844E3" w:rsidRPr="006D4754">
        <w:rPr>
          <w:sz w:val="24"/>
          <w:szCs w:val="24"/>
        </w:rPr>
        <w:t xml:space="preserve"> </w:t>
      </w:r>
      <w:r w:rsidR="00E93D13">
        <w:rPr>
          <w:sz w:val="24"/>
          <w:szCs w:val="24"/>
        </w:rPr>
        <w:t xml:space="preserve">must refer </w:t>
      </w:r>
      <w:r w:rsidR="00981996" w:rsidRPr="006D4754">
        <w:rPr>
          <w:sz w:val="24"/>
          <w:szCs w:val="24"/>
        </w:rPr>
        <w:t>patients</w:t>
      </w:r>
      <w:r w:rsidR="003844E3" w:rsidRPr="006D4754">
        <w:rPr>
          <w:sz w:val="24"/>
          <w:szCs w:val="24"/>
        </w:rPr>
        <w:t xml:space="preserve"> whose condition is clinically indicated for 3T MR imaging outside of SSHS to obtain such imaging </w:t>
      </w:r>
      <w:r w:rsidR="00E93D13">
        <w:rPr>
          <w:sz w:val="24"/>
          <w:szCs w:val="24"/>
        </w:rPr>
        <w:t>which,</w:t>
      </w:r>
      <w:r w:rsidR="00E93D13" w:rsidRPr="006D4754">
        <w:rPr>
          <w:sz w:val="24"/>
          <w:szCs w:val="24"/>
        </w:rPr>
        <w:t xml:space="preserve"> </w:t>
      </w:r>
      <w:r w:rsidR="00D462ED">
        <w:rPr>
          <w:sz w:val="24"/>
          <w:szCs w:val="24"/>
        </w:rPr>
        <w:t>the Applicant states</w:t>
      </w:r>
      <w:r w:rsidR="00E93D13">
        <w:rPr>
          <w:sz w:val="24"/>
          <w:szCs w:val="24"/>
        </w:rPr>
        <w:t>,</w:t>
      </w:r>
      <w:r w:rsidR="00D462ED">
        <w:rPr>
          <w:sz w:val="24"/>
          <w:szCs w:val="24"/>
        </w:rPr>
        <w:t xml:space="preserve"> </w:t>
      </w:r>
      <w:r w:rsidR="003844E3" w:rsidRPr="006D4754">
        <w:rPr>
          <w:sz w:val="24"/>
          <w:szCs w:val="24"/>
        </w:rPr>
        <w:t xml:space="preserve">delays </w:t>
      </w:r>
      <w:r w:rsidR="001B12FC">
        <w:rPr>
          <w:sz w:val="24"/>
          <w:szCs w:val="24"/>
        </w:rPr>
        <w:t xml:space="preserve">Patient Panel </w:t>
      </w:r>
      <w:r w:rsidR="003844E3" w:rsidRPr="006D4754">
        <w:rPr>
          <w:sz w:val="24"/>
          <w:szCs w:val="24"/>
        </w:rPr>
        <w:t>access to care.</w:t>
      </w:r>
      <w:r w:rsidR="00BC6A8B">
        <w:rPr>
          <w:sz w:val="24"/>
          <w:szCs w:val="24"/>
        </w:rPr>
        <w:t xml:space="preserve"> </w:t>
      </w:r>
      <w:r w:rsidR="00D462ED">
        <w:rPr>
          <w:sz w:val="24"/>
          <w:szCs w:val="24"/>
        </w:rPr>
        <w:t>I</w:t>
      </w:r>
      <w:r w:rsidR="00BC6A8B">
        <w:rPr>
          <w:sz w:val="24"/>
          <w:szCs w:val="24"/>
        </w:rPr>
        <w:t>n</w:t>
      </w:r>
      <w:r w:rsidR="00041D23" w:rsidRPr="00BC6A8B">
        <w:rPr>
          <w:sz w:val="24"/>
          <w:szCs w:val="24"/>
        </w:rPr>
        <w:t xml:space="preserve"> </w:t>
      </w:r>
      <w:r w:rsidR="00C16614" w:rsidRPr="00BC6A8B">
        <w:rPr>
          <w:sz w:val="24"/>
          <w:szCs w:val="24"/>
        </w:rPr>
        <w:t xml:space="preserve">FY20, a total of </w:t>
      </w:r>
      <w:r w:rsidR="00154A80" w:rsidRPr="00BC6A8B">
        <w:rPr>
          <w:sz w:val="24"/>
          <w:szCs w:val="24"/>
        </w:rPr>
        <w:t>1,512</w:t>
      </w:r>
      <w:r w:rsidR="00C16614" w:rsidRPr="00BC6A8B">
        <w:rPr>
          <w:sz w:val="24"/>
          <w:szCs w:val="24"/>
        </w:rPr>
        <w:t xml:space="preserve"> patients were referred outside SSHS for 3T MR imaging,</w:t>
      </w:r>
      <w:r w:rsidR="00C16614">
        <w:rPr>
          <w:sz w:val="24"/>
          <w:szCs w:val="24"/>
        </w:rPr>
        <w:t xml:space="preserve"> including 9</w:t>
      </w:r>
      <w:r w:rsidR="001F082F">
        <w:rPr>
          <w:sz w:val="24"/>
          <w:szCs w:val="24"/>
        </w:rPr>
        <w:t>84</w:t>
      </w:r>
      <w:r w:rsidR="00C16614">
        <w:rPr>
          <w:sz w:val="24"/>
          <w:szCs w:val="24"/>
        </w:rPr>
        <w:t xml:space="preserve"> patients</w:t>
      </w:r>
      <w:r w:rsidR="0000377A">
        <w:rPr>
          <w:sz w:val="24"/>
          <w:szCs w:val="24"/>
        </w:rPr>
        <w:t xml:space="preserve"> that</w:t>
      </w:r>
      <w:r w:rsidR="00C16614">
        <w:rPr>
          <w:sz w:val="24"/>
          <w:szCs w:val="24"/>
        </w:rPr>
        <w:t xml:space="preserve"> were referred for imaging of the prostate</w:t>
      </w:r>
      <w:r w:rsidR="00154A80">
        <w:rPr>
          <w:sz w:val="24"/>
          <w:szCs w:val="24"/>
        </w:rPr>
        <w:t xml:space="preserve"> (approximately 82 patients per month), and 528 patients </w:t>
      </w:r>
      <w:r w:rsidR="00121948">
        <w:rPr>
          <w:sz w:val="24"/>
          <w:szCs w:val="24"/>
        </w:rPr>
        <w:t xml:space="preserve">that were referred </w:t>
      </w:r>
      <w:r w:rsidR="00154A80">
        <w:rPr>
          <w:sz w:val="24"/>
          <w:szCs w:val="24"/>
        </w:rPr>
        <w:t xml:space="preserve">for all other imaging needs (approximately 44 patients per month). </w:t>
      </w:r>
    </w:p>
    <w:p w14:paraId="009BBFC2" w14:textId="73797E26" w:rsidR="00CB6880" w:rsidRPr="00D83C60" w:rsidRDefault="00CB6880" w:rsidP="002D6EBF">
      <w:pPr>
        <w:pStyle w:val="ListParagraph"/>
        <w:numPr>
          <w:ilvl w:val="0"/>
          <w:numId w:val="3"/>
        </w:numPr>
        <w:rPr>
          <w:b/>
          <w:bCs/>
          <w:sz w:val="24"/>
          <w:szCs w:val="24"/>
        </w:rPr>
      </w:pPr>
      <w:r w:rsidRPr="00D83C60">
        <w:rPr>
          <w:b/>
          <w:bCs/>
          <w:sz w:val="24"/>
          <w:szCs w:val="24"/>
        </w:rPr>
        <w:t xml:space="preserve">Increasing demand for MRI </w:t>
      </w:r>
      <w:r w:rsidR="00C13FFE">
        <w:rPr>
          <w:b/>
          <w:bCs/>
          <w:sz w:val="24"/>
          <w:szCs w:val="24"/>
        </w:rPr>
        <w:t>services</w:t>
      </w:r>
    </w:p>
    <w:p w14:paraId="525C7190" w14:textId="3032730E" w:rsidR="00D71DFC" w:rsidRDefault="007F7685" w:rsidP="00D71DFC">
      <w:pPr>
        <w:spacing w:line="240" w:lineRule="auto"/>
        <w:rPr>
          <w:sz w:val="24"/>
          <w:szCs w:val="24"/>
        </w:rPr>
      </w:pPr>
      <w:r>
        <w:rPr>
          <w:sz w:val="24"/>
          <w:szCs w:val="24"/>
        </w:rPr>
        <w:t xml:space="preserve">The Applicant provided </w:t>
      </w:r>
      <w:r w:rsidR="00E93D13">
        <w:rPr>
          <w:sz w:val="24"/>
          <w:szCs w:val="24"/>
        </w:rPr>
        <w:t>five-year</w:t>
      </w:r>
      <w:r>
        <w:rPr>
          <w:sz w:val="24"/>
          <w:szCs w:val="24"/>
        </w:rPr>
        <w:t xml:space="preserve"> projections of MRI scan volume at SSH for the existing </w:t>
      </w:r>
      <w:r w:rsidR="005F1456">
        <w:rPr>
          <w:sz w:val="24"/>
          <w:szCs w:val="24"/>
        </w:rPr>
        <w:t xml:space="preserve">1.5T </w:t>
      </w:r>
      <w:r>
        <w:rPr>
          <w:sz w:val="24"/>
          <w:szCs w:val="24"/>
        </w:rPr>
        <w:t xml:space="preserve">MRI unit and the </w:t>
      </w:r>
      <w:r w:rsidR="00677066">
        <w:rPr>
          <w:sz w:val="24"/>
          <w:szCs w:val="24"/>
        </w:rPr>
        <w:t xml:space="preserve">proposed 3T </w:t>
      </w:r>
      <w:r w:rsidR="005F1456">
        <w:rPr>
          <w:sz w:val="24"/>
          <w:szCs w:val="24"/>
        </w:rPr>
        <w:t xml:space="preserve">MRI </w:t>
      </w:r>
      <w:r>
        <w:rPr>
          <w:sz w:val="24"/>
          <w:szCs w:val="24"/>
        </w:rPr>
        <w:t>unit</w:t>
      </w:r>
      <w:r w:rsidR="00BE7867">
        <w:rPr>
          <w:sz w:val="24"/>
          <w:szCs w:val="24"/>
        </w:rPr>
        <w:t xml:space="preserve"> utilizing CY20</w:t>
      </w:r>
      <w:r w:rsidR="00D71DFC">
        <w:rPr>
          <w:sz w:val="24"/>
          <w:szCs w:val="24"/>
        </w:rPr>
        <w:t>19</w:t>
      </w:r>
      <w:r w:rsidR="00BE7867">
        <w:rPr>
          <w:sz w:val="24"/>
          <w:szCs w:val="24"/>
        </w:rPr>
        <w:t xml:space="preserve"> data</w:t>
      </w:r>
      <w:r w:rsidR="00D71DFC">
        <w:rPr>
          <w:sz w:val="24"/>
          <w:szCs w:val="24"/>
        </w:rPr>
        <w:t xml:space="preserve"> (a more accurate reflection of scan volume than</w:t>
      </w:r>
      <w:r w:rsidR="004E2966">
        <w:rPr>
          <w:sz w:val="24"/>
          <w:szCs w:val="24"/>
        </w:rPr>
        <w:t xml:space="preserve"> </w:t>
      </w:r>
      <w:r w:rsidR="00D71DFC">
        <w:rPr>
          <w:sz w:val="24"/>
          <w:szCs w:val="24"/>
        </w:rPr>
        <w:t>COVID-19 impacted CY2020)</w:t>
      </w:r>
      <w:r>
        <w:rPr>
          <w:sz w:val="24"/>
          <w:szCs w:val="24"/>
        </w:rPr>
        <w:t>.</w:t>
      </w:r>
      <w:r w:rsidR="0054572D" w:rsidRPr="0054572D">
        <w:rPr>
          <w:sz w:val="24"/>
          <w:szCs w:val="24"/>
        </w:rPr>
        <w:t xml:space="preserve"> </w:t>
      </w:r>
      <w:r w:rsidR="008E7665">
        <w:rPr>
          <w:sz w:val="24"/>
          <w:szCs w:val="24"/>
        </w:rPr>
        <w:t xml:space="preserve">The Applicant states the first year of operation is </w:t>
      </w:r>
      <w:r w:rsidR="003F4376">
        <w:rPr>
          <w:sz w:val="24"/>
          <w:szCs w:val="24"/>
        </w:rPr>
        <w:t>scheduled</w:t>
      </w:r>
      <w:r w:rsidR="008E7665">
        <w:rPr>
          <w:sz w:val="24"/>
          <w:szCs w:val="24"/>
        </w:rPr>
        <w:t xml:space="preserve"> f</w:t>
      </w:r>
      <w:r w:rsidR="006C20ED">
        <w:rPr>
          <w:sz w:val="24"/>
          <w:szCs w:val="24"/>
        </w:rPr>
        <w:t>or</w:t>
      </w:r>
      <w:r w:rsidR="008E7665">
        <w:rPr>
          <w:sz w:val="24"/>
          <w:szCs w:val="24"/>
        </w:rPr>
        <w:t xml:space="preserve"> calendar year (CY) 2022. </w:t>
      </w:r>
      <w:r w:rsidR="0054572D" w:rsidRPr="0054572D">
        <w:rPr>
          <w:sz w:val="24"/>
          <w:szCs w:val="24"/>
        </w:rPr>
        <w:t xml:space="preserve">Table </w:t>
      </w:r>
      <w:r w:rsidR="00C41C8B">
        <w:rPr>
          <w:sz w:val="24"/>
          <w:szCs w:val="24"/>
        </w:rPr>
        <w:t>10</w:t>
      </w:r>
      <w:r w:rsidR="0054572D" w:rsidRPr="0054572D">
        <w:rPr>
          <w:sz w:val="24"/>
          <w:szCs w:val="24"/>
        </w:rPr>
        <w:t xml:space="preserve"> below shows projected MRI scans at the SSH main campus by type of MRI unit</w:t>
      </w:r>
      <w:r w:rsidR="003D64CF">
        <w:rPr>
          <w:sz w:val="24"/>
          <w:szCs w:val="24"/>
        </w:rPr>
        <w:t xml:space="preserve"> </w:t>
      </w:r>
      <w:r w:rsidR="003D64CF" w:rsidRPr="003D64CF">
        <w:rPr>
          <w:sz w:val="24"/>
          <w:szCs w:val="24"/>
        </w:rPr>
        <w:t>after project implementation</w:t>
      </w:r>
      <w:r w:rsidR="003D64CF">
        <w:rPr>
          <w:sz w:val="24"/>
          <w:szCs w:val="24"/>
        </w:rPr>
        <w:t>.</w:t>
      </w:r>
      <w:r w:rsidR="00D55F69">
        <w:rPr>
          <w:sz w:val="24"/>
          <w:szCs w:val="24"/>
        </w:rPr>
        <w:t xml:space="preserve"> </w:t>
      </w:r>
      <w:r w:rsidR="00C94651">
        <w:rPr>
          <w:sz w:val="24"/>
          <w:szCs w:val="24"/>
        </w:rPr>
        <w:t>S</w:t>
      </w:r>
      <w:r w:rsidR="0054572D" w:rsidRPr="0054572D">
        <w:rPr>
          <w:sz w:val="24"/>
          <w:szCs w:val="24"/>
        </w:rPr>
        <w:t>can volume is projected to increase by 8% from Year 1 to Year 5, and 3T MRI scans will make up ~52% of the total scan volume and 1.5T MRI scans will make up the remaining 48%.</w:t>
      </w:r>
      <w:r w:rsidR="00E312B3" w:rsidRPr="00E312B3">
        <w:rPr>
          <w:sz w:val="24"/>
          <w:szCs w:val="24"/>
        </w:rPr>
        <w:t xml:space="preserve"> Differences in utilization of 3T vs 1.5T are discussed below in Factor 1b</w:t>
      </w:r>
      <w:r w:rsidR="00E312B3">
        <w:rPr>
          <w:sz w:val="24"/>
          <w:szCs w:val="24"/>
        </w:rPr>
        <w:t>.</w:t>
      </w:r>
      <w:r w:rsidR="006F3278">
        <w:rPr>
          <w:sz w:val="24"/>
          <w:szCs w:val="24"/>
        </w:rPr>
        <w:t xml:space="preserve"> </w:t>
      </w:r>
      <w:r w:rsidR="00D71DFC" w:rsidRPr="00C94651">
        <w:rPr>
          <w:sz w:val="24"/>
          <w:szCs w:val="24"/>
        </w:rPr>
        <w:t xml:space="preserve">The Applicant states the projections are based on historical demand and modest growth over time. </w:t>
      </w:r>
    </w:p>
    <w:p w14:paraId="5E864B61" w14:textId="58D28796" w:rsidR="00B314F9" w:rsidRPr="0060112A" w:rsidRDefault="004853A8" w:rsidP="00C77922">
      <w:pPr>
        <w:pStyle w:val="Caption"/>
        <w:jc w:val="center"/>
        <w:rPr>
          <w:b/>
          <w:bCs/>
          <w:i w:val="0"/>
          <w:iCs w:val="0"/>
          <w:color w:val="auto"/>
          <w:sz w:val="24"/>
          <w:szCs w:val="24"/>
        </w:rPr>
      </w:pPr>
      <w:r w:rsidRPr="0060112A">
        <w:rPr>
          <w:b/>
          <w:bCs/>
          <w:i w:val="0"/>
          <w:iCs w:val="0"/>
          <w:color w:val="auto"/>
          <w:sz w:val="24"/>
          <w:szCs w:val="24"/>
        </w:rPr>
        <w:t xml:space="preserve">Table </w:t>
      </w:r>
      <w:r w:rsidR="00105E82">
        <w:rPr>
          <w:b/>
          <w:bCs/>
          <w:i w:val="0"/>
          <w:iCs w:val="0"/>
          <w:color w:val="auto"/>
          <w:sz w:val="24"/>
          <w:szCs w:val="24"/>
        </w:rPr>
        <w:t>10</w:t>
      </w:r>
      <w:r w:rsidRPr="0060112A">
        <w:rPr>
          <w:b/>
          <w:bCs/>
          <w:i w:val="0"/>
          <w:iCs w:val="0"/>
          <w:color w:val="auto"/>
          <w:sz w:val="24"/>
          <w:szCs w:val="24"/>
        </w:rPr>
        <w:t>:</w:t>
      </w:r>
      <w:r w:rsidR="00780259" w:rsidRPr="0060112A">
        <w:rPr>
          <w:b/>
          <w:bCs/>
          <w:i w:val="0"/>
          <w:iCs w:val="0"/>
          <w:color w:val="auto"/>
          <w:sz w:val="24"/>
          <w:szCs w:val="24"/>
        </w:rPr>
        <w:t xml:space="preserve"> </w:t>
      </w:r>
      <w:r w:rsidRPr="0060112A">
        <w:rPr>
          <w:b/>
          <w:bCs/>
          <w:i w:val="0"/>
          <w:iCs w:val="0"/>
          <w:color w:val="auto"/>
          <w:sz w:val="24"/>
          <w:szCs w:val="24"/>
        </w:rPr>
        <w:t xml:space="preserve">Projected MRI Scans </w:t>
      </w:r>
      <w:r w:rsidR="00C80367">
        <w:rPr>
          <w:b/>
          <w:bCs/>
          <w:i w:val="0"/>
          <w:iCs w:val="0"/>
          <w:color w:val="auto"/>
          <w:sz w:val="24"/>
          <w:szCs w:val="24"/>
        </w:rPr>
        <w:t>at</w:t>
      </w:r>
      <w:r w:rsidRPr="0060112A">
        <w:rPr>
          <w:b/>
          <w:bCs/>
          <w:i w:val="0"/>
          <w:iCs w:val="0"/>
          <w:color w:val="auto"/>
          <w:sz w:val="24"/>
          <w:szCs w:val="24"/>
        </w:rPr>
        <w:t xml:space="preserve"> SSH Main Campus</w:t>
      </w:r>
    </w:p>
    <w:tbl>
      <w:tblPr>
        <w:tblStyle w:val="TableGrid"/>
        <w:tblW w:w="0" w:type="auto"/>
        <w:tblLook w:val="04A0" w:firstRow="1" w:lastRow="0" w:firstColumn="1" w:lastColumn="0" w:noHBand="0" w:noVBand="1"/>
        <w:tblCaption w:val="Table 10: Projected MRI Scans at SSH Main Campus"/>
        <w:tblDescription w:val="Age Cohort Cancer Center South Shore Orthopedics South Shore Hospital Main Campus&#10; # % # % # %&#10;0-17 52 1.5% 35 1.1% 92 1.9%&#10;18-54 1,370 39.9% 1102 34.8% 1,324 27.0%&#10;55-64 815 23.7% 725 22.9% 863 17.6%&#10;65-74 680 19.8% 678 21.4% 1022 20.9%&#10;75-84 408 11.9% 458 14.5% 954 19.5%&#10;85+ 107 3.1% 166 5.2% 641 13.1%&#10;Total  3,432 100% 3,164 100% 4,896&#10;100%&#10;"/>
      </w:tblPr>
      <w:tblGrid>
        <w:gridCol w:w="1558"/>
        <w:gridCol w:w="1558"/>
        <w:gridCol w:w="1558"/>
        <w:gridCol w:w="1558"/>
        <w:gridCol w:w="1559"/>
        <w:gridCol w:w="1559"/>
      </w:tblGrid>
      <w:tr w:rsidR="00B314F9" w14:paraId="33C84BFA" w14:textId="77777777" w:rsidTr="0057267F">
        <w:trPr>
          <w:tblHeader/>
        </w:trPr>
        <w:tc>
          <w:tcPr>
            <w:tcW w:w="1558" w:type="dxa"/>
          </w:tcPr>
          <w:p w14:paraId="6106B961" w14:textId="77777777" w:rsidR="00B314F9" w:rsidRDefault="00B314F9" w:rsidP="002A3098"/>
        </w:tc>
        <w:tc>
          <w:tcPr>
            <w:tcW w:w="1558" w:type="dxa"/>
            <w:shd w:val="clear" w:color="auto" w:fill="F2F2F2" w:themeFill="background1" w:themeFillShade="F2"/>
          </w:tcPr>
          <w:p w14:paraId="5A02A2B7" w14:textId="77777777" w:rsidR="00B314F9" w:rsidRPr="003620FB" w:rsidRDefault="00B314F9" w:rsidP="002A3098">
            <w:pPr>
              <w:jc w:val="center"/>
              <w:rPr>
                <w:b/>
                <w:bCs/>
              </w:rPr>
            </w:pPr>
            <w:r w:rsidRPr="003620FB">
              <w:rPr>
                <w:b/>
                <w:bCs/>
              </w:rPr>
              <w:t>Year 1</w:t>
            </w:r>
          </w:p>
        </w:tc>
        <w:tc>
          <w:tcPr>
            <w:tcW w:w="1558" w:type="dxa"/>
            <w:shd w:val="clear" w:color="auto" w:fill="F2F2F2" w:themeFill="background1" w:themeFillShade="F2"/>
          </w:tcPr>
          <w:p w14:paraId="32293693" w14:textId="77777777" w:rsidR="00B314F9" w:rsidRPr="003620FB" w:rsidRDefault="00B314F9" w:rsidP="002A3098">
            <w:pPr>
              <w:jc w:val="center"/>
              <w:rPr>
                <w:b/>
                <w:bCs/>
              </w:rPr>
            </w:pPr>
            <w:r w:rsidRPr="003620FB">
              <w:rPr>
                <w:b/>
                <w:bCs/>
              </w:rPr>
              <w:t>Year 2</w:t>
            </w:r>
          </w:p>
        </w:tc>
        <w:tc>
          <w:tcPr>
            <w:tcW w:w="1558" w:type="dxa"/>
            <w:shd w:val="clear" w:color="auto" w:fill="F2F2F2" w:themeFill="background1" w:themeFillShade="F2"/>
          </w:tcPr>
          <w:p w14:paraId="721F750C" w14:textId="77777777" w:rsidR="00B314F9" w:rsidRPr="003620FB" w:rsidRDefault="00B314F9" w:rsidP="002A3098">
            <w:pPr>
              <w:jc w:val="center"/>
              <w:rPr>
                <w:b/>
                <w:bCs/>
              </w:rPr>
            </w:pPr>
            <w:r w:rsidRPr="003620FB">
              <w:rPr>
                <w:b/>
                <w:bCs/>
              </w:rPr>
              <w:t>Year 3</w:t>
            </w:r>
          </w:p>
        </w:tc>
        <w:tc>
          <w:tcPr>
            <w:tcW w:w="1559" w:type="dxa"/>
            <w:shd w:val="clear" w:color="auto" w:fill="F2F2F2" w:themeFill="background1" w:themeFillShade="F2"/>
          </w:tcPr>
          <w:p w14:paraId="3BDA50C9" w14:textId="77777777" w:rsidR="00B314F9" w:rsidRPr="003620FB" w:rsidRDefault="00B314F9" w:rsidP="002A3098">
            <w:pPr>
              <w:jc w:val="center"/>
              <w:rPr>
                <w:b/>
                <w:bCs/>
              </w:rPr>
            </w:pPr>
            <w:r w:rsidRPr="003620FB">
              <w:rPr>
                <w:b/>
                <w:bCs/>
              </w:rPr>
              <w:t>Year 4</w:t>
            </w:r>
          </w:p>
        </w:tc>
        <w:tc>
          <w:tcPr>
            <w:tcW w:w="1559" w:type="dxa"/>
            <w:shd w:val="clear" w:color="auto" w:fill="F2F2F2" w:themeFill="background1" w:themeFillShade="F2"/>
          </w:tcPr>
          <w:p w14:paraId="4159F993" w14:textId="77777777" w:rsidR="00B314F9" w:rsidRPr="003620FB" w:rsidRDefault="00B314F9" w:rsidP="002A3098">
            <w:pPr>
              <w:jc w:val="center"/>
              <w:rPr>
                <w:b/>
                <w:bCs/>
              </w:rPr>
            </w:pPr>
            <w:r w:rsidRPr="003620FB">
              <w:rPr>
                <w:b/>
                <w:bCs/>
              </w:rPr>
              <w:t>Year 5</w:t>
            </w:r>
          </w:p>
        </w:tc>
      </w:tr>
      <w:tr w:rsidR="00B314F9" w14:paraId="50E5283B" w14:textId="77777777" w:rsidTr="002A3098">
        <w:tc>
          <w:tcPr>
            <w:tcW w:w="1558" w:type="dxa"/>
          </w:tcPr>
          <w:p w14:paraId="26178BEA" w14:textId="77777777" w:rsidR="00B314F9" w:rsidRPr="003620FB" w:rsidRDefault="00B314F9" w:rsidP="002A3098">
            <w:pPr>
              <w:rPr>
                <w:b/>
                <w:bCs/>
              </w:rPr>
            </w:pPr>
            <w:r w:rsidRPr="003620FB">
              <w:rPr>
                <w:b/>
                <w:bCs/>
              </w:rPr>
              <w:t>SSH 3T MRI</w:t>
            </w:r>
          </w:p>
        </w:tc>
        <w:tc>
          <w:tcPr>
            <w:tcW w:w="1558" w:type="dxa"/>
          </w:tcPr>
          <w:p w14:paraId="705F5E88" w14:textId="77777777" w:rsidR="00B314F9" w:rsidRDefault="00B314F9" w:rsidP="002A3098">
            <w:pPr>
              <w:jc w:val="center"/>
            </w:pPr>
            <w:r w:rsidRPr="002F7B99">
              <w:t>6,720</w:t>
            </w:r>
          </w:p>
        </w:tc>
        <w:tc>
          <w:tcPr>
            <w:tcW w:w="1558" w:type="dxa"/>
          </w:tcPr>
          <w:p w14:paraId="15BA6F09" w14:textId="77777777" w:rsidR="00B314F9" w:rsidRDefault="00B314F9" w:rsidP="002A3098">
            <w:pPr>
              <w:jc w:val="center"/>
            </w:pPr>
            <w:r w:rsidRPr="002F7B99">
              <w:t>6,854</w:t>
            </w:r>
          </w:p>
        </w:tc>
        <w:tc>
          <w:tcPr>
            <w:tcW w:w="1558" w:type="dxa"/>
          </w:tcPr>
          <w:p w14:paraId="2C4267D7" w14:textId="77777777" w:rsidR="00B314F9" w:rsidRDefault="00B314F9" w:rsidP="002A3098">
            <w:pPr>
              <w:jc w:val="center"/>
            </w:pPr>
            <w:r w:rsidRPr="002F7B99">
              <w:t>6,991</w:t>
            </w:r>
          </w:p>
        </w:tc>
        <w:tc>
          <w:tcPr>
            <w:tcW w:w="1559" w:type="dxa"/>
          </w:tcPr>
          <w:p w14:paraId="0A966618" w14:textId="77777777" w:rsidR="00B314F9" w:rsidRDefault="00B314F9" w:rsidP="002A3098">
            <w:pPr>
              <w:jc w:val="center"/>
            </w:pPr>
            <w:r w:rsidRPr="002F7B99">
              <w:t>7,131</w:t>
            </w:r>
          </w:p>
        </w:tc>
        <w:tc>
          <w:tcPr>
            <w:tcW w:w="1559" w:type="dxa"/>
          </w:tcPr>
          <w:p w14:paraId="46D76908" w14:textId="77777777" w:rsidR="00B314F9" w:rsidRDefault="00B314F9" w:rsidP="002A3098">
            <w:pPr>
              <w:jc w:val="center"/>
            </w:pPr>
            <w:r w:rsidRPr="002F7B99">
              <w:t>7,273</w:t>
            </w:r>
          </w:p>
        </w:tc>
      </w:tr>
      <w:tr w:rsidR="00B314F9" w14:paraId="65549829" w14:textId="77777777" w:rsidTr="002A3098">
        <w:tc>
          <w:tcPr>
            <w:tcW w:w="1558" w:type="dxa"/>
          </w:tcPr>
          <w:p w14:paraId="02452E7D" w14:textId="77777777" w:rsidR="00B314F9" w:rsidRPr="003620FB" w:rsidRDefault="00B314F9" w:rsidP="002A3098">
            <w:pPr>
              <w:rPr>
                <w:b/>
                <w:bCs/>
              </w:rPr>
            </w:pPr>
            <w:r w:rsidRPr="003620FB">
              <w:rPr>
                <w:b/>
                <w:bCs/>
              </w:rPr>
              <w:t>SSH 1.5T MRI</w:t>
            </w:r>
          </w:p>
        </w:tc>
        <w:tc>
          <w:tcPr>
            <w:tcW w:w="1558" w:type="dxa"/>
          </w:tcPr>
          <w:p w14:paraId="331516BA" w14:textId="77777777" w:rsidR="00B314F9" w:rsidRDefault="00B314F9" w:rsidP="002A3098">
            <w:pPr>
              <w:jc w:val="center"/>
            </w:pPr>
            <w:r w:rsidRPr="002F7B99">
              <w:t>6,295</w:t>
            </w:r>
          </w:p>
        </w:tc>
        <w:tc>
          <w:tcPr>
            <w:tcW w:w="1558" w:type="dxa"/>
          </w:tcPr>
          <w:p w14:paraId="4B15A295" w14:textId="77777777" w:rsidR="00B314F9" w:rsidRDefault="00B314F9" w:rsidP="002A3098">
            <w:pPr>
              <w:jc w:val="center"/>
            </w:pPr>
            <w:r w:rsidRPr="002F7B99">
              <w:t>6,421</w:t>
            </w:r>
          </w:p>
        </w:tc>
        <w:tc>
          <w:tcPr>
            <w:tcW w:w="1558" w:type="dxa"/>
          </w:tcPr>
          <w:p w14:paraId="180B03C6" w14:textId="77777777" w:rsidR="00B314F9" w:rsidRDefault="00B314F9" w:rsidP="002A3098">
            <w:pPr>
              <w:jc w:val="center"/>
            </w:pPr>
            <w:r w:rsidRPr="002F7B99">
              <w:t>6,549</w:t>
            </w:r>
          </w:p>
        </w:tc>
        <w:tc>
          <w:tcPr>
            <w:tcW w:w="1559" w:type="dxa"/>
          </w:tcPr>
          <w:p w14:paraId="799C8E01" w14:textId="77777777" w:rsidR="00B314F9" w:rsidRDefault="00B314F9" w:rsidP="002A3098">
            <w:pPr>
              <w:jc w:val="center"/>
            </w:pPr>
            <w:r w:rsidRPr="002F7B99">
              <w:t>6,680</w:t>
            </w:r>
          </w:p>
        </w:tc>
        <w:tc>
          <w:tcPr>
            <w:tcW w:w="1559" w:type="dxa"/>
          </w:tcPr>
          <w:p w14:paraId="0600BCB8" w14:textId="77777777" w:rsidR="00B314F9" w:rsidRDefault="00B314F9" w:rsidP="002A3098">
            <w:pPr>
              <w:jc w:val="center"/>
            </w:pPr>
            <w:r w:rsidRPr="002F7B99">
              <w:t>6,814</w:t>
            </w:r>
          </w:p>
        </w:tc>
      </w:tr>
      <w:tr w:rsidR="00B314F9" w14:paraId="736F0380" w14:textId="77777777" w:rsidTr="002A3098">
        <w:tc>
          <w:tcPr>
            <w:tcW w:w="1558" w:type="dxa"/>
          </w:tcPr>
          <w:p w14:paraId="795E5B5F" w14:textId="77777777" w:rsidR="00B314F9" w:rsidRPr="003620FB" w:rsidRDefault="00B314F9" w:rsidP="002A3098">
            <w:pPr>
              <w:rPr>
                <w:b/>
                <w:bCs/>
              </w:rPr>
            </w:pPr>
            <w:r w:rsidRPr="003620FB">
              <w:rPr>
                <w:b/>
                <w:bCs/>
              </w:rPr>
              <w:t>Total</w:t>
            </w:r>
          </w:p>
        </w:tc>
        <w:tc>
          <w:tcPr>
            <w:tcW w:w="1558" w:type="dxa"/>
          </w:tcPr>
          <w:p w14:paraId="33E43CBB" w14:textId="77777777" w:rsidR="00B314F9" w:rsidRPr="00F31D55" w:rsidRDefault="00B314F9" w:rsidP="002A3098">
            <w:pPr>
              <w:jc w:val="center"/>
              <w:rPr>
                <w:b/>
                <w:bCs/>
              </w:rPr>
            </w:pPr>
            <w:r w:rsidRPr="00F31D55">
              <w:rPr>
                <w:b/>
                <w:bCs/>
              </w:rPr>
              <w:fldChar w:fldCharType="begin"/>
            </w:r>
            <w:r w:rsidRPr="00F31D55">
              <w:rPr>
                <w:b/>
                <w:bCs/>
              </w:rPr>
              <w:instrText xml:space="preserve"> =SUM(ABOVE) </w:instrText>
            </w:r>
            <w:r w:rsidRPr="00F31D55">
              <w:rPr>
                <w:b/>
                <w:bCs/>
              </w:rPr>
              <w:fldChar w:fldCharType="separate"/>
            </w:r>
            <w:r w:rsidRPr="00F31D55">
              <w:rPr>
                <w:b/>
                <w:bCs/>
                <w:noProof/>
              </w:rPr>
              <w:t>13,015</w:t>
            </w:r>
            <w:r w:rsidRPr="00F31D55">
              <w:rPr>
                <w:b/>
                <w:bCs/>
              </w:rPr>
              <w:fldChar w:fldCharType="end"/>
            </w:r>
          </w:p>
        </w:tc>
        <w:tc>
          <w:tcPr>
            <w:tcW w:w="1558" w:type="dxa"/>
          </w:tcPr>
          <w:p w14:paraId="55FA9717" w14:textId="77777777" w:rsidR="00B314F9" w:rsidRPr="00F31D55" w:rsidRDefault="00B314F9" w:rsidP="002A3098">
            <w:pPr>
              <w:jc w:val="center"/>
              <w:rPr>
                <w:b/>
                <w:bCs/>
              </w:rPr>
            </w:pPr>
            <w:r w:rsidRPr="00F31D55">
              <w:rPr>
                <w:b/>
                <w:bCs/>
              </w:rPr>
              <w:fldChar w:fldCharType="begin"/>
            </w:r>
            <w:r w:rsidRPr="00F31D55">
              <w:rPr>
                <w:b/>
                <w:bCs/>
              </w:rPr>
              <w:instrText xml:space="preserve"> =SUM(ABOVE) </w:instrText>
            </w:r>
            <w:r w:rsidRPr="00F31D55">
              <w:rPr>
                <w:b/>
                <w:bCs/>
              </w:rPr>
              <w:fldChar w:fldCharType="separate"/>
            </w:r>
            <w:r w:rsidRPr="00F31D55">
              <w:rPr>
                <w:b/>
                <w:bCs/>
                <w:noProof/>
              </w:rPr>
              <w:t>13,275</w:t>
            </w:r>
            <w:r w:rsidRPr="00F31D55">
              <w:rPr>
                <w:b/>
                <w:bCs/>
              </w:rPr>
              <w:fldChar w:fldCharType="end"/>
            </w:r>
          </w:p>
        </w:tc>
        <w:tc>
          <w:tcPr>
            <w:tcW w:w="1558" w:type="dxa"/>
          </w:tcPr>
          <w:p w14:paraId="0983404D" w14:textId="77777777" w:rsidR="00B314F9" w:rsidRPr="00F31D55" w:rsidRDefault="00B314F9" w:rsidP="002A3098">
            <w:pPr>
              <w:jc w:val="center"/>
              <w:rPr>
                <w:b/>
                <w:bCs/>
              </w:rPr>
            </w:pPr>
            <w:r w:rsidRPr="00F31D55">
              <w:rPr>
                <w:b/>
                <w:bCs/>
              </w:rPr>
              <w:fldChar w:fldCharType="begin"/>
            </w:r>
            <w:r w:rsidRPr="00F31D55">
              <w:rPr>
                <w:b/>
                <w:bCs/>
              </w:rPr>
              <w:instrText xml:space="preserve"> =SUM(ABOVE) </w:instrText>
            </w:r>
            <w:r w:rsidRPr="00F31D55">
              <w:rPr>
                <w:b/>
                <w:bCs/>
              </w:rPr>
              <w:fldChar w:fldCharType="separate"/>
            </w:r>
            <w:r w:rsidRPr="00F31D55">
              <w:rPr>
                <w:b/>
                <w:bCs/>
                <w:noProof/>
              </w:rPr>
              <w:t>13,540</w:t>
            </w:r>
            <w:r w:rsidRPr="00F31D55">
              <w:rPr>
                <w:b/>
                <w:bCs/>
              </w:rPr>
              <w:fldChar w:fldCharType="end"/>
            </w:r>
          </w:p>
        </w:tc>
        <w:tc>
          <w:tcPr>
            <w:tcW w:w="1559" w:type="dxa"/>
          </w:tcPr>
          <w:p w14:paraId="0B466F84" w14:textId="77777777" w:rsidR="00B314F9" w:rsidRPr="00F31D55" w:rsidRDefault="00B314F9" w:rsidP="002A3098">
            <w:pPr>
              <w:jc w:val="center"/>
              <w:rPr>
                <w:b/>
                <w:bCs/>
              </w:rPr>
            </w:pPr>
            <w:r w:rsidRPr="00F31D55">
              <w:rPr>
                <w:b/>
                <w:bCs/>
              </w:rPr>
              <w:fldChar w:fldCharType="begin"/>
            </w:r>
            <w:r w:rsidRPr="00F31D55">
              <w:rPr>
                <w:b/>
                <w:bCs/>
              </w:rPr>
              <w:instrText xml:space="preserve"> =SUM(ABOVE) </w:instrText>
            </w:r>
            <w:r w:rsidRPr="00F31D55">
              <w:rPr>
                <w:b/>
                <w:bCs/>
              </w:rPr>
              <w:fldChar w:fldCharType="separate"/>
            </w:r>
            <w:r w:rsidRPr="00F31D55">
              <w:rPr>
                <w:b/>
                <w:bCs/>
                <w:noProof/>
              </w:rPr>
              <w:t>13,811</w:t>
            </w:r>
            <w:r w:rsidRPr="00F31D55">
              <w:rPr>
                <w:b/>
                <w:bCs/>
              </w:rPr>
              <w:fldChar w:fldCharType="end"/>
            </w:r>
          </w:p>
        </w:tc>
        <w:tc>
          <w:tcPr>
            <w:tcW w:w="1559" w:type="dxa"/>
          </w:tcPr>
          <w:p w14:paraId="2830CE81" w14:textId="77777777" w:rsidR="00B314F9" w:rsidRPr="00F31D55" w:rsidRDefault="00B314F9" w:rsidP="002A3098">
            <w:pPr>
              <w:jc w:val="center"/>
              <w:rPr>
                <w:b/>
                <w:bCs/>
              </w:rPr>
            </w:pPr>
            <w:r w:rsidRPr="00F31D55">
              <w:rPr>
                <w:b/>
                <w:bCs/>
              </w:rPr>
              <w:fldChar w:fldCharType="begin"/>
            </w:r>
            <w:r w:rsidRPr="00F31D55">
              <w:rPr>
                <w:b/>
                <w:bCs/>
              </w:rPr>
              <w:instrText xml:space="preserve"> =SUM(ABOVE) </w:instrText>
            </w:r>
            <w:r w:rsidRPr="00F31D55">
              <w:rPr>
                <w:b/>
                <w:bCs/>
              </w:rPr>
              <w:fldChar w:fldCharType="separate"/>
            </w:r>
            <w:r w:rsidRPr="00F31D55">
              <w:rPr>
                <w:b/>
                <w:bCs/>
                <w:noProof/>
              </w:rPr>
              <w:t>14,087</w:t>
            </w:r>
            <w:r w:rsidRPr="00F31D55">
              <w:rPr>
                <w:b/>
                <w:bCs/>
              </w:rPr>
              <w:fldChar w:fldCharType="end"/>
            </w:r>
          </w:p>
        </w:tc>
      </w:tr>
    </w:tbl>
    <w:p w14:paraId="1486650C" w14:textId="02B0F3BB" w:rsidR="0054572D" w:rsidRDefault="0054572D" w:rsidP="0054572D">
      <w:pPr>
        <w:spacing w:line="240" w:lineRule="auto"/>
        <w:rPr>
          <w:sz w:val="24"/>
          <w:szCs w:val="24"/>
        </w:rPr>
      </w:pPr>
    </w:p>
    <w:p w14:paraId="70970CCC" w14:textId="27AAB208" w:rsidR="00D71DFC" w:rsidRPr="00D71DFC" w:rsidRDefault="00D71DFC" w:rsidP="00D71DFC">
      <w:pPr>
        <w:spacing w:after="0" w:line="240" w:lineRule="auto"/>
        <w:rPr>
          <w:sz w:val="24"/>
          <w:szCs w:val="24"/>
        </w:rPr>
      </w:pPr>
      <w:bookmarkStart w:id="2" w:name="_Hlk83320286"/>
      <w:r w:rsidRPr="00D71DFC">
        <w:rPr>
          <w:sz w:val="24"/>
          <w:szCs w:val="24"/>
        </w:rPr>
        <w:t xml:space="preserve">In response to staff inquiry, the Applicant provided a </w:t>
      </w:r>
      <w:r>
        <w:rPr>
          <w:sz w:val="24"/>
          <w:szCs w:val="24"/>
        </w:rPr>
        <w:t xml:space="preserve">further </w:t>
      </w:r>
      <w:r w:rsidRPr="00D71DFC">
        <w:rPr>
          <w:sz w:val="24"/>
          <w:szCs w:val="24"/>
        </w:rPr>
        <w:t>breakdown of year one projections by volume sources to further demonstrate Patient Panel need for MRI services. Year one projections are presented in Table 1</w:t>
      </w:r>
      <w:r w:rsidR="00C41C8B">
        <w:rPr>
          <w:sz w:val="24"/>
          <w:szCs w:val="24"/>
        </w:rPr>
        <w:t>1</w:t>
      </w:r>
      <w:r w:rsidRPr="00D71DFC">
        <w:rPr>
          <w:sz w:val="24"/>
          <w:szCs w:val="24"/>
        </w:rPr>
        <w:t xml:space="preserve"> below. The Applicant notes the year one new volume projections shown in Table 1</w:t>
      </w:r>
      <w:r w:rsidR="00C41C8B">
        <w:rPr>
          <w:sz w:val="24"/>
          <w:szCs w:val="24"/>
        </w:rPr>
        <w:t>1</w:t>
      </w:r>
      <w:r w:rsidRPr="00D71DFC">
        <w:rPr>
          <w:sz w:val="24"/>
          <w:szCs w:val="24"/>
        </w:rPr>
        <w:t xml:space="preserve"> are based on actual volume (6,497 scans) from FY2020</w:t>
      </w:r>
      <w:r>
        <w:rPr>
          <w:sz w:val="24"/>
          <w:szCs w:val="24"/>
        </w:rPr>
        <w:t>.</w:t>
      </w:r>
      <w:r w:rsidR="009D7FC0">
        <w:rPr>
          <w:sz w:val="24"/>
          <w:szCs w:val="24"/>
        </w:rPr>
        <w:t xml:space="preserve"> </w:t>
      </w:r>
      <w:r w:rsidRPr="00D71DFC">
        <w:rPr>
          <w:sz w:val="24"/>
          <w:szCs w:val="24"/>
        </w:rPr>
        <w:t xml:space="preserve">Because Year 1 projected volume shown in Table </w:t>
      </w:r>
      <w:r w:rsidR="00C41C8B">
        <w:rPr>
          <w:sz w:val="24"/>
          <w:szCs w:val="24"/>
        </w:rPr>
        <w:t>10</w:t>
      </w:r>
      <w:r w:rsidRPr="00D71DFC">
        <w:rPr>
          <w:sz w:val="24"/>
          <w:szCs w:val="24"/>
        </w:rPr>
        <w:t xml:space="preserve"> was calculated based on FY19 volume there is a slight (0.5%) discrepancy in the Year 1 projections between Tables </w:t>
      </w:r>
      <w:r w:rsidR="00C41C8B">
        <w:rPr>
          <w:sz w:val="24"/>
          <w:szCs w:val="24"/>
        </w:rPr>
        <w:t>10</w:t>
      </w:r>
      <w:r w:rsidRPr="00D71DFC">
        <w:rPr>
          <w:sz w:val="24"/>
          <w:szCs w:val="24"/>
        </w:rPr>
        <w:t xml:space="preserve"> and 1</w:t>
      </w:r>
      <w:r w:rsidR="00C41C8B">
        <w:rPr>
          <w:sz w:val="24"/>
          <w:szCs w:val="24"/>
        </w:rPr>
        <w:t>1</w:t>
      </w:r>
      <w:r w:rsidRPr="00D71DFC">
        <w:rPr>
          <w:sz w:val="24"/>
          <w:szCs w:val="24"/>
        </w:rPr>
        <w:t xml:space="preserve">. </w:t>
      </w:r>
      <w:r w:rsidR="009D7FC0">
        <w:rPr>
          <w:sz w:val="24"/>
          <w:szCs w:val="24"/>
        </w:rPr>
        <w:t>While FY 2020 volume</w:t>
      </w:r>
      <w:r w:rsidR="009D7FC0" w:rsidRPr="00D71DFC">
        <w:rPr>
          <w:sz w:val="24"/>
          <w:szCs w:val="24"/>
        </w:rPr>
        <w:t xml:space="preserve"> </w:t>
      </w:r>
      <w:r w:rsidR="009D7FC0">
        <w:rPr>
          <w:sz w:val="24"/>
          <w:szCs w:val="24"/>
        </w:rPr>
        <w:t xml:space="preserve">was 13% </w:t>
      </w:r>
      <w:r w:rsidR="009D7FC0" w:rsidRPr="00D71DFC">
        <w:rPr>
          <w:sz w:val="24"/>
          <w:szCs w:val="24"/>
        </w:rPr>
        <w:t xml:space="preserve">lower than </w:t>
      </w:r>
      <w:r w:rsidR="009D7FC0">
        <w:rPr>
          <w:sz w:val="24"/>
          <w:szCs w:val="24"/>
        </w:rPr>
        <w:t xml:space="preserve">FY2019 </w:t>
      </w:r>
      <w:r w:rsidR="009D7FC0" w:rsidRPr="00D71DFC">
        <w:rPr>
          <w:sz w:val="24"/>
          <w:szCs w:val="24"/>
        </w:rPr>
        <w:t>due to the COVID-19 pandemic</w:t>
      </w:r>
      <w:r w:rsidR="009D7FC0">
        <w:rPr>
          <w:sz w:val="24"/>
          <w:szCs w:val="24"/>
        </w:rPr>
        <w:t>, utilizing FY20 as a basis for projecting growth still yields significant increase in volume</w:t>
      </w:r>
      <w:r w:rsidR="009D7FC0" w:rsidRPr="00D71DFC">
        <w:rPr>
          <w:sz w:val="24"/>
          <w:szCs w:val="24"/>
        </w:rPr>
        <w:t xml:space="preserve">. </w:t>
      </w:r>
      <w:r w:rsidRPr="00D71DFC">
        <w:rPr>
          <w:sz w:val="24"/>
          <w:szCs w:val="24"/>
        </w:rPr>
        <w:t xml:space="preserve">The applicant expects scan volumes to return to pre-pandemic levels as the pandemic lessens and predicts scan volume will be at least equivalent to 2019 volume (7,471 scans) </w:t>
      </w:r>
      <w:r w:rsidR="009D7FC0">
        <w:rPr>
          <w:sz w:val="24"/>
          <w:szCs w:val="24"/>
        </w:rPr>
        <w:t>and likely</w:t>
      </w:r>
      <w:r w:rsidRPr="00D71DFC">
        <w:rPr>
          <w:sz w:val="24"/>
          <w:szCs w:val="24"/>
        </w:rPr>
        <w:t xml:space="preserve"> higher due to delayed care during the COVID-19 pandemic and ongoing population growth. </w:t>
      </w:r>
      <w:r w:rsidR="004E2966">
        <w:rPr>
          <w:sz w:val="24"/>
          <w:szCs w:val="24"/>
        </w:rPr>
        <w:t xml:space="preserve">With this expectation, the Applicant utilized FY19 for its long term projections in Table </w:t>
      </w:r>
      <w:r w:rsidR="00C41C8B">
        <w:rPr>
          <w:sz w:val="24"/>
          <w:szCs w:val="24"/>
        </w:rPr>
        <w:t>10</w:t>
      </w:r>
      <w:r w:rsidR="004E2966">
        <w:rPr>
          <w:sz w:val="24"/>
          <w:szCs w:val="24"/>
        </w:rPr>
        <w:t xml:space="preserve">. </w:t>
      </w:r>
      <w:r w:rsidRPr="00D71DFC">
        <w:rPr>
          <w:sz w:val="24"/>
          <w:szCs w:val="24"/>
        </w:rPr>
        <w:t>Table 1</w:t>
      </w:r>
      <w:r w:rsidR="00C41C8B">
        <w:rPr>
          <w:sz w:val="24"/>
          <w:szCs w:val="24"/>
        </w:rPr>
        <w:t>1</w:t>
      </w:r>
      <w:r w:rsidRPr="00D71DFC">
        <w:rPr>
          <w:sz w:val="24"/>
          <w:szCs w:val="24"/>
        </w:rPr>
        <w:t xml:space="preserve"> reflects a 3% annual growth of scans with the exception of the Breast Cancer Program, which has been experiencing much higher year-over-year growth as is shown in Table </w:t>
      </w:r>
      <w:r w:rsidR="00C41C8B">
        <w:rPr>
          <w:sz w:val="24"/>
          <w:szCs w:val="24"/>
        </w:rPr>
        <w:t>1</w:t>
      </w:r>
      <w:r w:rsidR="00A01DD2">
        <w:rPr>
          <w:sz w:val="24"/>
          <w:szCs w:val="24"/>
        </w:rPr>
        <w:t>2</w:t>
      </w:r>
      <w:r w:rsidRPr="00D71DFC">
        <w:rPr>
          <w:sz w:val="24"/>
          <w:szCs w:val="24"/>
        </w:rPr>
        <w:t xml:space="preserve"> </w:t>
      </w:r>
      <w:r w:rsidR="00A01DD2">
        <w:rPr>
          <w:sz w:val="24"/>
          <w:szCs w:val="24"/>
        </w:rPr>
        <w:t>below</w:t>
      </w:r>
      <w:r w:rsidRPr="00D71DFC">
        <w:rPr>
          <w:sz w:val="24"/>
          <w:szCs w:val="24"/>
        </w:rPr>
        <w:t xml:space="preserve">. </w:t>
      </w:r>
    </w:p>
    <w:p w14:paraId="6DD2DEB9" w14:textId="77777777" w:rsidR="00D71DFC" w:rsidRPr="00504005" w:rsidRDefault="00D71DFC" w:rsidP="00D71DFC">
      <w:pPr>
        <w:spacing w:after="0" w:line="240" w:lineRule="auto"/>
        <w:rPr>
          <w:sz w:val="24"/>
          <w:szCs w:val="24"/>
        </w:rPr>
      </w:pPr>
    </w:p>
    <w:p w14:paraId="4DB75FB5" w14:textId="1AF35F52" w:rsidR="00D71DFC" w:rsidRDefault="00D71DFC" w:rsidP="00D71DFC">
      <w:pPr>
        <w:jc w:val="center"/>
        <w:rPr>
          <w:b/>
          <w:bCs/>
          <w:sz w:val="24"/>
          <w:szCs w:val="24"/>
        </w:rPr>
      </w:pPr>
      <w:r w:rsidRPr="00504005">
        <w:rPr>
          <w:b/>
          <w:bCs/>
          <w:sz w:val="24"/>
          <w:szCs w:val="24"/>
        </w:rPr>
        <w:t>Table 1</w:t>
      </w:r>
      <w:r w:rsidR="00105E82">
        <w:rPr>
          <w:b/>
          <w:bCs/>
          <w:sz w:val="24"/>
          <w:szCs w:val="24"/>
        </w:rPr>
        <w:t>1</w:t>
      </w:r>
      <w:r w:rsidRPr="00504005">
        <w:rPr>
          <w:b/>
          <w:bCs/>
          <w:sz w:val="24"/>
          <w:szCs w:val="24"/>
        </w:rPr>
        <w:t xml:space="preserve">: Year One Projected </w:t>
      </w:r>
      <w:r>
        <w:rPr>
          <w:b/>
          <w:bCs/>
          <w:sz w:val="24"/>
          <w:szCs w:val="24"/>
        </w:rPr>
        <w:t xml:space="preserve">New </w:t>
      </w:r>
      <w:r w:rsidRPr="00504005">
        <w:rPr>
          <w:b/>
          <w:bCs/>
          <w:sz w:val="24"/>
          <w:szCs w:val="24"/>
        </w:rPr>
        <w:t>Volume</w:t>
      </w:r>
      <w:r>
        <w:rPr>
          <w:b/>
          <w:bCs/>
          <w:sz w:val="24"/>
          <w:szCs w:val="24"/>
        </w:rPr>
        <w:t xml:space="preserve"> by Volume Source</w:t>
      </w:r>
    </w:p>
    <w:tbl>
      <w:tblPr>
        <w:tblW w:w="99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838"/>
        <w:gridCol w:w="2147"/>
      </w:tblGrid>
      <w:tr w:rsidR="00D71DFC" w14:paraId="24C84835" w14:textId="77777777" w:rsidTr="00AB18F9">
        <w:tc>
          <w:tcPr>
            <w:tcW w:w="0" w:type="auto"/>
            <w:tcBorders>
              <w:top w:val="single" w:sz="4" w:space="0" w:color="auto"/>
              <w:left w:val="single" w:sz="4" w:space="0" w:color="auto"/>
              <w:bottom w:val="single" w:sz="4" w:space="0" w:color="auto"/>
              <w:right w:val="single" w:sz="4" w:space="0" w:color="auto"/>
            </w:tcBorders>
          </w:tcPr>
          <w:p w14:paraId="284ECB5B" w14:textId="77777777" w:rsidR="00D71DFC" w:rsidRPr="009538C6" w:rsidRDefault="00D71DFC" w:rsidP="00AB18F9">
            <w:pPr>
              <w:rPr>
                <w:b/>
                <w:bCs/>
                <w:sz w:val="24"/>
                <w:szCs w:val="24"/>
              </w:rPr>
            </w:pPr>
            <w:r w:rsidRPr="009538C6">
              <w:rPr>
                <w:b/>
                <w:bCs/>
                <w:sz w:val="24"/>
                <w:szCs w:val="24"/>
              </w:rPr>
              <w:t>Source of New MRI Volume</w:t>
            </w:r>
          </w:p>
        </w:tc>
        <w:tc>
          <w:tcPr>
            <w:tcW w:w="2147" w:type="dxa"/>
            <w:tcBorders>
              <w:top w:val="single" w:sz="4" w:space="0" w:color="auto"/>
              <w:left w:val="single" w:sz="4" w:space="0" w:color="auto"/>
              <w:bottom w:val="single" w:sz="4" w:space="0" w:color="auto"/>
              <w:right w:val="single" w:sz="4" w:space="0" w:color="auto"/>
            </w:tcBorders>
          </w:tcPr>
          <w:p w14:paraId="71DC2019" w14:textId="77777777" w:rsidR="00D71DFC" w:rsidRPr="009538C6" w:rsidRDefault="00D71DFC" w:rsidP="00AB18F9">
            <w:pPr>
              <w:rPr>
                <w:b/>
                <w:bCs/>
                <w:sz w:val="24"/>
                <w:szCs w:val="24"/>
              </w:rPr>
            </w:pPr>
            <w:r w:rsidRPr="009538C6">
              <w:rPr>
                <w:b/>
                <w:bCs/>
                <w:sz w:val="24"/>
                <w:szCs w:val="24"/>
              </w:rPr>
              <w:t>Projected # New Scans</w:t>
            </w:r>
            <w:r w:rsidRPr="009538C6">
              <w:rPr>
                <w:b/>
                <w:bCs/>
                <w:sz w:val="24"/>
                <w:szCs w:val="24"/>
                <w:vertAlign w:val="superscript"/>
              </w:rPr>
              <w:t>+</w:t>
            </w:r>
          </w:p>
        </w:tc>
      </w:tr>
      <w:tr w:rsidR="00D71DFC" w14:paraId="04290B78" w14:textId="77777777" w:rsidTr="00AB18F9">
        <w:tc>
          <w:tcPr>
            <w:tcW w:w="0" w:type="auto"/>
            <w:tcBorders>
              <w:top w:val="single" w:sz="4" w:space="0" w:color="auto"/>
              <w:left w:val="single" w:sz="4" w:space="0" w:color="auto"/>
              <w:bottom w:val="single" w:sz="4" w:space="0" w:color="auto"/>
              <w:right w:val="single" w:sz="4" w:space="0" w:color="auto"/>
            </w:tcBorders>
            <w:hideMark/>
          </w:tcPr>
          <w:p w14:paraId="3286ED1A" w14:textId="77777777" w:rsidR="00D71DFC" w:rsidRDefault="00D71DFC" w:rsidP="00AB18F9">
            <w:r>
              <w:rPr>
                <w:sz w:val="24"/>
                <w:szCs w:val="24"/>
              </w:rPr>
              <w:t>Patients who would previously have been referred elsewhere for 3T MRI  </w:t>
            </w:r>
          </w:p>
        </w:tc>
        <w:tc>
          <w:tcPr>
            <w:tcW w:w="2147" w:type="dxa"/>
            <w:tcBorders>
              <w:top w:val="single" w:sz="4" w:space="0" w:color="auto"/>
              <w:left w:val="single" w:sz="4" w:space="0" w:color="auto"/>
              <w:bottom w:val="single" w:sz="4" w:space="0" w:color="auto"/>
              <w:right w:val="single" w:sz="4" w:space="0" w:color="auto"/>
            </w:tcBorders>
            <w:hideMark/>
          </w:tcPr>
          <w:p w14:paraId="7D42BBBC" w14:textId="77777777" w:rsidR="00D71DFC" w:rsidRDefault="00D71DFC" w:rsidP="00AB18F9">
            <w:pPr>
              <w:jc w:val="center"/>
            </w:pPr>
            <w:r>
              <w:rPr>
                <w:sz w:val="24"/>
                <w:szCs w:val="24"/>
              </w:rPr>
              <w:t>1,558</w:t>
            </w:r>
          </w:p>
        </w:tc>
      </w:tr>
      <w:tr w:rsidR="00D71DFC" w14:paraId="5F722399" w14:textId="77777777" w:rsidTr="00AB18F9">
        <w:tc>
          <w:tcPr>
            <w:tcW w:w="0" w:type="auto"/>
            <w:tcBorders>
              <w:top w:val="single" w:sz="4" w:space="0" w:color="auto"/>
              <w:left w:val="single" w:sz="4" w:space="0" w:color="auto"/>
              <w:bottom w:val="single" w:sz="4" w:space="0" w:color="auto"/>
              <w:right w:val="single" w:sz="4" w:space="0" w:color="auto"/>
            </w:tcBorders>
            <w:hideMark/>
          </w:tcPr>
          <w:p w14:paraId="35A9AAEC" w14:textId="77777777" w:rsidR="00D71DFC" w:rsidRDefault="00D71DFC" w:rsidP="00AB18F9">
            <w:r>
              <w:rPr>
                <w:sz w:val="24"/>
                <w:szCs w:val="24"/>
              </w:rPr>
              <w:t>Patients who would previously have been transferred elsewhere for MRI scans </w:t>
            </w:r>
          </w:p>
        </w:tc>
        <w:tc>
          <w:tcPr>
            <w:tcW w:w="2147" w:type="dxa"/>
            <w:tcBorders>
              <w:top w:val="single" w:sz="4" w:space="0" w:color="auto"/>
              <w:left w:val="single" w:sz="4" w:space="0" w:color="auto"/>
              <w:bottom w:val="single" w:sz="4" w:space="0" w:color="auto"/>
              <w:right w:val="single" w:sz="4" w:space="0" w:color="auto"/>
            </w:tcBorders>
            <w:hideMark/>
          </w:tcPr>
          <w:p w14:paraId="490EFFA4" w14:textId="77777777" w:rsidR="00D71DFC" w:rsidRDefault="00D71DFC" w:rsidP="00AB18F9">
            <w:pPr>
              <w:jc w:val="center"/>
            </w:pPr>
            <w:r>
              <w:rPr>
                <w:sz w:val="24"/>
                <w:szCs w:val="24"/>
              </w:rPr>
              <w:t>196</w:t>
            </w:r>
          </w:p>
        </w:tc>
      </w:tr>
      <w:tr w:rsidR="00D71DFC" w14:paraId="28BC599A" w14:textId="77777777" w:rsidTr="00AB18F9">
        <w:tc>
          <w:tcPr>
            <w:tcW w:w="0" w:type="auto"/>
            <w:tcBorders>
              <w:top w:val="single" w:sz="4" w:space="0" w:color="auto"/>
              <w:left w:val="single" w:sz="4" w:space="0" w:color="auto"/>
              <w:bottom w:val="single" w:sz="4" w:space="0" w:color="auto"/>
              <w:right w:val="single" w:sz="4" w:space="0" w:color="auto"/>
            </w:tcBorders>
            <w:hideMark/>
          </w:tcPr>
          <w:p w14:paraId="38CC8970" w14:textId="77777777" w:rsidR="00D71DFC" w:rsidRDefault="00D71DFC" w:rsidP="00AB18F9">
            <w:r>
              <w:rPr>
                <w:sz w:val="24"/>
                <w:szCs w:val="24"/>
              </w:rPr>
              <w:t>Breast Cancer Program </w:t>
            </w:r>
          </w:p>
        </w:tc>
        <w:tc>
          <w:tcPr>
            <w:tcW w:w="2147" w:type="dxa"/>
            <w:tcBorders>
              <w:top w:val="single" w:sz="4" w:space="0" w:color="auto"/>
              <w:left w:val="single" w:sz="4" w:space="0" w:color="auto"/>
              <w:bottom w:val="single" w:sz="4" w:space="0" w:color="auto"/>
              <w:right w:val="single" w:sz="4" w:space="0" w:color="auto"/>
            </w:tcBorders>
            <w:hideMark/>
          </w:tcPr>
          <w:p w14:paraId="19C153E6" w14:textId="77777777" w:rsidR="00D71DFC" w:rsidRDefault="00D71DFC" w:rsidP="00AB18F9">
            <w:pPr>
              <w:jc w:val="center"/>
            </w:pPr>
            <w:r>
              <w:rPr>
                <w:sz w:val="24"/>
                <w:szCs w:val="24"/>
              </w:rPr>
              <w:t>1,622</w:t>
            </w:r>
          </w:p>
        </w:tc>
      </w:tr>
      <w:tr w:rsidR="00D71DFC" w14:paraId="0BA4BA3D" w14:textId="77777777" w:rsidTr="00AB18F9">
        <w:tc>
          <w:tcPr>
            <w:tcW w:w="0" w:type="auto"/>
            <w:tcBorders>
              <w:top w:val="single" w:sz="4" w:space="0" w:color="auto"/>
              <w:left w:val="single" w:sz="4" w:space="0" w:color="auto"/>
              <w:bottom w:val="single" w:sz="4" w:space="0" w:color="auto"/>
              <w:right w:val="single" w:sz="4" w:space="0" w:color="auto"/>
            </w:tcBorders>
            <w:hideMark/>
          </w:tcPr>
          <w:p w14:paraId="5CC62184" w14:textId="77777777" w:rsidR="00D71DFC" w:rsidRDefault="00D71DFC" w:rsidP="00AB18F9">
            <w:r>
              <w:rPr>
                <w:sz w:val="24"/>
                <w:szCs w:val="24"/>
              </w:rPr>
              <w:t>Aging Population </w:t>
            </w:r>
          </w:p>
        </w:tc>
        <w:tc>
          <w:tcPr>
            <w:tcW w:w="2147" w:type="dxa"/>
            <w:tcBorders>
              <w:top w:val="single" w:sz="4" w:space="0" w:color="auto"/>
              <w:left w:val="single" w:sz="4" w:space="0" w:color="auto"/>
              <w:bottom w:val="single" w:sz="4" w:space="0" w:color="auto"/>
              <w:right w:val="single" w:sz="4" w:space="0" w:color="auto"/>
            </w:tcBorders>
            <w:hideMark/>
          </w:tcPr>
          <w:p w14:paraId="3800A41D" w14:textId="77777777" w:rsidR="00D71DFC" w:rsidRDefault="00D71DFC" w:rsidP="00AB18F9">
            <w:pPr>
              <w:jc w:val="center"/>
            </w:pPr>
            <w:r>
              <w:rPr>
                <w:sz w:val="24"/>
                <w:szCs w:val="24"/>
              </w:rPr>
              <w:t>199</w:t>
            </w:r>
          </w:p>
        </w:tc>
      </w:tr>
      <w:tr w:rsidR="00D71DFC" w14:paraId="36355AA1" w14:textId="77777777" w:rsidTr="00AB18F9">
        <w:tc>
          <w:tcPr>
            <w:tcW w:w="0" w:type="auto"/>
            <w:tcBorders>
              <w:top w:val="single" w:sz="4" w:space="0" w:color="auto"/>
              <w:left w:val="single" w:sz="4" w:space="0" w:color="auto"/>
              <w:bottom w:val="single" w:sz="4" w:space="0" w:color="auto"/>
              <w:right w:val="single" w:sz="4" w:space="0" w:color="auto"/>
            </w:tcBorders>
            <w:hideMark/>
          </w:tcPr>
          <w:p w14:paraId="4989777F" w14:textId="77777777" w:rsidR="00D71DFC" w:rsidRPr="009538C6" w:rsidRDefault="00D71DFC" w:rsidP="00AB18F9">
            <w:pPr>
              <w:rPr>
                <w:sz w:val="24"/>
                <w:szCs w:val="24"/>
              </w:rPr>
            </w:pPr>
            <w:r w:rsidRPr="009538C6">
              <w:rPr>
                <w:sz w:val="24"/>
                <w:szCs w:val="24"/>
              </w:rPr>
              <w:t xml:space="preserve">Additional services to meet the needs of the Applicant’s patient population, including but not limited to Prostate imaging, neuro imaging, perfusion brain tumor imaging, seizure imaging, inflammatory arthropathies, small joint MRI, improved pediatric imaging, MR Enterography, and acute abdomen MRI.  </w:t>
            </w:r>
          </w:p>
        </w:tc>
        <w:tc>
          <w:tcPr>
            <w:tcW w:w="2147" w:type="dxa"/>
            <w:tcBorders>
              <w:top w:val="single" w:sz="4" w:space="0" w:color="auto"/>
              <w:left w:val="single" w:sz="4" w:space="0" w:color="auto"/>
              <w:bottom w:val="single" w:sz="4" w:space="0" w:color="auto"/>
              <w:right w:val="single" w:sz="4" w:space="0" w:color="auto"/>
            </w:tcBorders>
            <w:hideMark/>
          </w:tcPr>
          <w:p w14:paraId="39BA2BF6" w14:textId="77777777" w:rsidR="00D71DFC" w:rsidRDefault="00D71DFC" w:rsidP="00AB18F9">
            <w:pPr>
              <w:jc w:val="center"/>
            </w:pPr>
            <w:r>
              <w:rPr>
                <w:sz w:val="24"/>
                <w:szCs w:val="24"/>
              </w:rPr>
              <w:t>720</w:t>
            </w:r>
          </w:p>
        </w:tc>
      </w:tr>
      <w:tr w:rsidR="00D71DFC" w14:paraId="5CD6CE99" w14:textId="77777777" w:rsidTr="00AB18F9">
        <w:tc>
          <w:tcPr>
            <w:tcW w:w="0" w:type="auto"/>
            <w:tcBorders>
              <w:top w:val="single" w:sz="4" w:space="0" w:color="auto"/>
              <w:left w:val="single" w:sz="4" w:space="0" w:color="auto"/>
              <w:bottom w:val="single" w:sz="12" w:space="0" w:color="auto"/>
              <w:right w:val="single" w:sz="4" w:space="0" w:color="auto"/>
            </w:tcBorders>
            <w:hideMark/>
          </w:tcPr>
          <w:p w14:paraId="37E2994C" w14:textId="77777777" w:rsidR="00D71DFC" w:rsidRPr="009538C6" w:rsidRDefault="00D71DFC" w:rsidP="00AB18F9">
            <w:pPr>
              <w:rPr>
                <w:sz w:val="24"/>
                <w:szCs w:val="24"/>
              </w:rPr>
            </w:pPr>
            <w:r w:rsidRPr="009538C6">
              <w:rPr>
                <w:sz w:val="24"/>
                <w:szCs w:val="24"/>
              </w:rPr>
              <w:t>Increase in the number of patients served as a result of decreased inpatient and Emergency patient wait times for MRI leading to reductions in overall length of stay.</w:t>
            </w:r>
          </w:p>
        </w:tc>
        <w:tc>
          <w:tcPr>
            <w:tcW w:w="2147" w:type="dxa"/>
            <w:tcBorders>
              <w:top w:val="single" w:sz="4" w:space="0" w:color="auto"/>
              <w:left w:val="single" w:sz="4" w:space="0" w:color="auto"/>
              <w:bottom w:val="single" w:sz="12" w:space="0" w:color="auto"/>
              <w:right w:val="single" w:sz="4" w:space="0" w:color="auto"/>
            </w:tcBorders>
            <w:hideMark/>
          </w:tcPr>
          <w:p w14:paraId="0B1FC50A" w14:textId="77777777" w:rsidR="00D71DFC" w:rsidRDefault="00D71DFC" w:rsidP="00AB18F9">
            <w:pPr>
              <w:jc w:val="center"/>
            </w:pPr>
            <w:r>
              <w:rPr>
                <w:sz w:val="24"/>
                <w:szCs w:val="24"/>
              </w:rPr>
              <w:t>1,182</w:t>
            </w:r>
          </w:p>
        </w:tc>
      </w:tr>
      <w:tr w:rsidR="00D71DFC" w14:paraId="3064CC89" w14:textId="77777777" w:rsidTr="00AB18F9">
        <w:tc>
          <w:tcPr>
            <w:tcW w:w="0" w:type="auto"/>
            <w:tcBorders>
              <w:top w:val="single" w:sz="12" w:space="0" w:color="auto"/>
              <w:left w:val="single" w:sz="4" w:space="0" w:color="auto"/>
              <w:bottom w:val="single" w:sz="4" w:space="0" w:color="auto"/>
              <w:right w:val="single" w:sz="4" w:space="0" w:color="auto"/>
            </w:tcBorders>
          </w:tcPr>
          <w:p w14:paraId="37C0A5BD" w14:textId="77777777" w:rsidR="00D71DFC" w:rsidRPr="009538C6" w:rsidRDefault="00D71DFC" w:rsidP="00AB18F9">
            <w:pPr>
              <w:rPr>
                <w:b/>
                <w:bCs/>
                <w:sz w:val="24"/>
                <w:szCs w:val="24"/>
              </w:rPr>
            </w:pPr>
            <w:r w:rsidRPr="009538C6">
              <w:rPr>
                <w:b/>
                <w:bCs/>
                <w:sz w:val="24"/>
                <w:szCs w:val="24"/>
              </w:rPr>
              <w:t>Total projected new scans (both 1.5T and 3T)</w:t>
            </w:r>
          </w:p>
        </w:tc>
        <w:tc>
          <w:tcPr>
            <w:tcW w:w="2147" w:type="dxa"/>
            <w:tcBorders>
              <w:top w:val="single" w:sz="12" w:space="0" w:color="auto"/>
              <w:left w:val="single" w:sz="4" w:space="0" w:color="auto"/>
              <w:bottom w:val="single" w:sz="4" w:space="0" w:color="auto"/>
              <w:right w:val="single" w:sz="4" w:space="0" w:color="auto"/>
            </w:tcBorders>
          </w:tcPr>
          <w:p w14:paraId="74A31B8C" w14:textId="77777777" w:rsidR="00D71DFC" w:rsidRPr="009538C6" w:rsidRDefault="00D71DFC" w:rsidP="00AB18F9">
            <w:pPr>
              <w:jc w:val="center"/>
              <w:rPr>
                <w:b/>
                <w:bCs/>
                <w:sz w:val="24"/>
                <w:szCs w:val="24"/>
              </w:rPr>
            </w:pPr>
            <w:r w:rsidRPr="009538C6">
              <w:rPr>
                <w:b/>
                <w:bCs/>
                <w:sz w:val="24"/>
                <w:szCs w:val="24"/>
              </w:rPr>
              <w:t>5,477</w:t>
            </w:r>
          </w:p>
        </w:tc>
      </w:tr>
      <w:tr w:rsidR="00D71DFC" w14:paraId="3E08049B" w14:textId="77777777" w:rsidTr="00AB18F9">
        <w:tc>
          <w:tcPr>
            <w:tcW w:w="0" w:type="auto"/>
            <w:tcBorders>
              <w:top w:val="single" w:sz="4" w:space="0" w:color="auto"/>
              <w:left w:val="single" w:sz="4" w:space="0" w:color="auto"/>
              <w:bottom w:val="single" w:sz="4" w:space="0" w:color="auto"/>
              <w:right w:val="single" w:sz="4" w:space="0" w:color="auto"/>
            </w:tcBorders>
          </w:tcPr>
          <w:p w14:paraId="26077538" w14:textId="77777777" w:rsidR="00D71DFC" w:rsidRPr="009538C6" w:rsidRDefault="00D71DFC" w:rsidP="00AB18F9">
            <w:pPr>
              <w:rPr>
                <w:b/>
                <w:bCs/>
                <w:sz w:val="24"/>
                <w:szCs w:val="24"/>
              </w:rPr>
            </w:pPr>
            <w:r w:rsidRPr="009538C6">
              <w:rPr>
                <w:b/>
                <w:bCs/>
                <w:sz w:val="24"/>
                <w:szCs w:val="24"/>
              </w:rPr>
              <w:t>2019 Historical Volume</w:t>
            </w:r>
            <w:r w:rsidRPr="009538C6">
              <w:rPr>
                <w:b/>
                <w:bCs/>
                <w:sz w:val="24"/>
                <w:szCs w:val="24"/>
                <w:vertAlign w:val="superscript"/>
              </w:rPr>
              <w:t>++</w:t>
            </w:r>
          </w:p>
        </w:tc>
        <w:tc>
          <w:tcPr>
            <w:tcW w:w="2147" w:type="dxa"/>
            <w:tcBorders>
              <w:top w:val="single" w:sz="4" w:space="0" w:color="auto"/>
              <w:left w:val="single" w:sz="4" w:space="0" w:color="auto"/>
              <w:bottom w:val="single" w:sz="4" w:space="0" w:color="auto"/>
              <w:right w:val="single" w:sz="4" w:space="0" w:color="auto"/>
            </w:tcBorders>
          </w:tcPr>
          <w:p w14:paraId="0728A9D5" w14:textId="77777777" w:rsidR="00D71DFC" w:rsidRPr="009538C6" w:rsidRDefault="00D71DFC" w:rsidP="00AB18F9">
            <w:pPr>
              <w:jc w:val="center"/>
              <w:rPr>
                <w:b/>
                <w:bCs/>
                <w:sz w:val="24"/>
                <w:szCs w:val="24"/>
              </w:rPr>
            </w:pPr>
            <w:r w:rsidRPr="009538C6">
              <w:rPr>
                <w:b/>
                <w:bCs/>
                <w:sz w:val="24"/>
                <w:szCs w:val="24"/>
              </w:rPr>
              <w:t>7,471</w:t>
            </w:r>
          </w:p>
        </w:tc>
      </w:tr>
      <w:tr w:rsidR="00D71DFC" w14:paraId="61D488E7" w14:textId="77777777" w:rsidTr="00AB18F9">
        <w:tc>
          <w:tcPr>
            <w:tcW w:w="0" w:type="auto"/>
            <w:tcBorders>
              <w:top w:val="single" w:sz="4" w:space="0" w:color="auto"/>
              <w:left w:val="single" w:sz="4" w:space="0" w:color="auto"/>
              <w:bottom w:val="single" w:sz="4" w:space="0" w:color="auto"/>
              <w:right w:val="single" w:sz="4" w:space="0" w:color="auto"/>
            </w:tcBorders>
          </w:tcPr>
          <w:p w14:paraId="54A578F0" w14:textId="77777777" w:rsidR="00D71DFC" w:rsidRPr="009538C6" w:rsidRDefault="00D71DFC" w:rsidP="00AB18F9">
            <w:pPr>
              <w:rPr>
                <w:b/>
                <w:bCs/>
                <w:sz w:val="24"/>
                <w:szCs w:val="24"/>
              </w:rPr>
            </w:pPr>
            <w:r w:rsidRPr="009538C6">
              <w:rPr>
                <w:b/>
                <w:bCs/>
                <w:sz w:val="24"/>
                <w:szCs w:val="24"/>
              </w:rPr>
              <w:t>Total Year 1 Projected Volume</w:t>
            </w:r>
          </w:p>
        </w:tc>
        <w:tc>
          <w:tcPr>
            <w:tcW w:w="2147" w:type="dxa"/>
            <w:tcBorders>
              <w:top w:val="single" w:sz="4" w:space="0" w:color="auto"/>
              <w:left w:val="single" w:sz="4" w:space="0" w:color="auto"/>
              <w:bottom w:val="single" w:sz="4" w:space="0" w:color="auto"/>
              <w:right w:val="single" w:sz="4" w:space="0" w:color="auto"/>
            </w:tcBorders>
          </w:tcPr>
          <w:p w14:paraId="6B1D65BA" w14:textId="77777777" w:rsidR="00D71DFC" w:rsidRPr="009538C6" w:rsidRDefault="00D71DFC" w:rsidP="00AB18F9">
            <w:pPr>
              <w:jc w:val="center"/>
              <w:rPr>
                <w:b/>
                <w:bCs/>
                <w:sz w:val="24"/>
                <w:szCs w:val="24"/>
              </w:rPr>
            </w:pPr>
            <w:r w:rsidRPr="009538C6">
              <w:rPr>
                <w:b/>
                <w:bCs/>
                <w:sz w:val="24"/>
                <w:szCs w:val="24"/>
              </w:rPr>
              <w:t>12,948</w:t>
            </w:r>
          </w:p>
        </w:tc>
      </w:tr>
    </w:tbl>
    <w:p w14:paraId="3194FB55" w14:textId="77777777" w:rsidR="00D71DFC" w:rsidRPr="00796917" w:rsidRDefault="00D71DFC" w:rsidP="00796917">
      <w:pPr>
        <w:spacing w:after="0"/>
        <w:rPr>
          <w:sz w:val="20"/>
          <w:szCs w:val="20"/>
        </w:rPr>
      </w:pPr>
      <w:r w:rsidRPr="00796917">
        <w:rPr>
          <w:sz w:val="20"/>
          <w:szCs w:val="20"/>
          <w:vertAlign w:val="superscript"/>
        </w:rPr>
        <w:t>+</w:t>
      </w:r>
      <w:r w:rsidRPr="00796917">
        <w:rPr>
          <w:sz w:val="20"/>
          <w:szCs w:val="20"/>
        </w:rPr>
        <w:t xml:space="preserve">Projected Scan volumes are based on FY 20 data </w:t>
      </w:r>
    </w:p>
    <w:p w14:paraId="3B7AB78F" w14:textId="77777777" w:rsidR="00D71DFC" w:rsidRPr="00796917" w:rsidRDefault="00D71DFC" w:rsidP="00796917">
      <w:pPr>
        <w:spacing w:after="0"/>
        <w:rPr>
          <w:sz w:val="20"/>
          <w:szCs w:val="20"/>
        </w:rPr>
      </w:pPr>
      <w:r w:rsidRPr="00796917">
        <w:rPr>
          <w:sz w:val="20"/>
          <w:szCs w:val="20"/>
          <w:vertAlign w:val="superscript"/>
        </w:rPr>
        <w:t>++</w:t>
      </w:r>
      <w:r w:rsidRPr="00796917">
        <w:rPr>
          <w:sz w:val="20"/>
          <w:szCs w:val="20"/>
        </w:rPr>
        <w:t>19 Historical Volume data was not impacted by COVID-19 and is a better representation of historical trends to use in projecting future volume.</w:t>
      </w:r>
    </w:p>
    <w:p w14:paraId="46400027" w14:textId="77777777" w:rsidR="00D71DFC" w:rsidRDefault="00D71DFC" w:rsidP="0054572D">
      <w:pPr>
        <w:spacing w:line="240" w:lineRule="auto"/>
        <w:rPr>
          <w:sz w:val="24"/>
          <w:szCs w:val="24"/>
        </w:rPr>
      </w:pPr>
    </w:p>
    <w:p w14:paraId="4CDF6450" w14:textId="21EB9F85" w:rsidR="00B40BB6" w:rsidRDefault="00796917" w:rsidP="0054572D">
      <w:pPr>
        <w:spacing w:line="240" w:lineRule="auto"/>
        <w:rPr>
          <w:sz w:val="24"/>
          <w:szCs w:val="24"/>
        </w:rPr>
      </w:pPr>
      <w:r>
        <w:rPr>
          <w:sz w:val="24"/>
          <w:szCs w:val="24"/>
        </w:rPr>
        <w:t>T</w:t>
      </w:r>
      <w:r w:rsidR="00B40BB6">
        <w:rPr>
          <w:sz w:val="24"/>
          <w:szCs w:val="24"/>
        </w:rPr>
        <w:t xml:space="preserve">he Applicant </w:t>
      </w:r>
      <w:r w:rsidR="00C94651">
        <w:rPr>
          <w:sz w:val="24"/>
          <w:szCs w:val="24"/>
        </w:rPr>
        <w:t>attributes the projected increase in MRI scan volume at SSH main campus to the following</w:t>
      </w:r>
      <w:r w:rsidR="006F588B">
        <w:rPr>
          <w:sz w:val="24"/>
          <w:szCs w:val="24"/>
        </w:rPr>
        <w:t xml:space="preserve"> sources</w:t>
      </w:r>
      <w:r w:rsidR="00C94651">
        <w:rPr>
          <w:sz w:val="24"/>
          <w:szCs w:val="24"/>
        </w:rPr>
        <w:t xml:space="preserve">: </w:t>
      </w:r>
    </w:p>
    <w:p w14:paraId="38CB2619" w14:textId="74E1CFB1" w:rsidR="009038F7" w:rsidRDefault="006F588B" w:rsidP="002D6EBF">
      <w:pPr>
        <w:pStyle w:val="ListParagraph"/>
        <w:numPr>
          <w:ilvl w:val="0"/>
          <w:numId w:val="12"/>
        </w:numPr>
        <w:spacing w:line="240" w:lineRule="auto"/>
        <w:rPr>
          <w:sz w:val="24"/>
          <w:szCs w:val="24"/>
        </w:rPr>
      </w:pPr>
      <w:r w:rsidRPr="00796917">
        <w:rPr>
          <w:b/>
          <w:bCs/>
          <w:sz w:val="24"/>
          <w:szCs w:val="24"/>
        </w:rPr>
        <w:t>Scans previously referred or transferred to other facilities</w:t>
      </w:r>
      <w:r w:rsidR="00796917">
        <w:rPr>
          <w:b/>
          <w:bCs/>
          <w:sz w:val="24"/>
          <w:szCs w:val="24"/>
        </w:rPr>
        <w:t xml:space="preserve">: </w:t>
      </w:r>
      <w:r w:rsidR="00D6180F">
        <w:rPr>
          <w:sz w:val="24"/>
          <w:szCs w:val="24"/>
        </w:rPr>
        <w:t xml:space="preserve">As mentioned above, 1,512 patients were referred outside SSHS for 3T MRI scans in FY20 and 190 patients were transferred to SSH off-campus facilities for </w:t>
      </w:r>
      <w:r w:rsidR="009038F7">
        <w:rPr>
          <w:sz w:val="24"/>
          <w:szCs w:val="24"/>
        </w:rPr>
        <w:t xml:space="preserve">a total of 1,702 </w:t>
      </w:r>
      <w:r w:rsidR="00D6180F">
        <w:rPr>
          <w:sz w:val="24"/>
          <w:szCs w:val="24"/>
        </w:rPr>
        <w:t xml:space="preserve">MRI scans in CY20. </w:t>
      </w:r>
      <w:r w:rsidR="00BE7867">
        <w:rPr>
          <w:sz w:val="24"/>
          <w:szCs w:val="24"/>
        </w:rPr>
        <w:t>T</w:t>
      </w:r>
      <w:r w:rsidR="00D6180F">
        <w:rPr>
          <w:sz w:val="24"/>
          <w:szCs w:val="24"/>
        </w:rPr>
        <w:t>he Applicant</w:t>
      </w:r>
      <w:r w:rsidR="00E97424">
        <w:rPr>
          <w:sz w:val="24"/>
          <w:szCs w:val="24"/>
        </w:rPr>
        <w:t xml:space="preserve"> expect</w:t>
      </w:r>
      <w:r>
        <w:rPr>
          <w:sz w:val="24"/>
          <w:szCs w:val="24"/>
        </w:rPr>
        <w:t>s</w:t>
      </w:r>
      <w:r w:rsidR="00E97424">
        <w:rPr>
          <w:sz w:val="24"/>
          <w:szCs w:val="24"/>
        </w:rPr>
        <w:t xml:space="preserve"> that </w:t>
      </w:r>
      <w:r w:rsidR="00D6180F">
        <w:rPr>
          <w:sz w:val="24"/>
          <w:szCs w:val="24"/>
        </w:rPr>
        <w:t xml:space="preserve">the addition of </w:t>
      </w:r>
      <w:r w:rsidR="00BD4BCB">
        <w:rPr>
          <w:sz w:val="24"/>
          <w:szCs w:val="24"/>
        </w:rPr>
        <w:t>the</w:t>
      </w:r>
      <w:r w:rsidR="00D6180F">
        <w:rPr>
          <w:sz w:val="24"/>
          <w:szCs w:val="24"/>
        </w:rPr>
        <w:t xml:space="preserve"> more advanced 3T MRI will eliminate the need to transfer patients and reduce referral of patients outside of SSHS for MRI scans</w:t>
      </w:r>
      <w:r>
        <w:rPr>
          <w:sz w:val="24"/>
          <w:szCs w:val="24"/>
        </w:rPr>
        <w:t>. With growth, the Applicant anticipates an additional 1,754 scans from this source</w:t>
      </w:r>
      <w:r w:rsidR="00D6180F">
        <w:rPr>
          <w:sz w:val="24"/>
          <w:szCs w:val="24"/>
        </w:rPr>
        <w:t>.</w:t>
      </w:r>
      <w:r w:rsidR="009038F7">
        <w:rPr>
          <w:sz w:val="24"/>
          <w:szCs w:val="24"/>
        </w:rPr>
        <w:t xml:space="preserve"> </w:t>
      </w:r>
    </w:p>
    <w:p w14:paraId="4782951B" w14:textId="520B4D8B" w:rsidR="00641DDC" w:rsidRDefault="009038F7" w:rsidP="002D6EBF">
      <w:pPr>
        <w:pStyle w:val="ListParagraph"/>
        <w:numPr>
          <w:ilvl w:val="0"/>
          <w:numId w:val="12"/>
        </w:numPr>
        <w:spacing w:line="240" w:lineRule="auto"/>
        <w:rPr>
          <w:sz w:val="24"/>
          <w:szCs w:val="24"/>
        </w:rPr>
      </w:pPr>
      <w:r w:rsidRPr="00796917">
        <w:rPr>
          <w:b/>
          <w:bCs/>
          <w:sz w:val="24"/>
          <w:szCs w:val="24"/>
        </w:rPr>
        <w:t>Breast cancer scans</w:t>
      </w:r>
      <w:r w:rsidR="00796917">
        <w:rPr>
          <w:b/>
          <w:bCs/>
          <w:sz w:val="24"/>
          <w:szCs w:val="24"/>
        </w:rPr>
        <w:t>:</w:t>
      </w:r>
      <w:r>
        <w:rPr>
          <w:sz w:val="24"/>
          <w:szCs w:val="24"/>
        </w:rPr>
        <w:t xml:space="preserve"> </w:t>
      </w:r>
      <w:r w:rsidR="00641DDC" w:rsidRPr="004C6EF7">
        <w:rPr>
          <w:sz w:val="24"/>
          <w:szCs w:val="24"/>
        </w:rPr>
        <w:t>SSH experienced growth in its breast cancer program at the Cancer Center.</w:t>
      </w:r>
      <w:r w:rsidR="00D8391C">
        <w:rPr>
          <w:sz w:val="24"/>
          <w:szCs w:val="24"/>
        </w:rPr>
        <w:t xml:space="preserve"> The Applicant states the Breast Cancer Center provides consultations for benign breast conditions, screening and diagnostic imaging including MRI and breast biopsy, high-risk and genetic counseling services, and comprehensive treatment of breast cancer.</w:t>
      </w:r>
      <w:r w:rsidR="00D8391C">
        <w:rPr>
          <w:rStyle w:val="FootnoteReference"/>
          <w:sz w:val="24"/>
          <w:szCs w:val="24"/>
        </w:rPr>
        <w:footnoteReference w:id="11"/>
      </w:r>
      <w:r w:rsidR="00641DDC" w:rsidRPr="004C6EF7">
        <w:rPr>
          <w:sz w:val="24"/>
          <w:szCs w:val="24"/>
        </w:rPr>
        <w:t xml:space="preserve"> Table </w:t>
      </w:r>
      <w:r w:rsidR="00677066">
        <w:rPr>
          <w:sz w:val="24"/>
          <w:szCs w:val="24"/>
        </w:rPr>
        <w:t>1</w:t>
      </w:r>
      <w:r w:rsidR="005F2922">
        <w:rPr>
          <w:sz w:val="24"/>
          <w:szCs w:val="24"/>
        </w:rPr>
        <w:t>2</w:t>
      </w:r>
      <w:r w:rsidR="00641DDC" w:rsidRPr="004C6EF7">
        <w:rPr>
          <w:sz w:val="24"/>
          <w:szCs w:val="24"/>
        </w:rPr>
        <w:t xml:space="preserve"> below shows a </w:t>
      </w:r>
      <w:r w:rsidR="00B72B16">
        <w:rPr>
          <w:sz w:val="24"/>
          <w:szCs w:val="24"/>
        </w:rPr>
        <w:t>54</w:t>
      </w:r>
      <w:r w:rsidR="00641DDC" w:rsidRPr="004C6EF7">
        <w:rPr>
          <w:sz w:val="24"/>
          <w:szCs w:val="24"/>
        </w:rPr>
        <w:t xml:space="preserve">% increase in breast MRI scans and a </w:t>
      </w:r>
      <w:r w:rsidR="005B319B">
        <w:rPr>
          <w:sz w:val="24"/>
          <w:szCs w:val="24"/>
        </w:rPr>
        <w:t>2</w:t>
      </w:r>
      <w:r w:rsidR="00641DDC" w:rsidRPr="004C6EF7">
        <w:rPr>
          <w:sz w:val="24"/>
          <w:szCs w:val="24"/>
        </w:rPr>
        <w:t>94% increase in breast biopsies</w:t>
      </w:r>
      <w:r w:rsidR="0099555D" w:rsidRPr="0099555D">
        <w:rPr>
          <w:sz w:val="24"/>
          <w:szCs w:val="24"/>
        </w:rPr>
        <w:t xml:space="preserve"> over the past four years</w:t>
      </w:r>
      <w:r w:rsidR="00641DDC" w:rsidRPr="004C6EF7">
        <w:rPr>
          <w:sz w:val="24"/>
          <w:szCs w:val="24"/>
        </w:rPr>
        <w:t>. The Applicant states that SSHS expects this trend to continue, leading to increas</w:t>
      </w:r>
      <w:r w:rsidR="00677066">
        <w:rPr>
          <w:sz w:val="24"/>
          <w:szCs w:val="24"/>
        </w:rPr>
        <w:t>ing</w:t>
      </w:r>
      <w:r w:rsidR="00641DDC" w:rsidRPr="004C6EF7">
        <w:rPr>
          <w:sz w:val="24"/>
          <w:szCs w:val="24"/>
        </w:rPr>
        <w:t xml:space="preserve"> demand for MRI services at the main campus. </w:t>
      </w:r>
    </w:p>
    <w:p w14:paraId="11965CA7" w14:textId="5F08ACD9" w:rsidR="00641DDC" w:rsidRDefault="00641DDC" w:rsidP="00641DDC">
      <w:pPr>
        <w:spacing w:after="0" w:line="240" w:lineRule="auto"/>
        <w:jc w:val="center"/>
        <w:rPr>
          <w:rFonts w:eastAsia="Arial" w:cstheme="minorHAnsi"/>
          <w:b/>
          <w:sz w:val="24"/>
          <w:szCs w:val="24"/>
        </w:rPr>
      </w:pPr>
      <w:r w:rsidRPr="00641DDC">
        <w:rPr>
          <w:rFonts w:eastAsia="Arial" w:cstheme="minorHAnsi"/>
          <w:b/>
          <w:sz w:val="24"/>
          <w:szCs w:val="24"/>
        </w:rPr>
        <w:t xml:space="preserve">Table </w:t>
      </w:r>
      <w:r w:rsidR="00677066">
        <w:rPr>
          <w:rFonts w:eastAsia="Arial" w:cstheme="minorHAnsi"/>
          <w:b/>
          <w:sz w:val="24"/>
          <w:szCs w:val="24"/>
        </w:rPr>
        <w:t>1</w:t>
      </w:r>
      <w:r w:rsidR="00105E82">
        <w:rPr>
          <w:rFonts w:eastAsia="Arial" w:cstheme="minorHAnsi"/>
          <w:b/>
          <w:sz w:val="24"/>
          <w:szCs w:val="24"/>
        </w:rPr>
        <w:t>2</w:t>
      </w:r>
      <w:r w:rsidRPr="00641DDC">
        <w:rPr>
          <w:rFonts w:eastAsia="Arial" w:cstheme="minorHAnsi"/>
          <w:b/>
          <w:sz w:val="24"/>
          <w:szCs w:val="24"/>
        </w:rPr>
        <w:t>: Breast Care</w:t>
      </w:r>
      <w:r w:rsidR="00E33FA8">
        <w:rPr>
          <w:rFonts w:eastAsia="Arial" w:cstheme="minorHAnsi"/>
          <w:b/>
          <w:sz w:val="24"/>
          <w:szCs w:val="24"/>
        </w:rPr>
        <w:t xml:space="preserve"> MRI Volume</w:t>
      </w:r>
      <w:r w:rsidRPr="00641DDC">
        <w:rPr>
          <w:rFonts w:eastAsia="Arial" w:cstheme="minorHAnsi"/>
          <w:b/>
          <w:sz w:val="24"/>
          <w:szCs w:val="24"/>
        </w:rPr>
        <w:t xml:space="preserve"> at the Cancer Center</w:t>
      </w:r>
    </w:p>
    <w:p w14:paraId="4F235C6E" w14:textId="77777777" w:rsidR="001859D2" w:rsidRPr="00641DDC" w:rsidRDefault="001859D2" w:rsidP="00641DDC">
      <w:pPr>
        <w:spacing w:after="0" w:line="240" w:lineRule="auto"/>
        <w:jc w:val="center"/>
        <w:rPr>
          <w:rFonts w:eastAsia="Arial" w:cstheme="minorHAnsi"/>
          <w:b/>
          <w:sz w:val="24"/>
          <w:szCs w:val="24"/>
        </w:rPr>
      </w:pPr>
    </w:p>
    <w:tbl>
      <w:tblPr>
        <w:tblStyle w:val="TableGrid1"/>
        <w:tblW w:w="0" w:type="auto"/>
        <w:jc w:val="center"/>
        <w:tblLook w:val="04A0" w:firstRow="1" w:lastRow="0" w:firstColumn="1" w:lastColumn="0" w:noHBand="0" w:noVBand="1"/>
        <w:tblCaption w:val="Table 12: Breast Care MRI Volume at the Cancer Center"/>
        <w:tblDescription w:val=" 2017 2018 2019 2020&#10;Breast MRI  630 731 996 971&#10;Breast Biopsy MRI  18 33 56 71&#10;Total 648 764 1052 1042&#10;"/>
      </w:tblPr>
      <w:tblGrid>
        <w:gridCol w:w="2695"/>
        <w:gridCol w:w="1213"/>
        <w:gridCol w:w="1214"/>
        <w:gridCol w:w="1214"/>
        <w:gridCol w:w="1214"/>
      </w:tblGrid>
      <w:tr w:rsidR="00641DDC" w:rsidRPr="00641DDC" w14:paraId="7E85C24D" w14:textId="77777777" w:rsidTr="0057267F">
        <w:trPr>
          <w:tblHeader/>
          <w:jc w:val="center"/>
        </w:trPr>
        <w:tc>
          <w:tcPr>
            <w:tcW w:w="2695" w:type="dxa"/>
          </w:tcPr>
          <w:p w14:paraId="506D2E03" w14:textId="77777777" w:rsidR="00641DDC" w:rsidRPr="00641DDC" w:rsidRDefault="00641DDC" w:rsidP="00641DDC">
            <w:pPr>
              <w:rPr>
                <w:rFonts w:eastAsia="Arial" w:cstheme="minorHAnsi"/>
                <w:bCs/>
              </w:rPr>
            </w:pPr>
          </w:p>
        </w:tc>
        <w:tc>
          <w:tcPr>
            <w:tcW w:w="1213" w:type="dxa"/>
            <w:shd w:val="clear" w:color="auto" w:fill="F2F2F2" w:themeFill="background1" w:themeFillShade="F2"/>
          </w:tcPr>
          <w:p w14:paraId="078AFD8A" w14:textId="77777777" w:rsidR="00641DDC" w:rsidRPr="00641DDC" w:rsidRDefault="00641DDC" w:rsidP="00641DDC">
            <w:pPr>
              <w:rPr>
                <w:rFonts w:eastAsia="Arial" w:cstheme="minorHAnsi"/>
                <w:b/>
              </w:rPr>
            </w:pPr>
            <w:r w:rsidRPr="00641DDC">
              <w:rPr>
                <w:rFonts w:eastAsia="Arial" w:cstheme="minorHAnsi"/>
                <w:b/>
              </w:rPr>
              <w:t>2017</w:t>
            </w:r>
          </w:p>
        </w:tc>
        <w:tc>
          <w:tcPr>
            <w:tcW w:w="1214" w:type="dxa"/>
            <w:shd w:val="clear" w:color="auto" w:fill="F2F2F2" w:themeFill="background1" w:themeFillShade="F2"/>
          </w:tcPr>
          <w:p w14:paraId="7A2D3F71" w14:textId="77777777" w:rsidR="00641DDC" w:rsidRPr="00641DDC" w:rsidRDefault="00641DDC" w:rsidP="00641DDC">
            <w:pPr>
              <w:rPr>
                <w:rFonts w:eastAsia="Arial" w:cstheme="minorHAnsi"/>
                <w:b/>
              </w:rPr>
            </w:pPr>
            <w:r w:rsidRPr="00641DDC">
              <w:rPr>
                <w:rFonts w:eastAsia="Arial" w:cstheme="minorHAnsi"/>
                <w:b/>
              </w:rPr>
              <w:t>2018</w:t>
            </w:r>
          </w:p>
        </w:tc>
        <w:tc>
          <w:tcPr>
            <w:tcW w:w="1214" w:type="dxa"/>
            <w:shd w:val="clear" w:color="auto" w:fill="F2F2F2" w:themeFill="background1" w:themeFillShade="F2"/>
          </w:tcPr>
          <w:p w14:paraId="34E7C79D" w14:textId="77777777" w:rsidR="00641DDC" w:rsidRPr="00641DDC" w:rsidRDefault="00641DDC" w:rsidP="00641DDC">
            <w:pPr>
              <w:rPr>
                <w:rFonts w:eastAsia="Arial" w:cstheme="minorHAnsi"/>
                <w:b/>
              </w:rPr>
            </w:pPr>
            <w:r w:rsidRPr="00641DDC">
              <w:rPr>
                <w:rFonts w:eastAsia="Arial" w:cstheme="minorHAnsi"/>
                <w:b/>
              </w:rPr>
              <w:t>2019</w:t>
            </w:r>
          </w:p>
        </w:tc>
        <w:tc>
          <w:tcPr>
            <w:tcW w:w="1214" w:type="dxa"/>
            <w:shd w:val="clear" w:color="auto" w:fill="F2F2F2" w:themeFill="background1" w:themeFillShade="F2"/>
          </w:tcPr>
          <w:p w14:paraId="3AE1ABBA" w14:textId="77777777" w:rsidR="00641DDC" w:rsidRPr="00641DDC" w:rsidRDefault="00641DDC" w:rsidP="00641DDC">
            <w:pPr>
              <w:rPr>
                <w:rFonts w:eastAsia="Arial" w:cstheme="minorHAnsi"/>
                <w:b/>
              </w:rPr>
            </w:pPr>
            <w:r w:rsidRPr="00641DDC">
              <w:rPr>
                <w:rFonts w:eastAsia="Arial" w:cstheme="minorHAnsi"/>
                <w:b/>
              </w:rPr>
              <w:t>2020</w:t>
            </w:r>
          </w:p>
        </w:tc>
      </w:tr>
      <w:tr w:rsidR="00641DDC" w:rsidRPr="00641DDC" w14:paraId="04919E67" w14:textId="77777777" w:rsidTr="00CC2221">
        <w:trPr>
          <w:jc w:val="center"/>
        </w:trPr>
        <w:tc>
          <w:tcPr>
            <w:tcW w:w="2695" w:type="dxa"/>
          </w:tcPr>
          <w:p w14:paraId="6C7C0BF7" w14:textId="61F4192A" w:rsidR="00641DDC" w:rsidRPr="00641DDC" w:rsidRDefault="00641DDC" w:rsidP="00641DDC">
            <w:pPr>
              <w:rPr>
                <w:rFonts w:eastAsia="Arial" w:cstheme="minorHAnsi"/>
                <w:bCs/>
              </w:rPr>
            </w:pPr>
            <w:r w:rsidRPr="00641DDC">
              <w:rPr>
                <w:rFonts w:eastAsia="Arial" w:cstheme="minorHAnsi"/>
                <w:bCs/>
              </w:rPr>
              <w:t xml:space="preserve">Breast MRI </w:t>
            </w:r>
          </w:p>
        </w:tc>
        <w:tc>
          <w:tcPr>
            <w:tcW w:w="1213" w:type="dxa"/>
          </w:tcPr>
          <w:p w14:paraId="6DE3F6A4" w14:textId="77777777" w:rsidR="00641DDC" w:rsidRPr="00641DDC" w:rsidRDefault="00641DDC" w:rsidP="00641DDC">
            <w:pPr>
              <w:rPr>
                <w:rFonts w:eastAsia="Arial" w:cstheme="minorHAnsi"/>
                <w:bCs/>
              </w:rPr>
            </w:pPr>
            <w:r w:rsidRPr="00641DDC">
              <w:rPr>
                <w:rFonts w:eastAsia="Arial" w:cstheme="minorHAnsi"/>
                <w:bCs/>
              </w:rPr>
              <w:t>630</w:t>
            </w:r>
          </w:p>
        </w:tc>
        <w:tc>
          <w:tcPr>
            <w:tcW w:w="1214" w:type="dxa"/>
          </w:tcPr>
          <w:p w14:paraId="5D79F1C7" w14:textId="77777777" w:rsidR="00641DDC" w:rsidRPr="00641DDC" w:rsidRDefault="00641DDC" w:rsidP="00641DDC">
            <w:pPr>
              <w:rPr>
                <w:rFonts w:eastAsia="Arial" w:cstheme="minorHAnsi"/>
                <w:bCs/>
              </w:rPr>
            </w:pPr>
            <w:r w:rsidRPr="00641DDC">
              <w:rPr>
                <w:rFonts w:eastAsia="Arial" w:cstheme="minorHAnsi"/>
                <w:bCs/>
              </w:rPr>
              <w:t>731</w:t>
            </w:r>
          </w:p>
        </w:tc>
        <w:tc>
          <w:tcPr>
            <w:tcW w:w="1214" w:type="dxa"/>
          </w:tcPr>
          <w:p w14:paraId="2A3D5768" w14:textId="77777777" w:rsidR="00641DDC" w:rsidRPr="00641DDC" w:rsidRDefault="00641DDC" w:rsidP="00641DDC">
            <w:pPr>
              <w:rPr>
                <w:rFonts w:eastAsia="Arial" w:cstheme="minorHAnsi"/>
                <w:bCs/>
              </w:rPr>
            </w:pPr>
            <w:r w:rsidRPr="00641DDC">
              <w:rPr>
                <w:rFonts w:eastAsia="Arial" w:cstheme="minorHAnsi"/>
                <w:bCs/>
              </w:rPr>
              <w:t>996</w:t>
            </w:r>
          </w:p>
        </w:tc>
        <w:tc>
          <w:tcPr>
            <w:tcW w:w="1214" w:type="dxa"/>
          </w:tcPr>
          <w:p w14:paraId="0E4EEAC7" w14:textId="77777777" w:rsidR="00641DDC" w:rsidRPr="00641DDC" w:rsidRDefault="00641DDC" w:rsidP="00641DDC">
            <w:pPr>
              <w:rPr>
                <w:rFonts w:eastAsia="Arial" w:cstheme="minorHAnsi"/>
                <w:bCs/>
              </w:rPr>
            </w:pPr>
            <w:r w:rsidRPr="00641DDC">
              <w:rPr>
                <w:rFonts w:eastAsia="Arial" w:cstheme="minorHAnsi"/>
                <w:bCs/>
              </w:rPr>
              <w:t>971</w:t>
            </w:r>
          </w:p>
        </w:tc>
      </w:tr>
      <w:tr w:rsidR="00641DDC" w:rsidRPr="00641DDC" w14:paraId="142D0922" w14:textId="77777777" w:rsidTr="00CC2221">
        <w:trPr>
          <w:jc w:val="center"/>
        </w:trPr>
        <w:tc>
          <w:tcPr>
            <w:tcW w:w="2695" w:type="dxa"/>
          </w:tcPr>
          <w:p w14:paraId="61767B2E" w14:textId="6C7658BD" w:rsidR="00641DDC" w:rsidRPr="00641DDC" w:rsidRDefault="00641DDC" w:rsidP="00641DDC">
            <w:pPr>
              <w:rPr>
                <w:rFonts w:eastAsia="Arial" w:cstheme="minorHAnsi"/>
                <w:bCs/>
              </w:rPr>
            </w:pPr>
            <w:r w:rsidRPr="00641DDC">
              <w:rPr>
                <w:rFonts w:eastAsia="Arial" w:cstheme="minorHAnsi"/>
                <w:bCs/>
              </w:rPr>
              <w:t xml:space="preserve">Breast Biopsy MRI </w:t>
            </w:r>
          </w:p>
        </w:tc>
        <w:tc>
          <w:tcPr>
            <w:tcW w:w="1213" w:type="dxa"/>
          </w:tcPr>
          <w:p w14:paraId="19608288" w14:textId="77777777" w:rsidR="00641DDC" w:rsidRPr="00641DDC" w:rsidRDefault="00641DDC" w:rsidP="00641DDC">
            <w:pPr>
              <w:rPr>
                <w:rFonts w:eastAsia="Arial" w:cstheme="minorHAnsi"/>
                <w:bCs/>
              </w:rPr>
            </w:pPr>
            <w:r w:rsidRPr="00641DDC">
              <w:rPr>
                <w:rFonts w:eastAsia="Arial" w:cstheme="minorHAnsi"/>
                <w:bCs/>
              </w:rPr>
              <w:t>18</w:t>
            </w:r>
          </w:p>
        </w:tc>
        <w:tc>
          <w:tcPr>
            <w:tcW w:w="1214" w:type="dxa"/>
          </w:tcPr>
          <w:p w14:paraId="267C67AF" w14:textId="77777777" w:rsidR="00641DDC" w:rsidRPr="00641DDC" w:rsidRDefault="00641DDC" w:rsidP="00641DDC">
            <w:pPr>
              <w:rPr>
                <w:rFonts w:eastAsia="Arial" w:cstheme="minorHAnsi"/>
                <w:bCs/>
              </w:rPr>
            </w:pPr>
            <w:r w:rsidRPr="00641DDC">
              <w:rPr>
                <w:rFonts w:eastAsia="Arial" w:cstheme="minorHAnsi"/>
                <w:bCs/>
              </w:rPr>
              <w:t>33</w:t>
            </w:r>
          </w:p>
        </w:tc>
        <w:tc>
          <w:tcPr>
            <w:tcW w:w="1214" w:type="dxa"/>
          </w:tcPr>
          <w:p w14:paraId="0DA27AF8" w14:textId="77777777" w:rsidR="00641DDC" w:rsidRPr="00641DDC" w:rsidRDefault="00641DDC" w:rsidP="00641DDC">
            <w:pPr>
              <w:rPr>
                <w:rFonts w:eastAsia="Arial" w:cstheme="minorHAnsi"/>
                <w:bCs/>
              </w:rPr>
            </w:pPr>
            <w:r w:rsidRPr="00641DDC">
              <w:rPr>
                <w:rFonts w:eastAsia="Arial" w:cstheme="minorHAnsi"/>
                <w:bCs/>
              </w:rPr>
              <w:t>56</w:t>
            </w:r>
          </w:p>
        </w:tc>
        <w:tc>
          <w:tcPr>
            <w:tcW w:w="1214" w:type="dxa"/>
          </w:tcPr>
          <w:p w14:paraId="2D544021" w14:textId="77777777" w:rsidR="00641DDC" w:rsidRPr="00641DDC" w:rsidRDefault="00641DDC" w:rsidP="00641DDC">
            <w:pPr>
              <w:rPr>
                <w:rFonts w:eastAsia="Arial" w:cstheme="minorHAnsi"/>
                <w:bCs/>
              </w:rPr>
            </w:pPr>
            <w:r w:rsidRPr="00641DDC">
              <w:rPr>
                <w:rFonts w:eastAsia="Arial" w:cstheme="minorHAnsi"/>
                <w:bCs/>
              </w:rPr>
              <w:t>71</w:t>
            </w:r>
          </w:p>
        </w:tc>
      </w:tr>
      <w:tr w:rsidR="00034C8A" w:rsidRPr="00641DDC" w14:paraId="3895F716" w14:textId="77777777" w:rsidTr="00CC2221">
        <w:trPr>
          <w:jc w:val="center"/>
        </w:trPr>
        <w:tc>
          <w:tcPr>
            <w:tcW w:w="2695" w:type="dxa"/>
          </w:tcPr>
          <w:p w14:paraId="1D984775" w14:textId="21D98B50" w:rsidR="00034C8A" w:rsidRPr="00034C8A" w:rsidRDefault="00034C8A" w:rsidP="00641DDC">
            <w:pPr>
              <w:rPr>
                <w:rFonts w:eastAsia="Arial" w:cstheme="minorHAnsi"/>
                <w:b/>
              </w:rPr>
            </w:pPr>
            <w:r w:rsidRPr="00034C8A">
              <w:rPr>
                <w:rFonts w:eastAsia="Arial" w:cstheme="minorHAnsi"/>
                <w:b/>
              </w:rPr>
              <w:t>Total</w:t>
            </w:r>
          </w:p>
        </w:tc>
        <w:tc>
          <w:tcPr>
            <w:tcW w:w="1213" w:type="dxa"/>
          </w:tcPr>
          <w:p w14:paraId="75FA0DCC" w14:textId="7F7DE168" w:rsidR="00034C8A" w:rsidRPr="00034C8A" w:rsidRDefault="00034C8A" w:rsidP="00641DDC">
            <w:pPr>
              <w:rPr>
                <w:rFonts w:eastAsia="Arial" w:cstheme="minorHAnsi"/>
                <w:b/>
              </w:rPr>
            </w:pPr>
            <w:r w:rsidRPr="00034C8A">
              <w:rPr>
                <w:rFonts w:eastAsia="Arial" w:cstheme="minorHAnsi"/>
                <w:b/>
              </w:rPr>
              <w:t>648</w:t>
            </w:r>
          </w:p>
        </w:tc>
        <w:tc>
          <w:tcPr>
            <w:tcW w:w="1214" w:type="dxa"/>
          </w:tcPr>
          <w:p w14:paraId="14F03117" w14:textId="0E210DF5" w:rsidR="00034C8A" w:rsidRPr="00034C8A" w:rsidRDefault="00034C8A" w:rsidP="00641DDC">
            <w:pPr>
              <w:rPr>
                <w:rFonts w:eastAsia="Arial" w:cstheme="minorHAnsi"/>
                <w:b/>
              </w:rPr>
            </w:pPr>
            <w:r w:rsidRPr="00034C8A">
              <w:rPr>
                <w:rFonts w:eastAsia="Arial" w:cstheme="minorHAnsi"/>
                <w:b/>
              </w:rPr>
              <w:t>764</w:t>
            </w:r>
          </w:p>
        </w:tc>
        <w:tc>
          <w:tcPr>
            <w:tcW w:w="1214" w:type="dxa"/>
          </w:tcPr>
          <w:p w14:paraId="5D97FB12" w14:textId="4A6BBA76" w:rsidR="00034C8A" w:rsidRPr="00034C8A" w:rsidRDefault="00034C8A" w:rsidP="00641DDC">
            <w:pPr>
              <w:rPr>
                <w:rFonts w:eastAsia="Arial" w:cstheme="minorHAnsi"/>
                <w:b/>
              </w:rPr>
            </w:pPr>
            <w:r w:rsidRPr="00034C8A">
              <w:rPr>
                <w:rFonts w:eastAsia="Arial" w:cstheme="minorHAnsi"/>
                <w:b/>
              </w:rPr>
              <w:t>1052</w:t>
            </w:r>
          </w:p>
        </w:tc>
        <w:tc>
          <w:tcPr>
            <w:tcW w:w="1214" w:type="dxa"/>
          </w:tcPr>
          <w:p w14:paraId="2A87D8D4" w14:textId="48BC69F2" w:rsidR="00034C8A" w:rsidRPr="00034C8A" w:rsidRDefault="00034C8A" w:rsidP="00641DDC">
            <w:pPr>
              <w:rPr>
                <w:rFonts w:eastAsia="Arial" w:cstheme="minorHAnsi"/>
                <w:b/>
              </w:rPr>
            </w:pPr>
            <w:r w:rsidRPr="00034C8A">
              <w:rPr>
                <w:rFonts w:eastAsia="Arial" w:cstheme="minorHAnsi"/>
                <w:b/>
              </w:rPr>
              <w:t>1042</w:t>
            </w:r>
          </w:p>
        </w:tc>
      </w:tr>
    </w:tbl>
    <w:p w14:paraId="3B3E0778" w14:textId="77777777" w:rsidR="00FB6509" w:rsidRPr="00504005" w:rsidRDefault="00FB6509" w:rsidP="00504005">
      <w:pPr>
        <w:pStyle w:val="ListParagraph"/>
        <w:rPr>
          <w:sz w:val="24"/>
          <w:szCs w:val="24"/>
        </w:rPr>
      </w:pPr>
    </w:p>
    <w:p w14:paraId="78144586" w14:textId="098FF531" w:rsidR="009038F7" w:rsidRPr="006F5082" w:rsidRDefault="00504005" w:rsidP="00504005">
      <w:pPr>
        <w:pStyle w:val="ListParagraph"/>
        <w:numPr>
          <w:ilvl w:val="0"/>
          <w:numId w:val="33"/>
        </w:numPr>
        <w:spacing w:line="240" w:lineRule="auto"/>
      </w:pPr>
      <w:r w:rsidRPr="00796917">
        <w:rPr>
          <w:b/>
          <w:bCs/>
          <w:sz w:val="24"/>
          <w:szCs w:val="24"/>
        </w:rPr>
        <w:t>Population growth</w:t>
      </w:r>
      <w:r w:rsidR="00796917">
        <w:rPr>
          <w:b/>
          <w:bCs/>
          <w:sz w:val="24"/>
          <w:szCs w:val="24"/>
        </w:rPr>
        <w:t>:</w:t>
      </w:r>
      <w:r>
        <w:rPr>
          <w:sz w:val="24"/>
          <w:szCs w:val="24"/>
        </w:rPr>
        <w:t xml:space="preserve"> </w:t>
      </w:r>
      <w:r w:rsidR="00FB6509" w:rsidRPr="00FB6509">
        <w:rPr>
          <w:sz w:val="24"/>
          <w:szCs w:val="24"/>
        </w:rPr>
        <w:t xml:space="preserve">SSH considered population growth a primary factor in calculating scan volume projections at SSH main campus. Citing population projections from UMass Donahue Institute, the Applicant projects that the increasing age 65+ age cohort – which will represent 24% of the population in Southeastern Massachusetts by 2035 and 42.7% of SSHS existing MRI patients – will result in increasing demand for MRI services among the Patient Panel. The Applicant asserts that a growing and aging population will have an increased need for high-quality imaging services to diagnose and treat age-related conditions. </w:t>
      </w:r>
      <w:r w:rsidR="009D2FAB">
        <w:rPr>
          <w:sz w:val="24"/>
          <w:szCs w:val="24"/>
        </w:rPr>
        <w:t>The Applicant asserts that the addition of services</w:t>
      </w:r>
      <w:r w:rsidR="00DC0B27">
        <w:rPr>
          <w:sz w:val="24"/>
          <w:szCs w:val="24"/>
        </w:rPr>
        <w:t xml:space="preserve"> and</w:t>
      </w:r>
      <w:r w:rsidR="009D2FAB">
        <w:rPr>
          <w:sz w:val="24"/>
          <w:szCs w:val="24"/>
        </w:rPr>
        <w:t xml:space="preserve"> </w:t>
      </w:r>
      <w:r w:rsidR="00DC0B27">
        <w:rPr>
          <w:sz w:val="24"/>
          <w:szCs w:val="24"/>
        </w:rPr>
        <w:t xml:space="preserve">program growth </w:t>
      </w:r>
      <w:r w:rsidR="009D2FAB">
        <w:rPr>
          <w:sz w:val="24"/>
          <w:szCs w:val="24"/>
        </w:rPr>
        <w:t>to meet the needs of its patients were factored into the project</w:t>
      </w:r>
      <w:r w:rsidR="003227EC">
        <w:rPr>
          <w:sz w:val="24"/>
          <w:szCs w:val="24"/>
        </w:rPr>
        <w:t>ions</w:t>
      </w:r>
      <w:r w:rsidR="009D2FAB">
        <w:rPr>
          <w:sz w:val="24"/>
          <w:szCs w:val="24"/>
        </w:rPr>
        <w:t xml:space="preserve">. </w:t>
      </w:r>
    </w:p>
    <w:p w14:paraId="19784091" w14:textId="43238423" w:rsidR="00C9451C" w:rsidRPr="00504005" w:rsidRDefault="003227EC" w:rsidP="00504005">
      <w:pPr>
        <w:pStyle w:val="ListParagraph"/>
        <w:numPr>
          <w:ilvl w:val="0"/>
          <w:numId w:val="33"/>
        </w:numPr>
        <w:spacing w:line="240" w:lineRule="auto"/>
      </w:pPr>
      <w:r w:rsidRPr="00796917">
        <w:rPr>
          <w:b/>
          <w:bCs/>
          <w:sz w:val="24"/>
          <w:szCs w:val="24"/>
        </w:rPr>
        <w:t>A</w:t>
      </w:r>
      <w:r w:rsidR="00C9451C" w:rsidRPr="00796917">
        <w:rPr>
          <w:b/>
          <w:bCs/>
          <w:sz w:val="24"/>
          <w:szCs w:val="24"/>
        </w:rPr>
        <w:t>dditional services</w:t>
      </w:r>
      <w:r w:rsidR="00796917">
        <w:rPr>
          <w:sz w:val="24"/>
          <w:szCs w:val="24"/>
        </w:rPr>
        <w:t>:</w:t>
      </w:r>
      <w:r w:rsidR="00C9451C" w:rsidRPr="00504005">
        <w:rPr>
          <w:sz w:val="24"/>
          <w:szCs w:val="24"/>
        </w:rPr>
        <w:t xml:space="preserve"> </w:t>
      </w:r>
      <w:r w:rsidR="00796917">
        <w:rPr>
          <w:sz w:val="24"/>
          <w:szCs w:val="24"/>
        </w:rPr>
        <w:t>N</w:t>
      </w:r>
      <w:r w:rsidR="009038F7">
        <w:rPr>
          <w:sz w:val="24"/>
          <w:szCs w:val="24"/>
        </w:rPr>
        <w:t xml:space="preserve">ew services </w:t>
      </w:r>
      <w:r w:rsidR="00C9451C" w:rsidRPr="00504005">
        <w:rPr>
          <w:sz w:val="24"/>
          <w:szCs w:val="24"/>
        </w:rPr>
        <w:t xml:space="preserve">that will contribute to projected scan volume include prostate imaging, neuro imaging, perfusion brain tumor imaging, seizure imaging, inflammatory arthropathies, small joint MRI, improved pediatric imaging, MR Enterography, and acute abdomen MRI.  </w:t>
      </w:r>
    </w:p>
    <w:p w14:paraId="1DAA96EE" w14:textId="01C5DA55" w:rsidR="00303B4A" w:rsidRDefault="00504005" w:rsidP="00303B4A">
      <w:pPr>
        <w:pStyle w:val="ListParagraph"/>
        <w:numPr>
          <w:ilvl w:val="0"/>
          <w:numId w:val="33"/>
        </w:numPr>
        <w:spacing w:line="240" w:lineRule="auto"/>
        <w:rPr>
          <w:sz w:val="24"/>
          <w:szCs w:val="24"/>
        </w:rPr>
      </w:pPr>
      <w:r w:rsidRPr="00796917">
        <w:rPr>
          <w:b/>
          <w:bCs/>
          <w:sz w:val="24"/>
          <w:szCs w:val="24"/>
        </w:rPr>
        <w:t>Increased efficiency</w:t>
      </w:r>
      <w:r w:rsidR="00796917">
        <w:rPr>
          <w:sz w:val="24"/>
          <w:szCs w:val="24"/>
        </w:rPr>
        <w:t xml:space="preserve">: </w:t>
      </w:r>
      <w:r w:rsidR="003227EC" w:rsidRPr="003227EC">
        <w:rPr>
          <w:sz w:val="24"/>
          <w:szCs w:val="24"/>
        </w:rPr>
        <w:t>The Applicant asserts that through the Proposed Project, SSH MRI services will be able to operate more efficiently and effectively, and this will increase the number of patients served.</w:t>
      </w:r>
      <w:r w:rsidR="003227EC">
        <w:rPr>
          <w:sz w:val="24"/>
          <w:szCs w:val="24"/>
        </w:rPr>
        <w:t xml:space="preserve"> </w:t>
      </w:r>
      <w:r w:rsidR="009D2FAB" w:rsidRPr="00201BC5">
        <w:rPr>
          <w:sz w:val="24"/>
          <w:szCs w:val="24"/>
        </w:rPr>
        <w:t xml:space="preserve">As mentioned </w:t>
      </w:r>
      <w:r w:rsidR="003227EC">
        <w:rPr>
          <w:sz w:val="24"/>
          <w:szCs w:val="24"/>
        </w:rPr>
        <w:t xml:space="preserve">in </w:t>
      </w:r>
      <w:r w:rsidR="009D2FAB" w:rsidRPr="00201BC5">
        <w:rPr>
          <w:sz w:val="24"/>
          <w:szCs w:val="24"/>
        </w:rPr>
        <w:t xml:space="preserve">Factor 1, delays in obtaining imaging can </w:t>
      </w:r>
      <w:r w:rsidR="003227EC">
        <w:rPr>
          <w:sz w:val="24"/>
          <w:szCs w:val="24"/>
        </w:rPr>
        <w:t>increase</w:t>
      </w:r>
      <w:r w:rsidR="009D2FAB" w:rsidRPr="00201BC5">
        <w:rPr>
          <w:sz w:val="24"/>
          <w:szCs w:val="24"/>
        </w:rPr>
        <w:t xml:space="preserve"> length of stay for inpatients and Emergency patients. The Applicant states that an increase in MRI capacity at SSH will decrease inpatient and Emergency patient wait times, </w:t>
      </w:r>
      <w:r w:rsidR="008B6FE5">
        <w:rPr>
          <w:sz w:val="24"/>
          <w:szCs w:val="24"/>
        </w:rPr>
        <w:t>which</w:t>
      </w:r>
      <w:r w:rsidR="003227EC">
        <w:rPr>
          <w:sz w:val="24"/>
          <w:szCs w:val="24"/>
        </w:rPr>
        <w:t xml:space="preserve"> will</w:t>
      </w:r>
      <w:r w:rsidR="009D2FAB" w:rsidRPr="00201BC5">
        <w:rPr>
          <w:sz w:val="24"/>
          <w:szCs w:val="24"/>
        </w:rPr>
        <w:t xml:space="preserve"> </w:t>
      </w:r>
      <w:r w:rsidR="003227EC">
        <w:rPr>
          <w:sz w:val="24"/>
          <w:szCs w:val="24"/>
        </w:rPr>
        <w:t>lead to</w:t>
      </w:r>
      <w:r w:rsidR="003227EC" w:rsidRPr="00201BC5">
        <w:rPr>
          <w:sz w:val="24"/>
          <w:szCs w:val="24"/>
        </w:rPr>
        <w:t xml:space="preserve"> reductions in</w:t>
      </w:r>
      <w:r w:rsidR="009D2FAB" w:rsidRPr="00201BC5">
        <w:rPr>
          <w:sz w:val="24"/>
          <w:szCs w:val="24"/>
        </w:rPr>
        <w:t xml:space="preserve"> overall length of stay</w:t>
      </w:r>
      <w:r w:rsidR="003227EC">
        <w:rPr>
          <w:sz w:val="24"/>
          <w:szCs w:val="24"/>
        </w:rPr>
        <w:t xml:space="preserve">, </w:t>
      </w:r>
      <w:r w:rsidR="008B6FE5">
        <w:rPr>
          <w:sz w:val="24"/>
          <w:szCs w:val="24"/>
        </w:rPr>
        <w:t xml:space="preserve">and an </w:t>
      </w:r>
      <w:r w:rsidR="003227EC">
        <w:rPr>
          <w:sz w:val="24"/>
          <w:szCs w:val="24"/>
        </w:rPr>
        <w:t xml:space="preserve">increase </w:t>
      </w:r>
      <w:r w:rsidR="008B6FE5">
        <w:rPr>
          <w:sz w:val="24"/>
          <w:szCs w:val="24"/>
        </w:rPr>
        <w:t xml:space="preserve">in </w:t>
      </w:r>
      <w:r w:rsidR="003227EC">
        <w:rPr>
          <w:sz w:val="24"/>
          <w:szCs w:val="24"/>
        </w:rPr>
        <w:t>the number of patients served.</w:t>
      </w:r>
      <w:r w:rsidR="009D2FAB" w:rsidRPr="00201BC5">
        <w:rPr>
          <w:sz w:val="24"/>
          <w:szCs w:val="24"/>
        </w:rPr>
        <w:t xml:space="preserve"> </w:t>
      </w:r>
    </w:p>
    <w:p w14:paraId="2DD8F86D" w14:textId="757D732A" w:rsidR="00A67B08" w:rsidRPr="00504005" w:rsidRDefault="00504005" w:rsidP="00504005">
      <w:pPr>
        <w:pStyle w:val="ListParagraph"/>
        <w:numPr>
          <w:ilvl w:val="0"/>
          <w:numId w:val="33"/>
        </w:numPr>
        <w:spacing w:line="240" w:lineRule="auto"/>
        <w:rPr>
          <w:sz w:val="24"/>
          <w:szCs w:val="24"/>
        </w:rPr>
      </w:pPr>
      <w:r w:rsidRPr="00796917">
        <w:rPr>
          <w:b/>
          <w:bCs/>
          <w:sz w:val="24"/>
          <w:szCs w:val="24"/>
        </w:rPr>
        <w:t>Wait Times</w:t>
      </w:r>
      <w:r w:rsidR="00796917">
        <w:rPr>
          <w:sz w:val="24"/>
          <w:szCs w:val="24"/>
        </w:rPr>
        <w:t>: T</w:t>
      </w:r>
      <w:r w:rsidR="00A67B08" w:rsidRPr="00504005">
        <w:rPr>
          <w:sz w:val="24"/>
          <w:szCs w:val="24"/>
        </w:rPr>
        <w:t>he Applicant states that SSH used data from its health information system (HIS) to project MRI volume at SSH main campus after implementation of the Proposed Project</w:t>
      </w:r>
      <w:r w:rsidR="0001101F" w:rsidRPr="00504005">
        <w:rPr>
          <w:sz w:val="24"/>
          <w:szCs w:val="24"/>
        </w:rPr>
        <w:t xml:space="preserve">. </w:t>
      </w:r>
      <w:r w:rsidR="00206245" w:rsidRPr="00504005">
        <w:rPr>
          <w:sz w:val="24"/>
          <w:szCs w:val="24"/>
        </w:rPr>
        <w:t xml:space="preserve">Table </w:t>
      </w:r>
      <w:r w:rsidR="001859D2" w:rsidRPr="00504005">
        <w:rPr>
          <w:sz w:val="24"/>
          <w:szCs w:val="24"/>
        </w:rPr>
        <w:t>1</w:t>
      </w:r>
      <w:r w:rsidR="005F2922">
        <w:rPr>
          <w:sz w:val="24"/>
          <w:szCs w:val="24"/>
        </w:rPr>
        <w:t>3</w:t>
      </w:r>
      <w:r w:rsidR="00206245" w:rsidRPr="00504005">
        <w:rPr>
          <w:sz w:val="24"/>
          <w:szCs w:val="24"/>
        </w:rPr>
        <w:t xml:space="preserve"> below</w:t>
      </w:r>
      <w:r w:rsidR="00E33FA8" w:rsidRPr="00504005">
        <w:rPr>
          <w:sz w:val="24"/>
          <w:szCs w:val="24"/>
        </w:rPr>
        <w:t xml:space="preserve"> demonstrates that </w:t>
      </w:r>
      <w:r w:rsidR="00206245" w:rsidRPr="00504005">
        <w:rPr>
          <w:sz w:val="24"/>
          <w:szCs w:val="24"/>
        </w:rPr>
        <w:t xml:space="preserve">the existing MRI at </w:t>
      </w:r>
      <w:r w:rsidR="001859D2" w:rsidRPr="00504005">
        <w:rPr>
          <w:sz w:val="24"/>
          <w:szCs w:val="24"/>
        </w:rPr>
        <w:t>SSH</w:t>
      </w:r>
      <w:r w:rsidR="00206245" w:rsidRPr="00504005">
        <w:rPr>
          <w:sz w:val="24"/>
          <w:szCs w:val="24"/>
        </w:rPr>
        <w:t xml:space="preserve"> main campus has been operating above capacity for the past </w:t>
      </w:r>
      <w:r w:rsidR="00B375F5" w:rsidRPr="00504005">
        <w:rPr>
          <w:sz w:val="24"/>
          <w:szCs w:val="24"/>
        </w:rPr>
        <w:t>four</w:t>
      </w:r>
      <w:r w:rsidR="00206245" w:rsidRPr="00504005">
        <w:rPr>
          <w:sz w:val="24"/>
          <w:szCs w:val="24"/>
        </w:rPr>
        <w:t xml:space="preserve"> years</w:t>
      </w:r>
      <w:r w:rsidR="006E3D1E" w:rsidRPr="00504005">
        <w:rPr>
          <w:sz w:val="24"/>
          <w:szCs w:val="24"/>
        </w:rPr>
        <w:t xml:space="preserve"> based on the operating capacity described above in Table </w:t>
      </w:r>
      <w:r w:rsidR="00CE6C31">
        <w:rPr>
          <w:sz w:val="24"/>
          <w:szCs w:val="24"/>
        </w:rPr>
        <w:t>5</w:t>
      </w:r>
      <w:r w:rsidR="00206245" w:rsidRPr="00504005">
        <w:rPr>
          <w:sz w:val="24"/>
          <w:szCs w:val="24"/>
        </w:rPr>
        <w:t>.</w:t>
      </w:r>
    </w:p>
    <w:p w14:paraId="66C7EE0C" w14:textId="13577C82" w:rsidR="00164669" w:rsidRPr="001859D2" w:rsidRDefault="00164669" w:rsidP="001859D2">
      <w:pPr>
        <w:spacing w:after="0" w:line="240" w:lineRule="auto"/>
        <w:jc w:val="center"/>
        <w:rPr>
          <w:rFonts w:eastAsia="Arial" w:cstheme="minorHAnsi"/>
          <w:b/>
          <w:sz w:val="24"/>
          <w:szCs w:val="24"/>
        </w:rPr>
      </w:pPr>
      <w:r w:rsidRPr="001859D2">
        <w:rPr>
          <w:rFonts w:eastAsia="Arial" w:cstheme="minorHAnsi"/>
          <w:b/>
          <w:sz w:val="24"/>
          <w:szCs w:val="24"/>
        </w:rPr>
        <w:t xml:space="preserve">Table </w:t>
      </w:r>
      <w:r w:rsidR="00E97424" w:rsidRPr="001859D2">
        <w:rPr>
          <w:rFonts w:eastAsia="Arial" w:cstheme="minorHAnsi"/>
          <w:b/>
          <w:sz w:val="24"/>
          <w:szCs w:val="24"/>
        </w:rPr>
        <w:t>1</w:t>
      </w:r>
      <w:r w:rsidR="00105E82">
        <w:rPr>
          <w:rFonts w:eastAsia="Arial" w:cstheme="minorHAnsi"/>
          <w:b/>
          <w:sz w:val="24"/>
          <w:szCs w:val="24"/>
        </w:rPr>
        <w:t>3</w:t>
      </w:r>
      <w:r w:rsidRPr="001859D2">
        <w:rPr>
          <w:rFonts w:eastAsia="Arial" w:cstheme="minorHAnsi"/>
          <w:b/>
          <w:sz w:val="24"/>
          <w:szCs w:val="24"/>
        </w:rPr>
        <w:t xml:space="preserve">: MRI Volume at </w:t>
      </w:r>
      <w:r w:rsidR="0001101F">
        <w:rPr>
          <w:rFonts w:eastAsia="Arial" w:cstheme="minorHAnsi"/>
          <w:b/>
          <w:sz w:val="24"/>
          <w:szCs w:val="24"/>
        </w:rPr>
        <w:t>SSH</w:t>
      </w:r>
      <w:r w:rsidRPr="001859D2">
        <w:rPr>
          <w:rFonts w:eastAsia="Arial" w:cstheme="minorHAnsi"/>
          <w:b/>
          <w:sz w:val="24"/>
          <w:szCs w:val="24"/>
        </w:rPr>
        <w:t xml:space="preserve"> Main Campus</w:t>
      </w:r>
    </w:p>
    <w:p w14:paraId="275A40E0" w14:textId="77777777" w:rsidR="001859D2" w:rsidRPr="00164669" w:rsidRDefault="001859D2" w:rsidP="00164669">
      <w:pPr>
        <w:spacing w:after="0" w:line="240" w:lineRule="auto"/>
        <w:ind w:left="2520" w:hanging="1350"/>
        <w:rPr>
          <w:rFonts w:eastAsia="Arial" w:cstheme="minorHAnsi"/>
          <w:b/>
        </w:rPr>
      </w:pPr>
    </w:p>
    <w:tbl>
      <w:tblPr>
        <w:tblStyle w:val="TableGrid"/>
        <w:tblW w:w="0" w:type="auto"/>
        <w:jc w:val="center"/>
        <w:tblLook w:val="04A0" w:firstRow="1" w:lastRow="0" w:firstColumn="1" w:lastColumn="0" w:noHBand="0" w:noVBand="1"/>
        <w:tblCaption w:val="Table 13: MRI Volume at SS Main Campus"/>
        <w:tblDescription w:val="Year 2017 2018 2019 2020&#10;# of Scans 7,284 7,497 7,471 6,497&#10;"/>
      </w:tblPr>
      <w:tblGrid>
        <w:gridCol w:w="1111"/>
        <w:gridCol w:w="716"/>
        <w:gridCol w:w="716"/>
        <w:gridCol w:w="716"/>
        <w:gridCol w:w="716"/>
      </w:tblGrid>
      <w:tr w:rsidR="00164669" w:rsidRPr="00164669" w14:paraId="2FB14C75" w14:textId="77777777" w:rsidTr="0057267F">
        <w:trPr>
          <w:tblHeader/>
          <w:jc w:val="center"/>
        </w:trPr>
        <w:tc>
          <w:tcPr>
            <w:tcW w:w="0" w:type="auto"/>
          </w:tcPr>
          <w:p w14:paraId="1F04226B" w14:textId="77777777" w:rsidR="00164669" w:rsidRPr="00164669" w:rsidRDefault="00164669" w:rsidP="00164669">
            <w:pPr>
              <w:jc w:val="center"/>
              <w:rPr>
                <w:rFonts w:eastAsia="Arial" w:cstheme="minorHAnsi"/>
                <w:bCs/>
              </w:rPr>
            </w:pPr>
            <w:r w:rsidRPr="00164669">
              <w:rPr>
                <w:rFonts w:eastAsia="Arial" w:cstheme="minorHAnsi"/>
                <w:bCs/>
              </w:rPr>
              <w:t>Year</w:t>
            </w:r>
          </w:p>
        </w:tc>
        <w:tc>
          <w:tcPr>
            <w:tcW w:w="0" w:type="auto"/>
            <w:shd w:val="clear" w:color="auto" w:fill="D9D9D9" w:themeFill="background1" w:themeFillShade="D9"/>
          </w:tcPr>
          <w:p w14:paraId="7CA93776" w14:textId="77777777" w:rsidR="00164669" w:rsidRPr="00164669" w:rsidRDefault="00164669" w:rsidP="00164669">
            <w:pPr>
              <w:jc w:val="center"/>
              <w:rPr>
                <w:rFonts w:eastAsia="Arial" w:cstheme="minorHAnsi"/>
                <w:b/>
              </w:rPr>
            </w:pPr>
            <w:r w:rsidRPr="00164669">
              <w:rPr>
                <w:rFonts w:eastAsia="Arial" w:cstheme="minorHAnsi"/>
                <w:b/>
              </w:rPr>
              <w:t>2017</w:t>
            </w:r>
          </w:p>
        </w:tc>
        <w:tc>
          <w:tcPr>
            <w:tcW w:w="0" w:type="auto"/>
            <w:shd w:val="clear" w:color="auto" w:fill="D9D9D9" w:themeFill="background1" w:themeFillShade="D9"/>
          </w:tcPr>
          <w:p w14:paraId="02C1ACD9" w14:textId="77777777" w:rsidR="00164669" w:rsidRPr="00164669" w:rsidRDefault="00164669" w:rsidP="00164669">
            <w:pPr>
              <w:jc w:val="center"/>
              <w:rPr>
                <w:rFonts w:eastAsia="Arial" w:cstheme="minorHAnsi"/>
                <w:b/>
              </w:rPr>
            </w:pPr>
            <w:r w:rsidRPr="00164669">
              <w:rPr>
                <w:rFonts w:eastAsia="Arial" w:cstheme="minorHAnsi"/>
                <w:b/>
              </w:rPr>
              <w:t>2018</w:t>
            </w:r>
          </w:p>
        </w:tc>
        <w:tc>
          <w:tcPr>
            <w:tcW w:w="0" w:type="auto"/>
            <w:shd w:val="clear" w:color="auto" w:fill="D9D9D9" w:themeFill="background1" w:themeFillShade="D9"/>
          </w:tcPr>
          <w:p w14:paraId="5B10A16D" w14:textId="77777777" w:rsidR="00164669" w:rsidRPr="00164669" w:rsidRDefault="00164669" w:rsidP="00164669">
            <w:pPr>
              <w:jc w:val="center"/>
              <w:rPr>
                <w:rFonts w:eastAsia="Arial" w:cstheme="minorHAnsi"/>
                <w:b/>
              </w:rPr>
            </w:pPr>
            <w:r w:rsidRPr="00164669">
              <w:rPr>
                <w:rFonts w:eastAsia="Arial" w:cstheme="minorHAnsi"/>
                <w:b/>
              </w:rPr>
              <w:t>2019</w:t>
            </w:r>
          </w:p>
        </w:tc>
        <w:tc>
          <w:tcPr>
            <w:tcW w:w="0" w:type="auto"/>
            <w:shd w:val="clear" w:color="auto" w:fill="D9D9D9" w:themeFill="background1" w:themeFillShade="D9"/>
          </w:tcPr>
          <w:p w14:paraId="280DACF7" w14:textId="77777777" w:rsidR="00164669" w:rsidRPr="00164669" w:rsidRDefault="00164669" w:rsidP="00164669">
            <w:pPr>
              <w:jc w:val="center"/>
              <w:rPr>
                <w:rFonts w:eastAsia="Arial" w:cstheme="minorHAnsi"/>
                <w:b/>
              </w:rPr>
            </w:pPr>
            <w:r w:rsidRPr="00164669">
              <w:rPr>
                <w:rFonts w:eastAsia="Arial" w:cstheme="minorHAnsi"/>
                <w:b/>
              </w:rPr>
              <w:t>2020</w:t>
            </w:r>
          </w:p>
        </w:tc>
      </w:tr>
      <w:tr w:rsidR="00164669" w:rsidRPr="00164669" w14:paraId="2E0884C6" w14:textId="77777777" w:rsidTr="001C3428">
        <w:trPr>
          <w:jc w:val="center"/>
        </w:trPr>
        <w:tc>
          <w:tcPr>
            <w:tcW w:w="0" w:type="auto"/>
          </w:tcPr>
          <w:p w14:paraId="3FCEFE58" w14:textId="77777777" w:rsidR="00164669" w:rsidRPr="00164669" w:rsidRDefault="00164669" w:rsidP="00164669">
            <w:pPr>
              <w:jc w:val="center"/>
              <w:rPr>
                <w:rFonts w:eastAsia="Arial" w:cstheme="minorHAnsi"/>
                <w:bCs/>
              </w:rPr>
            </w:pPr>
            <w:r w:rsidRPr="00164669">
              <w:rPr>
                <w:rFonts w:eastAsia="Arial" w:cstheme="minorHAnsi"/>
                <w:bCs/>
              </w:rPr>
              <w:t># of Scans</w:t>
            </w:r>
          </w:p>
        </w:tc>
        <w:tc>
          <w:tcPr>
            <w:tcW w:w="0" w:type="auto"/>
          </w:tcPr>
          <w:p w14:paraId="030047A5" w14:textId="77777777" w:rsidR="00164669" w:rsidRPr="00164669" w:rsidRDefault="00164669" w:rsidP="00164669">
            <w:pPr>
              <w:jc w:val="center"/>
              <w:rPr>
                <w:rFonts w:eastAsia="Arial" w:cstheme="minorHAnsi"/>
                <w:bCs/>
              </w:rPr>
            </w:pPr>
            <w:r w:rsidRPr="00164669">
              <w:rPr>
                <w:rFonts w:eastAsia="Arial" w:cstheme="minorHAnsi"/>
                <w:bCs/>
              </w:rPr>
              <w:t>7,284</w:t>
            </w:r>
          </w:p>
        </w:tc>
        <w:tc>
          <w:tcPr>
            <w:tcW w:w="0" w:type="auto"/>
          </w:tcPr>
          <w:p w14:paraId="3CC937F8" w14:textId="77777777" w:rsidR="00164669" w:rsidRPr="00164669" w:rsidRDefault="00164669" w:rsidP="00164669">
            <w:pPr>
              <w:jc w:val="center"/>
              <w:rPr>
                <w:rFonts w:eastAsia="Arial" w:cstheme="minorHAnsi"/>
                <w:bCs/>
              </w:rPr>
            </w:pPr>
            <w:r w:rsidRPr="00164669">
              <w:rPr>
                <w:rFonts w:eastAsia="Arial" w:cstheme="minorHAnsi"/>
                <w:bCs/>
              </w:rPr>
              <w:t>7,497</w:t>
            </w:r>
          </w:p>
        </w:tc>
        <w:tc>
          <w:tcPr>
            <w:tcW w:w="0" w:type="auto"/>
          </w:tcPr>
          <w:p w14:paraId="0E74F353" w14:textId="77777777" w:rsidR="00164669" w:rsidRPr="00164669" w:rsidRDefault="00164669" w:rsidP="00164669">
            <w:pPr>
              <w:jc w:val="center"/>
              <w:rPr>
                <w:rFonts w:eastAsia="Arial" w:cstheme="minorHAnsi"/>
                <w:bCs/>
              </w:rPr>
            </w:pPr>
            <w:r w:rsidRPr="00164669">
              <w:rPr>
                <w:rFonts w:eastAsia="Arial" w:cstheme="minorHAnsi"/>
                <w:bCs/>
              </w:rPr>
              <w:t>7,471</w:t>
            </w:r>
          </w:p>
        </w:tc>
        <w:tc>
          <w:tcPr>
            <w:tcW w:w="0" w:type="auto"/>
          </w:tcPr>
          <w:p w14:paraId="37A7738C" w14:textId="77777777" w:rsidR="00164669" w:rsidRPr="00164669" w:rsidRDefault="00164669" w:rsidP="00164669">
            <w:pPr>
              <w:jc w:val="center"/>
              <w:rPr>
                <w:rFonts w:eastAsia="Arial" w:cstheme="minorHAnsi"/>
                <w:bCs/>
              </w:rPr>
            </w:pPr>
            <w:r w:rsidRPr="00164669">
              <w:rPr>
                <w:rFonts w:eastAsia="Arial" w:cstheme="minorHAnsi"/>
                <w:bCs/>
              </w:rPr>
              <w:t>6,497</w:t>
            </w:r>
          </w:p>
        </w:tc>
      </w:tr>
    </w:tbl>
    <w:p w14:paraId="17DA5B47" w14:textId="1D5B108C" w:rsidR="00164669" w:rsidRDefault="00164669" w:rsidP="00164669">
      <w:pPr>
        <w:spacing w:after="0" w:line="240" w:lineRule="auto"/>
        <w:ind w:left="176"/>
        <w:rPr>
          <w:rFonts w:eastAsia="Arial" w:cstheme="minorHAnsi"/>
          <w:bCs/>
          <w:sz w:val="20"/>
          <w:szCs w:val="20"/>
        </w:rPr>
      </w:pPr>
      <w:r w:rsidRPr="00164669">
        <w:rPr>
          <w:rFonts w:eastAsia="Arial" w:cstheme="minorHAnsi"/>
          <w:bCs/>
          <w:sz w:val="20"/>
          <w:szCs w:val="20"/>
        </w:rPr>
        <w:tab/>
      </w:r>
    </w:p>
    <w:p w14:paraId="772A597D" w14:textId="497D53EE" w:rsidR="00206245" w:rsidRPr="004C6EF7" w:rsidRDefault="00206245" w:rsidP="006F5082">
      <w:pPr>
        <w:spacing w:after="0" w:line="240" w:lineRule="auto"/>
        <w:rPr>
          <w:rFonts w:eastAsia="Arial" w:cstheme="minorHAnsi"/>
          <w:b/>
          <w:sz w:val="24"/>
          <w:szCs w:val="24"/>
        </w:rPr>
      </w:pPr>
      <w:r w:rsidRPr="00532CD6">
        <w:rPr>
          <w:rFonts w:eastAsia="Arial" w:cstheme="minorHAnsi"/>
          <w:bCs/>
          <w:sz w:val="24"/>
          <w:szCs w:val="24"/>
        </w:rPr>
        <w:t>MRI wait times for inpatients and emergency patients at SSH have increased during the same period that operating capacity</w:t>
      </w:r>
      <w:r w:rsidR="00532CD6">
        <w:rPr>
          <w:rFonts w:eastAsia="Arial" w:cstheme="minorHAnsi"/>
          <w:bCs/>
          <w:sz w:val="24"/>
          <w:szCs w:val="24"/>
        </w:rPr>
        <w:t xml:space="preserve"> has</w:t>
      </w:r>
      <w:r w:rsidRPr="00532CD6">
        <w:rPr>
          <w:rFonts w:eastAsia="Arial" w:cstheme="minorHAnsi"/>
          <w:bCs/>
          <w:sz w:val="24"/>
          <w:szCs w:val="24"/>
        </w:rPr>
        <w:t xml:space="preserve"> </w:t>
      </w:r>
      <w:r w:rsidR="00283116" w:rsidRPr="00532CD6">
        <w:rPr>
          <w:rFonts w:eastAsia="Arial" w:cstheme="minorHAnsi"/>
          <w:bCs/>
          <w:sz w:val="24"/>
          <w:szCs w:val="24"/>
        </w:rPr>
        <w:t>increased</w:t>
      </w:r>
      <w:r w:rsidR="00C0429B">
        <w:rPr>
          <w:rFonts w:eastAsia="Arial" w:cstheme="minorHAnsi"/>
          <w:bCs/>
          <w:sz w:val="24"/>
          <w:szCs w:val="24"/>
        </w:rPr>
        <w:t xml:space="preserve">. In FY20 wait times </w:t>
      </w:r>
      <w:r w:rsidR="00C0429B">
        <w:rPr>
          <w:rFonts w:eastAsia="Times New Roman"/>
          <w:color w:val="000000"/>
          <w:sz w:val="24"/>
          <w:szCs w:val="24"/>
        </w:rPr>
        <w:t>at the main campus were 13 hours for emergency patients and 24 hours for admitted patients</w:t>
      </w:r>
      <w:r w:rsidRPr="00532CD6">
        <w:rPr>
          <w:rFonts w:eastAsia="Arial" w:cstheme="minorHAnsi"/>
          <w:bCs/>
          <w:sz w:val="24"/>
          <w:szCs w:val="24"/>
        </w:rPr>
        <w:t xml:space="preserve">. </w:t>
      </w:r>
      <w:r w:rsidR="00E33FA8">
        <w:rPr>
          <w:rFonts w:eastAsia="Arial" w:cstheme="minorHAnsi"/>
          <w:bCs/>
          <w:sz w:val="24"/>
          <w:szCs w:val="24"/>
        </w:rPr>
        <w:t xml:space="preserve">With implementation of the Proposed Project, </w:t>
      </w:r>
      <w:r w:rsidR="00EA7BCA">
        <w:rPr>
          <w:rFonts w:eastAsia="Arial" w:cstheme="minorHAnsi"/>
          <w:bCs/>
          <w:sz w:val="24"/>
          <w:szCs w:val="24"/>
        </w:rPr>
        <w:t xml:space="preserve">the Applicant </w:t>
      </w:r>
      <w:r w:rsidRPr="004C6EF7">
        <w:rPr>
          <w:rFonts w:eastAsia="Arial" w:cstheme="minorHAnsi"/>
          <w:bCs/>
          <w:sz w:val="24"/>
          <w:szCs w:val="24"/>
        </w:rPr>
        <w:t>project</w:t>
      </w:r>
      <w:r w:rsidR="00EA7BCA">
        <w:rPr>
          <w:rFonts w:eastAsia="Arial" w:cstheme="minorHAnsi"/>
          <w:bCs/>
          <w:sz w:val="24"/>
          <w:szCs w:val="24"/>
        </w:rPr>
        <w:t xml:space="preserve">s </w:t>
      </w:r>
      <w:r w:rsidRPr="004C6EF7">
        <w:rPr>
          <w:rFonts w:eastAsia="Arial" w:cstheme="minorHAnsi"/>
          <w:bCs/>
          <w:sz w:val="24"/>
          <w:szCs w:val="24"/>
        </w:rPr>
        <w:t xml:space="preserve">a </w:t>
      </w:r>
      <w:r w:rsidR="00A64C00">
        <w:rPr>
          <w:rFonts w:eastAsia="Arial" w:cstheme="minorHAnsi"/>
          <w:bCs/>
          <w:sz w:val="24"/>
          <w:szCs w:val="24"/>
        </w:rPr>
        <w:t xml:space="preserve">measurable </w:t>
      </w:r>
      <w:r w:rsidRPr="004C6EF7">
        <w:rPr>
          <w:rFonts w:eastAsia="Arial" w:cstheme="minorHAnsi"/>
          <w:bCs/>
          <w:sz w:val="24"/>
          <w:szCs w:val="24"/>
        </w:rPr>
        <w:t>reduction in wait times for inpatients and outpatients</w:t>
      </w:r>
      <w:r w:rsidR="00E33FA8">
        <w:rPr>
          <w:rFonts w:eastAsia="Arial" w:cstheme="minorHAnsi"/>
          <w:bCs/>
          <w:sz w:val="24"/>
          <w:szCs w:val="24"/>
        </w:rPr>
        <w:t xml:space="preserve"> as shown in </w:t>
      </w:r>
      <w:r w:rsidR="00E33FA8" w:rsidRPr="004C6EF7">
        <w:rPr>
          <w:rFonts w:eastAsia="Arial" w:cstheme="minorHAnsi"/>
          <w:bCs/>
          <w:sz w:val="24"/>
          <w:szCs w:val="24"/>
        </w:rPr>
        <w:t xml:space="preserve">Table </w:t>
      </w:r>
      <w:r w:rsidR="00C0429B" w:rsidRPr="004C6EF7">
        <w:rPr>
          <w:rFonts w:eastAsia="Arial" w:cstheme="minorHAnsi"/>
          <w:bCs/>
          <w:sz w:val="24"/>
          <w:szCs w:val="24"/>
        </w:rPr>
        <w:t>1</w:t>
      </w:r>
      <w:r w:rsidR="005F2922">
        <w:rPr>
          <w:rFonts w:eastAsia="Arial" w:cstheme="minorHAnsi"/>
          <w:bCs/>
          <w:sz w:val="24"/>
          <w:szCs w:val="24"/>
        </w:rPr>
        <w:t>4</w:t>
      </w:r>
      <w:r w:rsidR="00C0429B" w:rsidRPr="004C6EF7">
        <w:rPr>
          <w:rFonts w:eastAsia="Arial" w:cstheme="minorHAnsi"/>
          <w:bCs/>
          <w:sz w:val="24"/>
          <w:szCs w:val="24"/>
        </w:rPr>
        <w:t xml:space="preserve"> </w:t>
      </w:r>
      <w:r w:rsidR="00E33FA8" w:rsidRPr="004C6EF7">
        <w:rPr>
          <w:rFonts w:eastAsia="Arial" w:cstheme="minorHAnsi"/>
          <w:bCs/>
          <w:sz w:val="24"/>
          <w:szCs w:val="24"/>
        </w:rPr>
        <w:t>below</w:t>
      </w:r>
      <w:r w:rsidRPr="004C6EF7">
        <w:rPr>
          <w:rFonts w:eastAsia="Arial" w:cstheme="minorHAnsi"/>
          <w:bCs/>
          <w:sz w:val="24"/>
          <w:szCs w:val="24"/>
        </w:rPr>
        <w:t xml:space="preserve">. </w:t>
      </w:r>
    </w:p>
    <w:p w14:paraId="65E2A393" w14:textId="77777777" w:rsidR="00206245" w:rsidRPr="00206245" w:rsidRDefault="00206245" w:rsidP="00206245">
      <w:pPr>
        <w:pStyle w:val="ListParagraph"/>
        <w:spacing w:after="0" w:line="240" w:lineRule="auto"/>
        <w:rPr>
          <w:rFonts w:eastAsia="Arial" w:cstheme="minorHAnsi"/>
          <w:b/>
        </w:rPr>
      </w:pPr>
    </w:p>
    <w:p w14:paraId="304A1816" w14:textId="07505869" w:rsidR="00F973BE" w:rsidRDefault="00164669" w:rsidP="00F973BE">
      <w:pPr>
        <w:spacing w:after="0" w:line="240" w:lineRule="auto"/>
        <w:jc w:val="center"/>
        <w:rPr>
          <w:rFonts w:eastAsia="Arial" w:cstheme="minorHAnsi"/>
          <w:b/>
          <w:sz w:val="24"/>
          <w:szCs w:val="24"/>
        </w:rPr>
      </w:pPr>
      <w:r w:rsidRPr="00EA7BCA">
        <w:rPr>
          <w:rFonts w:eastAsia="Arial" w:cstheme="minorHAnsi"/>
          <w:b/>
          <w:sz w:val="24"/>
          <w:szCs w:val="24"/>
        </w:rPr>
        <w:t xml:space="preserve">Table </w:t>
      </w:r>
      <w:r w:rsidR="00C0429B" w:rsidRPr="00EA7BCA">
        <w:rPr>
          <w:rFonts w:eastAsia="Arial" w:cstheme="minorHAnsi"/>
          <w:b/>
          <w:sz w:val="24"/>
          <w:szCs w:val="24"/>
        </w:rPr>
        <w:t>1</w:t>
      </w:r>
      <w:r w:rsidR="00105E82">
        <w:rPr>
          <w:rFonts w:eastAsia="Arial" w:cstheme="minorHAnsi"/>
          <w:b/>
          <w:sz w:val="24"/>
          <w:szCs w:val="24"/>
        </w:rPr>
        <w:t>4</w:t>
      </w:r>
      <w:r w:rsidRPr="00EA7BCA">
        <w:rPr>
          <w:rFonts w:eastAsia="Arial" w:cstheme="minorHAnsi"/>
          <w:b/>
          <w:sz w:val="24"/>
          <w:szCs w:val="24"/>
        </w:rPr>
        <w:t xml:space="preserve">: Projected </w:t>
      </w:r>
      <w:r w:rsidR="00206245" w:rsidRPr="00EA7BCA">
        <w:rPr>
          <w:rFonts w:eastAsia="Arial" w:cstheme="minorHAnsi"/>
          <w:b/>
          <w:sz w:val="24"/>
          <w:szCs w:val="24"/>
        </w:rPr>
        <w:t xml:space="preserve">MRI </w:t>
      </w:r>
      <w:r w:rsidRPr="00EA7BCA">
        <w:rPr>
          <w:rFonts w:eastAsia="Arial" w:cstheme="minorHAnsi"/>
          <w:b/>
          <w:sz w:val="24"/>
          <w:szCs w:val="24"/>
        </w:rPr>
        <w:t xml:space="preserve">Wait </w:t>
      </w:r>
      <w:r w:rsidR="00E33FA8">
        <w:rPr>
          <w:rFonts w:eastAsia="Arial" w:cstheme="minorHAnsi"/>
          <w:b/>
          <w:sz w:val="24"/>
          <w:szCs w:val="24"/>
        </w:rPr>
        <w:t>T</w:t>
      </w:r>
      <w:r w:rsidRPr="00EA7BCA">
        <w:rPr>
          <w:rFonts w:eastAsia="Arial" w:cstheme="minorHAnsi"/>
          <w:b/>
          <w:sz w:val="24"/>
          <w:szCs w:val="24"/>
        </w:rPr>
        <w:t>imes Following Implementation</w:t>
      </w:r>
      <w:r w:rsidR="000C6D9B">
        <w:rPr>
          <w:rFonts w:eastAsia="Arial" w:cstheme="minorHAnsi"/>
          <w:b/>
          <w:sz w:val="24"/>
          <w:szCs w:val="24"/>
        </w:rPr>
        <w:t xml:space="preserve"> </w:t>
      </w:r>
    </w:p>
    <w:p w14:paraId="3EEA657D" w14:textId="476C7F2A" w:rsidR="00F973BE" w:rsidRDefault="000542BB" w:rsidP="00F973BE">
      <w:pPr>
        <w:spacing w:after="0" w:line="240" w:lineRule="auto"/>
        <w:jc w:val="center"/>
        <w:rPr>
          <w:rFonts w:eastAsia="Arial" w:cstheme="minorHAnsi"/>
          <w:b/>
          <w:sz w:val="24"/>
          <w:szCs w:val="24"/>
        </w:rPr>
      </w:pPr>
      <w:r>
        <w:rPr>
          <w:rFonts w:eastAsia="Arial" w:cstheme="minorHAnsi"/>
          <w:b/>
          <w:sz w:val="24"/>
          <w:szCs w:val="24"/>
        </w:rPr>
        <w:t xml:space="preserve"> </w:t>
      </w:r>
      <w:r w:rsidR="000C6D9B">
        <w:rPr>
          <w:rFonts w:eastAsia="Arial" w:cstheme="minorHAnsi"/>
          <w:b/>
          <w:sz w:val="24"/>
          <w:szCs w:val="24"/>
        </w:rPr>
        <w:t>(Hours</w:t>
      </w:r>
      <w:r w:rsidR="00F973BE">
        <w:rPr>
          <w:rFonts w:eastAsia="Arial" w:cstheme="minorHAnsi"/>
          <w:b/>
          <w:sz w:val="24"/>
          <w:szCs w:val="24"/>
        </w:rPr>
        <w:t xml:space="preserve"> Order to Exam)</w:t>
      </w:r>
    </w:p>
    <w:p w14:paraId="79FF747D" w14:textId="77777777" w:rsidR="00EA7BCA" w:rsidRPr="00EA7BCA" w:rsidRDefault="00EA7BCA" w:rsidP="00EA7BCA">
      <w:pPr>
        <w:spacing w:after="0" w:line="240" w:lineRule="auto"/>
        <w:jc w:val="center"/>
        <w:rPr>
          <w:rFonts w:eastAsia="Arial" w:cstheme="minorHAnsi"/>
          <w:b/>
          <w:sz w:val="24"/>
          <w:szCs w:val="24"/>
        </w:rPr>
      </w:pPr>
    </w:p>
    <w:tbl>
      <w:tblPr>
        <w:tblStyle w:val="TableGrid"/>
        <w:tblW w:w="0" w:type="auto"/>
        <w:jc w:val="center"/>
        <w:tblLook w:val="04A0" w:firstRow="1" w:lastRow="0" w:firstColumn="1" w:lastColumn="0" w:noHBand="0" w:noVBand="1"/>
        <w:tblCaption w:val="Table 14: Projected MRI Wait Times Following Implementation "/>
        <w:tblDescription w:val=" Year 1 Year 2 Year 3&#10;Admitted Patients 14 12 8&#10;Emergency and Observations  8 6 6&#10;"/>
      </w:tblPr>
      <w:tblGrid>
        <w:gridCol w:w="2828"/>
        <w:gridCol w:w="791"/>
        <w:gridCol w:w="791"/>
        <w:gridCol w:w="791"/>
      </w:tblGrid>
      <w:tr w:rsidR="00164669" w:rsidRPr="00164669" w14:paraId="1DADF6F7" w14:textId="77777777" w:rsidTr="0057267F">
        <w:trPr>
          <w:tblHeader/>
          <w:jc w:val="center"/>
        </w:trPr>
        <w:tc>
          <w:tcPr>
            <w:tcW w:w="0" w:type="auto"/>
          </w:tcPr>
          <w:p w14:paraId="187D8ADE" w14:textId="77777777" w:rsidR="00164669" w:rsidRPr="00164669" w:rsidRDefault="00164669" w:rsidP="00164669">
            <w:pPr>
              <w:rPr>
                <w:rFonts w:eastAsia="Arial" w:cstheme="minorHAnsi"/>
                <w:b/>
              </w:rPr>
            </w:pPr>
          </w:p>
        </w:tc>
        <w:tc>
          <w:tcPr>
            <w:tcW w:w="0" w:type="auto"/>
            <w:shd w:val="clear" w:color="auto" w:fill="D9D9D9" w:themeFill="background1" w:themeFillShade="D9"/>
          </w:tcPr>
          <w:p w14:paraId="23452344" w14:textId="77777777" w:rsidR="00164669" w:rsidRPr="00164669" w:rsidRDefault="00164669" w:rsidP="00164669">
            <w:pPr>
              <w:jc w:val="center"/>
              <w:rPr>
                <w:rFonts w:eastAsia="Arial" w:cstheme="minorHAnsi"/>
                <w:b/>
              </w:rPr>
            </w:pPr>
            <w:r w:rsidRPr="00164669">
              <w:rPr>
                <w:rFonts w:eastAsia="Arial" w:cstheme="minorHAnsi"/>
                <w:b/>
              </w:rPr>
              <w:t>Year 1</w:t>
            </w:r>
          </w:p>
        </w:tc>
        <w:tc>
          <w:tcPr>
            <w:tcW w:w="0" w:type="auto"/>
            <w:shd w:val="clear" w:color="auto" w:fill="D9D9D9" w:themeFill="background1" w:themeFillShade="D9"/>
          </w:tcPr>
          <w:p w14:paraId="2E66BF85" w14:textId="77777777" w:rsidR="00164669" w:rsidRPr="00164669" w:rsidRDefault="00164669" w:rsidP="00164669">
            <w:pPr>
              <w:jc w:val="center"/>
              <w:rPr>
                <w:rFonts w:eastAsia="Arial" w:cstheme="minorHAnsi"/>
                <w:b/>
              </w:rPr>
            </w:pPr>
            <w:r w:rsidRPr="00164669">
              <w:rPr>
                <w:rFonts w:eastAsia="Arial" w:cstheme="minorHAnsi"/>
                <w:b/>
              </w:rPr>
              <w:t>Year 2</w:t>
            </w:r>
          </w:p>
        </w:tc>
        <w:tc>
          <w:tcPr>
            <w:tcW w:w="0" w:type="auto"/>
            <w:shd w:val="clear" w:color="auto" w:fill="D9D9D9" w:themeFill="background1" w:themeFillShade="D9"/>
          </w:tcPr>
          <w:p w14:paraId="36CE26A9" w14:textId="77777777" w:rsidR="00164669" w:rsidRPr="00164669" w:rsidRDefault="00164669" w:rsidP="00164669">
            <w:pPr>
              <w:jc w:val="center"/>
              <w:rPr>
                <w:rFonts w:eastAsia="Arial" w:cstheme="minorHAnsi"/>
                <w:b/>
              </w:rPr>
            </w:pPr>
            <w:r w:rsidRPr="00164669">
              <w:rPr>
                <w:rFonts w:eastAsia="Arial" w:cstheme="minorHAnsi"/>
                <w:b/>
              </w:rPr>
              <w:t>Year 3</w:t>
            </w:r>
          </w:p>
        </w:tc>
      </w:tr>
      <w:tr w:rsidR="00164669" w:rsidRPr="00164669" w14:paraId="7BF0B608" w14:textId="77777777" w:rsidTr="00E10878">
        <w:trPr>
          <w:jc w:val="center"/>
        </w:trPr>
        <w:tc>
          <w:tcPr>
            <w:tcW w:w="0" w:type="auto"/>
          </w:tcPr>
          <w:p w14:paraId="35E825D7" w14:textId="77777777" w:rsidR="00164669" w:rsidRPr="00164669" w:rsidRDefault="00164669" w:rsidP="00164669">
            <w:pPr>
              <w:rPr>
                <w:rFonts w:eastAsia="Arial" w:cstheme="minorHAnsi"/>
                <w:bCs/>
              </w:rPr>
            </w:pPr>
            <w:r w:rsidRPr="00164669">
              <w:rPr>
                <w:rFonts w:eastAsia="Arial" w:cstheme="minorHAnsi"/>
                <w:bCs/>
              </w:rPr>
              <w:t>Admitted Patients</w:t>
            </w:r>
          </w:p>
        </w:tc>
        <w:tc>
          <w:tcPr>
            <w:tcW w:w="0" w:type="auto"/>
            <w:vAlign w:val="center"/>
          </w:tcPr>
          <w:p w14:paraId="26008738" w14:textId="77777777" w:rsidR="00164669" w:rsidRPr="00164669" w:rsidRDefault="00164669" w:rsidP="00164669">
            <w:pPr>
              <w:jc w:val="center"/>
              <w:rPr>
                <w:rFonts w:eastAsia="Arial" w:cstheme="minorHAnsi"/>
                <w:bCs/>
              </w:rPr>
            </w:pPr>
            <w:r w:rsidRPr="00164669">
              <w:rPr>
                <w:rFonts w:eastAsia="Arial" w:cstheme="minorHAnsi"/>
                <w:bCs/>
              </w:rPr>
              <w:t>14</w:t>
            </w:r>
          </w:p>
        </w:tc>
        <w:tc>
          <w:tcPr>
            <w:tcW w:w="0" w:type="auto"/>
            <w:vAlign w:val="center"/>
          </w:tcPr>
          <w:p w14:paraId="7D502836" w14:textId="77777777" w:rsidR="00164669" w:rsidRPr="00164669" w:rsidRDefault="00164669" w:rsidP="00164669">
            <w:pPr>
              <w:jc w:val="center"/>
              <w:rPr>
                <w:rFonts w:eastAsia="Arial" w:cstheme="minorHAnsi"/>
                <w:bCs/>
              </w:rPr>
            </w:pPr>
            <w:r w:rsidRPr="00164669">
              <w:rPr>
                <w:rFonts w:eastAsia="Arial" w:cstheme="minorHAnsi"/>
                <w:bCs/>
              </w:rPr>
              <w:t>12</w:t>
            </w:r>
          </w:p>
        </w:tc>
        <w:tc>
          <w:tcPr>
            <w:tcW w:w="0" w:type="auto"/>
            <w:vAlign w:val="center"/>
          </w:tcPr>
          <w:p w14:paraId="07239AA7" w14:textId="77777777" w:rsidR="00164669" w:rsidRPr="00164669" w:rsidRDefault="00164669" w:rsidP="00164669">
            <w:pPr>
              <w:jc w:val="center"/>
              <w:rPr>
                <w:rFonts w:eastAsia="Arial" w:cstheme="minorHAnsi"/>
                <w:bCs/>
              </w:rPr>
            </w:pPr>
            <w:r w:rsidRPr="00164669">
              <w:rPr>
                <w:rFonts w:eastAsia="Arial" w:cstheme="minorHAnsi"/>
                <w:bCs/>
              </w:rPr>
              <w:t>8</w:t>
            </w:r>
          </w:p>
        </w:tc>
      </w:tr>
      <w:tr w:rsidR="00164669" w:rsidRPr="00164669" w14:paraId="1B0F9F51" w14:textId="77777777" w:rsidTr="00E10878">
        <w:trPr>
          <w:trHeight w:val="458"/>
          <w:jc w:val="center"/>
        </w:trPr>
        <w:tc>
          <w:tcPr>
            <w:tcW w:w="0" w:type="auto"/>
          </w:tcPr>
          <w:p w14:paraId="5C84480A" w14:textId="77777777" w:rsidR="00164669" w:rsidRPr="00164669" w:rsidRDefault="00164669" w:rsidP="00164669">
            <w:pPr>
              <w:rPr>
                <w:rFonts w:eastAsia="Arial" w:cstheme="minorHAnsi"/>
                <w:bCs/>
              </w:rPr>
            </w:pPr>
            <w:r w:rsidRPr="00164669">
              <w:rPr>
                <w:rFonts w:eastAsia="Arial" w:cstheme="minorHAnsi"/>
                <w:bCs/>
              </w:rPr>
              <w:t xml:space="preserve">Emergency and Observations </w:t>
            </w:r>
          </w:p>
        </w:tc>
        <w:tc>
          <w:tcPr>
            <w:tcW w:w="0" w:type="auto"/>
            <w:vAlign w:val="center"/>
          </w:tcPr>
          <w:p w14:paraId="59CCA0A4" w14:textId="77777777" w:rsidR="00164669" w:rsidRPr="00164669" w:rsidRDefault="00164669" w:rsidP="00164669">
            <w:pPr>
              <w:jc w:val="center"/>
              <w:rPr>
                <w:rFonts w:eastAsia="Arial" w:cstheme="minorHAnsi"/>
                <w:bCs/>
              </w:rPr>
            </w:pPr>
            <w:r w:rsidRPr="00164669">
              <w:rPr>
                <w:rFonts w:eastAsia="Arial" w:cstheme="minorHAnsi"/>
                <w:bCs/>
              </w:rPr>
              <w:t>8</w:t>
            </w:r>
          </w:p>
        </w:tc>
        <w:tc>
          <w:tcPr>
            <w:tcW w:w="0" w:type="auto"/>
            <w:vAlign w:val="center"/>
          </w:tcPr>
          <w:p w14:paraId="1A3B9AD5" w14:textId="77777777" w:rsidR="00164669" w:rsidRPr="00164669" w:rsidRDefault="00164669" w:rsidP="00164669">
            <w:pPr>
              <w:jc w:val="center"/>
              <w:rPr>
                <w:rFonts w:eastAsia="Arial" w:cstheme="minorHAnsi"/>
                <w:bCs/>
              </w:rPr>
            </w:pPr>
            <w:r w:rsidRPr="00164669">
              <w:rPr>
                <w:rFonts w:eastAsia="Arial" w:cstheme="minorHAnsi"/>
                <w:bCs/>
              </w:rPr>
              <w:t>6</w:t>
            </w:r>
          </w:p>
        </w:tc>
        <w:tc>
          <w:tcPr>
            <w:tcW w:w="0" w:type="auto"/>
            <w:vAlign w:val="center"/>
          </w:tcPr>
          <w:p w14:paraId="7BAF9C64" w14:textId="77777777" w:rsidR="00164669" w:rsidRPr="00164669" w:rsidRDefault="00164669" w:rsidP="00164669">
            <w:pPr>
              <w:jc w:val="center"/>
              <w:rPr>
                <w:rFonts w:eastAsia="Arial" w:cstheme="minorHAnsi"/>
                <w:bCs/>
              </w:rPr>
            </w:pPr>
            <w:r w:rsidRPr="00164669">
              <w:rPr>
                <w:rFonts w:eastAsia="Arial" w:cstheme="minorHAnsi"/>
                <w:bCs/>
              </w:rPr>
              <w:t>6</w:t>
            </w:r>
          </w:p>
        </w:tc>
      </w:tr>
    </w:tbl>
    <w:p w14:paraId="0889F48E" w14:textId="45096B8A" w:rsidR="00094303" w:rsidRDefault="00094303" w:rsidP="00504005">
      <w:pPr>
        <w:rPr>
          <w:b/>
          <w:bCs/>
          <w:sz w:val="24"/>
          <w:szCs w:val="24"/>
        </w:rPr>
      </w:pPr>
    </w:p>
    <w:p w14:paraId="72263699" w14:textId="24B314E7" w:rsidR="00077393" w:rsidRPr="00996545" w:rsidRDefault="00DE60C9">
      <w:pPr>
        <w:rPr>
          <w:b/>
          <w:bCs/>
          <w:i/>
          <w:iCs/>
          <w:sz w:val="24"/>
          <w:szCs w:val="24"/>
        </w:rPr>
      </w:pPr>
      <w:r w:rsidRPr="00996545">
        <w:rPr>
          <w:b/>
          <w:bCs/>
          <w:i/>
          <w:iCs/>
          <w:sz w:val="24"/>
          <w:szCs w:val="24"/>
        </w:rPr>
        <w:t>Analysis</w:t>
      </w:r>
    </w:p>
    <w:p w14:paraId="22CE93EF" w14:textId="47C5C644" w:rsidR="000570BB" w:rsidRPr="007C0674" w:rsidRDefault="00CF6446" w:rsidP="00667357">
      <w:pPr>
        <w:spacing w:after="0" w:line="240" w:lineRule="auto"/>
        <w:rPr>
          <w:rFonts w:cstheme="minorHAnsi"/>
          <w:bCs/>
          <w:sz w:val="24"/>
          <w:szCs w:val="24"/>
        </w:rPr>
      </w:pPr>
      <w:r>
        <w:rPr>
          <w:sz w:val="24"/>
          <w:szCs w:val="24"/>
        </w:rPr>
        <w:t>Staff concurs</w:t>
      </w:r>
      <w:r w:rsidR="00090F76">
        <w:rPr>
          <w:sz w:val="24"/>
          <w:szCs w:val="24"/>
        </w:rPr>
        <w:t xml:space="preserve"> </w:t>
      </w:r>
      <w:r>
        <w:rPr>
          <w:sz w:val="24"/>
          <w:szCs w:val="24"/>
        </w:rPr>
        <w:t xml:space="preserve">there is demonstrated need to increase Patient Panel access to MRI services </w:t>
      </w:r>
      <w:r w:rsidR="00D07555">
        <w:rPr>
          <w:sz w:val="24"/>
          <w:szCs w:val="24"/>
        </w:rPr>
        <w:t xml:space="preserve">to </w:t>
      </w:r>
      <w:r>
        <w:rPr>
          <w:sz w:val="24"/>
          <w:szCs w:val="24"/>
        </w:rPr>
        <w:t>reduc</w:t>
      </w:r>
      <w:r w:rsidR="00D07555">
        <w:rPr>
          <w:sz w:val="24"/>
          <w:szCs w:val="24"/>
        </w:rPr>
        <w:t>e</w:t>
      </w:r>
      <w:r w:rsidR="00C320A4">
        <w:rPr>
          <w:sz w:val="24"/>
          <w:szCs w:val="24"/>
        </w:rPr>
        <w:t xml:space="preserve"> </w:t>
      </w:r>
      <w:r w:rsidR="00E33FA8">
        <w:rPr>
          <w:sz w:val="24"/>
          <w:szCs w:val="24"/>
        </w:rPr>
        <w:t>transfers of inpatient and emergency patients</w:t>
      </w:r>
      <w:r w:rsidR="00090F76">
        <w:rPr>
          <w:sz w:val="24"/>
          <w:szCs w:val="24"/>
        </w:rPr>
        <w:t>,</w:t>
      </w:r>
      <w:r w:rsidR="000570BB">
        <w:rPr>
          <w:sz w:val="24"/>
          <w:szCs w:val="24"/>
        </w:rPr>
        <w:t xml:space="preserve"> </w:t>
      </w:r>
      <w:r>
        <w:rPr>
          <w:sz w:val="24"/>
          <w:szCs w:val="24"/>
        </w:rPr>
        <w:t>admission length of stay,</w:t>
      </w:r>
      <w:r w:rsidR="00A63A55">
        <w:rPr>
          <w:sz w:val="24"/>
          <w:szCs w:val="24"/>
        </w:rPr>
        <w:t xml:space="preserve"> wait times, </w:t>
      </w:r>
      <w:r>
        <w:rPr>
          <w:sz w:val="24"/>
          <w:szCs w:val="24"/>
        </w:rPr>
        <w:t xml:space="preserve">and referrals outside of SSH to obtain 3T MR imaging. </w:t>
      </w:r>
      <w:r w:rsidR="00B70EF5">
        <w:rPr>
          <w:sz w:val="24"/>
          <w:szCs w:val="24"/>
        </w:rPr>
        <w:t>Further</w:t>
      </w:r>
      <w:r>
        <w:rPr>
          <w:sz w:val="24"/>
          <w:szCs w:val="24"/>
        </w:rPr>
        <w:t>, the addition of a</w:t>
      </w:r>
      <w:r w:rsidR="000570BB">
        <w:rPr>
          <w:sz w:val="24"/>
          <w:szCs w:val="24"/>
        </w:rPr>
        <w:t xml:space="preserve"> 3T MRI</w:t>
      </w:r>
      <w:r>
        <w:rPr>
          <w:sz w:val="24"/>
          <w:szCs w:val="24"/>
        </w:rPr>
        <w:t xml:space="preserve"> unit will </w:t>
      </w:r>
      <w:r w:rsidR="00E33FA8">
        <w:rPr>
          <w:sz w:val="24"/>
          <w:szCs w:val="24"/>
        </w:rPr>
        <w:t xml:space="preserve">help meet </w:t>
      </w:r>
      <w:r w:rsidR="00CE6C17">
        <w:rPr>
          <w:sz w:val="24"/>
          <w:szCs w:val="24"/>
        </w:rPr>
        <w:t>projected</w:t>
      </w:r>
      <w:r>
        <w:rPr>
          <w:sz w:val="24"/>
          <w:szCs w:val="24"/>
        </w:rPr>
        <w:t xml:space="preserve"> increasing demand for MR</w:t>
      </w:r>
      <w:r w:rsidR="000570BB">
        <w:rPr>
          <w:sz w:val="24"/>
          <w:szCs w:val="24"/>
        </w:rPr>
        <w:t xml:space="preserve">I </w:t>
      </w:r>
      <w:r>
        <w:rPr>
          <w:sz w:val="24"/>
          <w:szCs w:val="24"/>
        </w:rPr>
        <w:t>services.</w:t>
      </w:r>
      <w:r w:rsidR="001D1C4F">
        <w:rPr>
          <w:sz w:val="24"/>
          <w:szCs w:val="24"/>
        </w:rPr>
        <w:t xml:space="preserve"> </w:t>
      </w:r>
      <w:r w:rsidR="00E33FA8">
        <w:rPr>
          <w:sz w:val="24"/>
          <w:szCs w:val="24"/>
        </w:rPr>
        <w:t xml:space="preserve">While </w:t>
      </w:r>
      <w:r w:rsidR="00E33FA8">
        <w:rPr>
          <w:bCs/>
          <w:sz w:val="24"/>
          <w:szCs w:val="24"/>
        </w:rPr>
        <w:t>in</w:t>
      </w:r>
      <w:r w:rsidR="001D1C4F">
        <w:rPr>
          <w:bCs/>
          <w:sz w:val="24"/>
          <w:szCs w:val="24"/>
        </w:rPr>
        <w:t xml:space="preserve">terfacility transfers can be necessary for diagnostic and therapeutic interventions, and to maintain coordination and continuation of care, </w:t>
      </w:r>
      <w:r w:rsidR="00A63A55">
        <w:rPr>
          <w:bCs/>
          <w:sz w:val="24"/>
          <w:szCs w:val="24"/>
        </w:rPr>
        <w:t xml:space="preserve">they </w:t>
      </w:r>
      <w:r w:rsidR="001D1C4F">
        <w:rPr>
          <w:bCs/>
          <w:sz w:val="24"/>
          <w:szCs w:val="24"/>
        </w:rPr>
        <w:t>can also pose a risk to patient safety including the potential for clinical deterioration.</w:t>
      </w:r>
      <w:r w:rsidR="001D1C4F">
        <w:rPr>
          <w:rStyle w:val="EndnoteReference"/>
          <w:bCs/>
          <w:sz w:val="24"/>
          <w:szCs w:val="24"/>
        </w:rPr>
        <w:endnoteReference w:id="1"/>
      </w:r>
      <w:r w:rsidR="001D1C4F">
        <w:rPr>
          <w:bCs/>
          <w:sz w:val="24"/>
          <w:szCs w:val="24"/>
        </w:rPr>
        <w:t xml:space="preserve"> </w:t>
      </w:r>
      <w:r w:rsidR="004511A8">
        <w:rPr>
          <w:bCs/>
          <w:sz w:val="24"/>
          <w:szCs w:val="24"/>
        </w:rPr>
        <w:t>L</w:t>
      </w:r>
      <w:r w:rsidR="001D1C4F">
        <w:rPr>
          <w:bCs/>
          <w:sz w:val="24"/>
          <w:szCs w:val="24"/>
        </w:rPr>
        <w:t>onger hospital lengths of stay have been related to delays in imaging time for MRI</w:t>
      </w:r>
      <w:r w:rsidR="004E0765">
        <w:rPr>
          <w:bCs/>
          <w:sz w:val="24"/>
          <w:szCs w:val="24"/>
        </w:rPr>
        <w:t>,</w:t>
      </w:r>
      <w:r w:rsidR="001D1C4F">
        <w:rPr>
          <w:rStyle w:val="EndnoteReference"/>
          <w:bCs/>
          <w:sz w:val="24"/>
          <w:szCs w:val="24"/>
        </w:rPr>
        <w:endnoteReference w:id="2"/>
      </w:r>
      <w:r w:rsidR="004E0765">
        <w:rPr>
          <w:bCs/>
          <w:sz w:val="24"/>
          <w:szCs w:val="24"/>
        </w:rPr>
        <w:t xml:space="preserve"> and</w:t>
      </w:r>
      <w:r w:rsidR="001D1C4F" w:rsidRPr="001D1C4F">
        <w:t xml:space="preserve"> </w:t>
      </w:r>
      <w:r w:rsidR="004E0765">
        <w:rPr>
          <w:bCs/>
          <w:sz w:val="24"/>
          <w:szCs w:val="24"/>
        </w:rPr>
        <w:t>longer i</w:t>
      </w:r>
      <w:r w:rsidR="001D1C4F" w:rsidRPr="001D1C4F">
        <w:rPr>
          <w:bCs/>
          <w:sz w:val="24"/>
          <w:szCs w:val="24"/>
        </w:rPr>
        <w:t xml:space="preserve">npatient stay can impact patient flow through the hospital, including ED </w:t>
      </w:r>
      <w:r w:rsidR="000570BB">
        <w:rPr>
          <w:bCs/>
          <w:sz w:val="24"/>
          <w:szCs w:val="24"/>
        </w:rPr>
        <w:t xml:space="preserve"> </w:t>
      </w:r>
      <w:r w:rsidR="001D1C4F" w:rsidRPr="001D1C4F">
        <w:rPr>
          <w:bCs/>
          <w:sz w:val="24"/>
          <w:szCs w:val="24"/>
        </w:rPr>
        <w:t>boarding.</w:t>
      </w:r>
      <w:r w:rsidR="001D1C4F" w:rsidRPr="001D1C4F">
        <w:rPr>
          <w:bCs/>
          <w:sz w:val="24"/>
          <w:szCs w:val="24"/>
          <w:vertAlign w:val="superscript"/>
        </w:rPr>
        <w:endnoteReference w:id="3"/>
      </w:r>
      <w:r w:rsidR="001D1C4F">
        <w:rPr>
          <w:bCs/>
          <w:sz w:val="24"/>
          <w:szCs w:val="24"/>
        </w:rPr>
        <w:t xml:space="preserve"> Increasing wait days</w:t>
      </w:r>
      <w:r w:rsidR="00616E4A">
        <w:rPr>
          <w:rStyle w:val="FootnoteReference"/>
          <w:bCs/>
          <w:sz w:val="24"/>
          <w:szCs w:val="24"/>
        </w:rPr>
        <w:footnoteReference w:id="12"/>
      </w:r>
      <w:r w:rsidR="001D1C4F">
        <w:rPr>
          <w:bCs/>
          <w:sz w:val="24"/>
          <w:szCs w:val="24"/>
        </w:rPr>
        <w:t xml:space="preserve"> for outpatient MRI imaging appointments have been shown to increase likelihood of missed appointments</w:t>
      </w:r>
      <w:r w:rsidR="005A47EC">
        <w:rPr>
          <w:bCs/>
          <w:sz w:val="24"/>
          <w:szCs w:val="24"/>
        </w:rPr>
        <w:t xml:space="preserve"> for MRI</w:t>
      </w:r>
      <w:r w:rsidR="005A47EC">
        <w:rPr>
          <w:rStyle w:val="FootnoteReference"/>
          <w:bCs/>
          <w:sz w:val="24"/>
          <w:szCs w:val="24"/>
        </w:rPr>
        <w:footnoteReference w:id="13"/>
      </w:r>
      <w:r w:rsidR="001D1C4F">
        <w:rPr>
          <w:bCs/>
          <w:sz w:val="24"/>
          <w:szCs w:val="24"/>
        </w:rPr>
        <w:t xml:space="preserve">, and </w:t>
      </w:r>
      <w:r w:rsidR="00C063CD">
        <w:rPr>
          <w:bCs/>
          <w:sz w:val="24"/>
          <w:szCs w:val="24"/>
        </w:rPr>
        <w:t>this</w:t>
      </w:r>
      <w:r w:rsidR="001D1C4F">
        <w:rPr>
          <w:bCs/>
          <w:sz w:val="24"/>
          <w:szCs w:val="24"/>
        </w:rPr>
        <w:t xml:space="preserve"> </w:t>
      </w:r>
      <w:r w:rsidR="00BF3295">
        <w:rPr>
          <w:bCs/>
          <w:sz w:val="24"/>
          <w:szCs w:val="24"/>
        </w:rPr>
        <w:t xml:space="preserve">effect </w:t>
      </w:r>
      <w:r w:rsidR="004511A8">
        <w:rPr>
          <w:bCs/>
          <w:sz w:val="24"/>
          <w:szCs w:val="24"/>
        </w:rPr>
        <w:t>was shown to be</w:t>
      </w:r>
      <w:r w:rsidR="00BF3295">
        <w:rPr>
          <w:bCs/>
          <w:sz w:val="24"/>
          <w:szCs w:val="24"/>
        </w:rPr>
        <w:t xml:space="preserve"> modified by race and insurance payer</w:t>
      </w:r>
      <w:r w:rsidR="001D1C4F">
        <w:rPr>
          <w:bCs/>
          <w:sz w:val="24"/>
          <w:szCs w:val="24"/>
        </w:rPr>
        <w:t>.</w:t>
      </w:r>
      <w:r w:rsidR="001D1C4F">
        <w:rPr>
          <w:rStyle w:val="EndnoteReference"/>
          <w:bCs/>
          <w:sz w:val="24"/>
          <w:szCs w:val="24"/>
        </w:rPr>
        <w:endnoteReference w:id="4"/>
      </w:r>
      <w:r w:rsidR="00131BC1" w:rsidRPr="00131BC1">
        <w:rPr>
          <w:bCs/>
          <w:sz w:val="24"/>
          <w:szCs w:val="24"/>
          <w:vertAlign w:val="superscript"/>
        </w:rPr>
        <w:t>,</w:t>
      </w:r>
      <w:r w:rsidR="005A47EC">
        <w:rPr>
          <w:rStyle w:val="FootnoteReference"/>
          <w:bCs/>
          <w:sz w:val="24"/>
          <w:szCs w:val="24"/>
        </w:rPr>
        <w:footnoteReference w:id="14"/>
      </w:r>
      <w:r w:rsidR="00F24A12" w:rsidRPr="00F24A12">
        <w:rPr>
          <w:bCs/>
          <w:sz w:val="24"/>
          <w:szCs w:val="24"/>
        </w:rPr>
        <w:t xml:space="preserve"> </w:t>
      </w:r>
      <w:r w:rsidR="00C478EE" w:rsidRPr="00C478EE">
        <w:rPr>
          <w:bCs/>
          <w:sz w:val="24"/>
          <w:szCs w:val="24"/>
        </w:rPr>
        <w:t>Increasing access and capacity to provide MRI services may help to improve equit</w:t>
      </w:r>
      <w:r w:rsidR="00C478EE">
        <w:rPr>
          <w:bCs/>
          <w:sz w:val="24"/>
          <w:szCs w:val="24"/>
        </w:rPr>
        <w:t>able access to such services</w:t>
      </w:r>
      <w:r w:rsidR="00C478EE" w:rsidRPr="00C478EE">
        <w:rPr>
          <w:bCs/>
          <w:sz w:val="24"/>
          <w:szCs w:val="24"/>
        </w:rPr>
        <w:t xml:space="preserve">. </w:t>
      </w:r>
      <w:r w:rsidR="000570BB" w:rsidRPr="000570BB">
        <w:rPr>
          <w:bCs/>
          <w:sz w:val="24"/>
          <w:szCs w:val="24"/>
        </w:rPr>
        <w:t>The addition of a 3T MRI unit will reduce the reliance on patient transfers to access MRI imaging and enhance patient safety. Higher strength MRI machines require less scanning time to produce higher quality image</w:t>
      </w:r>
      <w:r w:rsidR="00E91CFD">
        <w:rPr>
          <w:bCs/>
          <w:sz w:val="24"/>
          <w:szCs w:val="24"/>
        </w:rPr>
        <w:t>s</w:t>
      </w:r>
      <w:r w:rsidR="000570BB" w:rsidRPr="000570BB">
        <w:rPr>
          <w:bCs/>
          <w:sz w:val="24"/>
          <w:szCs w:val="24"/>
        </w:rPr>
        <w:t xml:space="preserve"> allow</w:t>
      </w:r>
      <w:r w:rsidR="00CE6C17">
        <w:rPr>
          <w:bCs/>
          <w:sz w:val="24"/>
          <w:szCs w:val="24"/>
        </w:rPr>
        <w:t>ing</w:t>
      </w:r>
      <w:r w:rsidR="000570BB" w:rsidRPr="000570BB">
        <w:rPr>
          <w:bCs/>
          <w:sz w:val="24"/>
          <w:szCs w:val="24"/>
        </w:rPr>
        <w:t xml:space="preserve"> for prompt scanning of more patients</w:t>
      </w:r>
      <w:r w:rsidR="00CE6C17">
        <w:rPr>
          <w:bCs/>
          <w:sz w:val="24"/>
          <w:szCs w:val="24"/>
        </w:rPr>
        <w:t xml:space="preserve"> and a reduction in wait times. </w:t>
      </w:r>
      <w:r w:rsidR="001C14FA">
        <w:rPr>
          <w:bCs/>
          <w:sz w:val="24"/>
          <w:szCs w:val="24"/>
        </w:rPr>
        <w:t>In addition</w:t>
      </w:r>
      <w:r w:rsidR="00822CFA">
        <w:rPr>
          <w:bCs/>
          <w:sz w:val="24"/>
          <w:szCs w:val="24"/>
        </w:rPr>
        <w:t>,</w:t>
      </w:r>
      <w:r w:rsidR="004511A8">
        <w:rPr>
          <w:bCs/>
          <w:sz w:val="24"/>
          <w:szCs w:val="24"/>
        </w:rPr>
        <w:t xml:space="preserve"> reducing time to diagnosis and treatment has the potential to improve patient outcomes and quality of life.</w:t>
      </w:r>
      <w:r w:rsidR="00EE63CB" w:rsidRPr="00EE63CB">
        <w:rPr>
          <w:rFonts w:cstheme="minorHAnsi"/>
          <w:bCs/>
          <w:sz w:val="24"/>
          <w:szCs w:val="24"/>
        </w:rPr>
        <w:t xml:space="preserve"> </w:t>
      </w:r>
      <w:r w:rsidR="0096422A" w:rsidRPr="0096422A">
        <w:rPr>
          <w:rFonts w:cstheme="minorHAnsi"/>
          <w:bCs/>
          <w:sz w:val="24"/>
          <w:szCs w:val="24"/>
        </w:rPr>
        <w:t xml:space="preserve">In order to </w:t>
      </w:r>
      <w:r w:rsidR="00107300">
        <w:rPr>
          <w:rFonts w:cstheme="minorHAnsi"/>
          <w:bCs/>
          <w:sz w:val="24"/>
          <w:szCs w:val="24"/>
        </w:rPr>
        <w:t>understand</w:t>
      </w:r>
      <w:r w:rsidR="0096422A" w:rsidRPr="0096422A">
        <w:rPr>
          <w:rFonts w:cstheme="minorHAnsi"/>
          <w:bCs/>
          <w:sz w:val="24"/>
          <w:szCs w:val="24"/>
        </w:rPr>
        <w:t xml:space="preserve"> Patient Panel access to MRI services, the Applicant will report annually on the</w:t>
      </w:r>
      <w:r w:rsidR="0003045D">
        <w:rPr>
          <w:rFonts w:cstheme="minorHAnsi"/>
          <w:bCs/>
          <w:sz w:val="24"/>
          <w:szCs w:val="24"/>
        </w:rPr>
        <w:t xml:space="preserve"> following:</w:t>
      </w:r>
      <w:r w:rsidR="0096422A" w:rsidRPr="0096422A">
        <w:rPr>
          <w:rFonts w:cstheme="minorHAnsi"/>
          <w:bCs/>
          <w:sz w:val="24"/>
          <w:szCs w:val="24"/>
        </w:rPr>
        <w:t xml:space="preserve"> utilization of MRI at SSH, the site of the Proposed Project, and stratify data by age, race/ethnicity and payer mix</w:t>
      </w:r>
      <w:r w:rsidR="0096422A">
        <w:rPr>
          <w:rFonts w:cstheme="minorHAnsi"/>
          <w:bCs/>
          <w:sz w:val="24"/>
          <w:szCs w:val="24"/>
        </w:rPr>
        <w:t xml:space="preserve">; </w:t>
      </w:r>
      <w:r w:rsidR="00EE63CB" w:rsidRPr="00EE63CB">
        <w:rPr>
          <w:bCs/>
          <w:sz w:val="24"/>
          <w:szCs w:val="24"/>
        </w:rPr>
        <w:t>the number of transfers from SSH to SSHS outpatient facilities for MR imaging</w:t>
      </w:r>
      <w:r w:rsidR="0096422A">
        <w:rPr>
          <w:bCs/>
          <w:sz w:val="24"/>
          <w:szCs w:val="24"/>
        </w:rPr>
        <w:t>;</w:t>
      </w:r>
      <w:r w:rsidR="00EE63CB" w:rsidRPr="00EE63CB">
        <w:rPr>
          <w:bCs/>
          <w:sz w:val="24"/>
          <w:szCs w:val="24"/>
        </w:rPr>
        <w:t xml:space="preserve"> and the number of patient referrals to facilities outside of SSHS for 3T MR imaging.</w:t>
      </w:r>
      <w:r w:rsidR="004511A8">
        <w:rPr>
          <w:bCs/>
          <w:sz w:val="24"/>
          <w:szCs w:val="24"/>
        </w:rPr>
        <w:t xml:space="preserve"> </w:t>
      </w:r>
      <w:r w:rsidR="002B6738">
        <w:rPr>
          <w:bCs/>
          <w:sz w:val="24"/>
          <w:szCs w:val="24"/>
        </w:rPr>
        <w:t>The measures are described below in Appendix</w:t>
      </w:r>
      <w:r w:rsidR="00EC40B4">
        <w:rPr>
          <w:bCs/>
          <w:sz w:val="24"/>
          <w:szCs w:val="24"/>
        </w:rPr>
        <w:t xml:space="preserve"> 1</w:t>
      </w:r>
      <w:r w:rsidR="002B6738">
        <w:rPr>
          <w:bCs/>
          <w:sz w:val="24"/>
          <w:szCs w:val="24"/>
        </w:rPr>
        <w:t>.</w:t>
      </w:r>
      <w:bookmarkEnd w:id="2"/>
    </w:p>
    <w:p w14:paraId="4610B8A0" w14:textId="31E2EF4C" w:rsidR="00F613E0" w:rsidRPr="001D1C4F" w:rsidRDefault="00F613E0" w:rsidP="00667357">
      <w:pPr>
        <w:spacing w:after="0" w:line="240" w:lineRule="auto"/>
        <w:rPr>
          <w:sz w:val="24"/>
          <w:szCs w:val="24"/>
        </w:rPr>
      </w:pPr>
    </w:p>
    <w:p w14:paraId="2404D6C7" w14:textId="77777777" w:rsidR="00527FAD" w:rsidRDefault="00527FAD">
      <w:pPr>
        <w:rPr>
          <w:b/>
          <w:bCs/>
          <w:sz w:val="28"/>
          <w:szCs w:val="28"/>
        </w:rPr>
      </w:pPr>
    </w:p>
    <w:p w14:paraId="65E98050" w14:textId="210A5252" w:rsidR="00F67AA2" w:rsidRPr="003D09CA" w:rsidRDefault="00F67AA2">
      <w:pPr>
        <w:rPr>
          <w:b/>
          <w:bCs/>
          <w:sz w:val="28"/>
          <w:szCs w:val="28"/>
        </w:rPr>
      </w:pPr>
      <w:r w:rsidRPr="003D09CA">
        <w:rPr>
          <w:b/>
          <w:bCs/>
          <w:sz w:val="28"/>
          <w:szCs w:val="28"/>
        </w:rPr>
        <w:t>Factor 1: b) Public Health Value, Improved Health Outcomes And Quality Of Life; Assurances Of Health Equity</w:t>
      </w:r>
    </w:p>
    <w:p w14:paraId="531578AE" w14:textId="4B113F1E" w:rsidR="00095398" w:rsidRDefault="00021CE3" w:rsidP="00C011C7">
      <w:pPr>
        <w:spacing w:line="240" w:lineRule="auto"/>
        <w:rPr>
          <w:sz w:val="24"/>
          <w:szCs w:val="24"/>
        </w:rPr>
      </w:pPr>
      <w:r w:rsidRPr="00667357">
        <w:rPr>
          <w:sz w:val="24"/>
          <w:szCs w:val="24"/>
        </w:rPr>
        <w:t>The Applicant states that MRI is a well-established, non-invasive imaging modality that is used to visualize internal and anatomical structures without the use of ionizing radiation. MRI is used in disease detection, diagnosis</w:t>
      </w:r>
      <w:r w:rsidR="006E3810">
        <w:rPr>
          <w:sz w:val="24"/>
          <w:szCs w:val="24"/>
        </w:rPr>
        <w:t>,</w:t>
      </w:r>
      <w:r w:rsidRPr="00667357">
        <w:rPr>
          <w:sz w:val="24"/>
          <w:szCs w:val="24"/>
        </w:rPr>
        <w:t xml:space="preserve"> and treatment monitoring. </w:t>
      </w:r>
      <w:r w:rsidR="004522C3" w:rsidRPr="00667357">
        <w:rPr>
          <w:sz w:val="24"/>
          <w:szCs w:val="24"/>
        </w:rPr>
        <w:t xml:space="preserve">MRI machines used for diagnosis and treatment </w:t>
      </w:r>
      <w:r w:rsidR="00506960">
        <w:rPr>
          <w:sz w:val="24"/>
          <w:szCs w:val="24"/>
        </w:rPr>
        <w:t xml:space="preserve">commonly </w:t>
      </w:r>
      <w:r w:rsidR="004522C3" w:rsidRPr="00667357">
        <w:rPr>
          <w:sz w:val="24"/>
          <w:szCs w:val="24"/>
        </w:rPr>
        <w:t>have a magnetic field strength of 1.5T or 3T</w:t>
      </w:r>
      <w:r w:rsidR="000B572B">
        <w:rPr>
          <w:sz w:val="24"/>
          <w:szCs w:val="24"/>
        </w:rPr>
        <w:t>,</w:t>
      </w:r>
      <w:r w:rsidR="004522C3" w:rsidRPr="00667357">
        <w:rPr>
          <w:sz w:val="24"/>
          <w:szCs w:val="24"/>
        </w:rPr>
        <w:t xml:space="preserve"> and the stronger magnet improves image quality allowing for visualization of anatomical features in greater detail. Higher field strength also requires less scanning time to produce high quality images </w:t>
      </w:r>
      <w:r w:rsidR="0015438B" w:rsidRPr="0015438B">
        <w:rPr>
          <w:sz w:val="24"/>
          <w:szCs w:val="24"/>
        </w:rPr>
        <w:t>allowing for an improved patient experience</w:t>
      </w:r>
      <w:r w:rsidR="004522C3" w:rsidRPr="00667357">
        <w:rPr>
          <w:sz w:val="24"/>
          <w:szCs w:val="24"/>
        </w:rPr>
        <w:t>.</w:t>
      </w:r>
      <w:r w:rsidR="00C011C7" w:rsidRPr="00C011C7">
        <w:rPr>
          <w:sz w:val="24"/>
          <w:szCs w:val="24"/>
        </w:rPr>
        <w:t xml:space="preserve"> </w:t>
      </w:r>
    </w:p>
    <w:p w14:paraId="014A327D" w14:textId="2DEE8ED0" w:rsidR="000B572B" w:rsidRDefault="00C011C7" w:rsidP="00C011C7">
      <w:pPr>
        <w:spacing w:line="240" w:lineRule="auto"/>
        <w:rPr>
          <w:sz w:val="24"/>
          <w:szCs w:val="24"/>
        </w:rPr>
      </w:pPr>
      <w:r>
        <w:rPr>
          <w:sz w:val="24"/>
          <w:szCs w:val="24"/>
        </w:rPr>
        <w:t xml:space="preserve">A </w:t>
      </w:r>
      <w:r w:rsidRPr="00C011C7">
        <w:rPr>
          <w:sz w:val="24"/>
          <w:szCs w:val="24"/>
        </w:rPr>
        <w:t>1.5T MRI is useful for most routine scans</w:t>
      </w:r>
      <w:r w:rsidR="00637DCB">
        <w:rPr>
          <w:sz w:val="24"/>
          <w:szCs w:val="24"/>
        </w:rPr>
        <w:t xml:space="preserve"> and </w:t>
      </w:r>
      <w:r w:rsidRPr="00C011C7">
        <w:rPr>
          <w:sz w:val="24"/>
          <w:szCs w:val="24"/>
        </w:rPr>
        <w:t>produces high quality images for diagnosis</w:t>
      </w:r>
      <w:r w:rsidR="000B572B">
        <w:rPr>
          <w:sz w:val="24"/>
          <w:szCs w:val="24"/>
        </w:rPr>
        <w:t xml:space="preserve"> and </w:t>
      </w:r>
      <w:r w:rsidR="00637DCB">
        <w:rPr>
          <w:sz w:val="24"/>
          <w:szCs w:val="24"/>
        </w:rPr>
        <w:t>is s</w:t>
      </w:r>
      <w:r w:rsidR="00637DCB" w:rsidRPr="00637DCB">
        <w:rPr>
          <w:sz w:val="24"/>
          <w:szCs w:val="24"/>
        </w:rPr>
        <w:t>afer for patients with medical implants</w:t>
      </w:r>
      <w:r w:rsidR="00637DCB">
        <w:rPr>
          <w:sz w:val="24"/>
          <w:szCs w:val="24"/>
        </w:rPr>
        <w:t xml:space="preserve">. </w:t>
      </w:r>
      <w:r>
        <w:rPr>
          <w:sz w:val="24"/>
          <w:szCs w:val="24"/>
        </w:rPr>
        <w:t>The Applicant states the a</w:t>
      </w:r>
      <w:r w:rsidR="004522C3" w:rsidRPr="00667357">
        <w:rPr>
          <w:sz w:val="24"/>
          <w:szCs w:val="24"/>
        </w:rPr>
        <w:t>dvantages of a 3T MRI include</w:t>
      </w:r>
      <w:r w:rsidR="004522C3" w:rsidRPr="00667357">
        <w:rPr>
          <w:rStyle w:val="EndnoteReference"/>
          <w:sz w:val="24"/>
          <w:szCs w:val="24"/>
        </w:rPr>
        <w:endnoteReference w:id="5"/>
      </w:r>
      <w:r>
        <w:rPr>
          <w:sz w:val="24"/>
          <w:szCs w:val="24"/>
        </w:rPr>
        <w:t xml:space="preserve"> </w:t>
      </w:r>
    </w:p>
    <w:p w14:paraId="43F28A00" w14:textId="5452B6B9" w:rsidR="000B572B" w:rsidRDefault="000B572B" w:rsidP="002D6EBF">
      <w:pPr>
        <w:pStyle w:val="ListParagraph"/>
        <w:numPr>
          <w:ilvl w:val="0"/>
          <w:numId w:val="13"/>
        </w:numPr>
        <w:spacing w:line="240" w:lineRule="auto"/>
        <w:rPr>
          <w:sz w:val="24"/>
          <w:szCs w:val="24"/>
        </w:rPr>
      </w:pPr>
      <w:r>
        <w:rPr>
          <w:sz w:val="24"/>
          <w:szCs w:val="24"/>
        </w:rPr>
        <w:t>E</w:t>
      </w:r>
      <w:r w:rsidRPr="00DD5F16">
        <w:rPr>
          <w:sz w:val="24"/>
          <w:szCs w:val="24"/>
        </w:rPr>
        <w:t xml:space="preserve">fficiency </w:t>
      </w:r>
      <w:r w:rsidR="004522C3" w:rsidRPr="00DD5F16">
        <w:rPr>
          <w:sz w:val="24"/>
          <w:szCs w:val="24"/>
        </w:rPr>
        <w:t>leading to shorter examination times which improve patient experience</w:t>
      </w:r>
      <w:r w:rsidR="00C011C7" w:rsidRPr="00DD5F16">
        <w:rPr>
          <w:sz w:val="24"/>
          <w:szCs w:val="24"/>
        </w:rPr>
        <w:t xml:space="preserve"> </w:t>
      </w:r>
    </w:p>
    <w:p w14:paraId="61D30989" w14:textId="7893B49E" w:rsidR="000B572B" w:rsidRDefault="000B572B" w:rsidP="002D6EBF">
      <w:pPr>
        <w:pStyle w:val="ListParagraph"/>
        <w:numPr>
          <w:ilvl w:val="0"/>
          <w:numId w:val="13"/>
        </w:numPr>
        <w:spacing w:line="240" w:lineRule="auto"/>
        <w:rPr>
          <w:sz w:val="24"/>
          <w:szCs w:val="24"/>
        </w:rPr>
      </w:pPr>
      <w:r>
        <w:rPr>
          <w:sz w:val="24"/>
          <w:szCs w:val="24"/>
        </w:rPr>
        <w:t>M</w:t>
      </w:r>
      <w:r w:rsidRPr="00DD5F16">
        <w:rPr>
          <w:sz w:val="24"/>
          <w:szCs w:val="24"/>
        </w:rPr>
        <w:t xml:space="preserve">ore </w:t>
      </w:r>
      <w:r w:rsidR="004522C3" w:rsidRPr="00DD5F16">
        <w:rPr>
          <w:sz w:val="24"/>
          <w:szCs w:val="24"/>
        </w:rPr>
        <w:t>detailed images which are useful in diagnosing pathological conditions involving the brain, spine, and musculoskeletal conditions</w:t>
      </w:r>
      <w:r w:rsidR="00C011C7" w:rsidRPr="00DD5F16">
        <w:rPr>
          <w:sz w:val="24"/>
          <w:szCs w:val="24"/>
        </w:rPr>
        <w:t xml:space="preserve"> </w:t>
      </w:r>
    </w:p>
    <w:p w14:paraId="0A38D436" w14:textId="57440A41" w:rsidR="000B572B" w:rsidRDefault="000B572B" w:rsidP="002D6EBF">
      <w:pPr>
        <w:pStyle w:val="ListParagraph"/>
        <w:numPr>
          <w:ilvl w:val="0"/>
          <w:numId w:val="13"/>
        </w:numPr>
        <w:spacing w:line="240" w:lineRule="auto"/>
        <w:rPr>
          <w:sz w:val="24"/>
          <w:szCs w:val="24"/>
        </w:rPr>
      </w:pPr>
      <w:r>
        <w:rPr>
          <w:sz w:val="24"/>
          <w:szCs w:val="24"/>
        </w:rPr>
        <w:t>M</w:t>
      </w:r>
      <w:r w:rsidRPr="00DD5F16">
        <w:rPr>
          <w:sz w:val="24"/>
          <w:szCs w:val="24"/>
        </w:rPr>
        <w:t xml:space="preserve">ore </w:t>
      </w:r>
      <w:r w:rsidR="004522C3" w:rsidRPr="00DD5F16">
        <w:rPr>
          <w:sz w:val="24"/>
          <w:szCs w:val="24"/>
        </w:rPr>
        <w:t>sophisticated imaging producing more accurate diagnosis</w:t>
      </w:r>
    </w:p>
    <w:p w14:paraId="10C5BCFB" w14:textId="3AC1F3BF" w:rsidR="000B572B" w:rsidRDefault="000B572B" w:rsidP="002D6EBF">
      <w:pPr>
        <w:pStyle w:val="ListParagraph"/>
        <w:numPr>
          <w:ilvl w:val="0"/>
          <w:numId w:val="13"/>
        </w:numPr>
        <w:spacing w:line="240" w:lineRule="auto"/>
        <w:rPr>
          <w:sz w:val="24"/>
          <w:szCs w:val="24"/>
        </w:rPr>
      </w:pPr>
      <w:r>
        <w:rPr>
          <w:sz w:val="24"/>
          <w:szCs w:val="24"/>
        </w:rPr>
        <w:t>L</w:t>
      </w:r>
      <w:r w:rsidR="004522C3" w:rsidRPr="00DD5F16">
        <w:rPr>
          <w:sz w:val="24"/>
          <w:szCs w:val="24"/>
        </w:rPr>
        <w:t>ower risk of distorted imaging reducing the need for repeat exams</w:t>
      </w:r>
      <w:r w:rsidR="00C011C7" w:rsidRPr="00DD5F16">
        <w:rPr>
          <w:sz w:val="24"/>
          <w:szCs w:val="24"/>
        </w:rPr>
        <w:t xml:space="preserve"> </w:t>
      </w:r>
    </w:p>
    <w:p w14:paraId="3CACB367" w14:textId="0CEFAC3F" w:rsidR="00C011C7" w:rsidRPr="00DD5F16" w:rsidRDefault="004522C3" w:rsidP="000B572B">
      <w:pPr>
        <w:spacing w:line="240" w:lineRule="auto"/>
        <w:rPr>
          <w:sz w:val="24"/>
          <w:szCs w:val="24"/>
        </w:rPr>
      </w:pPr>
      <w:r w:rsidRPr="00DD5F16">
        <w:rPr>
          <w:sz w:val="24"/>
          <w:szCs w:val="24"/>
        </w:rPr>
        <w:t xml:space="preserve">Improved imaging capabilities of a 3T MRI machine allow for improved disease detection and diagnosis </w:t>
      </w:r>
      <w:r w:rsidR="00062599" w:rsidRPr="00DD5F16">
        <w:rPr>
          <w:sz w:val="24"/>
          <w:szCs w:val="24"/>
        </w:rPr>
        <w:t xml:space="preserve">and </w:t>
      </w:r>
      <w:r w:rsidR="005A1789" w:rsidRPr="00DD5F16">
        <w:rPr>
          <w:sz w:val="24"/>
          <w:szCs w:val="24"/>
        </w:rPr>
        <w:t>a reduction in</w:t>
      </w:r>
      <w:r w:rsidR="0082699F" w:rsidRPr="00DD5F16">
        <w:rPr>
          <w:sz w:val="24"/>
          <w:szCs w:val="24"/>
        </w:rPr>
        <w:t xml:space="preserve"> unnecessary treatment. </w:t>
      </w:r>
      <w:r w:rsidR="00C011C7" w:rsidRPr="00DD5F16">
        <w:rPr>
          <w:sz w:val="24"/>
          <w:szCs w:val="24"/>
        </w:rPr>
        <w:t>With 3T MRI, higher resolution images are obtained in a shorter period of time which can improve safety for some patients, such as NICU patients, and is useful for younger patients that may not be able to remain still for long periods of time.</w:t>
      </w:r>
    </w:p>
    <w:p w14:paraId="4FA4D2B8" w14:textId="6FAF4314" w:rsidR="00DB6BED" w:rsidRPr="00667357" w:rsidRDefault="00095398" w:rsidP="00C011C7">
      <w:pPr>
        <w:spacing w:after="0" w:line="240" w:lineRule="auto"/>
        <w:rPr>
          <w:sz w:val="24"/>
          <w:szCs w:val="24"/>
        </w:rPr>
      </w:pPr>
      <w:r>
        <w:rPr>
          <w:sz w:val="24"/>
          <w:szCs w:val="24"/>
        </w:rPr>
        <w:t>The Applicant further described the c</w:t>
      </w:r>
      <w:r w:rsidR="0082699F" w:rsidRPr="00667357">
        <w:rPr>
          <w:sz w:val="24"/>
          <w:szCs w:val="24"/>
        </w:rPr>
        <w:t>linical applications</w:t>
      </w:r>
      <w:r>
        <w:rPr>
          <w:sz w:val="24"/>
          <w:szCs w:val="24"/>
        </w:rPr>
        <w:t xml:space="preserve"> of 3T MRI</w:t>
      </w:r>
      <w:r w:rsidR="0082699F" w:rsidRPr="00667357">
        <w:rPr>
          <w:sz w:val="24"/>
          <w:szCs w:val="24"/>
        </w:rPr>
        <w:t xml:space="preserve"> </w:t>
      </w:r>
      <w:r>
        <w:rPr>
          <w:sz w:val="24"/>
          <w:szCs w:val="24"/>
        </w:rPr>
        <w:t>which include</w:t>
      </w:r>
      <w:r w:rsidR="000B572B">
        <w:rPr>
          <w:sz w:val="24"/>
          <w:szCs w:val="24"/>
        </w:rPr>
        <w:t xml:space="preserve"> </w:t>
      </w:r>
      <w:r w:rsidR="0082699F" w:rsidRPr="00667357">
        <w:rPr>
          <w:sz w:val="24"/>
          <w:szCs w:val="24"/>
        </w:rPr>
        <w:t>1</w:t>
      </w:r>
      <w:r w:rsidR="00A63A55">
        <w:rPr>
          <w:sz w:val="24"/>
          <w:szCs w:val="24"/>
        </w:rPr>
        <w:t>)</w:t>
      </w:r>
      <w:r w:rsidR="0082699F" w:rsidRPr="00667357">
        <w:rPr>
          <w:sz w:val="24"/>
          <w:szCs w:val="24"/>
        </w:rPr>
        <w:t xml:space="preserve"> </w:t>
      </w:r>
      <w:r w:rsidR="00DB6BED" w:rsidRPr="00667357">
        <w:rPr>
          <w:sz w:val="24"/>
          <w:szCs w:val="24"/>
        </w:rPr>
        <w:t>Detecting brain damage in premature infants</w:t>
      </w:r>
      <w:r w:rsidR="0082699F" w:rsidRPr="00667357">
        <w:rPr>
          <w:sz w:val="24"/>
          <w:szCs w:val="24"/>
        </w:rPr>
        <w:t xml:space="preserve"> 2</w:t>
      </w:r>
      <w:r w:rsidR="00A63A55">
        <w:rPr>
          <w:sz w:val="24"/>
          <w:szCs w:val="24"/>
        </w:rPr>
        <w:t>)</w:t>
      </w:r>
      <w:r w:rsidR="0082699F" w:rsidRPr="00667357">
        <w:rPr>
          <w:sz w:val="24"/>
          <w:szCs w:val="24"/>
        </w:rPr>
        <w:t xml:space="preserve"> </w:t>
      </w:r>
      <w:r w:rsidR="00133FA2">
        <w:rPr>
          <w:sz w:val="24"/>
          <w:szCs w:val="24"/>
        </w:rPr>
        <w:t>D</w:t>
      </w:r>
      <w:r w:rsidR="00DB6BED" w:rsidRPr="00667357">
        <w:rPr>
          <w:sz w:val="24"/>
          <w:szCs w:val="24"/>
        </w:rPr>
        <w:t>iagnosing pathological conditions involving the brain, spine, and musculoskeletal system</w:t>
      </w:r>
      <w:r w:rsidR="000B572B">
        <w:rPr>
          <w:sz w:val="24"/>
          <w:szCs w:val="24"/>
        </w:rPr>
        <w:t>,</w:t>
      </w:r>
      <w:r w:rsidR="0082699F" w:rsidRPr="00667357">
        <w:rPr>
          <w:sz w:val="24"/>
          <w:szCs w:val="24"/>
        </w:rPr>
        <w:t xml:space="preserve"> </w:t>
      </w:r>
      <w:r w:rsidR="00FC11D3">
        <w:rPr>
          <w:sz w:val="24"/>
          <w:szCs w:val="24"/>
        </w:rPr>
        <w:t xml:space="preserve">and </w:t>
      </w:r>
      <w:r w:rsidR="0082699F" w:rsidRPr="00667357">
        <w:rPr>
          <w:sz w:val="24"/>
          <w:szCs w:val="24"/>
        </w:rPr>
        <w:t>3</w:t>
      </w:r>
      <w:r w:rsidR="00A63A55">
        <w:rPr>
          <w:sz w:val="24"/>
          <w:szCs w:val="24"/>
        </w:rPr>
        <w:t>)</w:t>
      </w:r>
      <w:r w:rsidR="00133FA2">
        <w:rPr>
          <w:sz w:val="24"/>
          <w:szCs w:val="24"/>
        </w:rPr>
        <w:t xml:space="preserve"> C</w:t>
      </w:r>
      <w:r w:rsidR="00DB6BED" w:rsidRPr="00667357">
        <w:rPr>
          <w:sz w:val="24"/>
          <w:szCs w:val="24"/>
        </w:rPr>
        <w:t xml:space="preserve">ancer </w:t>
      </w:r>
      <w:r w:rsidR="00A63A55">
        <w:rPr>
          <w:sz w:val="24"/>
          <w:szCs w:val="24"/>
        </w:rPr>
        <w:t xml:space="preserve">related uses (particularly </w:t>
      </w:r>
      <w:r w:rsidR="00A63A55" w:rsidRPr="00667357">
        <w:rPr>
          <w:sz w:val="24"/>
          <w:szCs w:val="24"/>
        </w:rPr>
        <w:t>breast and prostate cancer</w:t>
      </w:r>
      <w:r w:rsidR="00A63A55">
        <w:rPr>
          <w:sz w:val="24"/>
          <w:szCs w:val="24"/>
        </w:rPr>
        <w:t xml:space="preserve">) including </w:t>
      </w:r>
      <w:r w:rsidR="00A63A55" w:rsidRPr="00667357">
        <w:rPr>
          <w:sz w:val="24"/>
          <w:szCs w:val="24"/>
        </w:rPr>
        <w:t>diagnosi</w:t>
      </w:r>
      <w:r w:rsidR="00A63A55">
        <w:rPr>
          <w:sz w:val="24"/>
          <w:szCs w:val="24"/>
        </w:rPr>
        <w:t xml:space="preserve">s, and </w:t>
      </w:r>
      <w:r w:rsidR="00DB6BED" w:rsidRPr="00667357">
        <w:rPr>
          <w:sz w:val="24"/>
          <w:szCs w:val="24"/>
        </w:rPr>
        <w:t xml:space="preserve">staging and treatment planning. </w:t>
      </w:r>
    </w:p>
    <w:p w14:paraId="3C87D9BE" w14:textId="057758D2" w:rsidR="003843FC" w:rsidRPr="002032BF" w:rsidRDefault="003843FC" w:rsidP="004044B7">
      <w:pPr>
        <w:pStyle w:val="ListParagraph"/>
        <w:numPr>
          <w:ilvl w:val="0"/>
          <w:numId w:val="9"/>
        </w:numPr>
        <w:spacing w:after="0" w:line="240" w:lineRule="auto"/>
        <w:ind w:left="360"/>
        <w:rPr>
          <w:b/>
          <w:sz w:val="24"/>
          <w:szCs w:val="24"/>
        </w:rPr>
      </w:pPr>
      <w:r w:rsidRPr="00667357">
        <w:rPr>
          <w:b/>
          <w:sz w:val="24"/>
          <w:szCs w:val="24"/>
        </w:rPr>
        <w:t xml:space="preserve">Neonates and </w:t>
      </w:r>
      <w:r w:rsidR="00796917">
        <w:rPr>
          <w:b/>
          <w:sz w:val="24"/>
          <w:szCs w:val="24"/>
        </w:rPr>
        <w:t>p</w:t>
      </w:r>
      <w:r w:rsidRPr="00667357">
        <w:rPr>
          <w:b/>
          <w:sz w:val="24"/>
          <w:szCs w:val="24"/>
        </w:rPr>
        <w:t xml:space="preserve">ediatric </w:t>
      </w:r>
      <w:r w:rsidR="00796917">
        <w:rPr>
          <w:b/>
          <w:sz w:val="24"/>
          <w:szCs w:val="24"/>
        </w:rPr>
        <w:t>p</w:t>
      </w:r>
      <w:r w:rsidRPr="00667357">
        <w:rPr>
          <w:b/>
          <w:sz w:val="24"/>
          <w:szCs w:val="24"/>
        </w:rPr>
        <w:t>atients</w:t>
      </w:r>
      <w:r w:rsidR="00775529">
        <w:rPr>
          <w:b/>
          <w:sz w:val="24"/>
          <w:szCs w:val="24"/>
        </w:rPr>
        <w:t>:</w:t>
      </w:r>
      <w:r w:rsidRPr="00667357">
        <w:rPr>
          <w:b/>
          <w:sz w:val="24"/>
          <w:szCs w:val="24"/>
        </w:rPr>
        <w:t xml:space="preserve"> </w:t>
      </w:r>
      <w:r w:rsidR="00C81AED">
        <w:rPr>
          <w:bCs/>
          <w:sz w:val="24"/>
          <w:szCs w:val="24"/>
        </w:rPr>
        <w:t xml:space="preserve">Neuroimaging </w:t>
      </w:r>
      <w:r w:rsidR="00C81AED" w:rsidRPr="002032BF">
        <w:rPr>
          <w:bCs/>
          <w:sz w:val="24"/>
          <w:szCs w:val="24"/>
        </w:rPr>
        <w:t>of the preterm infant</w:t>
      </w:r>
      <w:r w:rsidR="00C81AED">
        <w:rPr>
          <w:bCs/>
          <w:sz w:val="24"/>
          <w:szCs w:val="24"/>
        </w:rPr>
        <w:t xml:space="preserve"> is </w:t>
      </w:r>
      <w:r w:rsidR="00C81AED" w:rsidRPr="002032BF">
        <w:rPr>
          <w:bCs/>
          <w:sz w:val="24"/>
          <w:szCs w:val="24"/>
        </w:rPr>
        <w:t>used to initiate interventions and plan for supportive care</w:t>
      </w:r>
      <w:r w:rsidR="00C81AED">
        <w:rPr>
          <w:bCs/>
          <w:sz w:val="24"/>
          <w:szCs w:val="24"/>
        </w:rPr>
        <w:t>,</w:t>
      </w:r>
      <w:r w:rsidR="00C81AED" w:rsidRPr="002032BF">
        <w:rPr>
          <w:bCs/>
          <w:sz w:val="24"/>
          <w:szCs w:val="24"/>
        </w:rPr>
        <w:t xml:space="preserve"> and assess the risk of future neurologic impairment.</w:t>
      </w:r>
      <w:r w:rsidR="00C81AED">
        <w:rPr>
          <w:rStyle w:val="EndnoteReference"/>
          <w:bCs/>
          <w:sz w:val="24"/>
          <w:szCs w:val="24"/>
        </w:rPr>
        <w:endnoteReference w:id="6"/>
      </w:r>
      <w:r w:rsidR="00C81AED">
        <w:rPr>
          <w:bCs/>
          <w:sz w:val="24"/>
          <w:szCs w:val="24"/>
        </w:rPr>
        <w:t xml:space="preserve"> </w:t>
      </w:r>
      <w:r w:rsidR="00B472C1" w:rsidRPr="002032BF">
        <w:rPr>
          <w:sz w:val="24"/>
          <w:szCs w:val="24"/>
        </w:rPr>
        <w:t>MRI is valuable for detecting brain damage in premature infants</w:t>
      </w:r>
      <w:r w:rsidR="00D51456">
        <w:rPr>
          <w:sz w:val="24"/>
          <w:szCs w:val="24"/>
        </w:rPr>
        <w:t>.</w:t>
      </w:r>
      <w:r w:rsidR="00775529" w:rsidRPr="002032BF">
        <w:rPr>
          <w:b/>
          <w:bCs/>
          <w:sz w:val="24"/>
          <w:szCs w:val="24"/>
        </w:rPr>
        <w:t xml:space="preserve"> </w:t>
      </w:r>
      <w:r w:rsidR="00133FA2" w:rsidRPr="002032BF">
        <w:rPr>
          <w:bCs/>
          <w:sz w:val="24"/>
          <w:szCs w:val="24"/>
        </w:rPr>
        <w:t xml:space="preserve">MRI </w:t>
      </w:r>
      <w:r w:rsidR="00327C83" w:rsidRPr="002032BF">
        <w:rPr>
          <w:bCs/>
          <w:sz w:val="24"/>
          <w:szCs w:val="24"/>
        </w:rPr>
        <w:t>scans</w:t>
      </w:r>
      <w:r w:rsidR="003E049C" w:rsidRPr="002032BF">
        <w:rPr>
          <w:sz w:val="24"/>
          <w:szCs w:val="24"/>
        </w:rPr>
        <w:t xml:space="preserve"> identify the presence of extent of brain injury in preterm infants</w:t>
      </w:r>
      <w:r w:rsidRPr="002032BF">
        <w:rPr>
          <w:bCs/>
          <w:sz w:val="24"/>
          <w:szCs w:val="24"/>
        </w:rPr>
        <w:t xml:space="preserve"> provid</w:t>
      </w:r>
      <w:r w:rsidR="00FC11D3" w:rsidRPr="002032BF">
        <w:rPr>
          <w:bCs/>
          <w:sz w:val="24"/>
          <w:szCs w:val="24"/>
        </w:rPr>
        <w:t>ing</w:t>
      </w:r>
      <w:r w:rsidRPr="002032BF">
        <w:rPr>
          <w:bCs/>
          <w:sz w:val="24"/>
          <w:szCs w:val="24"/>
        </w:rPr>
        <w:t xml:space="preserve"> </w:t>
      </w:r>
      <w:r w:rsidR="0015438B" w:rsidRPr="002032BF">
        <w:rPr>
          <w:bCs/>
          <w:sz w:val="24"/>
          <w:szCs w:val="24"/>
        </w:rPr>
        <w:t>detailed</w:t>
      </w:r>
      <w:r w:rsidRPr="002032BF">
        <w:rPr>
          <w:bCs/>
          <w:sz w:val="24"/>
          <w:szCs w:val="24"/>
        </w:rPr>
        <w:t xml:space="preserve"> imaging of the preterm infant brain without the use of ionizing radiation</w:t>
      </w:r>
      <w:r w:rsidR="003E049C" w:rsidRPr="002032BF">
        <w:rPr>
          <w:bCs/>
          <w:sz w:val="24"/>
          <w:szCs w:val="24"/>
        </w:rPr>
        <w:t xml:space="preserve">. </w:t>
      </w:r>
      <w:r w:rsidR="00133FA2" w:rsidRPr="002032BF">
        <w:rPr>
          <w:bCs/>
          <w:sz w:val="24"/>
          <w:szCs w:val="24"/>
        </w:rPr>
        <w:t>MRI allows for d</w:t>
      </w:r>
      <w:r w:rsidRPr="002032BF">
        <w:rPr>
          <w:bCs/>
          <w:sz w:val="24"/>
          <w:szCs w:val="24"/>
        </w:rPr>
        <w:t>ifferentiation of structures within the immature brain</w:t>
      </w:r>
      <w:r w:rsidR="00133FA2" w:rsidRPr="002032BF">
        <w:rPr>
          <w:bCs/>
          <w:sz w:val="24"/>
          <w:szCs w:val="24"/>
        </w:rPr>
        <w:t xml:space="preserve"> and </w:t>
      </w:r>
      <w:r w:rsidRPr="002032BF">
        <w:rPr>
          <w:bCs/>
          <w:sz w:val="24"/>
          <w:szCs w:val="24"/>
        </w:rPr>
        <w:t>show</w:t>
      </w:r>
      <w:r w:rsidR="00133FA2" w:rsidRPr="002032BF">
        <w:rPr>
          <w:bCs/>
          <w:sz w:val="24"/>
          <w:szCs w:val="24"/>
        </w:rPr>
        <w:t>s</w:t>
      </w:r>
      <w:r w:rsidRPr="002032BF">
        <w:rPr>
          <w:bCs/>
          <w:sz w:val="24"/>
          <w:szCs w:val="24"/>
        </w:rPr>
        <w:t xml:space="preserve"> the well-recognized pathologies seen on ultrasound allow</w:t>
      </w:r>
      <w:r w:rsidR="00133FA2" w:rsidRPr="002032BF">
        <w:rPr>
          <w:bCs/>
          <w:sz w:val="24"/>
          <w:szCs w:val="24"/>
        </w:rPr>
        <w:t xml:space="preserve">ing for </w:t>
      </w:r>
      <w:r w:rsidRPr="002032BF">
        <w:rPr>
          <w:bCs/>
          <w:sz w:val="24"/>
          <w:szCs w:val="24"/>
        </w:rPr>
        <w:t>the detection of more subtle abnormalities.</w:t>
      </w:r>
      <w:r w:rsidR="00133FA2" w:rsidRPr="002032BF">
        <w:rPr>
          <w:bCs/>
          <w:sz w:val="24"/>
          <w:szCs w:val="24"/>
        </w:rPr>
        <w:t xml:space="preserve"> </w:t>
      </w:r>
      <w:r w:rsidR="007803A1" w:rsidRPr="007803A1">
        <w:rPr>
          <w:bCs/>
          <w:sz w:val="24"/>
          <w:szCs w:val="24"/>
        </w:rPr>
        <w:t>Neuroimaging of the preterm infant is commonly performed in the NICU</w:t>
      </w:r>
      <w:r w:rsidR="007803A1">
        <w:rPr>
          <w:bCs/>
          <w:sz w:val="24"/>
          <w:szCs w:val="24"/>
        </w:rPr>
        <w:t>.</w:t>
      </w:r>
      <w:r w:rsidR="007803A1">
        <w:rPr>
          <w:rStyle w:val="EndnoteReference"/>
          <w:bCs/>
          <w:sz w:val="24"/>
          <w:szCs w:val="24"/>
        </w:rPr>
        <w:endnoteReference w:id="7"/>
      </w:r>
      <w:r w:rsidR="007803A1">
        <w:rPr>
          <w:bCs/>
          <w:sz w:val="24"/>
          <w:szCs w:val="24"/>
        </w:rPr>
        <w:t xml:space="preserve"> </w:t>
      </w:r>
      <w:r w:rsidR="004044B7" w:rsidRPr="00190D1B">
        <w:rPr>
          <w:bCs/>
          <w:sz w:val="24"/>
          <w:szCs w:val="24"/>
        </w:rPr>
        <w:t xml:space="preserve">South Shore Hospital </w:t>
      </w:r>
      <w:r w:rsidR="004044B7">
        <w:rPr>
          <w:bCs/>
          <w:sz w:val="24"/>
          <w:szCs w:val="24"/>
        </w:rPr>
        <w:t>has</w:t>
      </w:r>
      <w:r w:rsidR="004044B7" w:rsidRPr="00190D1B">
        <w:rPr>
          <w:bCs/>
          <w:sz w:val="24"/>
          <w:szCs w:val="24"/>
        </w:rPr>
        <w:t xml:space="preserve"> the first and only Level III </w:t>
      </w:r>
      <w:r w:rsidR="000358CB">
        <w:rPr>
          <w:bCs/>
          <w:sz w:val="24"/>
          <w:szCs w:val="24"/>
        </w:rPr>
        <w:t>Neonatal Intensive Care Unit (</w:t>
      </w:r>
      <w:r w:rsidR="004044B7" w:rsidRPr="00190D1B">
        <w:rPr>
          <w:bCs/>
          <w:sz w:val="24"/>
          <w:szCs w:val="24"/>
        </w:rPr>
        <w:t>NICU</w:t>
      </w:r>
      <w:r w:rsidR="000358CB">
        <w:rPr>
          <w:bCs/>
          <w:sz w:val="24"/>
          <w:szCs w:val="24"/>
        </w:rPr>
        <w:t>)</w:t>
      </w:r>
      <w:r w:rsidR="004044B7" w:rsidRPr="00190D1B">
        <w:rPr>
          <w:bCs/>
          <w:sz w:val="24"/>
          <w:szCs w:val="24"/>
        </w:rPr>
        <w:t xml:space="preserve"> located in a community hospital in Massachusetts.</w:t>
      </w:r>
      <w:r w:rsidR="004044B7">
        <w:rPr>
          <w:rStyle w:val="FootnoteReference"/>
          <w:bCs/>
          <w:sz w:val="24"/>
          <w:szCs w:val="24"/>
        </w:rPr>
        <w:footnoteReference w:id="15"/>
      </w:r>
      <w:r w:rsidR="004044B7" w:rsidRPr="00190D1B">
        <w:rPr>
          <w:bCs/>
          <w:sz w:val="24"/>
          <w:szCs w:val="24"/>
          <w:vertAlign w:val="superscript"/>
        </w:rPr>
        <w:t>,</w:t>
      </w:r>
      <w:r w:rsidR="004044B7">
        <w:rPr>
          <w:rStyle w:val="EndnoteReference"/>
          <w:bCs/>
          <w:sz w:val="24"/>
          <w:szCs w:val="24"/>
        </w:rPr>
        <w:endnoteReference w:id="8"/>
      </w:r>
      <w:r w:rsidR="004044B7" w:rsidRPr="00190D1B">
        <w:rPr>
          <w:bCs/>
          <w:sz w:val="24"/>
          <w:szCs w:val="24"/>
        </w:rPr>
        <w:t> </w:t>
      </w:r>
    </w:p>
    <w:p w14:paraId="7E03082F" w14:textId="0D8682F3" w:rsidR="00D56E29" w:rsidRPr="00667357" w:rsidRDefault="003843FC" w:rsidP="002D6EBF">
      <w:pPr>
        <w:pStyle w:val="ListParagraph"/>
        <w:numPr>
          <w:ilvl w:val="0"/>
          <w:numId w:val="9"/>
        </w:numPr>
        <w:spacing w:line="240" w:lineRule="auto"/>
        <w:ind w:left="360"/>
        <w:rPr>
          <w:bCs/>
          <w:sz w:val="24"/>
          <w:szCs w:val="24"/>
        </w:rPr>
      </w:pPr>
      <w:r w:rsidRPr="00667357">
        <w:rPr>
          <w:b/>
          <w:sz w:val="24"/>
          <w:szCs w:val="24"/>
        </w:rPr>
        <w:t>Brain and musculoskeletal imaging:</w:t>
      </w:r>
      <w:r w:rsidRPr="00667357">
        <w:rPr>
          <w:bCs/>
          <w:sz w:val="24"/>
          <w:szCs w:val="24"/>
        </w:rPr>
        <w:t xml:space="preserve"> </w:t>
      </w:r>
      <w:r w:rsidR="0035674E">
        <w:rPr>
          <w:bCs/>
          <w:sz w:val="24"/>
          <w:szCs w:val="24"/>
        </w:rPr>
        <w:t xml:space="preserve">MRI </w:t>
      </w:r>
      <w:r w:rsidR="00A63A55">
        <w:rPr>
          <w:bCs/>
          <w:sz w:val="24"/>
          <w:szCs w:val="24"/>
        </w:rPr>
        <w:t xml:space="preserve">technology </w:t>
      </w:r>
      <w:r w:rsidR="0035674E">
        <w:rPr>
          <w:bCs/>
          <w:sz w:val="24"/>
          <w:szCs w:val="24"/>
        </w:rPr>
        <w:t>is u</w:t>
      </w:r>
      <w:r w:rsidRPr="00667357">
        <w:rPr>
          <w:bCs/>
          <w:sz w:val="24"/>
          <w:szCs w:val="24"/>
        </w:rPr>
        <w:t>sed to diagnose pathological conditions involving the brain, spine, and musculoskeletal system</w:t>
      </w:r>
      <w:r w:rsidR="00FD15E9">
        <w:rPr>
          <w:bCs/>
          <w:sz w:val="24"/>
          <w:szCs w:val="24"/>
        </w:rPr>
        <w:t xml:space="preserve">. </w:t>
      </w:r>
      <w:r w:rsidR="0015438B" w:rsidRPr="0015438B">
        <w:rPr>
          <w:bCs/>
          <w:sz w:val="24"/>
          <w:szCs w:val="24"/>
        </w:rPr>
        <w:t xml:space="preserve">Imaging remains a powerful noninvasive tool to positively impact the management of patients with brain tumor. </w:t>
      </w:r>
      <w:r w:rsidR="00FD15E9">
        <w:rPr>
          <w:bCs/>
          <w:sz w:val="24"/>
          <w:szCs w:val="24"/>
        </w:rPr>
        <w:t xml:space="preserve">MRI is </w:t>
      </w:r>
      <w:r w:rsidRPr="00667357">
        <w:rPr>
          <w:bCs/>
          <w:sz w:val="24"/>
          <w:szCs w:val="24"/>
        </w:rPr>
        <w:t>being applied to diagnose and grade brain tumors preoperatively, to plan and navigate surgery intra-operatively, to monitor and assess treatment response and patient prognosis, and to understand the effects of treatment on the patients</w:t>
      </w:r>
      <w:r w:rsidR="00CC34BE" w:rsidRPr="00667357">
        <w:rPr>
          <w:bCs/>
          <w:sz w:val="24"/>
          <w:szCs w:val="24"/>
        </w:rPr>
        <w:t>’</w:t>
      </w:r>
      <w:r w:rsidRPr="00667357">
        <w:rPr>
          <w:bCs/>
          <w:sz w:val="24"/>
          <w:szCs w:val="24"/>
        </w:rPr>
        <w:t xml:space="preserve"> brain. </w:t>
      </w:r>
    </w:p>
    <w:p w14:paraId="25DFBCF0" w14:textId="4A58B71C" w:rsidR="00D56E29" w:rsidRPr="00667357" w:rsidRDefault="00F152D8" w:rsidP="002D6EBF">
      <w:pPr>
        <w:pStyle w:val="ListParagraph"/>
        <w:numPr>
          <w:ilvl w:val="0"/>
          <w:numId w:val="9"/>
        </w:numPr>
        <w:spacing w:line="240" w:lineRule="auto"/>
        <w:ind w:left="360"/>
        <w:rPr>
          <w:bCs/>
          <w:sz w:val="24"/>
          <w:szCs w:val="24"/>
        </w:rPr>
      </w:pPr>
      <w:r w:rsidRPr="00667357">
        <w:rPr>
          <w:b/>
          <w:sz w:val="24"/>
          <w:szCs w:val="24"/>
        </w:rPr>
        <w:t>Oncology:</w:t>
      </w:r>
      <w:r w:rsidRPr="00667357">
        <w:rPr>
          <w:bCs/>
          <w:sz w:val="24"/>
          <w:szCs w:val="24"/>
        </w:rPr>
        <w:t xml:space="preserve"> MRI is an important tool in cancer </w:t>
      </w:r>
      <w:r w:rsidR="00157036">
        <w:rPr>
          <w:bCs/>
          <w:sz w:val="24"/>
          <w:szCs w:val="24"/>
        </w:rPr>
        <w:t xml:space="preserve">detection and </w:t>
      </w:r>
      <w:r w:rsidRPr="00667357">
        <w:rPr>
          <w:bCs/>
          <w:sz w:val="24"/>
          <w:szCs w:val="24"/>
        </w:rPr>
        <w:t>diagnosis,</w:t>
      </w:r>
      <w:r w:rsidR="00157036">
        <w:rPr>
          <w:bCs/>
          <w:sz w:val="24"/>
          <w:szCs w:val="24"/>
        </w:rPr>
        <w:t xml:space="preserve"> </w:t>
      </w:r>
      <w:r w:rsidR="00157036" w:rsidRPr="00667357">
        <w:rPr>
          <w:bCs/>
          <w:sz w:val="24"/>
          <w:szCs w:val="24"/>
        </w:rPr>
        <w:t>determine spread</w:t>
      </w:r>
      <w:r w:rsidRPr="00667357">
        <w:rPr>
          <w:bCs/>
          <w:sz w:val="24"/>
          <w:szCs w:val="24"/>
        </w:rPr>
        <w:t xml:space="preserve"> </w:t>
      </w:r>
      <w:r w:rsidR="00157036">
        <w:rPr>
          <w:bCs/>
          <w:sz w:val="24"/>
          <w:szCs w:val="24"/>
        </w:rPr>
        <w:t xml:space="preserve">and </w:t>
      </w:r>
      <w:r w:rsidRPr="00667357">
        <w:rPr>
          <w:bCs/>
          <w:sz w:val="24"/>
          <w:szCs w:val="24"/>
        </w:rPr>
        <w:t xml:space="preserve">staging and </w:t>
      </w:r>
      <w:r w:rsidR="00157036" w:rsidRPr="00667357">
        <w:rPr>
          <w:bCs/>
          <w:sz w:val="24"/>
          <w:szCs w:val="24"/>
        </w:rPr>
        <w:t>assist</w:t>
      </w:r>
      <w:r w:rsidR="00157036">
        <w:rPr>
          <w:bCs/>
          <w:sz w:val="24"/>
          <w:szCs w:val="24"/>
        </w:rPr>
        <w:t>ing</w:t>
      </w:r>
      <w:r w:rsidR="00157036" w:rsidRPr="00667357">
        <w:rPr>
          <w:bCs/>
          <w:sz w:val="24"/>
          <w:szCs w:val="24"/>
        </w:rPr>
        <w:t xml:space="preserve"> in </w:t>
      </w:r>
      <w:r w:rsidRPr="00667357">
        <w:rPr>
          <w:bCs/>
          <w:sz w:val="24"/>
          <w:szCs w:val="24"/>
        </w:rPr>
        <w:t xml:space="preserve">treatment planning. </w:t>
      </w:r>
      <w:r w:rsidRPr="00667357">
        <w:rPr>
          <w:rStyle w:val="EndnoteReference"/>
          <w:bCs/>
          <w:sz w:val="24"/>
          <w:szCs w:val="24"/>
        </w:rPr>
        <w:endnoteReference w:id="9"/>
      </w:r>
      <w:r w:rsidRPr="00667357">
        <w:rPr>
          <w:bCs/>
          <w:sz w:val="24"/>
          <w:szCs w:val="24"/>
        </w:rPr>
        <w:t xml:space="preserve"> </w:t>
      </w:r>
      <w:r w:rsidR="00775529" w:rsidRPr="00775529">
        <w:rPr>
          <w:bCs/>
          <w:sz w:val="24"/>
          <w:szCs w:val="24"/>
        </w:rPr>
        <w:t>Prostate cancer is the 6</w:t>
      </w:r>
      <w:r w:rsidR="00775529" w:rsidRPr="00775529">
        <w:rPr>
          <w:bCs/>
          <w:sz w:val="24"/>
          <w:szCs w:val="24"/>
          <w:vertAlign w:val="superscript"/>
        </w:rPr>
        <w:t>th</w:t>
      </w:r>
      <w:r w:rsidR="00775529" w:rsidRPr="00775529">
        <w:rPr>
          <w:bCs/>
          <w:sz w:val="24"/>
          <w:szCs w:val="24"/>
        </w:rPr>
        <w:t xml:space="preserve"> leading cancer in the United states, the second most commonly diagnosed cancer, and the second leading cause of cancer death among men in the United States.</w:t>
      </w:r>
      <w:r w:rsidR="00775529" w:rsidRPr="00775529">
        <w:rPr>
          <w:bCs/>
          <w:sz w:val="24"/>
          <w:szCs w:val="24"/>
          <w:vertAlign w:val="superscript"/>
        </w:rPr>
        <w:endnoteReference w:id="10"/>
      </w:r>
      <w:r w:rsidR="00775529" w:rsidRPr="00775529">
        <w:rPr>
          <w:bCs/>
          <w:sz w:val="24"/>
          <w:szCs w:val="24"/>
          <w:vertAlign w:val="superscript"/>
        </w:rPr>
        <w:t>,</w:t>
      </w:r>
      <w:r w:rsidR="00775529" w:rsidRPr="00775529">
        <w:rPr>
          <w:bCs/>
          <w:sz w:val="24"/>
          <w:szCs w:val="24"/>
          <w:vertAlign w:val="superscript"/>
        </w:rPr>
        <w:endnoteReference w:id="11"/>
      </w:r>
      <w:r w:rsidR="00775529" w:rsidRPr="00775529">
        <w:rPr>
          <w:bCs/>
          <w:sz w:val="24"/>
          <w:szCs w:val="24"/>
          <w:vertAlign w:val="superscript"/>
        </w:rPr>
        <w:t xml:space="preserve"> </w:t>
      </w:r>
      <w:r w:rsidR="00FD15E9">
        <w:rPr>
          <w:bCs/>
          <w:sz w:val="24"/>
          <w:szCs w:val="24"/>
        </w:rPr>
        <w:t>MRI provides</w:t>
      </w:r>
      <w:r w:rsidRPr="00667357">
        <w:rPr>
          <w:bCs/>
          <w:sz w:val="24"/>
          <w:szCs w:val="24"/>
        </w:rPr>
        <w:t xml:space="preserve"> </w:t>
      </w:r>
      <w:r w:rsidR="00A04B4E">
        <w:rPr>
          <w:bCs/>
          <w:sz w:val="24"/>
          <w:szCs w:val="24"/>
        </w:rPr>
        <w:t xml:space="preserve">visualization of prostate cancer, </w:t>
      </w:r>
      <w:r w:rsidR="00DF1FC2">
        <w:rPr>
          <w:bCs/>
          <w:sz w:val="24"/>
          <w:szCs w:val="24"/>
        </w:rPr>
        <w:t xml:space="preserve">which </w:t>
      </w:r>
      <w:r w:rsidRPr="00667357">
        <w:rPr>
          <w:bCs/>
          <w:sz w:val="24"/>
          <w:szCs w:val="24"/>
        </w:rPr>
        <w:t xml:space="preserve">can </w:t>
      </w:r>
      <w:r w:rsidR="00157036">
        <w:rPr>
          <w:bCs/>
          <w:sz w:val="24"/>
          <w:szCs w:val="24"/>
        </w:rPr>
        <w:t xml:space="preserve">be used to </w:t>
      </w:r>
      <w:r w:rsidRPr="00667357">
        <w:rPr>
          <w:bCs/>
          <w:sz w:val="24"/>
          <w:szCs w:val="24"/>
        </w:rPr>
        <w:t>guide biopsies that help plan treatments,</w:t>
      </w:r>
      <w:r w:rsidR="00157036">
        <w:rPr>
          <w:bCs/>
          <w:sz w:val="24"/>
          <w:szCs w:val="24"/>
        </w:rPr>
        <w:t xml:space="preserve"> and</w:t>
      </w:r>
      <w:r w:rsidRPr="00667357">
        <w:rPr>
          <w:bCs/>
          <w:sz w:val="24"/>
          <w:szCs w:val="24"/>
        </w:rPr>
        <w:t xml:space="preserve"> </w:t>
      </w:r>
      <w:r w:rsidR="00157036">
        <w:rPr>
          <w:bCs/>
          <w:sz w:val="24"/>
          <w:szCs w:val="24"/>
        </w:rPr>
        <w:t>stage</w:t>
      </w:r>
      <w:r w:rsidR="00DF1FC2">
        <w:rPr>
          <w:bCs/>
          <w:sz w:val="24"/>
          <w:szCs w:val="24"/>
        </w:rPr>
        <w:t xml:space="preserve"> and monitor tumors</w:t>
      </w:r>
      <w:r w:rsidR="00157036">
        <w:rPr>
          <w:bCs/>
          <w:sz w:val="24"/>
          <w:szCs w:val="24"/>
        </w:rPr>
        <w:t xml:space="preserve">. Additionally, </w:t>
      </w:r>
      <w:r w:rsidR="005C533B" w:rsidRPr="005C533B">
        <w:rPr>
          <w:bCs/>
          <w:sz w:val="24"/>
          <w:szCs w:val="24"/>
        </w:rPr>
        <w:t xml:space="preserve">highly accurate scans can </w:t>
      </w:r>
      <w:r w:rsidR="00E34FCF">
        <w:rPr>
          <w:bCs/>
          <w:sz w:val="24"/>
          <w:szCs w:val="24"/>
        </w:rPr>
        <w:t>impact treatment plans</w:t>
      </w:r>
      <w:r w:rsidR="00157036">
        <w:rPr>
          <w:bCs/>
          <w:sz w:val="24"/>
          <w:szCs w:val="24"/>
        </w:rPr>
        <w:t>,</w:t>
      </w:r>
      <w:r w:rsidR="00B742F1">
        <w:rPr>
          <w:bCs/>
          <w:sz w:val="24"/>
          <w:szCs w:val="24"/>
        </w:rPr>
        <w:t xml:space="preserve"> </w:t>
      </w:r>
      <w:r w:rsidR="00E34FCF">
        <w:rPr>
          <w:bCs/>
          <w:sz w:val="24"/>
          <w:szCs w:val="24"/>
        </w:rPr>
        <w:t xml:space="preserve">potentially </w:t>
      </w:r>
      <w:r w:rsidR="00157036" w:rsidRPr="005C533B">
        <w:rPr>
          <w:bCs/>
          <w:sz w:val="24"/>
          <w:szCs w:val="24"/>
        </w:rPr>
        <w:t>reduc</w:t>
      </w:r>
      <w:r w:rsidR="00157036">
        <w:rPr>
          <w:bCs/>
          <w:sz w:val="24"/>
          <w:szCs w:val="24"/>
        </w:rPr>
        <w:t>ing the</w:t>
      </w:r>
      <w:r w:rsidR="00157036" w:rsidRPr="005C533B">
        <w:rPr>
          <w:bCs/>
          <w:sz w:val="24"/>
          <w:szCs w:val="24"/>
        </w:rPr>
        <w:t xml:space="preserve"> </w:t>
      </w:r>
      <w:r w:rsidR="005C533B" w:rsidRPr="005C533B">
        <w:rPr>
          <w:bCs/>
          <w:sz w:val="24"/>
          <w:szCs w:val="24"/>
        </w:rPr>
        <w:t>need for treatments that may have harsh side effects</w:t>
      </w:r>
      <w:r w:rsidR="00A04B4E">
        <w:rPr>
          <w:bCs/>
          <w:sz w:val="24"/>
          <w:szCs w:val="24"/>
        </w:rPr>
        <w:t>.</w:t>
      </w:r>
      <w:r w:rsidRPr="00667357">
        <w:rPr>
          <w:rStyle w:val="EndnoteReference"/>
          <w:bCs/>
          <w:sz w:val="24"/>
          <w:szCs w:val="24"/>
        </w:rPr>
        <w:endnoteReference w:id="12"/>
      </w:r>
      <w:r w:rsidRPr="00667357">
        <w:rPr>
          <w:bCs/>
          <w:sz w:val="24"/>
          <w:szCs w:val="24"/>
        </w:rPr>
        <w:t xml:space="preserve"> Breast MRI is used to screen for breast cancer for women at high risk, </w:t>
      </w:r>
      <w:r w:rsidR="00157036">
        <w:rPr>
          <w:bCs/>
          <w:sz w:val="24"/>
          <w:szCs w:val="24"/>
        </w:rPr>
        <w:t xml:space="preserve">and </w:t>
      </w:r>
      <w:r w:rsidR="003F4BBE">
        <w:rPr>
          <w:bCs/>
          <w:sz w:val="24"/>
          <w:szCs w:val="24"/>
        </w:rPr>
        <w:t xml:space="preserve">to </w:t>
      </w:r>
      <w:r w:rsidRPr="00667357">
        <w:rPr>
          <w:bCs/>
          <w:sz w:val="24"/>
          <w:szCs w:val="24"/>
        </w:rPr>
        <w:t xml:space="preserve">help determine the extent of breast cancer for women who have already been diagnosed, and </w:t>
      </w:r>
      <w:r w:rsidR="0007370C">
        <w:rPr>
          <w:bCs/>
          <w:sz w:val="24"/>
          <w:szCs w:val="24"/>
        </w:rPr>
        <w:t>for monitoring</w:t>
      </w:r>
      <w:r w:rsidRPr="00667357">
        <w:rPr>
          <w:bCs/>
          <w:sz w:val="24"/>
          <w:szCs w:val="24"/>
        </w:rPr>
        <w:t xml:space="preserve"> after treatment</w:t>
      </w:r>
      <w:r w:rsidR="0015438B">
        <w:rPr>
          <w:bCs/>
          <w:sz w:val="24"/>
          <w:szCs w:val="24"/>
        </w:rPr>
        <w:t>.</w:t>
      </w:r>
      <w:r w:rsidRPr="00667357">
        <w:rPr>
          <w:rStyle w:val="EndnoteReference"/>
          <w:bCs/>
          <w:sz w:val="24"/>
          <w:szCs w:val="24"/>
        </w:rPr>
        <w:endnoteReference w:id="13"/>
      </w:r>
    </w:p>
    <w:p w14:paraId="4F05DAFD" w14:textId="59171F1A" w:rsidR="0011666F" w:rsidRDefault="0011666F" w:rsidP="004A777A">
      <w:pPr>
        <w:spacing w:after="0" w:line="240" w:lineRule="auto"/>
        <w:rPr>
          <w:sz w:val="24"/>
          <w:szCs w:val="24"/>
        </w:rPr>
      </w:pPr>
      <w:r>
        <w:rPr>
          <w:sz w:val="24"/>
          <w:szCs w:val="24"/>
        </w:rPr>
        <w:t xml:space="preserve">The Applicant states that SSHS utilizes Change Healthcare Care Select Decision Support Software for all orders placed by a clinician within SSHS’ </w:t>
      </w:r>
      <w:r w:rsidR="00D142D1">
        <w:rPr>
          <w:sz w:val="24"/>
          <w:szCs w:val="24"/>
        </w:rPr>
        <w:t>health information system (</w:t>
      </w:r>
      <w:r>
        <w:rPr>
          <w:sz w:val="24"/>
          <w:szCs w:val="24"/>
        </w:rPr>
        <w:t>HIS</w:t>
      </w:r>
      <w:r w:rsidR="00D142D1">
        <w:rPr>
          <w:sz w:val="24"/>
          <w:szCs w:val="24"/>
        </w:rPr>
        <w:t>)</w:t>
      </w:r>
      <w:r>
        <w:rPr>
          <w:sz w:val="24"/>
          <w:szCs w:val="24"/>
        </w:rPr>
        <w:t xml:space="preserve">. </w:t>
      </w:r>
      <w:r w:rsidRPr="004A777A">
        <w:rPr>
          <w:sz w:val="24"/>
          <w:szCs w:val="24"/>
        </w:rPr>
        <w:t>The software assesses the medical necessity of the exam and provides feedback to the clinician, including whether the MRI is recommended, and if alternate imaging is recommended, given the clinical information</w:t>
      </w:r>
      <w:r w:rsidR="004A777A">
        <w:rPr>
          <w:sz w:val="24"/>
          <w:szCs w:val="24"/>
        </w:rPr>
        <w:t>. The Applicant asserts that t</w:t>
      </w:r>
      <w:r w:rsidR="00AF2F73" w:rsidRPr="004A777A">
        <w:rPr>
          <w:sz w:val="24"/>
          <w:szCs w:val="24"/>
        </w:rPr>
        <w:t>he s</w:t>
      </w:r>
      <w:r w:rsidRPr="004A777A">
        <w:rPr>
          <w:sz w:val="24"/>
          <w:szCs w:val="24"/>
        </w:rPr>
        <w:t>oftware has been effective in reducing unnecessary MRI exams: in 2020, SSHS decision support software was consulted 5,842 times and resulted in 83 instances of an alternate order being place</w:t>
      </w:r>
      <w:r w:rsidR="00382131">
        <w:rPr>
          <w:sz w:val="24"/>
          <w:szCs w:val="24"/>
        </w:rPr>
        <w:t>d</w:t>
      </w:r>
      <w:r w:rsidRPr="004A777A">
        <w:rPr>
          <w:sz w:val="24"/>
          <w:szCs w:val="24"/>
        </w:rPr>
        <w:t xml:space="preserve"> (CT, MR, Nuclear Med, and select </w:t>
      </w:r>
      <w:r w:rsidR="000542BB">
        <w:rPr>
          <w:sz w:val="24"/>
          <w:szCs w:val="24"/>
        </w:rPr>
        <w:t>X</w:t>
      </w:r>
      <w:r w:rsidRPr="004A777A">
        <w:rPr>
          <w:sz w:val="24"/>
          <w:szCs w:val="24"/>
        </w:rPr>
        <w:t xml:space="preserve">-rays). </w:t>
      </w:r>
      <w:r w:rsidR="004A777A">
        <w:rPr>
          <w:sz w:val="24"/>
          <w:szCs w:val="24"/>
        </w:rPr>
        <w:t>The Applicant state</w:t>
      </w:r>
      <w:r w:rsidR="000542BB">
        <w:rPr>
          <w:sz w:val="24"/>
          <w:szCs w:val="24"/>
        </w:rPr>
        <w:t>s</w:t>
      </w:r>
      <w:r w:rsidR="004A777A">
        <w:rPr>
          <w:sz w:val="24"/>
          <w:szCs w:val="24"/>
        </w:rPr>
        <w:t xml:space="preserve"> also that </w:t>
      </w:r>
      <w:r>
        <w:rPr>
          <w:sz w:val="24"/>
          <w:szCs w:val="24"/>
        </w:rPr>
        <w:t>SSHS follows the requirements of insurance providers to determine if prior authorization is required</w:t>
      </w:r>
      <w:r w:rsidR="00BD4BCB">
        <w:rPr>
          <w:sz w:val="24"/>
          <w:szCs w:val="24"/>
        </w:rPr>
        <w:t xml:space="preserve"> </w:t>
      </w:r>
      <w:r w:rsidR="00157036">
        <w:rPr>
          <w:sz w:val="24"/>
          <w:szCs w:val="24"/>
        </w:rPr>
        <w:t>(non-emergen</w:t>
      </w:r>
      <w:r w:rsidR="00B742F1">
        <w:rPr>
          <w:sz w:val="24"/>
          <w:szCs w:val="24"/>
        </w:rPr>
        <w:t>t</w:t>
      </w:r>
      <w:r w:rsidR="00157036">
        <w:rPr>
          <w:sz w:val="24"/>
          <w:szCs w:val="24"/>
        </w:rPr>
        <w:t xml:space="preserve"> </w:t>
      </w:r>
      <w:r w:rsidRPr="004A777A">
        <w:rPr>
          <w:sz w:val="24"/>
          <w:szCs w:val="24"/>
        </w:rPr>
        <w:t>MRI appointments are not provided unless preauthorized by the patient’s insurance provider</w:t>
      </w:r>
      <w:r w:rsidR="00157036">
        <w:rPr>
          <w:sz w:val="24"/>
          <w:szCs w:val="24"/>
        </w:rPr>
        <w:t>)</w:t>
      </w:r>
      <w:r w:rsidRPr="004A777A">
        <w:rPr>
          <w:sz w:val="24"/>
          <w:szCs w:val="24"/>
        </w:rPr>
        <w:t>.</w:t>
      </w:r>
      <w:r w:rsidR="004A777A">
        <w:rPr>
          <w:sz w:val="24"/>
          <w:szCs w:val="24"/>
        </w:rPr>
        <w:t xml:space="preserve"> </w:t>
      </w:r>
      <w:r w:rsidRPr="004A777A">
        <w:rPr>
          <w:sz w:val="24"/>
          <w:szCs w:val="24"/>
        </w:rPr>
        <w:t xml:space="preserve">The </w:t>
      </w:r>
      <w:r w:rsidR="00417E45">
        <w:rPr>
          <w:sz w:val="24"/>
          <w:szCs w:val="24"/>
        </w:rPr>
        <w:t xml:space="preserve">Applicant notes that the </w:t>
      </w:r>
      <w:r w:rsidRPr="004A777A">
        <w:rPr>
          <w:sz w:val="24"/>
          <w:szCs w:val="24"/>
        </w:rPr>
        <w:t>number of MRI exams not pre-authorized by a patient’s insurance provider is not individually tracked</w:t>
      </w:r>
      <w:r w:rsidR="0016782E" w:rsidRPr="004A777A">
        <w:rPr>
          <w:sz w:val="24"/>
          <w:szCs w:val="24"/>
        </w:rPr>
        <w:t>.</w:t>
      </w:r>
      <w:r w:rsidR="0016782E">
        <w:rPr>
          <w:rStyle w:val="FootnoteReference"/>
          <w:sz w:val="24"/>
          <w:szCs w:val="24"/>
        </w:rPr>
        <w:footnoteReference w:id="16"/>
      </w:r>
    </w:p>
    <w:p w14:paraId="4CDDE0A4" w14:textId="77777777" w:rsidR="007E0DC1" w:rsidRDefault="007E0DC1" w:rsidP="004A777A">
      <w:pPr>
        <w:spacing w:after="0" w:line="240" w:lineRule="auto"/>
        <w:rPr>
          <w:sz w:val="24"/>
          <w:szCs w:val="24"/>
        </w:rPr>
      </w:pPr>
    </w:p>
    <w:p w14:paraId="26BAB52B" w14:textId="7F4BD36F" w:rsidR="00575405" w:rsidRPr="00667357" w:rsidRDefault="00575405">
      <w:pPr>
        <w:rPr>
          <w:b/>
          <w:bCs/>
          <w:i/>
          <w:iCs/>
          <w:sz w:val="24"/>
          <w:szCs w:val="24"/>
        </w:rPr>
      </w:pPr>
      <w:r w:rsidRPr="00667357">
        <w:rPr>
          <w:b/>
          <w:bCs/>
          <w:i/>
          <w:iCs/>
          <w:sz w:val="24"/>
          <w:szCs w:val="24"/>
        </w:rPr>
        <w:t>Analysis</w:t>
      </w:r>
    </w:p>
    <w:p w14:paraId="3F2B6DF1" w14:textId="0EC29980" w:rsidR="00775529" w:rsidRDefault="00486A39" w:rsidP="002D6EBF">
      <w:pPr>
        <w:pStyle w:val="ListParagraph"/>
        <w:numPr>
          <w:ilvl w:val="0"/>
          <w:numId w:val="11"/>
        </w:numPr>
        <w:spacing w:line="240" w:lineRule="auto"/>
        <w:rPr>
          <w:sz w:val="24"/>
          <w:szCs w:val="24"/>
        </w:rPr>
      </w:pPr>
      <w:r w:rsidRPr="00B1361C">
        <w:rPr>
          <w:b/>
          <w:sz w:val="24"/>
          <w:szCs w:val="24"/>
        </w:rPr>
        <w:t>Improved Outcomes</w:t>
      </w:r>
      <w:r w:rsidR="00796917">
        <w:rPr>
          <w:b/>
          <w:sz w:val="24"/>
          <w:szCs w:val="24"/>
        </w:rPr>
        <w:t>:</w:t>
      </w:r>
      <w:r w:rsidR="00160E14">
        <w:rPr>
          <w:sz w:val="24"/>
          <w:szCs w:val="24"/>
        </w:rPr>
        <w:t xml:space="preserve"> </w:t>
      </w:r>
      <w:r w:rsidR="00B1361C">
        <w:rPr>
          <w:sz w:val="24"/>
          <w:szCs w:val="24"/>
        </w:rPr>
        <w:t xml:space="preserve">MRI </w:t>
      </w:r>
      <w:r w:rsidR="00B1361C">
        <w:rPr>
          <w:bCs/>
          <w:sz w:val="24"/>
          <w:szCs w:val="24"/>
        </w:rPr>
        <w:t>can i</w:t>
      </w:r>
      <w:r w:rsidR="000E31EB" w:rsidRPr="00B1361C">
        <w:rPr>
          <w:bCs/>
          <w:sz w:val="24"/>
          <w:szCs w:val="24"/>
        </w:rPr>
        <w:t>mprov</w:t>
      </w:r>
      <w:r w:rsidR="00B1361C">
        <w:rPr>
          <w:bCs/>
          <w:sz w:val="24"/>
          <w:szCs w:val="24"/>
        </w:rPr>
        <w:t>e</w:t>
      </w:r>
      <w:r w:rsidR="000E31EB" w:rsidRPr="00B1361C">
        <w:rPr>
          <w:bCs/>
          <w:sz w:val="24"/>
          <w:szCs w:val="24"/>
        </w:rPr>
        <w:t xml:space="preserve"> quality of life by</w:t>
      </w:r>
      <w:r w:rsidR="009173A3">
        <w:rPr>
          <w:bCs/>
          <w:sz w:val="24"/>
          <w:szCs w:val="24"/>
        </w:rPr>
        <w:t xml:space="preserve"> </w:t>
      </w:r>
      <w:r w:rsidR="000E31EB" w:rsidRPr="00B1361C">
        <w:rPr>
          <w:bCs/>
          <w:sz w:val="24"/>
          <w:szCs w:val="24"/>
        </w:rPr>
        <w:t xml:space="preserve">providing more accurate information to </w:t>
      </w:r>
      <w:r w:rsidR="005B3336">
        <w:rPr>
          <w:bCs/>
          <w:sz w:val="24"/>
          <w:szCs w:val="24"/>
        </w:rPr>
        <w:t>facilitate</w:t>
      </w:r>
      <w:r w:rsidR="000E31EB" w:rsidRPr="00B1361C">
        <w:rPr>
          <w:bCs/>
          <w:sz w:val="24"/>
          <w:szCs w:val="24"/>
        </w:rPr>
        <w:t xml:space="preserve"> appropriate treatment</w:t>
      </w:r>
      <w:r w:rsidR="009173A3">
        <w:rPr>
          <w:bCs/>
          <w:sz w:val="24"/>
          <w:szCs w:val="24"/>
        </w:rPr>
        <w:t xml:space="preserve"> and </w:t>
      </w:r>
      <w:r w:rsidR="009173A3" w:rsidRPr="009173A3">
        <w:rPr>
          <w:bCs/>
          <w:sz w:val="24"/>
          <w:szCs w:val="24"/>
        </w:rPr>
        <w:t>reduc</w:t>
      </w:r>
      <w:r w:rsidR="009173A3">
        <w:rPr>
          <w:bCs/>
          <w:sz w:val="24"/>
          <w:szCs w:val="24"/>
        </w:rPr>
        <w:t>e</w:t>
      </w:r>
      <w:r w:rsidR="009173A3" w:rsidRPr="009173A3">
        <w:rPr>
          <w:bCs/>
          <w:sz w:val="24"/>
          <w:szCs w:val="24"/>
        </w:rPr>
        <w:t xml:space="preserve"> unnecessary treatment</w:t>
      </w:r>
      <w:r w:rsidR="009173A3">
        <w:rPr>
          <w:bCs/>
          <w:sz w:val="24"/>
          <w:szCs w:val="24"/>
        </w:rPr>
        <w:t>.</w:t>
      </w:r>
    </w:p>
    <w:p w14:paraId="662D34DB" w14:textId="0DD8DCFA" w:rsidR="00B1361C" w:rsidRPr="00B1361C" w:rsidRDefault="00486A39" w:rsidP="002D6EBF">
      <w:pPr>
        <w:pStyle w:val="ListParagraph"/>
        <w:numPr>
          <w:ilvl w:val="0"/>
          <w:numId w:val="11"/>
        </w:numPr>
        <w:spacing w:line="240" w:lineRule="auto"/>
        <w:rPr>
          <w:sz w:val="24"/>
          <w:szCs w:val="24"/>
        </w:rPr>
      </w:pPr>
      <w:r w:rsidRPr="00B1361C">
        <w:rPr>
          <w:b/>
          <w:sz w:val="24"/>
          <w:szCs w:val="24"/>
        </w:rPr>
        <w:t>Reduc</w:t>
      </w:r>
      <w:r w:rsidR="006656C5" w:rsidRPr="00B1361C">
        <w:rPr>
          <w:b/>
          <w:sz w:val="24"/>
          <w:szCs w:val="24"/>
        </w:rPr>
        <w:t>ed</w:t>
      </w:r>
      <w:r w:rsidRPr="00B1361C">
        <w:rPr>
          <w:b/>
          <w:sz w:val="24"/>
          <w:szCs w:val="24"/>
        </w:rPr>
        <w:t xml:space="preserve"> wait times for imaging</w:t>
      </w:r>
      <w:r w:rsidR="00796917">
        <w:rPr>
          <w:b/>
          <w:sz w:val="24"/>
          <w:szCs w:val="24"/>
        </w:rPr>
        <w:t>:</w:t>
      </w:r>
      <w:r w:rsidR="00672DF8" w:rsidRPr="00B1361C">
        <w:rPr>
          <w:b/>
          <w:sz w:val="24"/>
          <w:szCs w:val="24"/>
        </w:rPr>
        <w:t xml:space="preserve"> </w:t>
      </w:r>
      <w:r w:rsidR="000678AD" w:rsidRPr="00B1361C">
        <w:rPr>
          <w:bCs/>
          <w:sz w:val="24"/>
          <w:szCs w:val="24"/>
        </w:rPr>
        <w:t>Improved access to MRI can allow for prompt scanning of more patients</w:t>
      </w:r>
      <w:r w:rsidR="00112509">
        <w:rPr>
          <w:bCs/>
          <w:sz w:val="24"/>
          <w:szCs w:val="24"/>
        </w:rPr>
        <w:t>; r</w:t>
      </w:r>
      <w:r w:rsidR="002A7B3C" w:rsidRPr="00B1361C">
        <w:rPr>
          <w:bCs/>
          <w:sz w:val="24"/>
          <w:szCs w:val="24"/>
        </w:rPr>
        <w:t>educing delays in</w:t>
      </w:r>
      <w:r w:rsidR="000678AD" w:rsidRPr="00B1361C">
        <w:rPr>
          <w:bCs/>
          <w:sz w:val="24"/>
          <w:szCs w:val="24"/>
        </w:rPr>
        <w:t xml:space="preserve"> diagnosis and treatment can </w:t>
      </w:r>
      <w:r w:rsidR="002A7B3C" w:rsidRPr="00B1361C">
        <w:rPr>
          <w:bCs/>
          <w:sz w:val="24"/>
          <w:szCs w:val="24"/>
        </w:rPr>
        <w:t>improve health outcomes and quality of life</w:t>
      </w:r>
      <w:r w:rsidR="000678AD" w:rsidRPr="00B1361C">
        <w:rPr>
          <w:bCs/>
          <w:sz w:val="24"/>
          <w:szCs w:val="24"/>
        </w:rPr>
        <w:t>.</w:t>
      </w:r>
      <w:r w:rsidR="00E91CFD" w:rsidRPr="00B1361C">
        <w:rPr>
          <w:bCs/>
          <w:sz w:val="24"/>
          <w:szCs w:val="24"/>
        </w:rPr>
        <w:t xml:space="preserve"> </w:t>
      </w:r>
    </w:p>
    <w:p w14:paraId="47695F83" w14:textId="74EC788D" w:rsidR="00043E84" w:rsidRPr="00597CAB" w:rsidRDefault="00486A39" w:rsidP="002D6EBF">
      <w:pPr>
        <w:pStyle w:val="ListParagraph"/>
        <w:numPr>
          <w:ilvl w:val="0"/>
          <w:numId w:val="11"/>
        </w:numPr>
        <w:spacing w:line="240" w:lineRule="auto"/>
        <w:rPr>
          <w:bCs/>
          <w:sz w:val="24"/>
          <w:szCs w:val="24"/>
        </w:rPr>
      </w:pPr>
      <w:r w:rsidRPr="00B1361C">
        <w:rPr>
          <w:b/>
          <w:sz w:val="24"/>
          <w:szCs w:val="24"/>
        </w:rPr>
        <w:t>Improved patient experience</w:t>
      </w:r>
      <w:r w:rsidR="00796917">
        <w:rPr>
          <w:b/>
          <w:sz w:val="24"/>
          <w:szCs w:val="24"/>
        </w:rPr>
        <w:t>:</w:t>
      </w:r>
      <w:r w:rsidR="00160E14">
        <w:rPr>
          <w:b/>
          <w:sz w:val="24"/>
          <w:szCs w:val="24"/>
        </w:rPr>
        <w:t xml:space="preserve"> </w:t>
      </w:r>
      <w:r w:rsidR="00043E84" w:rsidRPr="00B1361C">
        <w:rPr>
          <w:bCs/>
          <w:sz w:val="24"/>
          <w:szCs w:val="24"/>
        </w:rPr>
        <w:t>Reducing scan times can provide comfort to patients and improve patient experience and satisfaction.</w:t>
      </w:r>
      <w:r w:rsidR="00F16A9E" w:rsidRPr="00F16A9E">
        <w:rPr>
          <w:bCs/>
          <w:sz w:val="24"/>
          <w:szCs w:val="24"/>
        </w:rPr>
        <w:t xml:space="preserve"> Earlier diagnosis and treatment can reduce time lost from work, family</w:t>
      </w:r>
      <w:r w:rsidR="006E3810">
        <w:rPr>
          <w:bCs/>
          <w:sz w:val="24"/>
          <w:szCs w:val="24"/>
        </w:rPr>
        <w:t>,</w:t>
      </w:r>
      <w:r w:rsidR="00F16A9E" w:rsidRPr="00F16A9E">
        <w:rPr>
          <w:bCs/>
          <w:sz w:val="24"/>
          <w:szCs w:val="24"/>
        </w:rPr>
        <w:t xml:space="preserve"> and other activities, and as a result, patients may experience a greater sense of well-being.</w:t>
      </w:r>
    </w:p>
    <w:p w14:paraId="30B30E6D" w14:textId="1037C413" w:rsidR="00CE5B08" w:rsidRPr="00165969" w:rsidRDefault="00F33FC6" w:rsidP="00165969">
      <w:pPr>
        <w:widowControl w:val="0"/>
        <w:spacing w:after="0" w:line="240" w:lineRule="auto"/>
        <w:ind w:right="114"/>
        <w:rPr>
          <w:rFonts w:cstheme="minorHAnsi"/>
          <w:sz w:val="24"/>
          <w:szCs w:val="24"/>
        </w:rPr>
      </w:pPr>
      <w:r w:rsidRPr="005F6DA3">
        <w:rPr>
          <w:rFonts w:cstheme="minorHAnsi"/>
          <w:bCs/>
          <w:sz w:val="24"/>
          <w:szCs w:val="24"/>
        </w:rPr>
        <w:t xml:space="preserve">Appropriate use is particularly relevant for imaging technology. The </w:t>
      </w:r>
      <w:hyperlink r:id="rId14" w:history="1">
        <w:r w:rsidRPr="00975741">
          <w:rPr>
            <w:rStyle w:val="Hyperlink"/>
            <w:rFonts w:cstheme="minorHAnsi"/>
            <w:bCs/>
            <w:i/>
            <w:iCs/>
            <w:color w:val="auto"/>
            <w:sz w:val="24"/>
            <w:szCs w:val="24"/>
            <w:u w:val="none"/>
          </w:rPr>
          <w:t>Choosing Wisely</w:t>
        </w:r>
      </w:hyperlink>
      <w:r w:rsidRPr="00975741">
        <w:rPr>
          <w:rFonts w:cstheme="minorHAnsi"/>
          <w:bCs/>
          <w:sz w:val="24"/>
          <w:szCs w:val="24"/>
        </w:rPr>
        <w:t xml:space="preserve"> </w:t>
      </w:r>
      <w:r w:rsidRPr="005F6DA3">
        <w:rPr>
          <w:rFonts w:cstheme="minorHAnsi"/>
          <w:bCs/>
          <w:sz w:val="24"/>
          <w:szCs w:val="24"/>
        </w:rPr>
        <w:t>Campaign of the American Board of Internal Medicine Foundation</w:t>
      </w:r>
      <w:r w:rsidRPr="005F6DA3">
        <w:rPr>
          <w:rStyle w:val="EndnoteReference"/>
          <w:rFonts w:cstheme="minorHAnsi"/>
          <w:bCs/>
          <w:sz w:val="24"/>
          <w:szCs w:val="24"/>
        </w:rPr>
        <w:endnoteReference w:id="14"/>
      </w:r>
      <w:r w:rsidRPr="005F6DA3">
        <w:rPr>
          <w:rFonts w:cstheme="minorHAnsi"/>
          <w:bCs/>
          <w:sz w:val="24"/>
          <w:szCs w:val="24"/>
        </w:rPr>
        <w:t xml:space="preserve"> lists some MRI procedures whose “</w:t>
      </w:r>
      <w:r w:rsidRPr="005F6DA3">
        <w:rPr>
          <w:rFonts w:cstheme="minorHAnsi"/>
          <w:sz w:val="24"/>
          <w:szCs w:val="24"/>
        </w:rPr>
        <w:t xml:space="preserve">necessity should be questioned and discussed” by physicians and their patients. </w:t>
      </w:r>
      <w:r w:rsidRPr="005F6DA3">
        <w:rPr>
          <w:rFonts w:cstheme="minorHAnsi"/>
          <w:bCs/>
          <w:sz w:val="24"/>
          <w:szCs w:val="24"/>
        </w:rPr>
        <w:t>The Massachusetts Health Policy Commission (HPC) has noted that overuse of some MRI imaging and their related costs remain a concern in the Commonwealth.</w:t>
      </w:r>
      <w:r w:rsidR="00A36515" w:rsidRPr="005F6DA3">
        <w:rPr>
          <w:rStyle w:val="EndnoteReference"/>
          <w:rFonts w:cstheme="minorHAnsi"/>
          <w:bCs/>
          <w:sz w:val="24"/>
          <w:szCs w:val="24"/>
        </w:rPr>
        <w:endnoteReference w:id="15"/>
      </w:r>
      <w:r w:rsidR="00A36515" w:rsidRPr="005F6DA3">
        <w:rPr>
          <w:rFonts w:cstheme="minorHAnsi"/>
          <w:sz w:val="24"/>
          <w:szCs w:val="24"/>
        </w:rPr>
        <w:t xml:space="preserve"> </w:t>
      </w:r>
      <w:r w:rsidRPr="005F6DA3">
        <w:rPr>
          <w:rFonts w:cstheme="minorHAnsi"/>
          <w:bCs/>
          <w:sz w:val="24"/>
          <w:szCs w:val="24"/>
        </w:rPr>
        <w:t xml:space="preserve">While ensuring access to imaging technology can improve patient satisfaction and a sense of wellbeing, </w:t>
      </w:r>
      <w:r w:rsidRPr="005F6DA3">
        <w:rPr>
          <w:rFonts w:cstheme="minorHAnsi"/>
          <w:sz w:val="24"/>
          <w:szCs w:val="24"/>
        </w:rPr>
        <w:t>inappropriate use can lead not only to higher costs, but also to lower quality care and increased worry as a result of unnecessary healthcare interventions from false positive scans</w:t>
      </w:r>
      <w:r w:rsidR="00C61FFA" w:rsidRPr="005F6DA3">
        <w:rPr>
          <w:rFonts w:cstheme="minorHAnsi"/>
          <w:sz w:val="24"/>
          <w:szCs w:val="24"/>
        </w:rPr>
        <w:t>.</w:t>
      </w:r>
      <w:r w:rsidR="00C61FFA" w:rsidRPr="005F6DA3">
        <w:rPr>
          <w:rFonts w:cstheme="minorHAnsi"/>
          <w:sz w:val="24"/>
          <w:szCs w:val="24"/>
          <w:vertAlign w:val="superscript"/>
        </w:rPr>
        <w:endnoteReference w:id="16"/>
      </w:r>
      <w:r w:rsidR="000372DD">
        <w:rPr>
          <w:rFonts w:cstheme="minorHAnsi"/>
          <w:sz w:val="24"/>
          <w:szCs w:val="24"/>
        </w:rPr>
        <w:t xml:space="preserve"> </w:t>
      </w:r>
      <w:r w:rsidR="00CE5B08">
        <w:rPr>
          <w:rFonts w:cstheme="minorHAnsi"/>
          <w:bCs/>
          <w:sz w:val="24"/>
          <w:szCs w:val="24"/>
        </w:rPr>
        <w:t xml:space="preserve">The Applicant described </w:t>
      </w:r>
      <w:r w:rsidR="000E14AF">
        <w:rPr>
          <w:rFonts w:cstheme="minorHAnsi"/>
          <w:bCs/>
          <w:sz w:val="24"/>
          <w:szCs w:val="24"/>
        </w:rPr>
        <w:t xml:space="preserve">the clinical utility of 3T and </w:t>
      </w:r>
      <w:r w:rsidR="00112509">
        <w:rPr>
          <w:rFonts w:cstheme="minorHAnsi"/>
          <w:bCs/>
          <w:sz w:val="24"/>
          <w:szCs w:val="24"/>
        </w:rPr>
        <w:t xml:space="preserve">clinical decision </w:t>
      </w:r>
      <w:r w:rsidR="000E14AF">
        <w:rPr>
          <w:rFonts w:cstheme="minorHAnsi"/>
          <w:bCs/>
          <w:sz w:val="24"/>
          <w:szCs w:val="24"/>
        </w:rPr>
        <w:t>systems</w:t>
      </w:r>
      <w:r w:rsidR="00112509">
        <w:rPr>
          <w:rFonts w:cstheme="minorHAnsi"/>
          <w:bCs/>
          <w:sz w:val="24"/>
          <w:szCs w:val="24"/>
        </w:rPr>
        <w:t xml:space="preserve"> in place</w:t>
      </w:r>
      <w:r w:rsidR="00CE5B08">
        <w:rPr>
          <w:rFonts w:cstheme="minorHAnsi"/>
          <w:bCs/>
          <w:sz w:val="24"/>
          <w:szCs w:val="24"/>
        </w:rPr>
        <w:t xml:space="preserve"> </w:t>
      </w:r>
      <w:r w:rsidR="000E14AF">
        <w:rPr>
          <w:rFonts w:cstheme="minorHAnsi"/>
          <w:bCs/>
          <w:sz w:val="24"/>
          <w:szCs w:val="24"/>
        </w:rPr>
        <w:t>to</w:t>
      </w:r>
      <w:r w:rsidR="00CE5B08">
        <w:rPr>
          <w:rFonts w:cstheme="minorHAnsi"/>
          <w:bCs/>
          <w:sz w:val="24"/>
          <w:szCs w:val="24"/>
        </w:rPr>
        <w:t xml:space="preserve"> support appropriate use of MRI imaging. </w:t>
      </w:r>
      <w:r w:rsidR="00CE5B08" w:rsidRPr="00667357">
        <w:rPr>
          <w:sz w:val="24"/>
          <w:szCs w:val="24"/>
        </w:rPr>
        <w:t xml:space="preserve">The Applicant has provided several measures, including wait times to appointments and quality of care, which may indicate improved outcomes. </w:t>
      </w:r>
      <w:r w:rsidR="007C0674" w:rsidRPr="007C0674">
        <w:rPr>
          <w:sz w:val="24"/>
          <w:szCs w:val="24"/>
        </w:rPr>
        <w:t xml:space="preserve">Staff reviewed the suggested measures that will become part of the annual reporting to DPH.  </w:t>
      </w:r>
      <w:r w:rsidR="007D7D17">
        <w:rPr>
          <w:sz w:val="24"/>
          <w:szCs w:val="24"/>
        </w:rPr>
        <w:t xml:space="preserve">The measures are described in Appendix </w:t>
      </w:r>
      <w:r w:rsidR="00EC40B4">
        <w:rPr>
          <w:sz w:val="24"/>
          <w:szCs w:val="24"/>
        </w:rPr>
        <w:t xml:space="preserve">1 </w:t>
      </w:r>
      <w:r w:rsidR="007D7D17">
        <w:rPr>
          <w:sz w:val="24"/>
          <w:szCs w:val="24"/>
        </w:rPr>
        <w:t xml:space="preserve">below. </w:t>
      </w:r>
    </w:p>
    <w:p w14:paraId="3CD2B1D6" w14:textId="5113448F" w:rsidR="007E0DC1" w:rsidRPr="002500B7" w:rsidRDefault="007E0DC1" w:rsidP="00667357">
      <w:pPr>
        <w:spacing w:after="0" w:line="240" w:lineRule="auto"/>
        <w:rPr>
          <w:rFonts w:cstheme="minorHAnsi"/>
          <w:bCs/>
          <w:sz w:val="24"/>
          <w:szCs w:val="24"/>
        </w:rPr>
      </w:pPr>
    </w:p>
    <w:p w14:paraId="2031AE29" w14:textId="4742C22A" w:rsidR="009A446D" w:rsidRPr="00667357" w:rsidRDefault="0043785E" w:rsidP="00667357">
      <w:pPr>
        <w:spacing w:line="240" w:lineRule="auto"/>
        <w:rPr>
          <w:b/>
          <w:bCs/>
          <w:i/>
          <w:iCs/>
          <w:sz w:val="24"/>
          <w:szCs w:val="24"/>
        </w:rPr>
      </w:pPr>
      <w:r w:rsidRPr="00667357">
        <w:rPr>
          <w:b/>
          <w:bCs/>
          <w:i/>
          <w:iCs/>
          <w:sz w:val="24"/>
          <w:szCs w:val="24"/>
        </w:rPr>
        <w:t>Health Equity and Social Determinants of Health (SD</w:t>
      </w:r>
      <w:r w:rsidR="0077766C">
        <w:rPr>
          <w:b/>
          <w:bCs/>
          <w:i/>
          <w:iCs/>
          <w:sz w:val="24"/>
          <w:szCs w:val="24"/>
        </w:rPr>
        <w:t>o</w:t>
      </w:r>
      <w:r w:rsidRPr="00667357">
        <w:rPr>
          <w:b/>
          <w:bCs/>
          <w:i/>
          <w:iCs/>
          <w:sz w:val="24"/>
          <w:szCs w:val="24"/>
        </w:rPr>
        <w:t>H)</w:t>
      </w:r>
    </w:p>
    <w:p w14:paraId="037E040F" w14:textId="0E949FFF" w:rsidR="009A446D" w:rsidRDefault="00C71E44" w:rsidP="00667357">
      <w:pPr>
        <w:spacing w:line="240" w:lineRule="auto"/>
        <w:rPr>
          <w:sz w:val="24"/>
          <w:szCs w:val="24"/>
        </w:rPr>
      </w:pPr>
      <w:r w:rsidRPr="00667357">
        <w:rPr>
          <w:sz w:val="24"/>
          <w:szCs w:val="24"/>
        </w:rPr>
        <w:t xml:space="preserve">The Applicant provided the following examples of </w:t>
      </w:r>
      <w:r w:rsidR="007178FC">
        <w:rPr>
          <w:sz w:val="24"/>
          <w:szCs w:val="24"/>
        </w:rPr>
        <w:t xml:space="preserve">SSHS </w:t>
      </w:r>
      <w:r w:rsidRPr="00667357">
        <w:rPr>
          <w:sz w:val="24"/>
          <w:szCs w:val="24"/>
        </w:rPr>
        <w:t xml:space="preserve">efforts to </w:t>
      </w:r>
      <w:r w:rsidR="00B22DA4">
        <w:rPr>
          <w:sz w:val="24"/>
          <w:szCs w:val="24"/>
        </w:rPr>
        <w:t>achieve</w:t>
      </w:r>
      <w:r w:rsidRPr="00667357">
        <w:rPr>
          <w:sz w:val="24"/>
          <w:szCs w:val="24"/>
        </w:rPr>
        <w:t xml:space="preserve"> health equity across all populations</w:t>
      </w:r>
      <w:r w:rsidR="00C10425">
        <w:rPr>
          <w:sz w:val="24"/>
          <w:szCs w:val="24"/>
        </w:rPr>
        <w:t>.</w:t>
      </w:r>
    </w:p>
    <w:p w14:paraId="54B730BE" w14:textId="20A008EB" w:rsidR="004D5F48" w:rsidRPr="004D5F48" w:rsidRDefault="004D5F48" w:rsidP="004D5F48">
      <w:pPr>
        <w:spacing w:after="0" w:line="240" w:lineRule="auto"/>
        <w:rPr>
          <w:i/>
          <w:iCs/>
          <w:sz w:val="24"/>
          <w:szCs w:val="24"/>
        </w:rPr>
      </w:pPr>
      <w:r w:rsidRPr="004D5F48">
        <w:rPr>
          <w:i/>
          <w:iCs/>
          <w:sz w:val="24"/>
          <w:szCs w:val="24"/>
        </w:rPr>
        <w:t xml:space="preserve">Nondiscrimination </w:t>
      </w:r>
    </w:p>
    <w:p w14:paraId="425E932E" w14:textId="64AACBB4" w:rsidR="001A4977" w:rsidRPr="007178FC" w:rsidRDefault="00A2418F" w:rsidP="007178FC">
      <w:pPr>
        <w:spacing w:after="0" w:line="240" w:lineRule="auto"/>
        <w:rPr>
          <w:sz w:val="24"/>
          <w:szCs w:val="24"/>
        </w:rPr>
      </w:pPr>
      <w:r w:rsidRPr="007178FC">
        <w:rPr>
          <w:sz w:val="24"/>
          <w:szCs w:val="24"/>
        </w:rPr>
        <w:t xml:space="preserve">The Applicant asserts that </w:t>
      </w:r>
      <w:r w:rsidR="001A4977" w:rsidRPr="007178FC">
        <w:rPr>
          <w:sz w:val="24"/>
          <w:szCs w:val="24"/>
        </w:rPr>
        <w:t>SSHS does not discriminate on the ability to pay or payer source and will apply this policy to all services provided through the Proposed Project</w:t>
      </w:r>
      <w:r w:rsidR="00560E8F" w:rsidRPr="007178FC">
        <w:rPr>
          <w:sz w:val="24"/>
          <w:szCs w:val="24"/>
        </w:rPr>
        <w:t>.</w:t>
      </w:r>
      <w:r w:rsidR="007178FC">
        <w:rPr>
          <w:sz w:val="24"/>
          <w:szCs w:val="24"/>
        </w:rPr>
        <w:t xml:space="preserve"> </w:t>
      </w:r>
      <w:r w:rsidR="001A4977" w:rsidRPr="007178FC">
        <w:rPr>
          <w:sz w:val="24"/>
          <w:szCs w:val="24"/>
        </w:rPr>
        <w:t>SSH has been deemed a Certified Application Counselor Organization</w:t>
      </w:r>
      <w:r w:rsidR="007178FC">
        <w:rPr>
          <w:sz w:val="24"/>
          <w:szCs w:val="24"/>
        </w:rPr>
        <w:t xml:space="preserve">. Through this designation, </w:t>
      </w:r>
      <w:r w:rsidR="001A4977" w:rsidRPr="007178FC">
        <w:rPr>
          <w:sz w:val="24"/>
          <w:szCs w:val="24"/>
        </w:rPr>
        <w:t xml:space="preserve">the Hospital certifies personnel as Certified Application Counselors to assist patients with enrollment in MassHealth, </w:t>
      </w:r>
      <w:r w:rsidR="00F80C02" w:rsidRPr="007178FC">
        <w:rPr>
          <w:sz w:val="24"/>
          <w:szCs w:val="24"/>
        </w:rPr>
        <w:t xml:space="preserve">some </w:t>
      </w:r>
      <w:r w:rsidR="001A4977" w:rsidRPr="007178FC">
        <w:rPr>
          <w:sz w:val="24"/>
          <w:szCs w:val="24"/>
        </w:rPr>
        <w:t>Health Connectors</w:t>
      </w:r>
      <w:r w:rsidR="00B44362" w:rsidRPr="007178FC">
        <w:rPr>
          <w:sz w:val="24"/>
          <w:szCs w:val="24"/>
        </w:rPr>
        <w:t xml:space="preserve"> </w:t>
      </w:r>
      <w:r w:rsidR="00F80C02" w:rsidRPr="007178FC">
        <w:rPr>
          <w:sz w:val="24"/>
          <w:szCs w:val="24"/>
        </w:rPr>
        <w:t>programs</w:t>
      </w:r>
      <w:r w:rsidR="001A4977" w:rsidRPr="007178FC">
        <w:rPr>
          <w:sz w:val="24"/>
          <w:szCs w:val="24"/>
        </w:rPr>
        <w:t xml:space="preserve">, </w:t>
      </w:r>
      <w:r w:rsidR="007178FC">
        <w:rPr>
          <w:sz w:val="24"/>
          <w:szCs w:val="24"/>
        </w:rPr>
        <w:t xml:space="preserve">the </w:t>
      </w:r>
      <w:r w:rsidR="001A4977" w:rsidRPr="007178FC">
        <w:rPr>
          <w:sz w:val="24"/>
          <w:szCs w:val="24"/>
        </w:rPr>
        <w:t xml:space="preserve">Health Safety Net, the Children’s Medical Security Program, </w:t>
      </w:r>
      <w:r w:rsidR="001A4977" w:rsidRPr="00382131">
        <w:rPr>
          <w:sz w:val="24"/>
          <w:szCs w:val="24"/>
        </w:rPr>
        <w:t>Medical Hardship</w:t>
      </w:r>
      <w:r w:rsidR="001A4977" w:rsidRPr="007178FC">
        <w:rPr>
          <w:sz w:val="24"/>
          <w:szCs w:val="24"/>
        </w:rPr>
        <w:t>, and SSH’s Financial Assistance Program</w:t>
      </w:r>
      <w:r w:rsidR="00C82E80" w:rsidRPr="007178FC">
        <w:rPr>
          <w:sz w:val="24"/>
          <w:szCs w:val="24"/>
        </w:rPr>
        <w:t>.</w:t>
      </w:r>
    </w:p>
    <w:p w14:paraId="5A053B02" w14:textId="77777777" w:rsidR="004D5F48" w:rsidRPr="004D5F48" w:rsidRDefault="004D5F48" w:rsidP="004D5F48">
      <w:pPr>
        <w:pStyle w:val="ListParagraph"/>
        <w:spacing w:after="0" w:line="240" w:lineRule="auto"/>
        <w:rPr>
          <w:sz w:val="24"/>
          <w:szCs w:val="24"/>
        </w:rPr>
      </w:pPr>
    </w:p>
    <w:p w14:paraId="0C7048F7" w14:textId="77777777" w:rsidR="00933C70" w:rsidRPr="00C10425" w:rsidRDefault="001A4977" w:rsidP="00933C70">
      <w:pPr>
        <w:spacing w:after="0" w:line="240" w:lineRule="auto"/>
        <w:rPr>
          <w:i/>
          <w:iCs/>
          <w:sz w:val="24"/>
          <w:szCs w:val="24"/>
        </w:rPr>
      </w:pPr>
      <w:r w:rsidRPr="00C10425">
        <w:rPr>
          <w:i/>
          <w:iCs/>
          <w:sz w:val="24"/>
          <w:szCs w:val="24"/>
        </w:rPr>
        <w:t>Culturally Competent Care</w:t>
      </w:r>
    </w:p>
    <w:p w14:paraId="725FD84C" w14:textId="0049EE45" w:rsidR="00A24EDF" w:rsidRPr="007178FC" w:rsidRDefault="007178FC" w:rsidP="007178FC">
      <w:pPr>
        <w:spacing w:after="0" w:line="240" w:lineRule="auto"/>
        <w:rPr>
          <w:sz w:val="24"/>
          <w:szCs w:val="24"/>
        </w:rPr>
      </w:pPr>
      <w:r>
        <w:rPr>
          <w:sz w:val="24"/>
          <w:szCs w:val="24"/>
        </w:rPr>
        <w:t>The Applicant states that a</w:t>
      </w:r>
      <w:r w:rsidR="001A4977" w:rsidRPr="007178FC">
        <w:rPr>
          <w:sz w:val="24"/>
          <w:szCs w:val="24"/>
        </w:rPr>
        <w:t>ll clinical and non-clinical staff are provided with cultural and linguistic education upon hire and annually thereafter</w:t>
      </w:r>
      <w:r w:rsidR="00A2418F" w:rsidRPr="007178FC">
        <w:rPr>
          <w:sz w:val="24"/>
          <w:szCs w:val="24"/>
        </w:rPr>
        <w:t>.</w:t>
      </w:r>
      <w:r>
        <w:rPr>
          <w:sz w:val="24"/>
          <w:szCs w:val="24"/>
        </w:rPr>
        <w:t xml:space="preserve"> </w:t>
      </w:r>
      <w:r w:rsidR="00123CF8" w:rsidRPr="00123CF8">
        <w:rPr>
          <w:sz w:val="24"/>
          <w:szCs w:val="24"/>
        </w:rPr>
        <w:t>SSH provides professional medical interpreters through face-to-face, telephonic, and video conference modalities.</w:t>
      </w:r>
      <w:r w:rsidR="00123CF8">
        <w:rPr>
          <w:sz w:val="24"/>
          <w:szCs w:val="24"/>
        </w:rPr>
        <w:t xml:space="preserve"> </w:t>
      </w:r>
      <w:r w:rsidR="00E55F12" w:rsidRPr="007178FC">
        <w:rPr>
          <w:sz w:val="24"/>
          <w:szCs w:val="24"/>
        </w:rPr>
        <w:t>The Applicant p</w:t>
      </w:r>
      <w:r w:rsidR="001A4977" w:rsidRPr="007178FC">
        <w:rPr>
          <w:sz w:val="24"/>
          <w:szCs w:val="24"/>
        </w:rPr>
        <w:t>rovides medical interpreters</w:t>
      </w:r>
      <w:r>
        <w:rPr>
          <w:sz w:val="24"/>
          <w:szCs w:val="24"/>
        </w:rPr>
        <w:t xml:space="preserve"> </w:t>
      </w:r>
      <w:r w:rsidR="00A24EDF" w:rsidRPr="007178FC">
        <w:rPr>
          <w:sz w:val="24"/>
          <w:szCs w:val="24"/>
        </w:rPr>
        <w:t>in-person through Benoit interpreters</w:t>
      </w:r>
      <w:r w:rsidR="00A2418F" w:rsidRPr="007178FC">
        <w:rPr>
          <w:sz w:val="24"/>
          <w:szCs w:val="24"/>
        </w:rPr>
        <w:t xml:space="preserve">, </w:t>
      </w:r>
      <w:r w:rsidR="008A46EA">
        <w:rPr>
          <w:sz w:val="24"/>
          <w:szCs w:val="24"/>
        </w:rPr>
        <w:t xml:space="preserve">through </w:t>
      </w:r>
      <w:r w:rsidR="00556DA1" w:rsidRPr="007178FC">
        <w:rPr>
          <w:sz w:val="24"/>
          <w:szCs w:val="24"/>
        </w:rPr>
        <w:t xml:space="preserve">video conferencing, </w:t>
      </w:r>
      <w:r w:rsidR="00A24EDF" w:rsidRPr="007178FC">
        <w:rPr>
          <w:sz w:val="24"/>
          <w:szCs w:val="24"/>
        </w:rPr>
        <w:t>and a 3-way phone call</w:t>
      </w:r>
      <w:r w:rsidR="001A4977" w:rsidRPr="007178FC">
        <w:rPr>
          <w:sz w:val="24"/>
          <w:szCs w:val="24"/>
        </w:rPr>
        <w:t xml:space="preserve"> </w:t>
      </w:r>
      <w:r w:rsidR="00556DA1" w:rsidRPr="007178FC">
        <w:rPr>
          <w:sz w:val="24"/>
          <w:szCs w:val="24"/>
        </w:rPr>
        <w:t>provided by</w:t>
      </w:r>
      <w:r w:rsidR="00A24EDF" w:rsidRPr="007178FC">
        <w:rPr>
          <w:sz w:val="24"/>
          <w:szCs w:val="24"/>
        </w:rPr>
        <w:t xml:space="preserve"> Cyracom Interpreter Service</w:t>
      </w:r>
      <w:r w:rsidR="00D41EAF" w:rsidRPr="007178FC">
        <w:rPr>
          <w:sz w:val="24"/>
          <w:szCs w:val="24"/>
        </w:rPr>
        <w:t>s</w:t>
      </w:r>
      <w:r w:rsidR="001A4977" w:rsidRPr="007178FC">
        <w:rPr>
          <w:sz w:val="24"/>
          <w:szCs w:val="24"/>
        </w:rPr>
        <w:t xml:space="preserve">. Interpreter services are provided for </w:t>
      </w:r>
      <w:r w:rsidR="009C6A6E" w:rsidRPr="007178FC">
        <w:rPr>
          <w:sz w:val="24"/>
          <w:szCs w:val="24"/>
        </w:rPr>
        <w:t>D</w:t>
      </w:r>
      <w:r w:rsidR="001A4977" w:rsidRPr="007178FC">
        <w:rPr>
          <w:sz w:val="24"/>
          <w:szCs w:val="24"/>
        </w:rPr>
        <w:t xml:space="preserve">eaf and </w:t>
      </w:r>
      <w:r w:rsidR="009C6A6E" w:rsidRPr="007178FC">
        <w:rPr>
          <w:sz w:val="24"/>
          <w:szCs w:val="24"/>
        </w:rPr>
        <w:t>H</w:t>
      </w:r>
      <w:r w:rsidR="001A4977" w:rsidRPr="007178FC">
        <w:rPr>
          <w:sz w:val="24"/>
          <w:szCs w:val="24"/>
        </w:rPr>
        <w:t xml:space="preserve">ard of </w:t>
      </w:r>
      <w:r w:rsidR="009C6A6E" w:rsidRPr="007178FC">
        <w:rPr>
          <w:sz w:val="24"/>
          <w:szCs w:val="24"/>
        </w:rPr>
        <w:t>H</w:t>
      </w:r>
      <w:r w:rsidR="001A4977" w:rsidRPr="007178FC">
        <w:rPr>
          <w:sz w:val="24"/>
          <w:szCs w:val="24"/>
        </w:rPr>
        <w:t>earing patients, including American Sign Language translators and Certified Dea</w:t>
      </w:r>
      <w:r w:rsidR="009C6A6E" w:rsidRPr="007178FC">
        <w:rPr>
          <w:sz w:val="24"/>
          <w:szCs w:val="24"/>
        </w:rPr>
        <w:t>f</w:t>
      </w:r>
      <w:r w:rsidR="001A4977" w:rsidRPr="007178FC">
        <w:rPr>
          <w:sz w:val="24"/>
          <w:szCs w:val="24"/>
        </w:rPr>
        <w:t xml:space="preserve"> Interpreters</w:t>
      </w:r>
      <w:r w:rsidR="00C82E80" w:rsidRPr="007178FC">
        <w:rPr>
          <w:sz w:val="24"/>
          <w:szCs w:val="24"/>
        </w:rPr>
        <w:t>.</w:t>
      </w:r>
      <w:r>
        <w:rPr>
          <w:sz w:val="24"/>
          <w:szCs w:val="24"/>
        </w:rPr>
        <w:t xml:space="preserve"> In addition, a</w:t>
      </w:r>
      <w:r w:rsidR="001A4977" w:rsidRPr="007178FC">
        <w:rPr>
          <w:sz w:val="24"/>
          <w:szCs w:val="24"/>
        </w:rPr>
        <w:t>ll written materials and forms are professionally translated</w:t>
      </w:r>
      <w:r w:rsidR="00A2418F" w:rsidRPr="007178FC">
        <w:rPr>
          <w:sz w:val="24"/>
          <w:szCs w:val="24"/>
        </w:rPr>
        <w:t>.</w:t>
      </w:r>
      <w:r>
        <w:rPr>
          <w:sz w:val="24"/>
          <w:szCs w:val="24"/>
        </w:rPr>
        <w:t xml:space="preserve"> The Applicant asserts that t</w:t>
      </w:r>
      <w:r w:rsidR="00A24EDF" w:rsidRPr="007178FC">
        <w:rPr>
          <w:sz w:val="24"/>
          <w:szCs w:val="24"/>
        </w:rPr>
        <w:t xml:space="preserve">he same access for interpreter services is available for SSHS MRI patients regardless of scanning location. </w:t>
      </w:r>
    </w:p>
    <w:p w14:paraId="72DADD9C" w14:textId="77777777" w:rsidR="00933C70" w:rsidRDefault="00933C70" w:rsidP="00933C70">
      <w:pPr>
        <w:spacing w:line="240" w:lineRule="auto"/>
        <w:rPr>
          <w:sz w:val="24"/>
          <w:szCs w:val="24"/>
        </w:rPr>
      </w:pPr>
    </w:p>
    <w:p w14:paraId="72D4571B" w14:textId="7EBAAE4F" w:rsidR="00933C70" w:rsidRDefault="00A73E75" w:rsidP="00933C70">
      <w:pPr>
        <w:spacing w:after="0" w:line="240" w:lineRule="auto"/>
        <w:rPr>
          <w:sz w:val="24"/>
          <w:szCs w:val="24"/>
        </w:rPr>
      </w:pPr>
      <w:r w:rsidRPr="004D5F48">
        <w:rPr>
          <w:b/>
          <w:bCs/>
          <w:sz w:val="24"/>
          <w:szCs w:val="24"/>
        </w:rPr>
        <w:t>Population Health Initiatives to Promote Health Equity</w:t>
      </w:r>
      <w:r w:rsidR="00933C70">
        <w:rPr>
          <w:rStyle w:val="FootnoteReference"/>
          <w:sz w:val="24"/>
          <w:szCs w:val="24"/>
        </w:rPr>
        <w:footnoteReference w:id="17"/>
      </w:r>
    </w:p>
    <w:p w14:paraId="36D282DA" w14:textId="19E1F23B" w:rsidR="008C505A" w:rsidRDefault="008570DA" w:rsidP="008C505A">
      <w:pPr>
        <w:spacing w:after="0" w:line="240" w:lineRule="auto"/>
        <w:rPr>
          <w:sz w:val="24"/>
          <w:szCs w:val="24"/>
        </w:rPr>
      </w:pPr>
      <w:r w:rsidRPr="004D5F48">
        <w:rPr>
          <w:i/>
          <w:iCs/>
          <w:sz w:val="24"/>
          <w:szCs w:val="24"/>
        </w:rPr>
        <w:t xml:space="preserve">SDoH Screening </w:t>
      </w:r>
      <w:r w:rsidR="00A73E75" w:rsidRPr="004D5F48">
        <w:rPr>
          <w:i/>
          <w:iCs/>
          <w:sz w:val="24"/>
          <w:szCs w:val="24"/>
        </w:rPr>
        <w:t>for Medicaid ACO Patients</w:t>
      </w:r>
      <w:r w:rsidR="008C505A">
        <w:rPr>
          <w:i/>
          <w:iCs/>
          <w:sz w:val="24"/>
          <w:szCs w:val="24"/>
        </w:rPr>
        <w:t xml:space="preserve"> – </w:t>
      </w:r>
      <w:r w:rsidR="008C505A">
        <w:rPr>
          <w:sz w:val="24"/>
          <w:szCs w:val="24"/>
        </w:rPr>
        <w:t xml:space="preserve">The Applicant states that </w:t>
      </w:r>
      <w:r w:rsidRPr="008C505A">
        <w:rPr>
          <w:sz w:val="24"/>
          <w:szCs w:val="24"/>
        </w:rPr>
        <w:t xml:space="preserve">Medicaid </w:t>
      </w:r>
      <w:r w:rsidR="00C56AFC" w:rsidRPr="008C505A">
        <w:rPr>
          <w:sz w:val="24"/>
          <w:szCs w:val="24"/>
        </w:rPr>
        <w:t>ACO</w:t>
      </w:r>
      <w:r w:rsidR="0061768D" w:rsidRPr="008C505A">
        <w:rPr>
          <w:sz w:val="24"/>
          <w:szCs w:val="24"/>
        </w:rPr>
        <w:t xml:space="preserve"> </w:t>
      </w:r>
      <w:r w:rsidR="00DE0A43">
        <w:rPr>
          <w:sz w:val="24"/>
          <w:szCs w:val="24"/>
        </w:rPr>
        <w:t xml:space="preserve">Boston Accountable Care Organization </w:t>
      </w:r>
      <w:r w:rsidR="0061768D" w:rsidRPr="008C505A">
        <w:rPr>
          <w:sz w:val="24"/>
          <w:szCs w:val="24"/>
        </w:rPr>
        <w:t>(BACO)</w:t>
      </w:r>
      <w:r w:rsidR="00C56AFC" w:rsidRPr="008C505A">
        <w:rPr>
          <w:sz w:val="24"/>
          <w:szCs w:val="24"/>
        </w:rPr>
        <w:t xml:space="preserve"> </w:t>
      </w:r>
      <w:r w:rsidR="00F42BD8">
        <w:rPr>
          <w:sz w:val="24"/>
          <w:szCs w:val="24"/>
        </w:rPr>
        <w:t xml:space="preserve">member </w:t>
      </w:r>
      <w:r w:rsidR="00C56AFC" w:rsidRPr="008C505A">
        <w:rPr>
          <w:sz w:val="24"/>
          <w:szCs w:val="24"/>
        </w:rPr>
        <w:t>patients are screened</w:t>
      </w:r>
      <w:r w:rsidRPr="008C505A">
        <w:rPr>
          <w:sz w:val="24"/>
          <w:szCs w:val="24"/>
        </w:rPr>
        <w:t xml:space="preserve"> </w:t>
      </w:r>
      <w:r w:rsidR="00C56AFC" w:rsidRPr="008C505A">
        <w:rPr>
          <w:sz w:val="24"/>
          <w:szCs w:val="24"/>
        </w:rPr>
        <w:t xml:space="preserve">for SDoH </w:t>
      </w:r>
      <w:r w:rsidRPr="008C505A">
        <w:rPr>
          <w:sz w:val="24"/>
          <w:szCs w:val="24"/>
        </w:rPr>
        <w:t xml:space="preserve">through use of the </w:t>
      </w:r>
      <w:r w:rsidR="00DB131D" w:rsidRPr="00DB131D">
        <w:rPr>
          <w:sz w:val="24"/>
          <w:szCs w:val="24"/>
        </w:rPr>
        <w:t xml:space="preserve">Tool for Health </w:t>
      </w:r>
      <w:r w:rsidR="00DB131D">
        <w:rPr>
          <w:sz w:val="24"/>
          <w:szCs w:val="24"/>
        </w:rPr>
        <w:t>and</w:t>
      </w:r>
      <w:r w:rsidR="00DB131D" w:rsidRPr="00DB131D">
        <w:rPr>
          <w:sz w:val="24"/>
          <w:szCs w:val="24"/>
        </w:rPr>
        <w:t xml:space="preserve"> Resilience in Vulnerable Environments </w:t>
      </w:r>
      <w:r w:rsidR="00DB131D">
        <w:rPr>
          <w:sz w:val="24"/>
          <w:szCs w:val="24"/>
        </w:rPr>
        <w:t>(</w:t>
      </w:r>
      <w:r w:rsidRPr="008C505A">
        <w:rPr>
          <w:sz w:val="24"/>
          <w:szCs w:val="24"/>
        </w:rPr>
        <w:t>THRIVE</w:t>
      </w:r>
      <w:r w:rsidR="00DB131D">
        <w:rPr>
          <w:sz w:val="24"/>
          <w:szCs w:val="24"/>
        </w:rPr>
        <w:t>)</w:t>
      </w:r>
      <w:r w:rsidRPr="008C505A">
        <w:rPr>
          <w:sz w:val="24"/>
          <w:szCs w:val="24"/>
        </w:rPr>
        <w:t xml:space="preserve"> screener</w:t>
      </w:r>
      <w:r w:rsidR="00C2376E" w:rsidRPr="008C505A">
        <w:rPr>
          <w:sz w:val="24"/>
          <w:szCs w:val="24"/>
        </w:rPr>
        <w:t>.</w:t>
      </w:r>
      <w:r w:rsidRPr="008C505A">
        <w:rPr>
          <w:sz w:val="24"/>
          <w:szCs w:val="24"/>
        </w:rPr>
        <w:t xml:space="preserve"> </w:t>
      </w:r>
      <w:r w:rsidR="008C505A">
        <w:rPr>
          <w:sz w:val="24"/>
          <w:szCs w:val="24"/>
        </w:rPr>
        <w:t>P</w:t>
      </w:r>
      <w:r w:rsidR="0061768D" w:rsidRPr="008C505A">
        <w:rPr>
          <w:sz w:val="24"/>
          <w:szCs w:val="24"/>
        </w:rPr>
        <w:t xml:space="preserve">atients are screened as part of their annual physical visit or new patient appointment. </w:t>
      </w:r>
      <w:r w:rsidR="008C505A" w:rsidRPr="008C505A">
        <w:rPr>
          <w:sz w:val="24"/>
          <w:szCs w:val="24"/>
        </w:rPr>
        <w:t>Patients engaged in one of SSHS’ Care Management Programs (Transitional Care, Complex Care, Advanced Illness Care, or within a preferred skilled nursing facility (SNF) network), can be assessed for SDoH</w:t>
      </w:r>
      <w:r w:rsidR="008C505A">
        <w:rPr>
          <w:sz w:val="24"/>
          <w:szCs w:val="24"/>
        </w:rPr>
        <w:t xml:space="preserve"> </w:t>
      </w:r>
      <w:r w:rsidR="008C505A" w:rsidRPr="008C505A">
        <w:rPr>
          <w:sz w:val="24"/>
          <w:szCs w:val="24"/>
        </w:rPr>
        <w:t>considerations/needs at any point in the development of their overall care plan.</w:t>
      </w:r>
      <w:r w:rsidR="008C505A">
        <w:rPr>
          <w:sz w:val="24"/>
          <w:szCs w:val="24"/>
        </w:rPr>
        <w:t xml:space="preserve"> </w:t>
      </w:r>
    </w:p>
    <w:p w14:paraId="2C531394" w14:textId="77777777" w:rsidR="008C505A" w:rsidRDefault="008C505A" w:rsidP="008C505A">
      <w:pPr>
        <w:spacing w:after="0" w:line="240" w:lineRule="auto"/>
        <w:rPr>
          <w:sz w:val="24"/>
          <w:szCs w:val="24"/>
        </w:rPr>
      </w:pPr>
    </w:p>
    <w:p w14:paraId="3435A670" w14:textId="7536DF6F" w:rsidR="006811B6" w:rsidRPr="006811B6" w:rsidRDefault="009A28B5" w:rsidP="006811B6">
      <w:pPr>
        <w:spacing w:after="0" w:line="240" w:lineRule="auto"/>
        <w:rPr>
          <w:sz w:val="24"/>
          <w:szCs w:val="24"/>
        </w:rPr>
      </w:pPr>
      <w:r>
        <w:rPr>
          <w:sz w:val="24"/>
          <w:szCs w:val="24"/>
        </w:rPr>
        <w:t>Through THRIVE screening, p</w:t>
      </w:r>
      <w:r w:rsidRPr="006811B6">
        <w:rPr>
          <w:sz w:val="24"/>
          <w:szCs w:val="24"/>
        </w:rPr>
        <w:t xml:space="preserve">atients are asked about their living situation, access to food and ability to pay, transportation, and education and responses are documented in </w:t>
      </w:r>
      <w:r>
        <w:rPr>
          <w:sz w:val="24"/>
          <w:szCs w:val="24"/>
        </w:rPr>
        <w:t>the EMR</w:t>
      </w:r>
      <w:r w:rsidRPr="006811B6">
        <w:rPr>
          <w:sz w:val="24"/>
          <w:szCs w:val="24"/>
        </w:rPr>
        <w:t xml:space="preserve">. </w:t>
      </w:r>
      <w:r w:rsidR="0061768D" w:rsidRPr="008C505A">
        <w:rPr>
          <w:sz w:val="24"/>
          <w:szCs w:val="24"/>
        </w:rPr>
        <w:t xml:space="preserve">THRIVE screening can be </w:t>
      </w:r>
      <w:r w:rsidR="005019A3">
        <w:rPr>
          <w:sz w:val="24"/>
          <w:szCs w:val="24"/>
        </w:rPr>
        <w:t>completed</w:t>
      </w:r>
      <w:r w:rsidR="005019A3" w:rsidRPr="008C505A">
        <w:rPr>
          <w:sz w:val="24"/>
          <w:szCs w:val="24"/>
        </w:rPr>
        <w:t xml:space="preserve"> </w:t>
      </w:r>
      <w:r w:rsidR="005019A3">
        <w:rPr>
          <w:sz w:val="24"/>
          <w:szCs w:val="24"/>
        </w:rPr>
        <w:t>on</w:t>
      </w:r>
      <w:r w:rsidR="005019A3" w:rsidRPr="008C505A">
        <w:rPr>
          <w:sz w:val="24"/>
          <w:szCs w:val="24"/>
        </w:rPr>
        <w:t xml:space="preserve"> </w:t>
      </w:r>
      <w:r w:rsidR="0061768D" w:rsidRPr="008C505A">
        <w:rPr>
          <w:sz w:val="24"/>
          <w:szCs w:val="24"/>
        </w:rPr>
        <w:t xml:space="preserve">a handheld tablet while the patient waits for their visit, via MyChart access on their own personal device up to three days prior to a scheduled appointment, and </w:t>
      </w:r>
      <w:r w:rsidR="005019A3">
        <w:rPr>
          <w:sz w:val="24"/>
          <w:szCs w:val="24"/>
        </w:rPr>
        <w:t>with a</w:t>
      </w:r>
      <w:r w:rsidR="0061768D" w:rsidRPr="008C505A">
        <w:rPr>
          <w:sz w:val="24"/>
          <w:szCs w:val="24"/>
        </w:rPr>
        <w:t xml:space="preserve"> paper tool</w:t>
      </w:r>
      <w:r w:rsidR="005019A3">
        <w:rPr>
          <w:sz w:val="24"/>
          <w:szCs w:val="24"/>
        </w:rPr>
        <w:t>,</w:t>
      </w:r>
      <w:r w:rsidR="0061768D" w:rsidRPr="008C505A">
        <w:rPr>
          <w:sz w:val="24"/>
          <w:szCs w:val="24"/>
        </w:rPr>
        <w:t xml:space="preserve"> the results of which are manually entered into the electronic medical record (EMR)</w:t>
      </w:r>
      <w:r w:rsidR="00A072D8">
        <w:rPr>
          <w:sz w:val="24"/>
          <w:szCs w:val="24"/>
        </w:rPr>
        <w:t>, Epic</w:t>
      </w:r>
      <w:r>
        <w:rPr>
          <w:sz w:val="24"/>
          <w:szCs w:val="24"/>
        </w:rPr>
        <w:t>,</w:t>
      </w:r>
      <w:r w:rsidR="0061768D" w:rsidRPr="008C505A">
        <w:rPr>
          <w:sz w:val="24"/>
          <w:szCs w:val="24"/>
        </w:rPr>
        <w:t xml:space="preserve"> by SSHS staff. The Applicant notes that THRIVE screening can </w:t>
      </w:r>
      <w:r>
        <w:rPr>
          <w:sz w:val="24"/>
          <w:szCs w:val="24"/>
        </w:rPr>
        <w:t>also be conducted with assistance</w:t>
      </w:r>
      <w:r w:rsidR="0061768D" w:rsidRPr="008C505A">
        <w:rPr>
          <w:sz w:val="24"/>
          <w:szCs w:val="24"/>
        </w:rPr>
        <w:t xml:space="preserve"> via verbally prompted questions, telephonically, or virtually by the patient’s care team</w:t>
      </w:r>
      <w:r w:rsidR="00CB4ED9">
        <w:rPr>
          <w:sz w:val="24"/>
          <w:szCs w:val="24"/>
        </w:rPr>
        <w:t>, noting the</w:t>
      </w:r>
      <w:r w:rsidR="008C505A">
        <w:rPr>
          <w:sz w:val="24"/>
          <w:szCs w:val="24"/>
        </w:rPr>
        <w:t xml:space="preserve"> results are </w:t>
      </w:r>
      <w:r w:rsidR="0061768D" w:rsidRPr="008C505A">
        <w:rPr>
          <w:sz w:val="24"/>
          <w:szCs w:val="24"/>
        </w:rPr>
        <w:t xml:space="preserve">entered into the </w:t>
      </w:r>
      <w:r w:rsidR="0061768D" w:rsidRPr="00A072D8">
        <w:rPr>
          <w:sz w:val="24"/>
          <w:szCs w:val="24"/>
        </w:rPr>
        <w:t>EMR</w:t>
      </w:r>
      <w:r w:rsidR="0061768D" w:rsidRPr="008C505A">
        <w:rPr>
          <w:sz w:val="24"/>
          <w:szCs w:val="24"/>
        </w:rPr>
        <w:t xml:space="preserve">. </w:t>
      </w:r>
    </w:p>
    <w:p w14:paraId="04AC4219" w14:textId="77777777" w:rsidR="008C505A" w:rsidRDefault="008C505A" w:rsidP="008C505A">
      <w:pPr>
        <w:spacing w:after="0" w:line="240" w:lineRule="auto"/>
        <w:rPr>
          <w:sz w:val="24"/>
          <w:szCs w:val="24"/>
        </w:rPr>
      </w:pPr>
    </w:p>
    <w:p w14:paraId="46E4C560" w14:textId="02536E1F" w:rsidR="0004643D" w:rsidRPr="008C505A" w:rsidRDefault="008570DA" w:rsidP="008C505A">
      <w:pPr>
        <w:spacing w:after="0" w:line="240" w:lineRule="auto"/>
        <w:rPr>
          <w:i/>
          <w:iCs/>
          <w:sz w:val="24"/>
          <w:szCs w:val="24"/>
        </w:rPr>
      </w:pPr>
      <w:r w:rsidRPr="008C505A">
        <w:rPr>
          <w:sz w:val="24"/>
          <w:szCs w:val="24"/>
        </w:rPr>
        <w:t xml:space="preserve">Referrals for positive </w:t>
      </w:r>
      <w:r w:rsidR="00843757">
        <w:rPr>
          <w:sz w:val="24"/>
          <w:szCs w:val="24"/>
        </w:rPr>
        <w:t xml:space="preserve">SDoH </w:t>
      </w:r>
      <w:r w:rsidRPr="008C505A">
        <w:rPr>
          <w:sz w:val="24"/>
          <w:szCs w:val="24"/>
        </w:rPr>
        <w:t>screens are initiated in Epic</w:t>
      </w:r>
      <w:r w:rsidR="008C1C2E" w:rsidRPr="008C505A">
        <w:rPr>
          <w:sz w:val="24"/>
          <w:szCs w:val="24"/>
        </w:rPr>
        <w:t xml:space="preserve"> where they are accessible </w:t>
      </w:r>
      <w:r w:rsidR="007D09F1" w:rsidRPr="008C505A">
        <w:rPr>
          <w:sz w:val="24"/>
          <w:szCs w:val="24"/>
        </w:rPr>
        <w:t>to</w:t>
      </w:r>
      <w:r w:rsidR="008C1C2E" w:rsidRPr="008C505A">
        <w:rPr>
          <w:sz w:val="24"/>
          <w:szCs w:val="24"/>
        </w:rPr>
        <w:t xml:space="preserve"> the</w:t>
      </w:r>
      <w:r w:rsidRPr="008C505A">
        <w:rPr>
          <w:sz w:val="24"/>
          <w:szCs w:val="24"/>
        </w:rPr>
        <w:t xml:space="preserve"> Population Health Team</w:t>
      </w:r>
      <w:r w:rsidR="008C505A">
        <w:rPr>
          <w:sz w:val="24"/>
          <w:szCs w:val="24"/>
        </w:rPr>
        <w:t>. The Applicant states that r</w:t>
      </w:r>
      <w:r w:rsidRPr="008C505A">
        <w:rPr>
          <w:sz w:val="24"/>
          <w:szCs w:val="24"/>
        </w:rPr>
        <w:t>eferrals can be made directly to Case Management and Social Work</w:t>
      </w:r>
      <w:r w:rsidR="0061768D" w:rsidRPr="008C505A">
        <w:rPr>
          <w:sz w:val="24"/>
          <w:szCs w:val="24"/>
        </w:rPr>
        <w:t xml:space="preserve"> for further intervention. </w:t>
      </w:r>
      <w:r w:rsidR="008C505A">
        <w:rPr>
          <w:sz w:val="24"/>
          <w:szCs w:val="24"/>
        </w:rPr>
        <w:t>A</w:t>
      </w:r>
      <w:r w:rsidR="0061768D" w:rsidRPr="008C505A">
        <w:rPr>
          <w:sz w:val="24"/>
          <w:szCs w:val="24"/>
        </w:rPr>
        <w:t xml:space="preserve">fter social work intervention, a repeat THRIVE screening can be done as appropriate in follow-up. </w:t>
      </w:r>
      <w:r w:rsidR="008C505A">
        <w:rPr>
          <w:sz w:val="24"/>
          <w:szCs w:val="24"/>
        </w:rPr>
        <w:t xml:space="preserve">A </w:t>
      </w:r>
      <w:r w:rsidRPr="008C505A">
        <w:rPr>
          <w:sz w:val="24"/>
          <w:szCs w:val="24"/>
        </w:rPr>
        <w:t xml:space="preserve">Community Resources Directory can be accessed through </w:t>
      </w:r>
      <w:r w:rsidR="008C505A">
        <w:rPr>
          <w:sz w:val="24"/>
          <w:szCs w:val="24"/>
        </w:rPr>
        <w:t>SSHS’s</w:t>
      </w:r>
      <w:r w:rsidRPr="008C505A">
        <w:rPr>
          <w:sz w:val="24"/>
          <w:szCs w:val="24"/>
        </w:rPr>
        <w:t xml:space="preserve"> webpage allowing access to programs based on location and eligibility.</w:t>
      </w:r>
      <w:r w:rsidR="0004643D" w:rsidRPr="008C505A">
        <w:rPr>
          <w:sz w:val="24"/>
          <w:szCs w:val="24"/>
        </w:rPr>
        <w:t xml:space="preserve"> Any member of a patient’s care team can access the Community Resource Directory within SSHS from any point in the system (ambulatory, hospital, and community) and perform a search on a patient’s behalf. A resource list can be printed or emailed to a patient or patient’s representative. The After Visit Summary (AVS) built into the EMR has a specific list of resources and </w:t>
      </w:r>
      <w:r w:rsidR="00843757">
        <w:rPr>
          <w:sz w:val="24"/>
          <w:szCs w:val="24"/>
        </w:rPr>
        <w:t xml:space="preserve">the Applicant states that </w:t>
      </w:r>
      <w:r w:rsidR="0004643D" w:rsidRPr="008C505A">
        <w:rPr>
          <w:sz w:val="24"/>
          <w:szCs w:val="24"/>
        </w:rPr>
        <w:t>a list</w:t>
      </w:r>
      <w:r w:rsidR="00843757">
        <w:rPr>
          <w:sz w:val="24"/>
          <w:szCs w:val="24"/>
        </w:rPr>
        <w:t xml:space="preserve"> of resources</w:t>
      </w:r>
      <w:r w:rsidR="0004643D" w:rsidRPr="008C505A">
        <w:rPr>
          <w:sz w:val="24"/>
          <w:szCs w:val="24"/>
        </w:rPr>
        <w:t xml:space="preserve"> will print out on the AVS when prompted by </w:t>
      </w:r>
      <w:r w:rsidR="0004643D" w:rsidRPr="009B5832">
        <w:rPr>
          <w:sz w:val="24"/>
          <w:szCs w:val="24"/>
        </w:rPr>
        <w:t>positive indicators</w:t>
      </w:r>
      <w:r w:rsidR="0004643D" w:rsidRPr="008C505A">
        <w:rPr>
          <w:sz w:val="24"/>
          <w:szCs w:val="24"/>
        </w:rPr>
        <w:t xml:space="preserve"> in the THRIVE</w:t>
      </w:r>
      <w:r w:rsidR="00843757">
        <w:rPr>
          <w:sz w:val="24"/>
          <w:szCs w:val="24"/>
        </w:rPr>
        <w:t xml:space="preserve"> screening</w:t>
      </w:r>
      <w:r w:rsidR="0004643D" w:rsidRPr="008C505A">
        <w:rPr>
          <w:sz w:val="24"/>
          <w:szCs w:val="24"/>
        </w:rPr>
        <w:t xml:space="preserve"> tool.</w:t>
      </w:r>
      <w:r w:rsidR="008C505A">
        <w:rPr>
          <w:i/>
          <w:iCs/>
          <w:sz w:val="24"/>
          <w:szCs w:val="24"/>
        </w:rPr>
        <w:t xml:space="preserve"> </w:t>
      </w:r>
      <w:r w:rsidR="00590EC8">
        <w:rPr>
          <w:sz w:val="24"/>
          <w:szCs w:val="24"/>
        </w:rPr>
        <w:t>N</w:t>
      </w:r>
      <w:r w:rsidR="0004643D" w:rsidRPr="008C505A">
        <w:rPr>
          <w:sz w:val="24"/>
          <w:szCs w:val="24"/>
        </w:rPr>
        <w:t xml:space="preserve">on-ACO patients are screened for SDoH across SSHS of care at various access points, using various assessments. </w:t>
      </w:r>
    </w:p>
    <w:p w14:paraId="57F35355" w14:textId="1348A615" w:rsidR="009A5EC3" w:rsidRDefault="009A5EC3" w:rsidP="009A5EC3">
      <w:pPr>
        <w:spacing w:after="0" w:line="240" w:lineRule="auto"/>
        <w:rPr>
          <w:sz w:val="24"/>
          <w:szCs w:val="24"/>
        </w:rPr>
      </w:pPr>
    </w:p>
    <w:p w14:paraId="6FD578E5" w14:textId="77777777" w:rsidR="009A5EC3" w:rsidRDefault="009A5EC3" w:rsidP="009A5EC3">
      <w:pPr>
        <w:spacing w:after="0" w:line="240" w:lineRule="auto"/>
        <w:rPr>
          <w:sz w:val="24"/>
          <w:szCs w:val="24"/>
        </w:rPr>
      </w:pPr>
      <w:r>
        <w:rPr>
          <w:sz w:val="24"/>
          <w:szCs w:val="24"/>
        </w:rPr>
        <w:t xml:space="preserve">The Applicant states that through screening with the THRIVE tool, patients are identified for participation in several programs to address identified SDoH needs. </w:t>
      </w:r>
    </w:p>
    <w:p w14:paraId="07C7163E" w14:textId="4D2069B3" w:rsidR="004D5F48" w:rsidRPr="009A5EC3" w:rsidRDefault="009A5EC3" w:rsidP="002D6EBF">
      <w:pPr>
        <w:pStyle w:val="ListParagraph"/>
        <w:numPr>
          <w:ilvl w:val="0"/>
          <w:numId w:val="17"/>
        </w:numPr>
        <w:spacing w:after="0" w:line="240" w:lineRule="auto"/>
        <w:rPr>
          <w:sz w:val="24"/>
          <w:szCs w:val="24"/>
        </w:rPr>
      </w:pPr>
      <w:r w:rsidRPr="00796917">
        <w:rPr>
          <w:b/>
          <w:bCs/>
          <w:sz w:val="24"/>
          <w:szCs w:val="24"/>
        </w:rPr>
        <w:t>Flexible Service Program</w:t>
      </w:r>
      <w:r w:rsidR="00796917">
        <w:rPr>
          <w:sz w:val="24"/>
          <w:szCs w:val="24"/>
        </w:rPr>
        <w:t>:</w:t>
      </w:r>
      <w:r w:rsidR="008B587C">
        <w:rPr>
          <w:rStyle w:val="FootnoteReference"/>
          <w:sz w:val="24"/>
          <w:szCs w:val="24"/>
        </w:rPr>
        <w:footnoteReference w:id="18"/>
      </w:r>
      <w:r>
        <w:rPr>
          <w:sz w:val="24"/>
          <w:szCs w:val="24"/>
        </w:rPr>
        <w:t xml:space="preserve"> </w:t>
      </w:r>
      <w:r w:rsidR="00E23D91">
        <w:rPr>
          <w:sz w:val="24"/>
          <w:szCs w:val="24"/>
        </w:rPr>
        <w:t>P</w:t>
      </w:r>
      <w:r w:rsidR="00366403" w:rsidRPr="009A5EC3">
        <w:rPr>
          <w:sz w:val="24"/>
          <w:szCs w:val="24"/>
        </w:rPr>
        <w:t>ositive SDoH screens for food insecurity are reviewed for eligibility to participate in the Flexible Services Program</w:t>
      </w:r>
      <w:r w:rsidR="00E23D91">
        <w:rPr>
          <w:sz w:val="24"/>
          <w:szCs w:val="24"/>
        </w:rPr>
        <w:t xml:space="preserve">. The Program </w:t>
      </w:r>
      <w:r w:rsidRPr="009A5EC3">
        <w:rPr>
          <w:sz w:val="24"/>
          <w:szCs w:val="24"/>
        </w:rPr>
        <w:t>started</w:t>
      </w:r>
      <w:r w:rsidR="00366403" w:rsidRPr="009A5EC3">
        <w:rPr>
          <w:sz w:val="24"/>
          <w:szCs w:val="24"/>
        </w:rPr>
        <w:t xml:space="preserve"> in </w:t>
      </w:r>
      <w:r w:rsidR="007D437E">
        <w:rPr>
          <w:sz w:val="24"/>
          <w:szCs w:val="24"/>
        </w:rPr>
        <w:t xml:space="preserve">February </w:t>
      </w:r>
      <w:r w:rsidR="007D437E" w:rsidRPr="009A5EC3">
        <w:rPr>
          <w:sz w:val="24"/>
          <w:szCs w:val="24"/>
        </w:rPr>
        <w:t>2020 and</w:t>
      </w:r>
      <w:r w:rsidRPr="009A5EC3">
        <w:rPr>
          <w:sz w:val="24"/>
          <w:szCs w:val="24"/>
        </w:rPr>
        <w:t xml:space="preserve"> works in</w:t>
      </w:r>
      <w:r w:rsidR="00366403" w:rsidRPr="009A5EC3">
        <w:rPr>
          <w:sz w:val="24"/>
          <w:szCs w:val="24"/>
        </w:rPr>
        <w:t xml:space="preserve"> partnership with local social service organizations</w:t>
      </w:r>
      <w:r w:rsidRPr="009A5EC3">
        <w:rPr>
          <w:sz w:val="24"/>
          <w:szCs w:val="24"/>
        </w:rPr>
        <w:t xml:space="preserve"> to </w:t>
      </w:r>
      <w:r w:rsidR="00366403" w:rsidRPr="009A5EC3">
        <w:rPr>
          <w:sz w:val="24"/>
          <w:szCs w:val="24"/>
        </w:rPr>
        <w:t>deliver nutritious food to a large area of the South Shore. Pa</w:t>
      </w:r>
      <w:r w:rsidR="00E23D91">
        <w:rPr>
          <w:sz w:val="24"/>
          <w:szCs w:val="24"/>
        </w:rPr>
        <w:t xml:space="preserve">tients </w:t>
      </w:r>
      <w:r w:rsidR="00366403" w:rsidRPr="009A5EC3">
        <w:rPr>
          <w:sz w:val="24"/>
          <w:szCs w:val="24"/>
        </w:rPr>
        <w:t xml:space="preserve">receive a follow-up phone call from the Social Worker after 12 weeks to screen for improvement of food insecurity and behavioral health status. </w:t>
      </w:r>
    </w:p>
    <w:p w14:paraId="6634EF91" w14:textId="5A6F7C96" w:rsidR="004D5F48" w:rsidRPr="004D5F48" w:rsidRDefault="00366403" w:rsidP="002D6EBF">
      <w:pPr>
        <w:pStyle w:val="ListParagraph"/>
        <w:numPr>
          <w:ilvl w:val="0"/>
          <w:numId w:val="15"/>
        </w:numPr>
        <w:spacing w:after="0" w:line="240" w:lineRule="auto"/>
        <w:rPr>
          <w:i/>
          <w:iCs/>
          <w:sz w:val="24"/>
          <w:szCs w:val="24"/>
        </w:rPr>
      </w:pPr>
      <w:r w:rsidRPr="00796917">
        <w:rPr>
          <w:b/>
          <w:bCs/>
          <w:sz w:val="24"/>
          <w:szCs w:val="24"/>
        </w:rPr>
        <w:t>Experience of Violence</w:t>
      </w:r>
      <w:r w:rsidR="00796917">
        <w:rPr>
          <w:sz w:val="24"/>
          <w:szCs w:val="24"/>
        </w:rPr>
        <w:t>:</w:t>
      </w:r>
      <w:r w:rsidRPr="004D5F48">
        <w:rPr>
          <w:sz w:val="24"/>
          <w:szCs w:val="24"/>
        </w:rPr>
        <w:t xml:space="preserve"> </w:t>
      </w:r>
      <w:r w:rsidR="009A5EC3">
        <w:rPr>
          <w:sz w:val="24"/>
          <w:szCs w:val="24"/>
        </w:rPr>
        <w:t>SSHS brough in a r</w:t>
      </w:r>
      <w:r w:rsidRPr="004D5F48">
        <w:rPr>
          <w:sz w:val="24"/>
          <w:szCs w:val="24"/>
        </w:rPr>
        <w:t xml:space="preserve">epresentative </w:t>
      </w:r>
      <w:r w:rsidRPr="00590EC8">
        <w:rPr>
          <w:sz w:val="24"/>
          <w:szCs w:val="24"/>
        </w:rPr>
        <w:t xml:space="preserve">from </w:t>
      </w:r>
      <w:r w:rsidR="006C6553">
        <w:rPr>
          <w:sz w:val="24"/>
          <w:szCs w:val="24"/>
        </w:rPr>
        <w:t>DOVE, Inc. (</w:t>
      </w:r>
      <w:r w:rsidR="00EC4C65">
        <w:rPr>
          <w:sz w:val="24"/>
          <w:szCs w:val="24"/>
        </w:rPr>
        <w:t>Domestic Violence Ended</w:t>
      </w:r>
      <w:r w:rsidR="006C6553">
        <w:rPr>
          <w:sz w:val="24"/>
          <w:szCs w:val="24"/>
        </w:rPr>
        <w:t>)</w:t>
      </w:r>
      <w:r w:rsidR="009A5EC3" w:rsidRPr="00590EC8">
        <w:rPr>
          <w:sz w:val="24"/>
          <w:szCs w:val="24"/>
        </w:rPr>
        <w:t xml:space="preserve"> </w:t>
      </w:r>
      <w:r w:rsidRPr="00590EC8">
        <w:rPr>
          <w:sz w:val="24"/>
          <w:szCs w:val="24"/>
        </w:rPr>
        <w:t>to</w:t>
      </w:r>
      <w:r w:rsidRPr="004D5F48">
        <w:rPr>
          <w:sz w:val="24"/>
          <w:szCs w:val="24"/>
        </w:rPr>
        <w:t xml:space="preserve"> educate providers on having conversations with patients related to domestic violence.</w:t>
      </w:r>
      <w:r w:rsidR="000C4C9F">
        <w:rPr>
          <w:rStyle w:val="FootnoteReference"/>
          <w:sz w:val="24"/>
          <w:szCs w:val="24"/>
        </w:rPr>
        <w:footnoteReference w:id="19"/>
      </w:r>
      <w:r w:rsidRPr="004D5F48">
        <w:rPr>
          <w:sz w:val="24"/>
          <w:szCs w:val="24"/>
        </w:rPr>
        <w:t xml:space="preserve"> </w:t>
      </w:r>
      <w:r w:rsidR="00C76751">
        <w:rPr>
          <w:sz w:val="24"/>
          <w:szCs w:val="24"/>
        </w:rPr>
        <w:t xml:space="preserve">The Applicant states that </w:t>
      </w:r>
      <w:r w:rsidR="009A28B5">
        <w:rPr>
          <w:sz w:val="24"/>
          <w:szCs w:val="24"/>
        </w:rPr>
        <w:t>multiple notices about</w:t>
      </w:r>
      <w:r w:rsidR="009A28B5" w:rsidRPr="004D5F48">
        <w:rPr>
          <w:sz w:val="24"/>
          <w:szCs w:val="24"/>
        </w:rPr>
        <w:t xml:space="preserve"> domestic violence resources</w:t>
      </w:r>
      <w:r w:rsidR="009A28B5">
        <w:rPr>
          <w:sz w:val="24"/>
          <w:szCs w:val="24"/>
        </w:rPr>
        <w:t xml:space="preserve"> are made available including </w:t>
      </w:r>
      <w:r w:rsidR="0051043F">
        <w:rPr>
          <w:sz w:val="24"/>
          <w:szCs w:val="24"/>
        </w:rPr>
        <w:t>the SSH Blog</w:t>
      </w:r>
      <w:r w:rsidR="009A28B5">
        <w:rPr>
          <w:sz w:val="24"/>
          <w:szCs w:val="24"/>
        </w:rPr>
        <w:t>,</w:t>
      </w:r>
      <w:r w:rsidR="0051043F">
        <w:rPr>
          <w:sz w:val="24"/>
          <w:szCs w:val="24"/>
        </w:rPr>
        <w:t xml:space="preserve"> </w:t>
      </w:r>
      <w:r w:rsidR="007855C9">
        <w:rPr>
          <w:sz w:val="24"/>
          <w:szCs w:val="24"/>
        </w:rPr>
        <w:t xml:space="preserve">South Shore Medical Center </w:t>
      </w:r>
      <w:r w:rsidR="0051043F">
        <w:rPr>
          <w:sz w:val="24"/>
          <w:szCs w:val="24"/>
        </w:rPr>
        <w:t>New</w:t>
      </w:r>
      <w:r w:rsidR="007C1FA7">
        <w:rPr>
          <w:sz w:val="24"/>
          <w:szCs w:val="24"/>
        </w:rPr>
        <w:t>s</w:t>
      </w:r>
      <w:r w:rsidR="0051043F">
        <w:rPr>
          <w:sz w:val="24"/>
          <w:szCs w:val="24"/>
        </w:rPr>
        <w:t>letter and</w:t>
      </w:r>
      <w:r w:rsidRPr="004D5F48">
        <w:rPr>
          <w:sz w:val="24"/>
          <w:szCs w:val="24"/>
        </w:rPr>
        <w:t xml:space="preserve"> posters in all primary care exam rooms and bathrooms.</w:t>
      </w:r>
    </w:p>
    <w:p w14:paraId="023625E1" w14:textId="62AD5C0B" w:rsidR="00366403" w:rsidRDefault="0049061E" w:rsidP="002D6EBF">
      <w:pPr>
        <w:pStyle w:val="ListParagraph"/>
        <w:numPr>
          <w:ilvl w:val="0"/>
          <w:numId w:val="15"/>
        </w:numPr>
        <w:spacing w:after="0" w:line="240" w:lineRule="auto"/>
        <w:rPr>
          <w:sz w:val="24"/>
          <w:szCs w:val="24"/>
        </w:rPr>
      </w:pPr>
      <w:r w:rsidRPr="00796917">
        <w:rPr>
          <w:b/>
          <w:bCs/>
          <w:sz w:val="24"/>
          <w:szCs w:val="24"/>
        </w:rPr>
        <w:t xml:space="preserve">The </w:t>
      </w:r>
      <w:r w:rsidR="00366403" w:rsidRPr="00796917">
        <w:rPr>
          <w:b/>
          <w:bCs/>
          <w:sz w:val="24"/>
          <w:szCs w:val="24"/>
        </w:rPr>
        <w:t>Mobile Integrated Health</w:t>
      </w:r>
      <w:r w:rsidR="00AC32A4" w:rsidRPr="00796917">
        <w:rPr>
          <w:b/>
          <w:bCs/>
          <w:sz w:val="24"/>
          <w:szCs w:val="24"/>
        </w:rPr>
        <w:t xml:space="preserve"> (MIH)</w:t>
      </w:r>
      <w:r w:rsidR="00366403" w:rsidRPr="00796917">
        <w:rPr>
          <w:b/>
          <w:bCs/>
          <w:sz w:val="24"/>
          <w:szCs w:val="24"/>
        </w:rPr>
        <w:t xml:space="preserve"> Program</w:t>
      </w:r>
      <w:r w:rsidR="00796917">
        <w:rPr>
          <w:sz w:val="24"/>
          <w:szCs w:val="24"/>
        </w:rPr>
        <w:t>:</w:t>
      </w:r>
      <w:r w:rsidR="00C57F0B">
        <w:rPr>
          <w:rStyle w:val="FootnoteReference"/>
          <w:sz w:val="24"/>
          <w:szCs w:val="24"/>
        </w:rPr>
        <w:footnoteReference w:id="20"/>
      </w:r>
      <w:r w:rsidR="00796917">
        <w:rPr>
          <w:sz w:val="24"/>
          <w:szCs w:val="24"/>
        </w:rPr>
        <w:t xml:space="preserve"> This program,</w:t>
      </w:r>
      <w:r w:rsidRPr="002110D9">
        <w:rPr>
          <w:sz w:val="24"/>
          <w:szCs w:val="24"/>
        </w:rPr>
        <w:t xml:space="preserve"> </w:t>
      </w:r>
      <w:r w:rsidR="00366403" w:rsidRPr="002110D9">
        <w:rPr>
          <w:sz w:val="24"/>
          <w:szCs w:val="24"/>
        </w:rPr>
        <w:t>launched in March 2020</w:t>
      </w:r>
      <w:r w:rsidRPr="002110D9">
        <w:rPr>
          <w:sz w:val="24"/>
          <w:szCs w:val="24"/>
        </w:rPr>
        <w:t xml:space="preserve">, </w:t>
      </w:r>
      <w:r w:rsidR="00366403" w:rsidRPr="002110D9">
        <w:rPr>
          <w:sz w:val="24"/>
          <w:szCs w:val="24"/>
        </w:rPr>
        <w:t xml:space="preserve">dispatches paramedics to patient homes to provide </w:t>
      </w:r>
      <w:r w:rsidR="00CA49FE" w:rsidRPr="002110D9">
        <w:rPr>
          <w:sz w:val="24"/>
          <w:szCs w:val="24"/>
        </w:rPr>
        <w:t>care under</w:t>
      </w:r>
      <w:r w:rsidR="00366403" w:rsidRPr="002110D9">
        <w:rPr>
          <w:sz w:val="24"/>
          <w:szCs w:val="24"/>
        </w:rPr>
        <w:t xml:space="preserve"> the direct </w:t>
      </w:r>
      <w:r w:rsidR="00CA49FE" w:rsidRPr="002110D9">
        <w:rPr>
          <w:sz w:val="24"/>
          <w:szCs w:val="24"/>
        </w:rPr>
        <w:t>supervision</w:t>
      </w:r>
      <w:r w:rsidR="00366403" w:rsidRPr="002110D9">
        <w:rPr>
          <w:sz w:val="24"/>
          <w:szCs w:val="24"/>
        </w:rPr>
        <w:t xml:space="preserve"> of a physician Medical </w:t>
      </w:r>
      <w:r w:rsidR="00CA49FE" w:rsidRPr="002110D9">
        <w:rPr>
          <w:sz w:val="24"/>
          <w:szCs w:val="24"/>
        </w:rPr>
        <w:t>Director</w:t>
      </w:r>
      <w:r w:rsidRPr="002110D9">
        <w:rPr>
          <w:sz w:val="24"/>
          <w:szCs w:val="24"/>
        </w:rPr>
        <w:t>.</w:t>
      </w:r>
      <w:r w:rsidR="00A02F27" w:rsidRPr="002110D9">
        <w:rPr>
          <w:sz w:val="24"/>
          <w:szCs w:val="24"/>
        </w:rPr>
        <w:t xml:space="preserve"> MIH has two programs: the SNF</w:t>
      </w:r>
      <w:r w:rsidR="0077766C">
        <w:rPr>
          <w:sz w:val="24"/>
          <w:szCs w:val="24"/>
        </w:rPr>
        <w:t>-</w:t>
      </w:r>
      <w:r w:rsidR="00A02F27" w:rsidRPr="002110D9">
        <w:rPr>
          <w:sz w:val="24"/>
          <w:szCs w:val="24"/>
        </w:rPr>
        <w:t xml:space="preserve">at </w:t>
      </w:r>
      <w:r w:rsidR="007151A5">
        <w:rPr>
          <w:sz w:val="24"/>
          <w:szCs w:val="24"/>
        </w:rPr>
        <w:t>H</w:t>
      </w:r>
      <w:r w:rsidR="00A02F27" w:rsidRPr="002110D9">
        <w:rPr>
          <w:sz w:val="24"/>
          <w:szCs w:val="24"/>
        </w:rPr>
        <w:t xml:space="preserve">ome and </w:t>
      </w:r>
      <w:r w:rsidR="00B742F1">
        <w:rPr>
          <w:sz w:val="24"/>
          <w:szCs w:val="24"/>
        </w:rPr>
        <w:t>B</w:t>
      </w:r>
      <w:r w:rsidR="00A02F27" w:rsidRPr="002110D9">
        <w:rPr>
          <w:sz w:val="24"/>
          <w:szCs w:val="24"/>
        </w:rPr>
        <w:t>asic.</w:t>
      </w:r>
      <w:r w:rsidR="009E1D9E">
        <w:rPr>
          <w:sz w:val="24"/>
          <w:szCs w:val="24"/>
        </w:rPr>
        <w:t xml:space="preserve"> </w:t>
      </w:r>
      <w:r w:rsidR="005739A5">
        <w:rPr>
          <w:sz w:val="24"/>
          <w:szCs w:val="24"/>
        </w:rPr>
        <w:t xml:space="preserve">The Applicant notes that </w:t>
      </w:r>
      <w:r w:rsidR="007E0639" w:rsidRPr="007E0639">
        <w:rPr>
          <w:sz w:val="24"/>
          <w:szCs w:val="24"/>
        </w:rPr>
        <w:t xml:space="preserve">Basic MIH services is </w:t>
      </w:r>
      <w:r w:rsidR="005739A5">
        <w:rPr>
          <w:sz w:val="24"/>
          <w:szCs w:val="24"/>
        </w:rPr>
        <w:t xml:space="preserve">a </w:t>
      </w:r>
      <w:r w:rsidR="007E0639" w:rsidRPr="007E0639">
        <w:rPr>
          <w:sz w:val="24"/>
          <w:szCs w:val="24"/>
        </w:rPr>
        <w:t>frequent touch point and medical care for high utilizing patients or patients with chronic health conditions</w:t>
      </w:r>
      <w:r w:rsidR="00B65049">
        <w:rPr>
          <w:sz w:val="24"/>
          <w:szCs w:val="24"/>
        </w:rPr>
        <w:t xml:space="preserve">. </w:t>
      </w:r>
      <w:r w:rsidR="0000564B">
        <w:rPr>
          <w:sz w:val="24"/>
          <w:szCs w:val="24"/>
        </w:rPr>
        <w:t>Basic MIH services</w:t>
      </w:r>
      <w:r w:rsidR="005739A5">
        <w:rPr>
          <w:sz w:val="24"/>
          <w:szCs w:val="24"/>
        </w:rPr>
        <w:t xml:space="preserve"> help to</w:t>
      </w:r>
      <w:r w:rsidR="007E0639" w:rsidRPr="007E0639">
        <w:rPr>
          <w:sz w:val="24"/>
          <w:szCs w:val="24"/>
        </w:rPr>
        <w:t xml:space="preserve"> manage </w:t>
      </w:r>
      <w:r w:rsidR="00B65049">
        <w:rPr>
          <w:sz w:val="24"/>
          <w:szCs w:val="24"/>
        </w:rPr>
        <w:t xml:space="preserve">patients </w:t>
      </w:r>
      <w:r w:rsidR="007E0639" w:rsidRPr="007E0639">
        <w:rPr>
          <w:sz w:val="24"/>
          <w:szCs w:val="24"/>
        </w:rPr>
        <w:t>in the community</w:t>
      </w:r>
      <w:r w:rsidR="007E0639">
        <w:rPr>
          <w:sz w:val="24"/>
          <w:szCs w:val="24"/>
        </w:rPr>
        <w:t>, which in turn</w:t>
      </w:r>
      <w:r w:rsidR="007E0639" w:rsidRPr="007E0639">
        <w:rPr>
          <w:sz w:val="24"/>
          <w:szCs w:val="24"/>
        </w:rPr>
        <w:t xml:space="preserve"> creates capacity within the health care system and emergency services.</w:t>
      </w:r>
      <w:r w:rsidR="007E0639">
        <w:rPr>
          <w:sz w:val="24"/>
          <w:szCs w:val="24"/>
        </w:rPr>
        <w:t xml:space="preserve"> </w:t>
      </w:r>
      <w:r w:rsidR="00BD3EFD">
        <w:rPr>
          <w:sz w:val="24"/>
          <w:szCs w:val="24"/>
        </w:rPr>
        <w:t xml:space="preserve">The </w:t>
      </w:r>
      <w:r w:rsidR="009E1D9E">
        <w:rPr>
          <w:sz w:val="24"/>
          <w:szCs w:val="24"/>
        </w:rPr>
        <w:t>MIH Program is payer</w:t>
      </w:r>
      <w:r w:rsidR="00B1473A">
        <w:rPr>
          <w:sz w:val="24"/>
          <w:szCs w:val="24"/>
        </w:rPr>
        <w:t>-</w:t>
      </w:r>
      <w:r w:rsidR="009E1D9E">
        <w:rPr>
          <w:sz w:val="24"/>
          <w:szCs w:val="24"/>
        </w:rPr>
        <w:t xml:space="preserve">agnostic and is dependent on skilled need and service area. </w:t>
      </w:r>
      <w:r w:rsidR="00C57F0B">
        <w:rPr>
          <w:sz w:val="24"/>
          <w:szCs w:val="24"/>
        </w:rPr>
        <w:t>MIH paramedics provide clinical interventions that</w:t>
      </w:r>
      <w:r w:rsidRPr="002110D9">
        <w:rPr>
          <w:sz w:val="24"/>
          <w:szCs w:val="24"/>
        </w:rPr>
        <w:t xml:space="preserve"> </w:t>
      </w:r>
      <w:r w:rsidR="00366403" w:rsidRPr="002110D9">
        <w:rPr>
          <w:sz w:val="24"/>
          <w:szCs w:val="24"/>
        </w:rPr>
        <w:t xml:space="preserve">include telehealth with providers, labs, IV treatments, and mobile imaging service to avoid need for unnecessary ED visits or inpatient hospitalization. </w:t>
      </w:r>
      <w:r w:rsidR="009A28B5" w:rsidRPr="002110D9">
        <w:rPr>
          <w:sz w:val="24"/>
          <w:szCs w:val="24"/>
        </w:rPr>
        <w:t xml:space="preserve">The Applicant states that all patients are eligible for the MIH program through referral from MD Practices, care progression, and </w:t>
      </w:r>
      <w:r w:rsidR="00C57F0B">
        <w:rPr>
          <w:sz w:val="24"/>
          <w:szCs w:val="24"/>
        </w:rPr>
        <w:t>South Shore V</w:t>
      </w:r>
      <w:r w:rsidR="009A28B5" w:rsidRPr="002110D9">
        <w:rPr>
          <w:sz w:val="24"/>
          <w:szCs w:val="24"/>
        </w:rPr>
        <w:t xml:space="preserve">isiting </w:t>
      </w:r>
      <w:r w:rsidR="00C57F0B">
        <w:rPr>
          <w:sz w:val="24"/>
          <w:szCs w:val="24"/>
        </w:rPr>
        <w:t>N</w:t>
      </w:r>
      <w:r w:rsidR="009A28B5" w:rsidRPr="002110D9">
        <w:rPr>
          <w:sz w:val="24"/>
          <w:szCs w:val="24"/>
        </w:rPr>
        <w:t xml:space="preserve">urse </w:t>
      </w:r>
      <w:r w:rsidR="00C57F0B">
        <w:rPr>
          <w:sz w:val="24"/>
          <w:szCs w:val="24"/>
        </w:rPr>
        <w:t>A</w:t>
      </w:r>
      <w:r w:rsidR="009A28B5" w:rsidRPr="002110D9">
        <w:rPr>
          <w:sz w:val="24"/>
          <w:szCs w:val="24"/>
        </w:rPr>
        <w:t xml:space="preserve">ssociation (VNA) regardless of their ability to pay. </w:t>
      </w:r>
      <w:r w:rsidR="00366403" w:rsidRPr="002110D9">
        <w:rPr>
          <w:sz w:val="24"/>
          <w:szCs w:val="24"/>
        </w:rPr>
        <w:t>The team actively completes SDoH screening with patients via the THRIVE tool.</w:t>
      </w:r>
      <w:r w:rsidR="002110D9" w:rsidRPr="002110D9">
        <w:rPr>
          <w:sz w:val="24"/>
          <w:szCs w:val="24"/>
        </w:rPr>
        <w:t xml:space="preserve"> </w:t>
      </w:r>
      <w:r w:rsidR="006E742B">
        <w:rPr>
          <w:sz w:val="24"/>
          <w:szCs w:val="24"/>
        </w:rPr>
        <w:t>Both the SNF and Basic Program</w:t>
      </w:r>
      <w:r w:rsidR="009303CB">
        <w:rPr>
          <w:sz w:val="24"/>
          <w:szCs w:val="24"/>
        </w:rPr>
        <w:t>s</w:t>
      </w:r>
      <w:r w:rsidR="002110D9" w:rsidRPr="002110D9">
        <w:rPr>
          <w:sz w:val="24"/>
          <w:szCs w:val="24"/>
        </w:rPr>
        <w:t xml:space="preserve"> currently service the following cities and towns:</w:t>
      </w:r>
      <w:r w:rsidR="002110D9">
        <w:rPr>
          <w:sz w:val="24"/>
          <w:szCs w:val="24"/>
        </w:rPr>
        <w:t xml:space="preserve"> </w:t>
      </w:r>
      <w:r w:rsidR="002110D9" w:rsidRPr="002110D9">
        <w:rPr>
          <w:sz w:val="24"/>
          <w:szCs w:val="24"/>
        </w:rPr>
        <w:t>Abington, Braintree, Cohasset, Duxbury, Hanover, Hingham, Hull, Holbrook, Kingston, Marshfield, Norwell, Quincy, Pembroke, Plymouth, Randolph, Rockland, Scituate, Whitman, and Weymouth.</w:t>
      </w:r>
      <w:r w:rsidR="009A28B5">
        <w:rPr>
          <w:sz w:val="24"/>
          <w:szCs w:val="24"/>
        </w:rPr>
        <w:t xml:space="preserve"> </w:t>
      </w:r>
    </w:p>
    <w:p w14:paraId="36EC1D99" w14:textId="77777777" w:rsidR="00A432D7" w:rsidRPr="002110D9" w:rsidRDefault="00A432D7" w:rsidP="002032BF">
      <w:pPr>
        <w:pStyle w:val="ListParagraph"/>
        <w:spacing w:after="0" w:line="240" w:lineRule="auto"/>
        <w:rPr>
          <w:sz w:val="24"/>
          <w:szCs w:val="24"/>
        </w:rPr>
      </w:pPr>
    </w:p>
    <w:p w14:paraId="39CE25AC" w14:textId="713D125A" w:rsidR="00933C70" w:rsidRPr="00631D98" w:rsidRDefault="00631D98" w:rsidP="00933C70">
      <w:pPr>
        <w:spacing w:after="0" w:line="240" w:lineRule="auto"/>
        <w:rPr>
          <w:sz w:val="24"/>
          <w:szCs w:val="24"/>
        </w:rPr>
      </w:pPr>
      <w:r w:rsidRPr="00631D98">
        <w:rPr>
          <w:sz w:val="24"/>
          <w:szCs w:val="24"/>
        </w:rPr>
        <w:t xml:space="preserve">Additional </w:t>
      </w:r>
      <w:r w:rsidR="00715CE5" w:rsidRPr="00631D98">
        <w:rPr>
          <w:sz w:val="24"/>
          <w:szCs w:val="24"/>
        </w:rPr>
        <w:t>Community-based Health Equity Initiatives</w:t>
      </w:r>
      <w:r w:rsidRPr="00631D98">
        <w:rPr>
          <w:sz w:val="24"/>
          <w:szCs w:val="24"/>
        </w:rPr>
        <w:t xml:space="preserve"> include:</w:t>
      </w:r>
    </w:p>
    <w:p w14:paraId="437BC987" w14:textId="688237AF" w:rsidR="00933C70" w:rsidRPr="004D5F48" w:rsidRDefault="00796917" w:rsidP="002D6EBF">
      <w:pPr>
        <w:pStyle w:val="ListParagraph"/>
        <w:numPr>
          <w:ilvl w:val="0"/>
          <w:numId w:val="16"/>
        </w:numPr>
        <w:spacing w:after="0" w:line="240" w:lineRule="auto"/>
        <w:rPr>
          <w:sz w:val="24"/>
          <w:szCs w:val="24"/>
        </w:rPr>
      </w:pPr>
      <w:r>
        <w:rPr>
          <w:sz w:val="24"/>
          <w:szCs w:val="24"/>
        </w:rPr>
        <w:t xml:space="preserve">The </w:t>
      </w:r>
      <w:r w:rsidR="00715CE5" w:rsidRPr="004D5F48">
        <w:rPr>
          <w:i/>
          <w:iCs/>
          <w:sz w:val="24"/>
          <w:szCs w:val="24"/>
        </w:rPr>
        <w:t>Brazilian Community Health Project</w:t>
      </w:r>
      <w:r w:rsidR="00715CE5" w:rsidRPr="004D5F48">
        <w:rPr>
          <w:sz w:val="24"/>
          <w:szCs w:val="24"/>
        </w:rPr>
        <w:t xml:space="preserve"> </w:t>
      </w:r>
      <w:r w:rsidR="00631D98">
        <w:rPr>
          <w:sz w:val="24"/>
          <w:szCs w:val="24"/>
        </w:rPr>
        <w:t xml:space="preserve">started six years ago and </w:t>
      </w:r>
      <w:r w:rsidR="00715CE5" w:rsidRPr="004D5F48">
        <w:rPr>
          <w:sz w:val="24"/>
          <w:szCs w:val="24"/>
        </w:rPr>
        <w:t>partner</w:t>
      </w:r>
      <w:r w:rsidR="00631D98">
        <w:rPr>
          <w:sz w:val="24"/>
          <w:szCs w:val="24"/>
        </w:rPr>
        <w:t>s</w:t>
      </w:r>
      <w:r w:rsidR="00715CE5" w:rsidRPr="004D5F48">
        <w:rPr>
          <w:sz w:val="24"/>
          <w:szCs w:val="24"/>
        </w:rPr>
        <w:t xml:space="preserve"> with Jewish Vocational Services (JVS)</w:t>
      </w:r>
      <w:r w:rsidR="00631D98">
        <w:rPr>
          <w:sz w:val="24"/>
          <w:szCs w:val="24"/>
        </w:rPr>
        <w:t>,</w:t>
      </w:r>
      <w:r w:rsidR="00715CE5" w:rsidRPr="004D5F48">
        <w:rPr>
          <w:sz w:val="24"/>
          <w:szCs w:val="24"/>
        </w:rPr>
        <w:t xml:space="preserve"> to meet the language needs of other non-English speaking/early adopters of the English language.</w:t>
      </w:r>
    </w:p>
    <w:p w14:paraId="7050C357" w14:textId="214D8402" w:rsidR="00933C70" w:rsidRDefault="00565ECE" w:rsidP="002D6EBF">
      <w:pPr>
        <w:pStyle w:val="ListParagraph"/>
        <w:numPr>
          <w:ilvl w:val="0"/>
          <w:numId w:val="14"/>
        </w:numPr>
        <w:spacing w:line="240" w:lineRule="auto"/>
        <w:rPr>
          <w:sz w:val="24"/>
          <w:szCs w:val="24"/>
        </w:rPr>
      </w:pPr>
      <w:r>
        <w:rPr>
          <w:sz w:val="24"/>
          <w:szCs w:val="24"/>
        </w:rPr>
        <w:t xml:space="preserve">For </w:t>
      </w:r>
      <w:r w:rsidR="00715CE5" w:rsidRPr="00933C70">
        <w:rPr>
          <w:sz w:val="24"/>
          <w:szCs w:val="24"/>
        </w:rPr>
        <w:t>the past three years SSHS worked as a convener bringing the community together</w:t>
      </w:r>
      <w:r w:rsidR="00631D98">
        <w:rPr>
          <w:sz w:val="24"/>
          <w:szCs w:val="24"/>
        </w:rPr>
        <w:t xml:space="preserve"> to address homelessness and housing insecurity</w:t>
      </w:r>
      <w:r w:rsidR="00715CE5" w:rsidRPr="00933C70">
        <w:rPr>
          <w:sz w:val="24"/>
          <w:szCs w:val="24"/>
        </w:rPr>
        <w:t xml:space="preserve">. </w:t>
      </w:r>
      <w:r w:rsidR="00934118">
        <w:rPr>
          <w:sz w:val="24"/>
          <w:szCs w:val="24"/>
        </w:rPr>
        <w:t xml:space="preserve">Examples include </w:t>
      </w:r>
      <w:r w:rsidR="00631D98">
        <w:rPr>
          <w:sz w:val="24"/>
          <w:szCs w:val="24"/>
        </w:rPr>
        <w:t>SSHS work</w:t>
      </w:r>
      <w:r w:rsidR="00934118">
        <w:rPr>
          <w:sz w:val="24"/>
          <w:szCs w:val="24"/>
        </w:rPr>
        <w:t>ing</w:t>
      </w:r>
      <w:r w:rsidR="00631D98">
        <w:rPr>
          <w:sz w:val="24"/>
          <w:szCs w:val="24"/>
        </w:rPr>
        <w:t xml:space="preserve"> with </w:t>
      </w:r>
      <w:r w:rsidR="00715CE5" w:rsidRPr="00933C70">
        <w:rPr>
          <w:sz w:val="24"/>
          <w:szCs w:val="24"/>
        </w:rPr>
        <w:t xml:space="preserve">Father Bill’s homeless shelter </w:t>
      </w:r>
      <w:r w:rsidR="00934118">
        <w:rPr>
          <w:sz w:val="24"/>
          <w:szCs w:val="24"/>
        </w:rPr>
        <w:t xml:space="preserve">to </w:t>
      </w:r>
      <w:r w:rsidR="00715CE5" w:rsidRPr="00933C70">
        <w:rPr>
          <w:sz w:val="24"/>
          <w:szCs w:val="24"/>
        </w:rPr>
        <w:t>creat</w:t>
      </w:r>
      <w:r w:rsidR="00934118">
        <w:rPr>
          <w:sz w:val="24"/>
          <w:szCs w:val="24"/>
        </w:rPr>
        <w:t xml:space="preserve">e </w:t>
      </w:r>
      <w:r w:rsidR="00715CE5" w:rsidRPr="00933C70">
        <w:rPr>
          <w:sz w:val="24"/>
          <w:szCs w:val="24"/>
        </w:rPr>
        <w:t xml:space="preserve">a private area in the shelter </w:t>
      </w:r>
      <w:r w:rsidR="00631D98">
        <w:rPr>
          <w:sz w:val="24"/>
          <w:szCs w:val="24"/>
        </w:rPr>
        <w:t>for</w:t>
      </w:r>
      <w:r w:rsidR="00715CE5" w:rsidRPr="00933C70">
        <w:rPr>
          <w:sz w:val="24"/>
          <w:szCs w:val="24"/>
        </w:rPr>
        <w:t xml:space="preserve"> SSH’s Mobile Integrated Health </w:t>
      </w:r>
      <w:r w:rsidR="00631D98">
        <w:rPr>
          <w:sz w:val="24"/>
          <w:szCs w:val="24"/>
        </w:rPr>
        <w:t xml:space="preserve">to use when it </w:t>
      </w:r>
      <w:r w:rsidR="00715CE5" w:rsidRPr="00933C70">
        <w:rPr>
          <w:sz w:val="24"/>
          <w:szCs w:val="24"/>
        </w:rPr>
        <w:t>is on site</w:t>
      </w:r>
      <w:r w:rsidR="00934118">
        <w:rPr>
          <w:sz w:val="24"/>
          <w:szCs w:val="24"/>
        </w:rPr>
        <w:t xml:space="preserve">, and </w:t>
      </w:r>
      <w:r w:rsidR="00631D98">
        <w:rPr>
          <w:sz w:val="24"/>
          <w:szCs w:val="24"/>
        </w:rPr>
        <w:t>SSHS</w:t>
      </w:r>
      <w:r w:rsidR="00934118">
        <w:rPr>
          <w:sz w:val="24"/>
          <w:szCs w:val="24"/>
        </w:rPr>
        <w:t>’s</w:t>
      </w:r>
      <w:r w:rsidR="00631D98">
        <w:rPr>
          <w:sz w:val="24"/>
          <w:szCs w:val="24"/>
        </w:rPr>
        <w:t xml:space="preserve"> wor</w:t>
      </w:r>
      <w:r w:rsidR="00934118">
        <w:rPr>
          <w:sz w:val="24"/>
          <w:szCs w:val="24"/>
        </w:rPr>
        <w:t>k</w:t>
      </w:r>
      <w:r w:rsidR="00631D98">
        <w:rPr>
          <w:sz w:val="24"/>
          <w:szCs w:val="24"/>
        </w:rPr>
        <w:t xml:space="preserve"> with</w:t>
      </w:r>
      <w:r w:rsidR="00715CE5" w:rsidRPr="00933C70">
        <w:rPr>
          <w:sz w:val="24"/>
          <w:szCs w:val="24"/>
        </w:rPr>
        <w:t xml:space="preserve"> Manet Community Health Center </w:t>
      </w:r>
      <w:r w:rsidR="008C73EE">
        <w:rPr>
          <w:sz w:val="24"/>
          <w:szCs w:val="24"/>
        </w:rPr>
        <w:t>to</w:t>
      </w:r>
      <w:r w:rsidR="0051680C">
        <w:rPr>
          <w:sz w:val="24"/>
          <w:szCs w:val="24"/>
        </w:rPr>
        <w:t xml:space="preserve"> assist in fill gaps for mobile care to homeless encampments and </w:t>
      </w:r>
      <w:r w:rsidR="006F0F02">
        <w:rPr>
          <w:sz w:val="24"/>
          <w:szCs w:val="24"/>
        </w:rPr>
        <w:t xml:space="preserve">other </w:t>
      </w:r>
      <w:r w:rsidR="0051680C">
        <w:rPr>
          <w:sz w:val="24"/>
          <w:szCs w:val="24"/>
        </w:rPr>
        <w:t>homeless</w:t>
      </w:r>
      <w:r w:rsidR="0095183C">
        <w:rPr>
          <w:sz w:val="24"/>
          <w:szCs w:val="24"/>
        </w:rPr>
        <w:t xml:space="preserve"> members</w:t>
      </w:r>
      <w:r w:rsidR="0051680C">
        <w:rPr>
          <w:sz w:val="24"/>
          <w:szCs w:val="24"/>
        </w:rPr>
        <w:t xml:space="preserve"> </w:t>
      </w:r>
      <w:r w:rsidR="00FE6C2A">
        <w:rPr>
          <w:sz w:val="24"/>
          <w:szCs w:val="24"/>
        </w:rPr>
        <w:t>of</w:t>
      </w:r>
      <w:r w:rsidR="0051680C">
        <w:rPr>
          <w:sz w:val="24"/>
          <w:szCs w:val="24"/>
        </w:rPr>
        <w:t xml:space="preserve"> the community</w:t>
      </w:r>
      <w:r w:rsidR="00715CE5" w:rsidRPr="00933C70">
        <w:rPr>
          <w:sz w:val="24"/>
          <w:szCs w:val="24"/>
        </w:rPr>
        <w:t>.</w:t>
      </w:r>
    </w:p>
    <w:p w14:paraId="128568B9" w14:textId="33C7FB5E" w:rsidR="00933C70" w:rsidRDefault="00796917" w:rsidP="002D6EBF">
      <w:pPr>
        <w:pStyle w:val="ListParagraph"/>
        <w:numPr>
          <w:ilvl w:val="0"/>
          <w:numId w:val="14"/>
        </w:numPr>
        <w:spacing w:line="240" w:lineRule="auto"/>
        <w:rPr>
          <w:sz w:val="24"/>
          <w:szCs w:val="24"/>
        </w:rPr>
      </w:pPr>
      <w:r w:rsidRPr="00933C70">
        <w:rPr>
          <w:sz w:val="24"/>
          <w:szCs w:val="24"/>
        </w:rPr>
        <w:t>SSHS provides outreach and education to build resiliency in youth</w:t>
      </w:r>
      <w:r w:rsidRPr="004D5F48">
        <w:rPr>
          <w:i/>
          <w:iCs/>
          <w:sz w:val="24"/>
          <w:szCs w:val="24"/>
        </w:rPr>
        <w:t xml:space="preserve"> </w:t>
      </w:r>
      <w:r w:rsidRPr="00796917">
        <w:rPr>
          <w:sz w:val="24"/>
          <w:szCs w:val="24"/>
        </w:rPr>
        <w:t>through</w:t>
      </w:r>
      <w:r>
        <w:rPr>
          <w:i/>
          <w:iCs/>
          <w:sz w:val="24"/>
          <w:szCs w:val="24"/>
        </w:rPr>
        <w:t xml:space="preserve"> </w:t>
      </w:r>
      <w:r w:rsidR="00473766" w:rsidRPr="004D5F48">
        <w:rPr>
          <w:i/>
          <w:iCs/>
          <w:sz w:val="24"/>
          <w:szCs w:val="24"/>
        </w:rPr>
        <w:t>Youth Health Connection</w:t>
      </w:r>
      <w:r>
        <w:rPr>
          <w:sz w:val="24"/>
          <w:szCs w:val="24"/>
        </w:rPr>
        <w:t>,</w:t>
      </w:r>
      <w:r w:rsidR="00473766" w:rsidRPr="00933C70">
        <w:rPr>
          <w:sz w:val="24"/>
          <w:szCs w:val="24"/>
        </w:rPr>
        <w:t xml:space="preserve"> provid</w:t>
      </w:r>
      <w:r>
        <w:rPr>
          <w:sz w:val="24"/>
          <w:szCs w:val="24"/>
        </w:rPr>
        <w:t>ing</w:t>
      </w:r>
      <w:r w:rsidR="00473766" w:rsidRPr="00933C70">
        <w:rPr>
          <w:sz w:val="24"/>
          <w:szCs w:val="24"/>
        </w:rPr>
        <w:t xml:space="preserve"> tools for suicide prevention, at risk behaviors, bullying and to meet the needs of the LGBTQ youth community</w:t>
      </w:r>
      <w:r w:rsidR="00AE7A0A" w:rsidRPr="00933C70">
        <w:rPr>
          <w:sz w:val="24"/>
          <w:szCs w:val="24"/>
        </w:rPr>
        <w:t>.</w:t>
      </w:r>
    </w:p>
    <w:p w14:paraId="0EA48E5E" w14:textId="4434BE20" w:rsidR="00AE7A0A" w:rsidRDefault="00AE7A0A" w:rsidP="002D6EBF">
      <w:pPr>
        <w:pStyle w:val="ListParagraph"/>
        <w:numPr>
          <w:ilvl w:val="0"/>
          <w:numId w:val="14"/>
        </w:numPr>
        <w:spacing w:line="240" w:lineRule="auto"/>
        <w:rPr>
          <w:sz w:val="24"/>
          <w:szCs w:val="24"/>
        </w:rPr>
      </w:pPr>
      <w:r w:rsidRPr="00933C70">
        <w:rPr>
          <w:sz w:val="24"/>
          <w:szCs w:val="24"/>
        </w:rPr>
        <w:t>SSHS connected with the Aging Services Access Points (ASAP)</w:t>
      </w:r>
      <w:r w:rsidR="006C0B85">
        <w:rPr>
          <w:rStyle w:val="FootnoteReference"/>
          <w:sz w:val="24"/>
          <w:szCs w:val="24"/>
        </w:rPr>
        <w:footnoteReference w:id="21"/>
      </w:r>
      <w:r w:rsidRPr="00933C70">
        <w:rPr>
          <w:sz w:val="24"/>
          <w:szCs w:val="24"/>
        </w:rPr>
        <w:t xml:space="preserve"> and other organization</w:t>
      </w:r>
      <w:r w:rsidR="009A28B5">
        <w:rPr>
          <w:sz w:val="24"/>
          <w:szCs w:val="24"/>
        </w:rPr>
        <w:t>s</w:t>
      </w:r>
      <w:r w:rsidRPr="00933C70">
        <w:rPr>
          <w:sz w:val="24"/>
          <w:szCs w:val="24"/>
        </w:rPr>
        <w:t xml:space="preserve"> to reach seniors to impact mental health, social engagement, and support, through use of technology and outreach</w:t>
      </w:r>
      <w:r w:rsidR="000C4C9F">
        <w:rPr>
          <w:sz w:val="24"/>
          <w:szCs w:val="24"/>
        </w:rPr>
        <w:t xml:space="preserve"> </w:t>
      </w:r>
      <w:r w:rsidR="009A28B5">
        <w:rPr>
          <w:sz w:val="24"/>
          <w:szCs w:val="24"/>
        </w:rPr>
        <w:t>to</w:t>
      </w:r>
      <w:r w:rsidR="000C4C9F">
        <w:rPr>
          <w:sz w:val="24"/>
          <w:szCs w:val="24"/>
        </w:rPr>
        <w:t xml:space="preserve"> address s</w:t>
      </w:r>
      <w:r w:rsidR="000C4C9F" w:rsidRPr="000C4C9F">
        <w:rPr>
          <w:sz w:val="24"/>
          <w:szCs w:val="24"/>
        </w:rPr>
        <w:t xml:space="preserve">ocial isolation and </w:t>
      </w:r>
      <w:r w:rsidR="000C4C9F">
        <w:rPr>
          <w:sz w:val="24"/>
          <w:szCs w:val="24"/>
        </w:rPr>
        <w:t xml:space="preserve">the </w:t>
      </w:r>
      <w:r w:rsidR="000C4C9F" w:rsidRPr="000C4C9F">
        <w:rPr>
          <w:sz w:val="24"/>
          <w:szCs w:val="24"/>
        </w:rPr>
        <w:t xml:space="preserve">reduction in preventable health care </w:t>
      </w:r>
      <w:r w:rsidR="00CE41B2">
        <w:rPr>
          <w:sz w:val="24"/>
          <w:szCs w:val="24"/>
        </w:rPr>
        <w:t xml:space="preserve">among older populations </w:t>
      </w:r>
      <w:r w:rsidR="00274B04">
        <w:rPr>
          <w:sz w:val="24"/>
          <w:szCs w:val="24"/>
        </w:rPr>
        <w:t xml:space="preserve">that occurred </w:t>
      </w:r>
      <w:r w:rsidR="000C4C9F" w:rsidRPr="000C4C9F">
        <w:rPr>
          <w:sz w:val="24"/>
          <w:szCs w:val="24"/>
        </w:rPr>
        <w:t xml:space="preserve">during the </w:t>
      </w:r>
      <w:r w:rsidR="00420064">
        <w:rPr>
          <w:sz w:val="24"/>
          <w:szCs w:val="24"/>
        </w:rPr>
        <w:t xml:space="preserve">COVID-19 </w:t>
      </w:r>
      <w:r w:rsidR="000C4C9F" w:rsidRPr="000C4C9F">
        <w:rPr>
          <w:sz w:val="24"/>
          <w:szCs w:val="24"/>
        </w:rPr>
        <w:t>pandemic</w:t>
      </w:r>
      <w:r w:rsidR="000C4C9F">
        <w:rPr>
          <w:sz w:val="24"/>
          <w:szCs w:val="24"/>
        </w:rPr>
        <w:t xml:space="preserve">. </w:t>
      </w:r>
    </w:p>
    <w:p w14:paraId="05415C27" w14:textId="37805395" w:rsidR="00796917" w:rsidRDefault="00796917" w:rsidP="00667357">
      <w:pPr>
        <w:spacing w:line="240" w:lineRule="auto"/>
        <w:rPr>
          <w:b/>
          <w:bCs/>
          <w:i/>
          <w:iCs/>
          <w:sz w:val="24"/>
          <w:szCs w:val="24"/>
        </w:rPr>
      </w:pPr>
    </w:p>
    <w:p w14:paraId="6E9B658E" w14:textId="1A032223" w:rsidR="00D95F91" w:rsidRPr="00667357" w:rsidRDefault="00E36B9C" w:rsidP="00667357">
      <w:pPr>
        <w:spacing w:line="240" w:lineRule="auto"/>
        <w:rPr>
          <w:b/>
          <w:bCs/>
          <w:i/>
          <w:iCs/>
          <w:sz w:val="24"/>
          <w:szCs w:val="24"/>
        </w:rPr>
      </w:pPr>
      <w:r w:rsidRPr="00667357">
        <w:rPr>
          <w:b/>
          <w:bCs/>
          <w:i/>
          <w:iCs/>
          <w:sz w:val="24"/>
          <w:szCs w:val="24"/>
        </w:rPr>
        <w:t>Analysis: Health Equity and SDoH</w:t>
      </w:r>
    </w:p>
    <w:p w14:paraId="77BC91AF" w14:textId="0FBCE350" w:rsidR="00D95F91" w:rsidRDefault="00AD059C" w:rsidP="00667357">
      <w:pPr>
        <w:spacing w:line="240" w:lineRule="auto"/>
        <w:rPr>
          <w:sz w:val="24"/>
          <w:szCs w:val="24"/>
        </w:rPr>
      </w:pPr>
      <w:r w:rsidRPr="00667357">
        <w:rPr>
          <w:sz w:val="24"/>
          <w:szCs w:val="24"/>
        </w:rPr>
        <w:t>Staff finds tha</w:t>
      </w:r>
      <w:r w:rsidR="00A2418F">
        <w:rPr>
          <w:sz w:val="24"/>
          <w:szCs w:val="24"/>
        </w:rPr>
        <w:t xml:space="preserve">t SSHS’ </w:t>
      </w:r>
      <w:r w:rsidRPr="00667357">
        <w:rPr>
          <w:sz w:val="24"/>
          <w:szCs w:val="24"/>
        </w:rPr>
        <w:t xml:space="preserve">planned language access services are </w:t>
      </w:r>
      <w:r w:rsidR="00E34FCF">
        <w:rPr>
          <w:sz w:val="24"/>
          <w:szCs w:val="24"/>
        </w:rPr>
        <w:t>appropriate</w:t>
      </w:r>
      <w:r w:rsidR="00E34FCF" w:rsidRPr="00667357" w:rsidDel="00E34FCF">
        <w:rPr>
          <w:sz w:val="24"/>
          <w:szCs w:val="24"/>
        </w:rPr>
        <w:t xml:space="preserve"> </w:t>
      </w:r>
      <w:r w:rsidRPr="00667357">
        <w:rPr>
          <w:sz w:val="24"/>
          <w:szCs w:val="24"/>
        </w:rPr>
        <w:t xml:space="preserve">for patients receiving MRI scans. </w:t>
      </w:r>
      <w:r w:rsidR="001F0E7D" w:rsidRPr="00667357">
        <w:rPr>
          <w:sz w:val="24"/>
          <w:szCs w:val="24"/>
        </w:rPr>
        <w:t>Further, the Applicant has described</w:t>
      </w:r>
      <w:r w:rsidR="004A7DFA">
        <w:rPr>
          <w:sz w:val="24"/>
          <w:szCs w:val="24"/>
        </w:rPr>
        <w:t xml:space="preserve"> population health and community-based health equity initiatives that screen for and </w:t>
      </w:r>
      <w:r w:rsidR="0052681B">
        <w:rPr>
          <w:sz w:val="24"/>
          <w:szCs w:val="24"/>
        </w:rPr>
        <w:t xml:space="preserve">work to </w:t>
      </w:r>
      <w:r w:rsidR="004A7DFA">
        <w:rPr>
          <w:sz w:val="24"/>
          <w:szCs w:val="24"/>
        </w:rPr>
        <w:t xml:space="preserve">address SDoH issues </w:t>
      </w:r>
      <w:r w:rsidR="007D5C27">
        <w:rPr>
          <w:sz w:val="24"/>
          <w:szCs w:val="24"/>
        </w:rPr>
        <w:t xml:space="preserve">identified </w:t>
      </w:r>
      <w:r w:rsidR="004A7DFA">
        <w:rPr>
          <w:sz w:val="24"/>
          <w:szCs w:val="24"/>
        </w:rPr>
        <w:t>among the Patient Panel</w:t>
      </w:r>
      <w:r w:rsidR="001F0E7D" w:rsidRPr="00667357">
        <w:rPr>
          <w:sz w:val="24"/>
          <w:szCs w:val="24"/>
        </w:rPr>
        <w:t>.</w:t>
      </w:r>
      <w:r w:rsidR="001F0E7D">
        <w:rPr>
          <w:sz w:val="24"/>
          <w:szCs w:val="24"/>
        </w:rPr>
        <w:t xml:space="preserve"> </w:t>
      </w:r>
      <w:r w:rsidRPr="00667357">
        <w:rPr>
          <w:sz w:val="24"/>
          <w:szCs w:val="24"/>
        </w:rPr>
        <w:t xml:space="preserve">The Applicant has </w:t>
      </w:r>
      <w:r w:rsidR="00274B04">
        <w:rPr>
          <w:sz w:val="24"/>
          <w:szCs w:val="24"/>
        </w:rPr>
        <w:t xml:space="preserve">appropriately </w:t>
      </w:r>
      <w:r w:rsidRPr="00667357">
        <w:rPr>
          <w:sz w:val="24"/>
          <w:szCs w:val="24"/>
        </w:rPr>
        <w:t>outlined at a high level a case for improved health outcomes and has provided reasonable assurances of health equity within SSHS</w:t>
      </w:r>
      <w:r w:rsidR="00A2418F">
        <w:rPr>
          <w:sz w:val="24"/>
          <w:szCs w:val="24"/>
        </w:rPr>
        <w:t xml:space="preserve"> for MRI patients</w:t>
      </w:r>
      <w:r w:rsidRPr="00667357">
        <w:rPr>
          <w:sz w:val="24"/>
          <w:szCs w:val="24"/>
        </w:rPr>
        <w:t xml:space="preserve">. </w:t>
      </w:r>
    </w:p>
    <w:p w14:paraId="3798E784" w14:textId="39DBDFAB" w:rsidR="00EC51F7" w:rsidRDefault="00EC51F7" w:rsidP="00667357">
      <w:pPr>
        <w:spacing w:line="240" w:lineRule="auto"/>
        <w:rPr>
          <w:sz w:val="24"/>
          <w:szCs w:val="24"/>
        </w:rPr>
      </w:pPr>
    </w:p>
    <w:p w14:paraId="093D5F79" w14:textId="7F6FFE8B" w:rsidR="001151AB" w:rsidRPr="00F32829" w:rsidRDefault="00F32829">
      <w:pPr>
        <w:rPr>
          <w:b/>
          <w:bCs/>
          <w:sz w:val="28"/>
          <w:szCs w:val="28"/>
        </w:rPr>
      </w:pPr>
      <w:r w:rsidRPr="00F32829">
        <w:rPr>
          <w:b/>
          <w:bCs/>
          <w:sz w:val="28"/>
          <w:szCs w:val="28"/>
        </w:rPr>
        <w:t>Factor 1: c) Efficiency, Continuity of Care, Coordination of Care</w:t>
      </w:r>
    </w:p>
    <w:p w14:paraId="28510896" w14:textId="69BD11A1" w:rsidR="00AF0573" w:rsidRPr="00667357" w:rsidRDefault="0011452E" w:rsidP="00667357">
      <w:pPr>
        <w:spacing w:line="240" w:lineRule="auto"/>
        <w:rPr>
          <w:sz w:val="24"/>
          <w:szCs w:val="24"/>
        </w:rPr>
      </w:pPr>
      <w:r w:rsidRPr="00667357">
        <w:rPr>
          <w:sz w:val="24"/>
          <w:szCs w:val="24"/>
        </w:rPr>
        <w:t>The Application states</w:t>
      </w:r>
      <w:r w:rsidR="007E5235" w:rsidRPr="00667357">
        <w:rPr>
          <w:sz w:val="24"/>
          <w:szCs w:val="24"/>
        </w:rPr>
        <w:t xml:space="preserve"> </w:t>
      </w:r>
      <w:r w:rsidRPr="00667357">
        <w:rPr>
          <w:sz w:val="24"/>
          <w:szCs w:val="24"/>
        </w:rPr>
        <w:t>increasing the number and type of imaging appointments available</w:t>
      </w:r>
      <w:r w:rsidR="007E5235" w:rsidRPr="00667357">
        <w:rPr>
          <w:sz w:val="24"/>
          <w:szCs w:val="24"/>
        </w:rPr>
        <w:t xml:space="preserve"> </w:t>
      </w:r>
      <w:r w:rsidRPr="00667357">
        <w:rPr>
          <w:sz w:val="24"/>
          <w:szCs w:val="24"/>
        </w:rPr>
        <w:t xml:space="preserve">will help to keep patients within </w:t>
      </w:r>
      <w:r w:rsidR="00345410">
        <w:rPr>
          <w:sz w:val="24"/>
          <w:szCs w:val="24"/>
        </w:rPr>
        <w:t>SSHS</w:t>
      </w:r>
      <w:r w:rsidRPr="00667357">
        <w:rPr>
          <w:sz w:val="24"/>
          <w:szCs w:val="24"/>
        </w:rPr>
        <w:t>, which is necessary for optimizing care coordination</w:t>
      </w:r>
      <w:r w:rsidR="007E5235" w:rsidRPr="00667357">
        <w:rPr>
          <w:sz w:val="24"/>
          <w:szCs w:val="24"/>
        </w:rPr>
        <w:t xml:space="preserve"> and reducing</w:t>
      </w:r>
      <w:r w:rsidR="00817442" w:rsidRPr="00667357">
        <w:rPr>
          <w:sz w:val="24"/>
          <w:szCs w:val="24"/>
        </w:rPr>
        <w:t xml:space="preserve"> fragmented care</w:t>
      </w:r>
      <w:r w:rsidR="007E5235" w:rsidRPr="00667357">
        <w:rPr>
          <w:sz w:val="24"/>
          <w:szCs w:val="24"/>
        </w:rPr>
        <w:t>.</w:t>
      </w:r>
    </w:p>
    <w:p w14:paraId="4A6A8845" w14:textId="4ADBBBBF" w:rsidR="001F0E7D" w:rsidRDefault="008519AC" w:rsidP="002D6EBF">
      <w:pPr>
        <w:pStyle w:val="ListParagraph"/>
        <w:numPr>
          <w:ilvl w:val="0"/>
          <w:numId w:val="6"/>
        </w:numPr>
        <w:spacing w:line="240" w:lineRule="auto"/>
        <w:rPr>
          <w:sz w:val="24"/>
          <w:szCs w:val="24"/>
        </w:rPr>
      </w:pPr>
      <w:r w:rsidRPr="00796917">
        <w:rPr>
          <w:b/>
          <w:bCs/>
          <w:sz w:val="24"/>
          <w:szCs w:val="24"/>
        </w:rPr>
        <w:t>Integrated medical record</w:t>
      </w:r>
      <w:r w:rsidR="00796917">
        <w:rPr>
          <w:b/>
          <w:bCs/>
          <w:sz w:val="24"/>
          <w:szCs w:val="24"/>
        </w:rPr>
        <w:t>:</w:t>
      </w:r>
      <w:r w:rsidR="00071296">
        <w:rPr>
          <w:sz w:val="24"/>
          <w:szCs w:val="24"/>
        </w:rPr>
        <w:t xml:space="preserve"> </w:t>
      </w:r>
      <w:r w:rsidR="001F0E7D">
        <w:rPr>
          <w:sz w:val="24"/>
          <w:szCs w:val="24"/>
        </w:rPr>
        <w:t>The Applicant states that p</w:t>
      </w:r>
      <w:r w:rsidR="007E5235" w:rsidRPr="001F0E7D">
        <w:rPr>
          <w:sz w:val="24"/>
          <w:szCs w:val="24"/>
        </w:rPr>
        <w:t xml:space="preserve">atients will receive all of their imaging services within one system ensuring continuity of care through the shared </w:t>
      </w:r>
      <w:r w:rsidR="00B22DA4">
        <w:rPr>
          <w:sz w:val="24"/>
          <w:szCs w:val="24"/>
        </w:rPr>
        <w:t xml:space="preserve">electronic health </w:t>
      </w:r>
      <w:r w:rsidR="007E5235" w:rsidRPr="001F0E7D">
        <w:rPr>
          <w:sz w:val="24"/>
          <w:szCs w:val="24"/>
        </w:rPr>
        <w:t>record</w:t>
      </w:r>
      <w:r w:rsidR="00B22DA4">
        <w:rPr>
          <w:sz w:val="24"/>
          <w:szCs w:val="24"/>
        </w:rPr>
        <w:t xml:space="preserve"> (EHR) </w:t>
      </w:r>
      <w:r w:rsidR="007E5235" w:rsidRPr="001F0E7D">
        <w:rPr>
          <w:sz w:val="24"/>
          <w:szCs w:val="24"/>
        </w:rPr>
        <w:t xml:space="preserve">system. </w:t>
      </w:r>
      <w:r w:rsidR="005D5693">
        <w:rPr>
          <w:sz w:val="24"/>
          <w:szCs w:val="24"/>
        </w:rPr>
        <w:t>This EHR support</w:t>
      </w:r>
      <w:r w:rsidR="005F435B">
        <w:rPr>
          <w:sz w:val="24"/>
          <w:szCs w:val="24"/>
        </w:rPr>
        <w:t>ed</w:t>
      </w:r>
      <w:r w:rsidR="005D5693">
        <w:rPr>
          <w:sz w:val="24"/>
          <w:szCs w:val="24"/>
        </w:rPr>
        <w:t xml:space="preserve"> continuity</w:t>
      </w:r>
      <w:r w:rsidR="00817442" w:rsidRPr="001F0E7D">
        <w:rPr>
          <w:sz w:val="24"/>
          <w:szCs w:val="24"/>
        </w:rPr>
        <w:t xml:space="preserve"> enabl</w:t>
      </w:r>
      <w:r w:rsidR="0035406E" w:rsidRPr="001F0E7D">
        <w:rPr>
          <w:sz w:val="24"/>
          <w:szCs w:val="24"/>
        </w:rPr>
        <w:t>e</w:t>
      </w:r>
      <w:r w:rsidR="005D5693">
        <w:rPr>
          <w:sz w:val="24"/>
          <w:szCs w:val="24"/>
        </w:rPr>
        <w:t>s</w:t>
      </w:r>
      <w:r w:rsidR="0035406E" w:rsidRPr="001F0E7D">
        <w:rPr>
          <w:sz w:val="24"/>
          <w:szCs w:val="24"/>
        </w:rPr>
        <w:t xml:space="preserve"> </w:t>
      </w:r>
      <w:r w:rsidR="00817442" w:rsidRPr="001F0E7D">
        <w:rPr>
          <w:sz w:val="24"/>
          <w:szCs w:val="24"/>
        </w:rPr>
        <w:t>imaging results to be available to primary and specialty physicians across the system and includes capabilities to facilitate clinical decision support, peer review, and monitoring.</w:t>
      </w:r>
    </w:p>
    <w:p w14:paraId="30507802" w14:textId="05B93A2F" w:rsidR="008D2804" w:rsidRPr="008D2804" w:rsidRDefault="00C45BC1" w:rsidP="002D6EBF">
      <w:pPr>
        <w:pStyle w:val="ListParagraph"/>
        <w:numPr>
          <w:ilvl w:val="0"/>
          <w:numId w:val="6"/>
        </w:numPr>
        <w:spacing w:line="240" w:lineRule="auto"/>
        <w:rPr>
          <w:sz w:val="24"/>
          <w:szCs w:val="24"/>
        </w:rPr>
      </w:pPr>
      <w:r w:rsidRPr="00796917">
        <w:rPr>
          <w:b/>
          <w:bCs/>
          <w:sz w:val="24"/>
          <w:szCs w:val="24"/>
        </w:rPr>
        <w:t xml:space="preserve">Care </w:t>
      </w:r>
      <w:r w:rsidR="00796917">
        <w:rPr>
          <w:b/>
          <w:bCs/>
          <w:sz w:val="24"/>
          <w:szCs w:val="24"/>
        </w:rPr>
        <w:t>c</w:t>
      </w:r>
      <w:r w:rsidR="00615C36" w:rsidRPr="00796917">
        <w:rPr>
          <w:b/>
          <w:bCs/>
          <w:sz w:val="24"/>
          <w:szCs w:val="24"/>
        </w:rPr>
        <w:t>oordination</w:t>
      </w:r>
      <w:r w:rsidR="00796917">
        <w:rPr>
          <w:b/>
          <w:bCs/>
          <w:sz w:val="24"/>
          <w:szCs w:val="24"/>
        </w:rPr>
        <w:t>:</w:t>
      </w:r>
      <w:r w:rsidR="008D2804">
        <w:rPr>
          <w:sz w:val="24"/>
          <w:szCs w:val="24"/>
        </w:rPr>
        <w:t xml:space="preserve"> </w:t>
      </w:r>
      <w:r w:rsidR="00964287" w:rsidRPr="008D2804">
        <w:rPr>
          <w:sz w:val="24"/>
          <w:szCs w:val="24"/>
        </w:rPr>
        <w:t>P</w:t>
      </w:r>
      <w:r w:rsidR="00615C36" w:rsidRPr="008D2804">
        <w:rPr>
          <w:sz w:val="24"/>
          <w:szCs w:val="24"/>
        </w:rPr>
        <w:t>atient</w:t>
      </w:r>
      <w:r w:rsidR="00964287" w:rsidRPr="008D2804">
        <w:rPr>
          <w:sz w:val="24"/>
          <w:szCs w:val="24"/>
        </w:rPr>
        <w:t xml:space="preserve"> transfers</w:t>
      </w:r>
      <w:r w:rsidR="00615C36" w:rsidRPr="008D2804">
        <w:rPr>
          <w:sz w:val="24"/>
          <w:szCs w:val="24"/>
        </w:rPr>
        <w:t xml:space="preserve"> from SSH to any other imaging location within SSHS</w:t>
      </w:r>
      <w:r w:rsidR="00964287" w:rsidRPr="008D2804">
        <w:rPr>
          <w:sz w:val="24"/>
          <w:szCs w:val="24"/>
        </w:rPr>
        <w:t xml:space="preserve"> for an MRI scan are coordinated by the </w:t>
      </w:r>
      <w:r w:rsidR="00CE1F28" w:rsidRPr="008D2804">
        <w:rPr>
          <w:sz w:val="24"/>
          <w:szCs w:val="24"/>
        </w:rPr>
        <w:t xml:space="preserve">SSHS </w:t>
      </w:r>
      <w:r w:rsidR="00964287" w:rsidRPr="008D2804">
        <w:rPr>
          <w:sz w:val="24"/>
          <w:szCs w:val="24"/>
        </w:rPr>
        <w:t>MRI department, the clinician taking care of the patient, and Emergency Medical Services (EMS)</w:t>
      </w:r>
      <w:r w:rsidR="00615C36" w:rsidRPr="008D2804">
        <w:rPr>
          <w:sz w:val="24"/>
          <w:szCs w:val="24"/>
        </w:rPr>
        <w:t xml:space="preserve">. The Applicant states that all imaging is stored electronically in SSH </w:t>
      </w:r>
      <w:r w:rsidR="00964287" w:rsidRPr="008D2804">
        <w:rPr>
          <w:sz w:val="24"/>
          <w:szCs w:val="24"/>
        </w:rPr>
        <w:t>picture archiving and communication system (</w:t>
      </w:r>
      <w:r w:rsidR="00615C36" w:rsidRPr="008D2804">
        <w:rPr>
          <w:sz w:val="24"/>
          <w:szCs w:val="24"/>
        </w:rPr>
        <w:t>PACS</w:t>
      </w:r>
      <w:r w:rsidR="00964287" w:rsidRPr="008D2804">
        <w:rPr>
          <w:sz w:val="24"/>
          <w:szCs w:val="24"/>
        </w:rPr>
        <w:t>)</w:t>
      </w:r>
      <w:r w:rsidR="00615C36" w:rsidRPr="008D2804">
        <w:rPr>
          <w:sz w:val="24"/>
          <w:szCs w:val="24"/>
        </w:rPr>
        <w:t xml:space="preserve"> and is accessible from the patient’s chart</w:t>
      </w:r>
      <w:r w:rsidR="00EF1EEB" w:rsidRPr="008D2804">
        <w:rPr>
          <w:sz w:val="24"/>
          <w:szCs w:val="24"/>
        </w:rPr>
        <w:t xml:space="preserve">. </w:t>
      </w:r>
      <w:r w:rsidR="008D2804" w:rsidRPr="008D2804">
        <w:rPr>
          <w:sz w:val="24"/>
          <w:szCs w:val="24"/>
        </w:rPr>
        <w:t>The Radiology Department and the clinician taking care of the patient coordinate patient referrals from SSH to a non-SSHS for facility for MR imaging and the transfer and receipt of imaging and reports. Images acquired at a facility outside of SSHS are obtained by SSHS via a CD containing the imaging result and the images and reports are uploaded into the patient’s SSHS chart.</w:t>
      </w:r>
      <w:r w:rsidR="008D2804">
        <w:rPr>
          <w:sz w:val="24"/>
          <w:szCs w:val="24"/>
        </w:rPr>
        <w:t xml:space="preserve"> </w:t>
      </w:r>
      <w:r w:rsidR="008D2804" w:rsidRPr="008D2804">
        <w:rPr>
          <w:sz w:val="24"/>
          <w:szCs w:val="24"/>
        </w:rPr>
        <w:t>SSHS has the ability to send images and reports electronically via CD to a facility outside of SSHS that needs prior imaging performed at SSHS for comparison purposes.</w:t>
      </w:r>
      <w:r w:rsidR="008D2804">
        <w:rPr>
          <w:sz w:val="24"/>
          <w:szCs w:val="24"/>
        </w:rPr>
        <w:t xml:space="preserve"> The Applicant notes that in some circumstances, inpatients are transported to an outside facility for imaging yet remain an admitted patient at SSH. The process is coordinated by the Radiology Department, the patient’s care team, and EMS, and the Radiology Department coordinates the receipt of all imaging performed by the outside facility. </w:t>
      </w:r>
    </w:p>
    <w:p w14:paraId="7D4120F0" w14:textId="4A3B5203" w:rsidR="0057038C" w:rsidRDefault="00817DBD" w:rsidP="002D6EBF">
      <w:pPr>
        <w:pStyle w:val="ListParagraph"/>
        <w:numPr>
          <w:ilvl w:val="0"/>
          <w:numId w:val="6"/>
        </w:numPr>
        <w:spacing w:line="240" w:lineRule="auto"/>
        <w:rPr>
          <w:sz w:val="24"/>
          <w:szCs w:val="24"/>
        </w:rPr>
      </w:pPr>
      <w:r w:rsidRPr="00796917">
        <w:rPr>
          <w:b/>
          <w:bCs/>
          <w:sz w:val="24"/>
          <w:szCs w:val="24"/>
        </w:rPr>
        <w:t>Case management</w:t>
      </w:r>
      <w:r w:rsidR="00796917">
        <w:rPr>
          <w:b/>
          <w:bCs/>
          <w:sz w:val="24"/>
          <w:szCs w:val="24"/>
        </w:rPr>
        <w:t>:</w:t>
      </w:r>
      <w:r w:rsidRPr="00817DBD">
        <w:rPr>
          <w:sz w:val="24"/>
          <w:szCs w:val="24"/>
        </w:rPr>
        <w:t xml:space="preserve"> The Applicant states that SSHS will promote continuity of care and improved health outcomes and quality of life through linking imaging patients with case management/social work to ensure patients have access to resources around SDoH issues. </w:t>
      </w:r>
      <w:r w:rsidR="00677D3B">
        <w:rPr>
          <w:sz w:val="24"/>
          <w:szCs w:val="24"/>
        </w:rPr>
        <w:t>Further, the Applicant asserts that</w:t>
      </w:r>
      <w:r w:rsidRPr="00817DBD">
        <w:rPr>
          <w:sz w:val="24"/>
          <w:szCs w:val="24"/>
        </w:rPr>
        <w:t xml:space="preserve"> facilitating provider and community linkages for the Patient Panel furthers care management and improved health outcomes for the Patient Panel.</w:t>
      </w:r>
    </w:p>
    <w:p w14:paraId="4131D6E8" w14:textId="456C23AD" w:rsidR="00F14142" w:rsidRDefault="00F14142" w:rsidP="00F14142">
      <w:pPr>
        <w:pStyle w:val="ListParagraph"/>
        <w:spacing w:line="240" w:lineRule="auto"/>
        <w:rPr>
          <w:i/>
          <w:iCs/>
          <w:sz w:val="24"/>
          <w:szCs w:val="24"/>
        </w:rPr>
      </w:pPr>
    </w:p>
    <w:p w14:paraId="60A18ADF" w14:textId="77777777" w:rsidR="00180B8F" w:rsidRDefault="00180B8F" w:rsidP="00F14142">
      <w:pPr>
        <w:pStyle w:val="ListParagraph"/>
        <w:spacing w:line="240" w:lineRule="auto"/>
        <w:rPr>
          <w:i/>
          <w:iCs/>
          <w:sz w:val="24"/>
          <w:szCs w:val="24"/>
        </w:rPr>
      </w:pPr>
    </w:p>
    <w:p w14:paraId="38ACFA0D" w14:textId="5D1B6140" w:rsidR="00637B0F" w:rsidRPr="00667357" w:rsidRDefault="000D172A" w:rsidP="00667357">
      <w:pPr>
        <w:spacing w:line="240" w:lineRule="auto"/>
        <w:rPr>
          <w:b/>
          <w:bCs/>
          <w:i/>
          <w:iCs/>
          <w:sz w:val="24"/>
          <w:szCs w:val="24"/>
        </w:rPr>
      </w:pPr>
      <w:r w:rsidRPr="00667357">
        <w:rPr>
          <w:b/>
          <w:bCs/>
          <w:i/>
          <w:iCs/>
          <w:sz w:val="24"/>
          <w:szCs w:val="24"/>
        </w:rPr>
        <w:t>Analysis</w:t>
      </w:r>
    </w:p>
    <w:p w14:paraId="59DD0EE2" w14:textId="0C45C414" w:rsidR="00541921" w:rsidRDefault="00FB750C" w:rsidP="00667357">
      <w:pPr>
        <w:spacing w:line="240" w:lineRule="auto"/>
        <w:rPr>
          <w:sz w:val="24"/>
          <w:szCs w:val="24"/>
        </w:rPr>
      </w:pPr>
      <w:r w:rsidRPr="00667357">
        <w:rPr>
          <w:sz w:val="24"/>
          <w:szCs w:val="24"/>
        </w:rPr>
        <w:t xml:space="preserve">Staff concurs that when </w:t>
      </w:r>
      <w:r w:rsidR="00541921" w:rsidRPr="00667357">
        <w:rPr>
          <w:sz w:val="24"/>
          <w:szCs w:val="24"/>
        </w:rPr>
        <w:t>MRI</w:t>
      </w:r>
      <w:r w:rsidRPr="00667357">
        <w:rPr>
          <w:sz w:val="24"/>
          <w:szCs w:val="24"/>
        </w:rPr>
        <w:t xml:space="preserve"> capacity is increased and the provision of </w:t>
      </w:r>
      <w:r w:rsidR="00541921" w:rsidRPr="00667357">
        <w:rPr>
          <w:sz w:val="24"/>
          <w:szCs w:val="24"/>
        </w:rPr>
        <w:t>MRI</w:t>
      </w:r>
      <w:r w:rsidRPr="00667357">
        <w:rPr>
          <w:sz w:val="24"/>
          <w:szCs w:val="24"/>
        </w:rPr>
        <w:t xml:space="preserve"> services is more efficient, delays in diagnosis and treatment can be reduced.</w:t>
      </w:r>
      <w:r w:rsidR="00541921" w:rsidRPr="00667357">
        <w:rPr>
          <w:rFonts w:ascii="Garamond" w:hAnsi="Garamond" w:cstheme="minorHAnsi"/>
          <w:bCs/>
          <w:sz w:val="24"/>
          <w:szCs w:val="24"/>
        </w:rPr>
        <w:t xml:space="preserve"> </w:t>
      </w:r>
      <w:r w:rsidR="00541921" w:rsidRPr="00667357">
        <w:rPr>
          <w:bCs/>
          <w:sz w:val="24"/>
          <w:szCs w:val="24"/>
        </w:rPr>
        <w:t>Studies show that integrated health information technology systems directly affect health outcomes, as access to a single, integrated health record improves care coordination, can</w:t>
      </w:r>
      <w:r w:rsidR="00541921" w:rsidRPr="00667357">
        <w:rPr>
          <w:sz w:val="24"/>
          <w:szCs w:val="24"/>
        </w:rPr>
        <w:t xml:space="preserve"> </w:t>
      </w:r>
      <w:r w:rsidR="00541921" w:rsidRPr="00667357">
        <w:rPr>
          <w:bCs/>
          <w:sz w:val="24"/>
          <w:szCs w:val="24"/>
        </w:rPr>
        <w:t>reduce errors, improve patient safety, and support better patient outcomes.</w:t>
      </w:r>
      <w:r w:rsidR="00541921" w:rsidRPr="00667357">
        <w:rPr>
          <w:sz w:val="24"/>
          <w:szCs w:val="24"/>
          <w:vertAlign w:val="superscript"/>
        </w:rPr>
        <w:endnoteReference w:id="17"/>
      </w:r>
      <w:r w:rsidR="00541921" w:rsidRPr="00667357">
        <w:rPr>
          <w:bCs/>
          <w:sz w:val="24"/>
          <w:szCs w:val="24"/>
        </w:rPr>
        <w:t xml:space="preserve"> </w:t>
      </w:r>
      <w:r w:rsidR="00541921" w:rsidRPr="00667357">
        <w:rPr>
          <w:sz w:val="24"/>
          <w:szCs w:val="24"/>
        </w:rPr>
        <w:t>Generally</w:t>
      </w:r>
      <w:r w:rsidR="00897F7A" w:rsidRPr="00667357">
        <w:rPr>
          <w:sz w:val="24"/>
          <w:szCs w:val="24"/>
        </w:rPr>
        <w:t>,</w:t>
      </w:r>
      <w:r w:rsidR="00541921" w:rsidRPr="00667357">
        <w:rPr>
          <w:sz w:val="24"/>
          <w:szCs w:val="24"/>
        </w:rPr>
        <w:t xml:space="preserve"> EHR systems enable imaging results and information to be available to primary care and specialty physicians across a system. </w:t>
      </w:r>
      <w:r w:rsidR="00274B04">
        <w:rPr>
          <w:sz w:val="24"/>
          <w:szCs w:val="24"/>
        </w:rPr>
        <w:t>Utilizat</w:t>
      </w:r>
      <w:r w:rsidR="005837BA">
        <w:rPr>
          <w:sz w:val="24"/>
          <w:szCs w:val="24"/>
        </w:rPr>
        <w:t>i</w:t>
      </w:r>
      <w:r w:rsidR="00274B04">
        <w:rPr>
          <w:sz w:val="24"/>
          <w:szCs w:val="24"/>
        </w:rPr>
        <w:t xml:space="preserve">on of an </w:t>
      </w:r>
      <w:r w:rsidR="00541921" w:rsidRPr="00667357">
        <w:rPr>
          <w:sz w:val="24"/>
          <w:szCs w:val="24"/>
        </w:rPr>
        <w:t xml:space="preserve">EHR tool saves time and resources by improving communications, care coordination and efficiencies among providers. </w:t>
      </w:r>
    </w:p>
    <w:p w14:paraId="141A95FD" w14:textId="63D0D5EE" w:rsidR="001E62BF" w:rsidRDefault="001E62BF" w:rsidP="007B5D5B">
      <w:pPr>
        <w:spacing w:after="0" w:line="240" w:lineRule="auto"/>
        <w:rPr>
          <w:b/>
          <w:bCs/>
          <w:sz w:val="28"/>
          <w:szCs w:val="28"/>
        </w:rPr>
      </w:pPr>
    </w:p>
    <w:p w14:paraId="407618B6" w14:textId="3428964B" w:rsidR="007B5D5B" w:rsidRDefault="007B5D5B" w:rsidP="007B5D5B">
      <w:pPr>
        <w:spacing w:after="0" w:line="240" w:lineRule="auto"/>
        <w:rPr>
          <w:b/>
          <w:bCs/>
          <w:sz w:val="28"/>
          <w:szCs w:val="28"/>
        </w:rPr>
      </w:pPr>
      <w:r w:rsidRPr="007B5D5B">
        <w:rPr>
          <w:b/>
          <w:bCs/>
          <w:sz w:val="28"/>
          <w:szCs w:val="28"/>
        </w:rPr>
        <w:t xml:space="preserve">Factor 1: d) Consultation </w:t>
      </w:r>
    </w:p>
    <w:p w14:paraId="6D50021A" w14:textId="0EF3F7CC" w:rsidR="007B5D5B" w:rsidRPr="007B5D5B" w:rsidRDefault="007B5D5B" w:rsidP="00667357">
      <w:pPr>
        <w:spacing w:after="0" w:line="240" w:lineRule="auto"/>
        <w:rPr>
          <w:sz w:val="24"/>
          <w:szCs w:val="24"/>
        </w:rPr>
      </w:pPr>
      <w:r w:rsidRPr="007B5D5B">
        <w:rPr>
          <w:sz w:val="24"/>
          <w:szCs w:val="24"/>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1C08D7BE" w14:textId="68950226" w:rsidR="00796917" w:rsidRDefault="00796917" w:rsidP="00D10C13">
      <w:pPr>
        <w:spacing w:after="0" w:line="240" w:lineRule="auto"/>
        <w:rPr>
          <w:b/>
          <w:bCs/>
          <w:sz w:val="28"/>
          <w:szCs w:val="28"/>
        </w:rPr>
      </w:pPr>
    </w:p>
    <w:p w14:paraId="2950A273" w14:textId="015459E2" w:rsidR="00D10C13" w:rsidRDefault="00D10C13" w:rsidP="00D10C13">
      <w:pPr>
        <w:spacing w:after="0" w:line="240" w:lineRule="auto"/>
      </w:pPr>
      <w:r w:rsidRPr="00D10C13">
        <w:rPr>
          <w:b/>
          <w:bCs/>
          <w:sz w:val="28"/>
          <w:szCs w:val="28"/>
        </w:rPr>
        <w:t xml:space="preserve">Factor 1: e) Evidence of Sound Community Engagement through the Patient Panel </w:t>
      </w:r>
    </w:p>
    <w:p w14:paraId="21C7E0B3" w14:textId="20EAACE5" w:rsidR="00D95F91" w:rsidRPr="0057038C" w:rsidRDefault="00D10C13" w:rsidP="00667357">
      <w:pPr>
        <w:spacing w:after="0" w:line="240" w:lineRule="auto"/>
        <w:rPr>
          <w:sz w:val="24"/>
          <w:szCs w:val="24"/>
        </w:rPr>
      </w:pPr>
      <w:r w:rsidRPr="0057038C">
        <w:rPr>
          <w:sz w:val="24"/>
          <w:szCs w:val="24"/>
        </w:rPr>
        <w:t>The Department’s Guideline</w:t>
      </w:r>
      <w:r w:rsidRPr="0057038C">
        <w:rPr>
          <w:rStyle w:val="FootnoteReference"/>
          <w:sz w:val="24"/>
          <w:szCs w:val="24"/>
        </w:rPr>
        <w:footnoteReference w:id="22"/>
      </w:r>
      <w:r w:rsidRPr="0057038C">
        <w:rPr>
          <w:sz w:val="24"/>
          <w:szCs w:val="24"/>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Pr="0057038C">
        <w:rPr>
          <w:rStyle w:val="FootnoteReference"/>
          <w:sz w:val="24"/>
          <w:szCs w:val="24"/>
        </w:rPr>
        <w:footnoteReference w:id="23"/>
      </w:r>
    </w:p>
    <w:p w14:paraId="11579EDE" w14:textId="2CE973E9" w:rsidR="00D95F91" w:rsidRDefault="00D10C13">
      <w:r>
        <w:t xml:space="preserve"> </w:t>
      </w:r>
    </w:p>
    <w:p w14:paraId="7F5E8844" w14:textId="33AC7D1D" w:rsidR="00D95F91" w:rsidRPr="00667357" w:rsidRDefault="00D10C13" w:rsidP="00667357">
      <w:pPr>
        <w:spacing w:line="240" w:lineRule="auto"/>
        <w:rPr>
          <w:sz w:val="24"/>
          <w:szCs w:val="24"/>
        </w:rPr>
      </w:pPr>
      <w:r w:rsidRPr="00667357">
        <w:rPr>
          <w:sz w:val="24"/>
          <w:szCs w:val="24"/>
        </w:rPr>
        <w:t>To ensure sound community engagement throughout the development of the Proposed Project, the Applicant took the following actions:</w:t>
      </w:r>
    </w:p>
    <w:p w14:paraId="164C7A9C" w14:textId="38693AEA" w:rsidR="00F834B1" w:rsidRPr="00667357" w:rsidRDefault="00D10C13" w:rsidP="002D6EBF">
      <w:pPr>
        <w:pStyle w:val="ListParagraph"/>
        <w:numPr>
          <w:ilvl w:val="0"/>
          <w:numId w:val="7"/>
        </w:numPr>
        <w:spacing w:line="240" w:lineRule="auto"/>
        <w:rPr>
          <w:sz w:val="24"/>
          <w:szCs w:val="24"/>
        </w:rPr>
      </w:pPr>
      <w:r w:rsidRPr="00667357">
        <w:rPr>
          <w:b/>
          <w:bCs/>
          <w:sz w:val="24"/>
          <w:szCs w:val="24"/>
        </w:rPr>
        <w:t xml:space="preserve">Presentation </w:t>
      </w:r>
      <w:r w:rsidR="00893623" w:rsidRPr="00667357">
        <w:rPr>
          <w:b/>
          <w:bCs/>
          <w:sz w:val="24"/>
          <w:szCs w:val="24"/>
        </w:rPr>
        <w:t>to</w:t>
      </w:r>
      <w:r w:rsidRPr="00667357">
        <w:rPr>
          <w:b/>
          <w:bCs/>
          <w:sz w:val="24"/>
          <w:szCs w:val="24"/>
        </w:rPr>
        <w:t xml:space="preserve"> </w:t>
      </w:r>
      <w:r w:rsidR="00893623" w:rsidRPr="00667357">
        <w:rPr>
          <w:b/>
          <w:bCs/>
          <w:sz w:val="24"/>
          <w:szCs w:val="24"/>
        </w:rPr>
        <w:t>S</w:t>
      </w:r>
      <w:r w:rsidR="003A5ED2">
        <w:rPr>
          <w:b/>
          <w:bCs/>
          <w:sz w:val="24"/>
          <w:szCs w:val="24"/>
        </w:rPr>
        <w:t>outh Shore Hospital</w:t>
      </w:r>
      <w:r w:rsidR="00893623" w:rsidRPr="00667357">
        <w:rPr>
          <w:b/>
          <w:bCs/>
          <w:sz w:val="24"/>
          <w:szCs w:val="24"/>
        </w:rPr>
        <w:t>’s</w:t>
      </w:r>
      <w:r w:rsidRPr="00667357">
        <w:rPr>
          <w:b/>
          <w:bCs/>
          <w:sz w:val="24"/>
          <w:szCs w:val="24"/>
        </w:rPr>
        <w:t xml:space="preserve"> Patient and Family’s Advisory</w:t>
      </w:r>
      <w:r w:rsidR="006D24CC">
        <w:rPr>
          <w:b/>
          <w:bCs/>
          <w:sz w:val="24"/>
          <w:szCs w:val="24"/>
        </w:rPr>
        <w:t xml:space="preserve"> </w:t>
      </w:r>
      <w:r w:rsidRPr="00667357">
        <w:rPr>
          <w:b/>
          <w:bCs/>
          <w:sz w:val="24"/>
          <w:szCs w:val="24"/>
        </w:rPr>
        <w:t>Council (PFAC) on June 25, 2020.</w:t>
      </w:r>
      <w:r w:rsidRPr="00667357">
        <w:rPr>
          <w:sz w:val="24"/>
          <w:szCs w:val="24"/>
        </w:rPr>
        <w:t xml:space="preserve"> Twenty members were in attendance including, 12 SSH staff and eight community members. The PFAC is comprised of</w:t>
      </w:r>
      <w:r w:rsidR="001B380A">
        <w:rPr>
          <w:sz w:val="24"/>
          <w:szCs w:val="24"/>
        </w:rPr>
        <w:t xml:space="preserve"> current and former SSHS</w:t>
      </w:r>
      <w:r w:rsidRPr="00667357">
        <w:rPr>
          <w:sz w:val="24"/>
          <w:szCs w:val="24"/>
        </w:rPr>
        <w:t xml:space="preserve"> patients, family members, comm</w:t>
      </w:r>
      <w:r w:rsidR="00733120" w:rsidRPr="00667357">
        <w:rPr>
          <w:sz w:val="24"/>
          <w:szCs w:val="24"/>
        </w:rPr>
        <w:t>it</w:t>
      </w:r>
      <w:r w:rsidRPr="00667357">
        <w:rPr>
          <w:sz w:val="24"/>
          <w:szCs w:val="24"/>
        </w:rPr>
        <w:t xml:space="preserve">ted volunteers, and SSH staff. The Applicant states the role of the PFAC is to “bring the voice of patients and families to SSH’s decision-making by creating </w:t>
      </w:r>
      <w:r w:rsidR="00C45D74">
        <w:rPr>
          <w:sz w:val="24"/>
          <w:szCs w:val="24"/>
        </w:rPr>
        <w:t xml:space="preserve">a </w:t>
      </w:r>
      <w:r w:rsidRPr="00667357">
        <w:rPr>
          <w:sz w:val="24"/>
          <w:szCs w:val="24"/>
        </w:rPr>
        <w:t xml:space="preserve">structured forum and process for SSH to learn from patients, families, and community members.” </w:t>
      </w:r>
      <w:r w:rsidR="00AD4834">
        <w:rPr>
          <w:sz w:val="24"/>
          <w:szCs w:val="24"/>
        </w:rPr>
        <w:t>T</w:t>
      </w:r>
      <w:r w:rsidR="001B380A">
        <w:rPr>
          <w:sz w:val="24"/>
          <w:szCs w:val="24"/>
        </w:rPr>
        <w:t>he PFAC has 10 community members and two organization members</w:t>
      </w:r>
      <w:r w:rsidR="00F403CF">
        <w:rPr>
          <w:sz w:val="24"/>
          <w:szCs w:val="24"/>
        </w:rPr>
        <w:t>. The Applicant states that the PFAC includes</w:t>
      </w:r>
      <w:r w:rsidR="001B380A">
        <w:rPr>
          <w:sz w:val="24"/>
          <w:szCs w:val="24"/>
        </w:rPr>
        <w:t xml:space="preserve"> six women and four men; 70% of community members are retired; 30% are employed; </w:t>
      </w:r>
      <w:r w:rsidR="00F403CF">
        <w:rPr>
          <w:sz w:val="24"/>
          <w:szCs w:val="24"/>
        </w:rPr>
        <w:t xml:space="preserve">and </w:t>
      </w:r>
      <w:r w:rsidR="001B380A">
        <w:rPr>
          <w:sz w:val="24"/>
          <w:szCs w:val="24"/>
        </w:rPr>
        <w:t xml:space="preserve">the </w:t>
      </w:r>
      <w:r w:rsidR="00F403CF">
        <w:rPr>
          <w:sz w:val="24"/>
          <w:szCs w:val="24"/>
        </w:rPr>
        <w:t>Council</w:t>
      </w:r>
      <w:r w:rsidR="001B380A">
        <w:rPr>
          <w:sz w:val="24"/>
          <w:szCs w:val="24"/>
        </w:rPr>
        <w:t xml:space="preserve"> is predominantly middle class, and Caucasian. </w:t>
      </w:r>
      <w:r w:rsidR="003C51D8" w:rsidRPr="00667357">
        <w:rPr>
          <w:sz w:val="24"/>
          <w:szCs w:val="24"/>
        </w:rPr>
        <w:t xml:space="preserve"> </w:t>
      </w:r>
      <w:r w:rsidRPr="00667357">
        <w:rPr>
          <w:sz w:val="24"/>
          <w:szCs w:val="24"/>
        </w:rPr>
        <w:t>A presentation providing an overview of the Proposed Project was made to the PFAC members</w:t>
      </w:r>
      <w:r w:rsidR="0095456A" w:rsidRPr="00667357">
        <w:rPr>
          <w:sz w:val="24"/>
          <w:szCs w:val="24"/>
        </w:rPr>
        <w:t>, the purpose and benefits of the Proposed Project were discussed,</w:t>
      </w:r>
      <w:r w:rsidRPr="00667357">
        <w:rPr>
          <w:sz w:val="24"/>
          <w:szCs w:val="24"/>
        </w:rPr>
        <w:t xml:space="preserve"> and feedback from PFAC was favorable. </w:t>
      </w:r>
    </w:p>
    <w:p w14:paraId="1390049D" w14:textId="0797C080" w:rsidR="0095456A" w:rsidRPr="00667357" w:rsidRDefault="00893623" w:rsidP="002D6EBF">
      <w:pPr>
        <w:pStyle w:val="ListParagraph"/>
        <w:numPr>
          <w:ilvl w:val="0"/>
          <w:numId w:val="7"/>
        </w:numPr>
        <w:spacing w:line="240" w:lineRule="auto"/>
        <w:rPr>
          <w:sz w:val="24"/>
          <w:szCs w:val="24"/>
        </w:rPr>
      </w:pPr>
      <w:r w:rsidRPr="00667357">
        <w:rPr>
          <w:b/>
          <w:bCs/>
          <w:sz w:val="24"/>
          <w:szCs w:val="24"/>
        </w:rPr>
        <w:t>Community Forum for Community Members on March 18, 2021.</w:t>
      </w:r>
      <w:r w:rsidRPr="00667357">
        <w:rPr>
          <w:sz w:val="24"/>
          <w:szCs w:val="24"/>
        </w:rPr>
        <w:t xml:space="preserve"> </w:t>
      </w:r>
      <w:r w:rsidR="005B40AA" w:rsidRPr="00667357">
        <w:rPr>
          <w:sz w:val="24"/>
          <w:szCs w:val="24"/>
        </w:rPr>
        <w:t>A community meeting was held using remote technology</w:t>
      </w:r>
      <w:r w:rsidR="00166844" w:rsidRPr="00667357">
        <w:rPr>
          <w:sz w:val="24"/>
          <w:szCs w:val="24"/>
        </w:rPr>
        <w:t>. Fifteen</w:t>
      </w:r>
      <w:r w:rsidR="005B40AA" w:rsidRPr="00667357">
        <w:rPr>
          <w:sz w:val="24"/>
          <w:szCs w:val="24"/>
        </w:rPr>
        <w:t xml:space="preserve"> people were in attendance, including 13 SSH staff and two community members. </w:t>
      </w:r>
      <w:r w:rsidR="009961E8" w:rsidRPr="00667357">
        <w:rPr>
          <w:sz w:val="24"/>
          <w:szCs w:val="24"/>
        </w:rPr>
        <w:t>SSH leadership presented</w:t>
      </w:r>
      <w:r w:rsidR="005B40AA" w:rsidRPr="00667357">
        <w:rPr>
          <w:sz w:val="24"/>
          <w:szCs w:val="24"/>
        </w:rPr>
        <w:t xml:space="preserve"> an overview of the Proposed Project</w:t>
      </w:r>
      <w:r w:rsidR="003149DA" w:rsidRPr="00667357">
        <w:rPr>
          <w:sz w:val="24"/>
          <w:szCs w:val="24"/>
        </w:rPr>
        <w:t>,</w:t>
      </w:r>
      <w:r w:rsidR="005B40AA" w:rsidRPr="00667357">
        <w:rPr>
          <w:sz w:val="24"/>
          <w:szCs w:val="24"/>
        </w:rPr>
        <w:t xml:space="preserve"> </w:t>
      </w:r>
      <w:r w:rsidR="003C51D8" w:rsidRPr="00667357">
        <w:rPr>
          <w:sz w:val="24"/>
          <w:szCs w:val="24"/>
        </w:rPr>
        <w:t xml:space="preserve">and </w:t>
      </w:r>
      <w:r w:rsidR="005B40AA" w:rsidRPr="00667357">
        <w:rPr>
          <w:sz w:val="24"/>
          <w:szCs w:val="24"/>
        </w:rPr>
        <w:t>the purpose and benefits of the Proposed Project were discussed</w:t>
      </w:r>
      <w:r w:rsidR="003C51D8" w:rsidRPr="00667357">
        <w:rPr>
          <w:sz w:val="24"/>
          <w:szCs w:val="24"/>
        </w:rPr>
        <w:t xml:space="preserve"> with those in attendance</w:t>
      </w:r>
      <w:r w:rsidR="005B40AA" w:rsidRPr="00667357">
        <w:rPr>
          <w:sz w:val="24"/>
          <w:szCs w:val="24"/>
        </w:rPr>
        <w:t>.</w:t>
      </w:r>
    </w:p>
    <w:p w14:paraId="605EF751" w14:textId="39063144" w:rsidR="00F90E09" w:rsidRPr="008D0B01" w:rsidRDefault="00023FEB" w:rsidP="00F90E09">
      <w:pPr>
        <w:spacing w:line="240" w:lineRule="auto"/>
        <w:rPr>
          <w:sz w:val="24"/>
          <w:szCs w:val="24"/>
        </w:rPr>
      </w:pPr>
      <w:r w:rsidRPr="00667357">
        <w:rPr>
          <w:sz w:val="24"/>
          <w:szCs w:val="24"/>
        </w:rPr>
        <w:t xml:space="preserve">The Applicant provided the slides that were presented at the meetings. </w:t>
      </w:r>
    </w:p>
    <w:p w14:paraId="48A1BA38" w14:textId="77777777" w:rsidR="00023FEB" w:rsidRPr="00667357" w:rsidRDefault="00023FEB" w:rsidP="00667357">
      <w:pPr>
        <w:spacing w:after="0" w:line="240" w:lineRule="auto"/>
        <w:rPr>
          <w:b/>
          <w:bCs/>
          <w:i/>
          <w:iCs/>
          <w:sz w:val="24"/>
          <w:szCs w:val="24"/>
        </w:rPr>
      </w:pPr>
      <w:r w:rsidRPr="00667357">
        <w:rPr>
          <w:b/>
          <w:bCs/>
          <w:i/>
          <w:iCs/>
          <w:sz w:val="24"/>
          <w:szCs w:val="24"/>
        </w:rPr>
        <w:t xml:space="preserve">Analysis </w:t>
      </w:r>
    </w:p>
    <w:p w14:paraId="24B38CC1" w14:textId="5C9E86AE" w:rsidR="00D95F91" w:rsidRPr="00667357" w:rsidRDefault="00023FEB" w:rsidP="00667357">
      <w:pPr>
        <w:spacing w:after="0" w:line="240" w:lineRule="auto"/>
        <w:rPr>
          <w:sz w:val="24"/>
          <w:szCs w:val="24"/>
        </w:rPr>
      </w:pPr>
      <w:r w:rsidRPr="00667357">
        <w:rPr>
          <w:sz w:val="24"/>
          <w:szCs w:val="24"/>
        </w:rPr>
        <w:t>Staff finds that the Applicant met the minimum required community engagement standard of Consult in the planning phase of the Proposed Project.</w:t>
      </w:r>
    </w:p>
    <w:p w14:paraId="1D60F15C" w14:textId="77777777" w:rsidR="00573EE7" w:rsidRDefault="00573EE7"/>
    <w:p w14:paraId="74C8B9F8" w14:textId="655D44B7" w:rsidR="00D95F91" w:rsidRPr="007506F8" w:rsidRDefault="007506F8">
      <w:pPr>
        <w:rPr>
          <w:b/>
          <w:bCs/>
          <w:sz w:val="28"/>
          <w:szCs w:val="28"/>
        </w:rPr>
      </w:pPr>
      <w:r w:rsidRPr="007506F8">
        <w:rPr>
          <w:b/>
          <w:bCs/>
          <w:sz w:val="28"/>
          <w:szCs w:val="28"/>
        </w:rPr>
        <w:t>Factor 1: f) Competition On Price, Total Medical Expenses (TME), Costs And Other Measures Of Health Care Spending</w:t>
      </w:r>
    </w:p>
    <w:p w14:paraId="11A058DC" w14:textId="30D62322" w:rsidR="00DE2EC2" w:rsidRPr="00667357" w:rsidRDefault="00DE2EC2" w:rsidP="00667357">
      <w:pPr>
        <w:spacing w:after="0" w:line="240" w:lineRule="auto"/>
        <w:rPr>
          <w:sz w:val="24"/>
          <w:szCs w:val="24"/>
        </w:rPr>
      </w:pPr>
      <w:r w:rsidRPr="00667357">
        <w:rPr>
          <w:sz w:val="24"/>
          <w:szCs w:val="24"/>
        </w:rPr>
        <w:t>The Applicant asserts that the Proposed Project will expand access to services at SSH without a net increase in TME because the addition of a second MRI unit at SSH will</w:t>
      </w:r>
      <w:r w:rsidR="00FA17DD">
        <w:rPr>
          <w:sz w:val="24"/>
          <w:szCs w:val="24"/>
        </w:rPr>
        <w:t>:</w:t>
      </w:r>
      <w:r w:rsidRPr="00667357">
        <w:rPr>
          <w:sz w:val="24"/>
          <w:szCs w:val="24"/>
        </w:rPr>
        <w:t xml:space="preserve"> </w:t>
      </w:r>
    </w:p>
    <w:p w14:paraId="552C7E0A" w14:textId="5BD9E800" w:rsidR="00DE2EC2" w:rsidRPr="00667357" w:rsidRDefault="00DE2EC2" w:rsidP="002D6EBF">
      <w:pPr>
        <w:pStyle w:val="ListParagraph"/>
        <w:numPr>
          <w:ilvl w:val="0"/>
          <w:numId w:val="18"/>
        </w:numPr>
        <w:spacing w:after="0" w:line="240" w:lineRule="auto"/>
        <w:rPr>
          <w:sz w:val="24"/>
          <w:szCs w:val="24"/>
        </w:rPr>
      </w:pPr>
      <w:r w:rsidRPr="00667357">
        <w:rPr>
          <w:sz w:val="24"/>
          <w:szCs w:val="24"/>
        </w:rPr>
        <w:t>Reduce overall wait times</w:t>
      </w:r>
      <w:r w:rsidR="00060651" w:rsidRPr="00667357">
        <w:rPr>
          <w:sz w:val="24"/>
          <w:szCs w:val="24"/>
        </w:rPr>
        <w:t xml:space="preserve">. </w:t>
      </w:r>
      <w:r w:rsidR="001B40B0">
        <w:rPr>
          <w:sz w:val="24"/>
          <w:szCs w:val="24"/>
        </w:rPr>
        <w:t>As mentioned above in Factor 1a Patient Panel need, a</w:t>
      </w:r>
      <w:r w:rsidR="00060651" w:rsidRPr="00667357">
        <w:rPr>
          <w:sz w:val="24"/>
          <w:szCs w:val="24"/>
        </w:rPr>
        <w:t xml:space="preserve">verage wait time </w:t>
      </w:r>
      <w:r w:rsidR="0057038C">
        <w:rPr>
          <w:sz w:val="24"/>
          <w:szCs w:val="24"/>
        </w:rPr>
        <w:t>is</w:t>
      </w:r>
      <w:r w:rsidR="00060651" w:rsidRPr="00667357">
        <w:rPr>
          <w:sz w:val="24"/>
          <w:szCs w:val="24"/>
        </w:rPr>
        <w:t xml:space="preserve"> 24 hours</w:t>
      </w:r>
      <w:r w:rsidR="00A20590">
        <w:rPr>
          <w:sz w:val="24"/>
          <w:szCs w:val="24"/>
        </w:rPr>
        <w:t xml:space="preserve"> for inpatients</w:t>
      </w:r>
      <w:r w:rsidR="00060651" w:rsidRPr="00667357">
        <w:rPr>
          <w:sz w:val="24"/>
          <w:szCs w:val="24"/>
        </w:rPr>
        <w:t xml:space="preserve">, and delayed imaging can increase length of stay of inpatient admissions, which increases cost of care. </w:t>
      </w:r>
    </w:p>
    <w:p w14:paraId="0BB2120C" w14:textId="48893188" w:rsidR="00A50A49" w:rsidRDefault="00DE2EC2" w:rsidP="002D6EBF">
      <w:pPr>
        <w:pStyle w:val="ListParagraph"/>
        <w:numPr>
          <w:ilvl w:val="0"/>
          <w:numId w:val="18"/>
        </w:numPr>
        <w:spacing w:after="0" w:line="240" w:lineRule="auto"/>
        <w:rPr>
          <w:sz w:val="24"/>
          <w:szCs w:val="24"/>
        </w:rPr>
      </w:pPr>
      <w:r w:rsidRPr="00667357">
        <w:rPr>
          <w:sz w:val="24"/>
          <w:szCs w:val="24"/>
        </w:rPr>
        <w:t>Reduce patient transfers to off campus MRI units</w:t>
      </w:r>
      <w:r w:rsidR="00060651" w:rsidRPr="00667357">
        <w:rPr>
          <w:sz w:val="24"/>
          <w:szCs w:val="24"/>
        </w:rPr>
        <w:t>. Patient transport to receive imaging increases the cost of care</w:t>
      </w:r>
      <w:r w:rsidR="004E19F0" w:rsidRPr="00667357">
        <w:rPr>
          <w:sz w:val="24"/>
          <w:szCs w:val="24"/>
        </w:rPr>
        <w:t xml:space="preserve">. </w:t>
      </w:r>
      <w:r w:rsidR="004E19F0" w:rsidRPr="006D24CC">
        <w:rPr>
          <w:sz w:val="24"/>
          <w:szCs w:val="24"/>
        </w:rPr>
        <w:t xml:space="preserve">The Applicant states that </w:t>
      </w:r>
      <w:r w:rsidR="00DB5202" w:rsidRPr="006D24CC">
        <w:rPr>
          <w:sz w:val="24"/>
          <w:szCs w:val="24"/>
        </w:rPr>
        <w:t>during CY20</w:t>
      </w:r>
      <w:r w:rsidR="006D24CC" w:rsidRPr="006D24CC">
        <w:rPr>
          <w:sz w:val="24"/>
          <w:szCs w:val="24"/>
        </w:rPr>
        <w:t>,</w:t>
      </w:r>
      <w:r w:rsidR="00DB5202" w:rsidRPr="006D24CC">
        <w:rPr>
          <w:sz w:val="24"/>
          <w:szCs w:val="24"/>
        </w:rPr>
        <w:t xml:space="preserve"> SSHS transferred 190 patients to </w:t>
      </w:r>
      <w:r w:rsidR="00274B04">
        <w:rPr>
          <w:sz w:val="24"/>
          <w:szCs w:val="24"/>
        </w:rPr>
        <w:t xml:space="preserve">alternate </w:t>
      </w:r>
      <w:r w:rsidR="00DB5202" w:rsidRPr="006D24CC">
        <w:rPr>
          <w:sz w:val="24"/>
          <w:szCs w:val="24"/>
        </w:rPr>
        <w:t>SSHS imaging facilities at a cost of $350 per trip. T</w:t>
      </w:r>
      <w:r w:rsidR="004E19F0" w:rsidRPr="006D24CC">
        <w:rPr>
          <w:sz w:val="24"/>
          <w:szCs w:val="24"/>
        </w:rPr>
        <w:t xml:space="preserve">otal costs incurred </w:t>
      </w:r>
      <w:r w:rsidR="00DB5202" w:rsidRPr="006D24CC">
        <w:rPr>
          <w:sz w:val="24"/>
          <w:szCs w:val="24"/>
        </w:rPr>
        <w:t>for transfers in FY20 was</w:t>
      </w:r>
      <w:r w:rsidR="004E19F0" w:rsidRPr="006D24CC">
        <w:rPr>
          <w:sz w:val="24"/>
          <w:szCs w:val="24"/>
        </w:rPr>
        <w:t xml:space="preserve"> </w:t>
      </w:r>
      <w:r w:rsidR="00DB5202" w:rsidRPr="006D24CC">
        <w:rPr>
          <w:sz w:val="24"/>
          <w:szCs w:val="24"/>
        </w:rPr>
        <w:t>$66,500</w:t>
      </w:r>
      <w:r w:rsidR="004E19F0" w:rsidRPr="006D24CC">
        <w:rPr>
          <w:sz w:val="24"/>
          <w:szCs w:val="24"/>
        </w:rPr>
        <w:t>.</w:t>
      </w:r>
    </w:p>
    <w:p w14:paraId="00042B7A" w14:textId="77777777" w:rsidR="002E20B0" w:rsidRDefault="002E20B0" w:rsidP="002E20B0">
      <w:pPr>
        <w:spacing w:after="0" w:line="240" w:lineRule="auto"/>
        <w:rPr>
          <w:sz w:val="24"/>
          <w:szCs w:val="24"/>
        </w:rPr>
      </w:pPr>
    </w:p>
    <w:p w14:paraId="4544024C" w14:textId="523DF7E9" w:rsidR="00060651" w:rsidRPr="002E20B0" w:rsidRDefault="002E20B0" w:rsidP="002E20B0">
      <w:pPr>
        <w:spacing w:after="0" w:line="240" w:lineRule="auto"/>
        <w:rPr>
          <w:sz w:val="24"/>
          <w:szCs w:val="24"/>
        </w:rPr>
      </w:pPr>
      <w:r>
        <w:rPr>
          <w:sz w:val="24"/>
          <w:szCs w:val="24"/>
        </w:rPr>
        <w:t xml:space="preserve">The Applicant states </w:t>
      </w:r>
      <w:r w:rsidR="006D24CC">
        <w:rPr>
          <w:sz w:val="24"/>
          <w:szCs w:val="24"/>
        </w:rPr>
        <w:t xml:space="preserve">also </w:t>
      </w:r>
      <w:r>
        <w:rPr>
          <w:sz w:val="24"/>
          <w:szCs w:val="24"/>
        </w:rPr>
        <w:t xml:space="preserve">that </w:t>
      </w:r>
      <w:r w:rsidR="004E19F0" w:rsidRPr="002E20B0">
        <w:rPr>
          <w:sz w:val="24"/>
          <w:szCs w:val="24"/>
        </w:rPr>
        <w:t>MRI services are not reimbursed differently depending on machine strength</w:t>
      </w:r>
      <w:r w:rsidR="0057038C" w:rsidRPr="002E20B0">
        <w:rPr>
          <w:sz w:val="24"/>
          <w:szCs w:val="24"/>
        </w:rPr>
        <w:t xml:space="preserve">: </w:t>
      </w:r>
      <w:r w:rsidR="00060651" w:rsidRPr="002E20B0">
        <w:rPr>
          <w:sz w:val="24"/>
          <w:szCs w:val="24"/>
        </w:rPr>
        <w:t xml:space="preserve">1.5 and 3T MRI are reimbursed the same and so reimbursement rates will not change </w:t>
      </w:r>
      <w:r w:rsidR="00274B04" w:rsidRPr="002E20B0">
        <w:rPr>
          <w:sz w:val="24"/>
          <w:szCs w:val="24"/>
        </w:rPr>
        <w:t>because of</w:t>
      </w:r>
      <w:r w:rsidR="00060651" w:rsidRPr="002E20B0">
        <w:rPr>
          <w:sz w:val="24"/>
          <w:szCs w:val="24"/>
        </w:rPr>
        <w:t xml:space="preserve"> the Proposed Project. </w:t>
      </w:r>
    </w:p>
    <w:p w14:paraId="73D2667A" w14:textId="496AFB99" w:rsidR="00601352" w:rsidRDefault="00601352" w:rsidP="00667357">
      <w:pPr>
        <w:spacing w:after="0" w:line="240" w:lineRule="auto"/>
        <w:ind w:left="720"/>
        <w:rPr>
          <w:sz w:val="24"/>
          <w:szCs w:val="24"/>
        </w:rPr>
      </w:pPr>
    </w:p>
    <w:p w14:paraId="6028EE91" w14:textId="194B0DFD" w:rsidR="00317CEB" w:rsidRPr="00667357" w:rsidRDefault="00317CEB" w:rsidP="00667357">
      <w:pPr>
        <w:spacing w:after="0" w:line="240" w:lineRule="auto"/>
        <w:rPr>
          <w:b/>
          <w:bCs/>
          <w:i/>
          <w:iCs/>
          <w:sz w:val="24"/>
          <w:szCs w:val="24"/>
        </w:rPr>
      </w:pPr>
      <w:r w:rsidRPr="00667357">
        <w:rPr>
          <w:b/>
          <w:bCs/>
          <w:i/>
          <w:iCs/>
          <w:sz w:val="24"/>
          <w:szCs w:val="24"/>
        </w:rPr>
        <w:t>Analysis</w:t>
      </w:r>
    </w:p>
    <w:p w14:paraId="46C10EC3" w14:textId="307B7BC2" w:rsidR="006524DB" w:rsidRDefault="000A1D7F" w:rsidP="006524DB">
      <w:pPr>
        <w:spacing w:line="240" w:lineRule="auto"/>
        <w:rPr>
          <w:rFonts w:cstheme="minorHAnsi"/>
          <w:bCs/>
          <w:sz w:val="24"/>
          <w:szCs w:val="24"/>
        </w:rPr>
      </w:pPr>
      <w:r w:rsidRPr="00BB4006">
        <w:rPr>
          <w:rFonts w:cstheme="minorHAnsi"/>
          <w:bCs/>
          <w:sz w:val="24"/>
          <w:szCs w:val="24"/>
        </w:rPr>
        <w:t>It has been documented that improving access to timely care is likely to reduce healthcare utilization and spending.</w:t>
      </w:r>
      <w:r w:rsidRPr="00BB4006">
        <w:rPr>
          <w:rStyle w:val="EndnoteReference"/>
          <w:rFonts w:cstheme="minorHAnsi"/>
          <w:bCs/>
          <w:sz w:val="24"/>
          <w:szCs w:val="24"/>
        </w:rPr>
        <w:endnoteReference w:id="18"/>
      </w:r>
      <w:r w:rsidR="004039A7">
        <w:rPr>
          <w:rFonts w:cstheme="minorHAnsi"/>
          <w:bCs/>
          <w:sz w:val="24"/>
          <w:szCs w:val="24"/>
        </w:rPr>
        <w:t xml:space="preserve"> The Applicant has demonstrated how increasing access to MRI services for the Patient Panel will reduce patient transfers and associated costs, with little material impact on healthcare spending. </w:t>
      </w:r>
      <w:r w:rsidR="00731EAD">
        <w:rPr>
          <w:rFonts w:cstheme="minorHAnsi"/>
          <w:bCs/>
          <w:sz w:val="24"/>
          <w:szCs w:val="24"/>
        </w:rPr>
        <w:t xml:space="preserve">Additionally, the Applicant has described how existing </w:t>
      </w:r>
      <w:r w:rsidR="00AE2F2C">
        <w:rPr>
          <w:rFonts w:cstheme="minorHAnsi"/>
          <w:bCs/>
          <w:sz w:val="24"/>
          <w:szCs w:val="24"/>
        </w:rPr>
        <w:t>clinical decision support (</w:t>
      </w:r>
      <w:r w:rsidR="00731EAD">
        <w:rPr>
          <w:rFonts w:cstheme="minorHAnsi"/>
          <w:bCs/>
          <w:sz w:val="24"/>
          <w:szCs w:val="24"/>
        </w:rPr>
        <w:t>CDS</w:t>
      </w:r>
      <w:r w:rsidR="00AE2F2C">
        <w:rPr>
          <w:rFonts w:cstheme="minorHAnsi"/>
          <w:bCs/>
          <w:sz w:val="24"/>
          <w:szCs w:val="24"/>
        </w:rPr>
        <w:t>)</w:t>
      </w:r>
      <w:r w:rsidR="00731EAD">
        <w:rPr>
          <w:rFonts w:cstheme="minorHAnsi"/>
          <w:bCs/>
          <w:sz w:val="24"/>
          <w:szCs w:val="24"/>
        </w:rPr>
        <w:t xml:space="preserve"> tools in place will be applied to the Proposed Project to support appropriate use of imaging and minimize overuse.</w:t>
      </w:r>
      <w:r w:rsidR="006524DB">
        <w:rPr>
          <w:rFonts w:cstheme="minorHAnsi"/>
          <w:bCs/>
          <w:sz w:val="24"/>
          <w:szCs w:val="24"/>
        </w:rPr>
        <w:t xml:space="preserve"> </w:t>
      </w:r>
    </w:p>
    <w:p w14:paraId="57775E59" w14:textId="77777777" w:rsidR="000D1EAC" w:rsidRPr="006524DB" w:rsidRDefault="000D1EAC" w:rsidP="006524DB">
      <w:pPr>
        <w:spacing w:line="240" w:lineRule="auto"/>
        <w:rPr>
          <w:rFonts w:cstheme="minorHAnsi"/>
          <w:bCs/>
          <w:sz w:val="24"/>
          <w:szCs w:val="24"/>
        </w:rPr>
      </w:pPr>
    </w:p>
    <w:p w14:paraId="11A556C2" w14:textId="4B781E15" w:rsidR="00441CF7" w:rsidRDefault="00441CF7" w:rsidP="000D1EAC">
      <w:pPr>
        <w:spacing w:line="240" w:lineRule="auto"/>
      </w:pPr>
      <w:r w:rsidRPr="00441CF7">
        <w:rPr>
          <w:b/>
          <w:bCs/>
          <w:sz w:val="28"/>
          <w:szCs w:val="28"/>
        </w:rPr>
        <w:t xml:space="preserve">Proposed </w:t>
      </w:r>
      <w:r w:rsidR="00A5347C">
        <w:rPr>
          <w:b/>
          <w:bCs/>
          <w:sz w:val="28"/>
          <w:szCs w:val="28"/>
        </w:rPr>
        <w:t xml:space="preserve">Reporting </w:t>
      </w:r>
      <w:r w:rsidRPr="00441CF7">
        <w:rPr>
          <w:b/>
          <w:bCs/>
          <w:sz w:val="28"/>
          <w:szCs w:val="28"/>
        </w:rPr>
        <w:t>Measures for FACTOR 1</w:t>
      </w:r>
      <w:r w:rsidRPr="00441CF7">
        <w:t xml:space="preserve"> </w:t>
      </w:r>
    </w:p>
    <w:p w14:paraId="7950AE1B" w14:textId="3E17EE6C" w:rsidR="00441CF7" w:rsidRPr="00667357" w:rsidRDefault="00441CF7" w:rsidP="00667357">
      <w:pPr>
        <w:spacing w:after="0" w:line="240" w:lineRule="auto"/>
        <w:rPr>
          <w:sz w:val="24"/>
          <w:szCs w:val="24"/>
        </w:rPr>
      </w:pPr>
      <w:r w:rsidRPr="00667357">
        <w:rPr>
          <w:sz w:val="24"/>
          <w:szCs w:val="24"/>
        </w:rPr>
        <w:t>As a result of information provided by the Applicant and additional analysis, staff finds that the Applicant has demonstrated that the Proposed Project has met Factor 1(a-f). The Applicant proposed specific outcome and process measures to track the impact of the Proposed Project which staff has reviewed</w:t>
      </w:r>
      <w:r w:rsidR="007351EA" w:rsidRPr="00667357">
        <w:rPr>
          <w:sz w:val="24"/>
          <w:szCs w:val="24"/>
        </w:rPr>
        <w:t>, and which will become a part of the reporting requirements</w:t>
      </w:r>
      <w:r w:rsidR="00D10111">
        <w:rPr>
          <w:sz w:val="24"/>
          <w:szCs w:val="24"/>
        </w:rPr>
        <w:t>, in addition to the measures suggested above by staff</w:t>
      </w:r>
      <w:r w:rsidR="007C0674">
        <w:rPr>
          <w:sz w:val="24"/>
          <w:szCs w:val="24"/>
        </w:rPr>
        <w:t>.</w:t>
      </w:r>
      <w:r w:rsidR="00D10111">
        <w:rPr>
          <w:sz w:val="24"/>
          <w:szCs w:val="24"/>
        </w:rPr>
        <w:t xml:space="preserve"> </w:t>
      </w:r>
      <w:r w:rsidR="004A2D5E">
        <w:rPr>
          <w:sz w:val="24"/>
          <w:szCs w:val="24"/>
        </w:rPr>
        <w:t xml:space="preserve">The measures are </w:t>
      </w:r>
      <w:r w:rsidR="0037738F">
        <w:rPr>
          <w:sz w:val="24"/>
          <w:szCs w:val="24"/>
        </w:rPr>
        <w:t>described</w:t>
      </w:r>
      <w:r w:rsidR="004A2D5E">
        <w:rPr>
          <w:sz w:val="24"/>
          <w:szCs w:val="24"/>
        </w:rPr>
        <w:t xml:space="preserve"> below in  Appendix</w:t>
      </w:r>
      <w:r w:rsidR="00EC40B4">
        <w:rPr>
          <w:sz w:val="24"/>
          <w:szCs w:val="24"/>
        </w:rPr>
        <w:t xml:space="preserve"> 1</w:t>
      </w:r>
      <w:r w:rsidR="004A2D5E">
        <w:rPr>
          <w:sz w:val="24"/>
          <w:szCs w:val="24"/>
        </w:rPr>
        <w:t xml:space="preserve">. </w:t>
      </w:r>
      <w:r w:rsidR="00665942">
        <w:rPr>
          <w:sz w:val="24"/>
          <w:szCs w:val="24"/>
        </w:rPr>
        <w:t xml:space="preserve">Reporting </w:t>
      </w:r>
      <w:r w:rsidR="00A5347C">
        <w:rPr>
          <w:sz w:val="24"/>
          <w:szCs w:val="24"/>
        </w:rPr>
        <w:t xml:space="preserve">must </w:t>
      </w:r>
      <w:r w:rsidR="00665942">
        <w:rPr>
          <w:sz w:val="24"/>
          <w:szCs w:val="24"/>
        </w:rPr>
        <w:t>include a description of numerator</w:t>
      </w:r>
      <w:r w:rsidR="00F73994">
        <w:rPr>
          <w:sz w:val="24"/>
          <w:szCs w:val="24"/>
        </w:rPr>
        <w:t>s</w:t>
      </w:r>
      <w:r w:rsidR="00665942">
        <w:rPr>
          <w:sz w:val="24"/>
          <w:szCs w:val="24"/>
        </w:rPr>
        <w:t xml:space="preserve"> and denominators, where applicable</w:t>
      </w:r>
      <w:r w:rsidR="00B502AA">
        <w:rPr>
          <w:sz w:val="24"/>
          <w:szCs w:val="24"/>
        </w:rPr>
        <w:t xml:space="preserve">. </w:t>
      </w:r>
    </w:p>
    <w:p w14:paraId="426A4EAC" w14:textId="77777777" w:rsidR="005D7A1A" w:rsidRDefault="005D7A1A"/>
    <w:p w14:paraId="7B0FA7B4" w14:textId="0312EEEE" w:rsidR="00DD2114" w:rsidRPr="00DD2114" w:rsidRDefault="00DD2114">
      <w:pPr>
        <w:rPr>
          <w:b/>
          <w:bCs/>
          <w:sz w:val="28"/>
          <w:szCs w:val="28"/>
        </w:rPr>
      </w:pPr>
      <w:r w:rsidRPr="00DD2114">
        <w:rPr>
          <w:b/>
          <w:bCs/>
          <w:sz w:val="28"/>
          <w:szCs w:val="28"/>
        </w:rPr>
        <w:t xml:space="preserve">Factor 2: Cost containment, Improved Public Health Outcomes and Delivery System Transformation </w:t>
      </w:r>
    </w:p>
    <w:p w14:paraId="0A67B09C" w14:textId="2E3726C4" w:rsidR="00D95F91" w:rsidRPr="005F07C5" w:rsidRDefault="00BE75D7" w:rsidP="005F07C5">
      <w:pPr>
        <w:spacing w:line="240" w:lineRule="auto"/>
        <w:rPr>
          <w:b/>
          <w:bCs/>
          <w:sz w:val="24"/>
          <w:szCs w:val="24"/>
        </w:rPr>
      </w:pPr>
      <w:r w:rsidRPr="005F07C5">
        <w:rPr>
          <w:b/>
          <w:bCs/>
          <w:sz w:val="24"/>
          <w:szCs w:val="24"/>
        </w:rPr>
        <w:t>Cost Containment</w:t>
      </w:r>
    </w:p>
    <w:p w14:paraId="0810BA6A" w14:textId="77777777" w:rsidR="00321282" w:rsidRDefault="00AB27CF" w:rsidP="001B189B">
      <w:pPr>
        <w:spacing w:after="0" w:line="240" w:lineRule="auto"/>
        <w:rPr>
          <w:sz w:val="24"/>
          <w:szCs w:val="24"/>
        </w:rPr>
      </w:pPr>
      <w:r w:rsidRPr="00AB27CF">
        <w:rPr>
          <w:sz w:val="24"/>
          <w:szCs w:val="24"/>
        </w:rPr>
        <w:t xml:space="preserve">The Applicant discussed how the Proposed Project will align with the Commonwealth’s goal for cost containment, as well as contribute to improved public health outcomes. As discussed above, the addition of an MRI unit will </w:t>
      </w:r>
      <w:r w:rsidRPr="001B189B">
        <w:rPr>
          <w:sz w:val="24"/>
          <w:szCs w:val="24"/>
        </w:rPr>
        <w:t xml:space="preserve">reduce delays and inefficiencies in the provision of MRI services </w:t>
      </w:r>
      <w:r w:rsidR="006D24CC" w:rsidRPr="001B189B">
        <w:rPr>
          <w:sz w:val="24"/>
          <w:szCs w:val="24"/>
        </w:rPr>
        <w:t>that</w:t>
      </w:r>
      <w:r w:rsidRPr="001B189B">
        <w:rPr>
          <w:sz w:val="24"/>
          <w:szCs w:val="24"/>
        </w:rPr>
        <w:t xml:space="preserve"> can lead to higher healthcare costs</w:t>
      </w:r>
      <w:r w:rsidR="00321282">
        <w:rPr>
          <w:sz w:val="24"/>
          <w:szCs w:val="24"/>
        </w:rPr>
        <w:t>, including</w:t>
      </w:r>
      <w:r w:rsidRPr="001B189B">
        <w:rPr>
          <w:sz w:val="24"/>
          <w:szCs w:val="24"/>
        </w:rPr>
        <w:t xml:space="preserve"> </w:t>
      </w:r>
    </w:p>
    <w:p w14:paraId="00F50B64" w14:textId="2D583F5A" w:rsidR="00321282" w:rsidRDefault="00321282" w:rsidP="00321282">
      <w:pPr>
        <w:pStyle w:val="ListParagraph"/>
        <w:numPr>
          <w:ilvl w:val="0"/>
          <w:numId w:val="21"/>
        </w:numPr>
        <w:spacing w:after="0" w:line="240" w:lineRule="auto"/>
        <w:rPr>
          <w:sz w:val="24"/>
          <w:szCs w:val="24"/>
        </w:rPr>
      </w:pPr>
      <w:r w:rsidRPr="00321282">
        <w:rPr>
          <w:sz w:val="24"/>
          <w:szCs w:val="24"/>
        </w:rPr>
        <w:t>C</w:t>
      </w:r>
      <w:r w:rsidR="008E3F68" w:rsidRPr="00321282">
        <w:rPr>
          <w:sz w:val="24"/>
          <w:szCs w:val="24"/>
        </w:rPr>
        <w:t xml:space="preserve">ost </w:t>
      </w:r>
      <w:r w:rsidRPr="00321282">
        <w:rPr>
          <w:sz w:val="24"/>
          <w:szCs w:val="24"/>
        </w:rPr>
        <w:t>to</w:t>
      </w:r>
      <w:r w:rsidR="008E3F68" w:rsidRPr="00321282">
        <w:rPr>
          <w:sz w:val="24"/>
          <w:szCs w:val="24"/>
        </w:rPr>
        <w:t xml:space="preserve"> </w:t>
      </w:r>
      <w:r w:rsidR="001B189B" w:rsidRPr="00321282">
        <w:rPr>
          <w:sz w:val="24"/>
          <w:szCs w:val="24"/>
        </w:rPr>
        <w:t>transfer patients to access MR imaging</w:t>
      </w:r>
      <w:r>
        <w:rPr>
          <w:sz w:val="24"/>
          <w:szCs w:val="24"/>
        </w:rPr>
        <w:t xml:space="preserve">; and </w:t>
      </w:r>
    </w:p>
    <w:p w14:paraId="38ADBA5F" w14:textId="18CB6495" w:rsidR="002032BF" w:rsidRPr="00542409" w:rsidRDefault="00321282" w:rsidP="00542409">
      <w:pPr>
        <w:pStyle w:val="ListParagraph"/>
        <w:numPr>
          <w:ilvl w:val="0"/>
          <w:numId w:val="21"/>
        </w:numPr>
        <w:spacing w:after="0" w:line="240" w:lineRule="auto"/>
        <w:rPr>
          <w:sz w:val="24"/>
          <w:szCs w:val="24"/>
        </w:rPr>
      </w:pPr>
      <w:r>
        <w:rPr>
          <w:sz w:val="24"/>
          <w:szCs w:val="24"/>
        </w:rPr>
        <w:t xml:space="preserve">Increasing </w:t>
      </w:r>
      <w:r w:rsidR="001B189B" w:rsidRPr="00321282">
        <w:rPr>
          <w:sz w:val="24"/>
          <w:szCs w:val="24"/>
        </w:rPr>
        <w:t>costs associated with delay</w:t>
      </w:r>
      <w:r w:rsidR="008E3F68" w:rsidRPr="00321282">
        <w:rPr>
          <w:sz w:val="24"/>
          <w:szCs w:val="24"/>
        </w:rPr>
        <w:t>ed</w:t>
      </w:r>
      <w:r w:rsidR="001B189B" w:rsidRPr="00321282">
        <w:rPr>
          <w:sz w:val="24"/>
          <w:szCs w:val="24"/>
        </w:rPr>
        <w:t xml:space="preserve"> diagnosis and treatment. </w:t>
      </w:r>
    </w:p>
    <w:p w14:paraId="3028F7F6" w14:textId="3666B00B" w:rsidR="00497264" w:rsidRDefault="00497264" w:rsidP="001B189B">
      <w:pPr>
        <w:pStyle w:val="ListParagraph"/>
        <w:spacing w:after="0" w:line="240" w:lineRule="auto"/>
        <w:rPr>
          <w:sz w:val="24"/>
          <w:szCs w:val="24"/>
        </w:rPr>
      </w:pPr>
    </w:p>
    <w:p w14:paraId="6DBFCBC0" w14:textId="38A9344D" w:rsidR="00D95F91" w:rsidRPr="005F07C5" w:rsidRDefault="00BE75D7" w:rsidP="005F07C5">
      <w:pPr>
        <w:spacing w:line="240" w:lineRule="auto"/>
        <w:rPr>
          <w:b/>
          <w:bCs/>
          <w:i/>
          <w:iCs/>
          <w:sz w:val="24"/>
          <w:szCs w:val="24"/>
        </w:rPr>
      </w:pPr>
      <w:r w:rsidRPr="005F07C5">
        <w:rPr>
          <w:b/>
          <w:bCs/>
          <w:i/>
          <w:iCs/>
          <w:sz w:val="24"/>
          <w:szCs w:val="24"/>
        </w:rPr>
        <w:t>Analysis: Cost Containment</w:t>
      </w:r>
    </w:p>
    <w:p w14:paraId="648D47C5" w14:textId="565A5929" w:rsidR="00D95F91" w:rsidRDefault="00AD059C" w:rsidP="005F07C5">
      <w:pPr>
        <w:spacing w:line="240" w:lineRule="auto"/>
        <w:rPr>
          <w:sz w:val="24"/>
          <w:szCs w:val="24"/>
        </w:rPr>
      </w:pPr>
      <w:r w:rsidRPr="005F07C5">
        <w:rPr>
          <w:sz w:val="24"/>
          <w:szCs w:val="24"/>
        </w:rPr>
        <w:t>Staff finds that the Applicant has adequately explained how the Proposed Project aligns with the Commonwealth’s cost containment goals through increasing access to high-quality, cost-effective imaging</w:t>
      </w:r>
      <w:r w:rsidR="00DE07DF" w:rsidRPr="005F07C5">
        <w:rPr>
          <w:sz w:val="24"/>
          <w:szCs w:val="24"/>
        </w:rPr>
        <w:t xml:space="preserve"> and implementation of </w:t>
      </w:r>
      <w:r w:rsidR="00C25493">
        <w:rPr>
          <w:sz w:val="24"/>
          <w:szCs w:val="24"/>
        </w:rPr>
        <w:t>CDS tools</w:t>
      </w:r>
      <w:r w:rsidR="00DE07DF" w:rsidRPr="005F07C5">
        <w:rPr>
          <w:sz w:val="24"/>
          <w:szCs w:val="24"/>
        </w:rPr>
        <w:t xml:space="preserve"> to minimize overuse, which contributes to increased healthcare costs. </w:t>
      </w:r>
    </w:p>
    <w:p w14:paraId="7FC708DC" w14:textId="219EB348" w:rsidR="00D95F91" w:rsidRPr="005F07C5" w:rsidRDefault="005B0D40" w:rsidP="005F07C5">
      <w:pPr>
        <w:spacing w:line="240" w:lineRule="auto"/>
        <w:rPr>
          <w:b/>
          <w:bCs/>
          <w:sz w:val="24"/>
          <w:szCs w:val="24"/>
        </w:rPr>
      </w:pPr>
      <w:r w:rsidRPr="005F07C5">
        <w:rPr>
          <w:b/>
          <w:bCs/>
          <w:sz w:val="24"/>
          <w:szCs w:val="24"/>
        </w:rPr>
        <w:t>Improved Public Health Outcomes</w:t>
      </w:r>
    </w:p>
    <w:p w14:paraId="094942CF" w14:textId="2E5C86C1" w:rsidR="00D95F91" w:rsidRDefault="00064A49" w:rsidP="005F07C5">
      <w:pPr>
        <w:spacing w:line="240" w:lineRule="auto"/>
        <w:rPr>
          <w:sz w:val="24"/>
          <w:szCs w:val="24"/>
        </w:rPr>
      </w:pPr>
      <w:r w:rsidRPr="005F07C5">
        <w:rPr>
          <w:sz w:val="24"/>
          <w:szCs w:val="24"/>
        </w:rPr>
        <w:t>The Applicant asserts that the Proposed Project will improve public health outcomes by providing SSHS patients timely access to high-quality MRI services</w:t>
      </w:r>
      <w:r w:rsidR="00C25493">
        <w:rPr>
          <w:sz w:val="24"/>
          <w:szCs w:val="24"/>
        </w:rPr>
        <w:t xml:space="preserve"> </w:t>
      </w:r>
      <w:r w:rsidRPr="005F07C5">
        <w:rPr>
          <w:sz w:val="24"/>
          <w:szCs w:val="24"/>
        </w:rPr>
        <w:t xml:space="preserve">resulting in </w:t>
      </w:r>
      <w:r w:rsidR="00C25493">
        <w:rPr>
          <w:sz w:val="24"/>
          <w:szCs w:val="24"/>
        </w:rPr>
        <w:t xml:space="preserve">more efficient services and </w:t>
      </w:r>
      <w:r w:rsidRPr="005F07C5">
        <w:rPr>
          <w:sz w:val="24"/>
          <w:szCs w:val="24"/>
        </w:rPr>
        <w:t xml:space="preserve">a reduction of wait times. The Applicant notes that demand </w:t>
      </w:r>
      <w:r w:rsidR="00C25493">
        <w:rPr>
          <w:sz w:val="24"/>
          <w:szCs w:val="24"/>
        </w:rPr>
        <w:t>for</w:t>
      </w:r>
      <w:r w:rsidRPr="005F07C5">
        <w:rPr>
          <w:sz w:val="24"/>
          <w:szCs w:val="24"/>
        </w:rPr>
        <w:t xml:space="preserve"> MRI services will increase as the population ages and risk for age-related conditions that can be diagnosed and treated with MRI increases. </w:t>
      </w:r>
    </w:p>
    <w:p w14:paraId="6BCB1E21" w14:textId="39095195" w:rsidR="00D95F91" w:rsidRPr="005F07C5" w:rsidRDefault="005B0D40" w:rsidP="005F07C5">
      <w:pPr>
        <w:spacing w:line="240" w:lineRule="auto"/>
        <w:rPr>
          <w:b/>
          <w:bCs/>
          <w:sz w:val="24"/>
          <w:szCs w:val="24"/>
        </w:rPr>
      </w:pPr>
      <w:r w:rsidRPr="005F07C5">
        <w:rPr>
          <w:b/>
          <w:bCs/>
          <w:sz w:val="24"/>
          <w:szCs w:val="24"/>
        </w:rPr>
        <w:t>Analysis: Public Health Outcomes</w:t>
      </w:r>
    </w:p>
    <w:p w14:paraId="10853C3C" w14:textId="7AD5D3AC" w:rsidR="00506112" w:rsidRDefault="00AD059C" w:rsidP="005F07C5">
      <w:pPr>
        <w:spacing w:line="240" w:lineRule="auto"/>
        <w:rPr>
          <w:sz w:val="24"/>
          <w:szCs w:val="24"/>
          <w:vertAlign w:val="superscript"/>
        </w:rPr>
      </w:pPr>
      <w:r w:rsidRPr="005F07C5">
        <w:rPr>
          <w:sz w:val="24"/>
          <w:szCs w:val="24"/>
        </w:rPr>
        <w:t xml:space="preserve">As detailed </w:t>
      </w:r>
      <w:r w:rsidR="00274B04">
        <w:rPr>
          <w:sz w:val="24"/>
          <w:szCs w:val="24"/>
        </w:rPr>
        <w:t>throughout</w:t>
      </w:r>
      <w:r w:rsidRPr="005F07C5">
        <w:rPr>
          <w:sz w:val="24"/>
          <w:szCs w:val="24"/>
        </w:rPr>
        <w:t xml:space="preserve"> this </w:t>
      </w:r>
      <w:r w:rsidR="007C2B1C" w:rsidRPr="005F07C5">
        <w:rPr>
          <w:sz w:val="24"/>
          <w:szCs w:val="24"/>
        </w:rPr>
        <w:t>r</w:t>
      </w:r>
      <w:r w:rsidRPr="005F07C5">
        <w:rPr>
          <w:sz w:val="24"/>
          <w:szCs w:val="24"/>
        </w:rPr>
        <w:t>eport, improvements in patient health outcomes result from efficient and timely access to MRI services</w:t>
      </w:r>
      <w:r w:rsidR="00C25493">
        <w:rPr>
          <w:sz w:val="24"/>
          <w:szCs w:val="24"/>
        </w:rPr>
        <w:t xml:space="preserve"> and well as appropriate use of MRI. </w:t>
      </w:r>
      <w:r w:rsidR="00511FFC">
        <w:rPr>
          <w:sz w:val="24"/>
          <w:szCs w:val="24"/>
        </w:rPr>
        <w:t>Yet,</w:t>
      </w:r>
      <w:r w:rsidR="00D52595">
        <w:rPr>
          <w:sz w:val="24"/>
          <w:szCs w:val="24"/>
        </w:rPr>
        <w:t xml:space="preserve"> </w:t>
      </w:r>
      <w:r w:rsidR="00E62151">
        <w:rPr>
          <w:sz w:val="24"/>
          <w:szCs w:val="24"/>
        </w:rPr>
        <w:t xml:space="preserve">studies </w:t>
      </w:r>
      <w:r w:rsidR="00925662">
        <w:rPr>
          <w:sz w:val="24"/>
          <w:szCs w:val="24"/>
        </w:rPr>
        <w:t>show</w:t>
      </w:r>
      <w:r w:rsidR="00DA2E0C">
        <w:rPr>
          <w:sz w:val="24"/>
          <w:szCs w:val="24"/>
        </w:rPr>
        <w:t xml:space="preserve"> that </w:t>
      </w:r>
      <w:r w:rsidR="00F26C4C">
        <w:rPr>
          <w:sz w:val="24"/>
          <w:szCs w:val="24"/>
        </w:rPr>
        <w:t>race</w:t>
      </w:r>
      <w:r w:rsidR="00042E09">
        <w:rPr>
          <w:sz w:val="24"/>
          <w:szCs w:val="24"/>
        </w:rPr>
        <w:t>,</w:t>
      </w:r>
      <w:r w:rsidR="00F26C4C">
        <w:rPr>
          <w:sz w:val="24"/>
          <w:szCs w:val="24"/>
        </w:rPr>
        <w:t xml:space="preserve"> age, and socioeconomic status a</w:t>
      </w:r>
      <w:r w:rsidR="00852A8A">
        <w:rPr>
          <w:sz w:val="24"/>
          <w:szCs w:val="24"/>
        </w:rPr>
        <w:t>re</w:t>
      </w:r>
      <w:r w:rsidR="00F26C4C">
        <w:rPr>
          <w:sz w:val="24"/>
          <w:szCs w:val="24"/>
        </w:rPr>
        <w:t xml:space="preserve"> factors associated with </w:t>
      </w:r>
      <w:r w:rsidR="002E2117">
        <w:rPr>
          <w:sz w:val="24"/>
          <w:szCs w:val="24"/>
        </w:rPr>
        <w:t>variation</w:t>
      </w:r>
      <w:r w:rsidR="00F26C4C">
        <w:rPr>
          <w:sz w:val="24"/>
          <w:szCs w:val="24"/>
        </w:rPr>
        <w:t xml:space="preserve"> in</w:t>
      </w:r>
      <w:r w:rsidR="00DA2E0C">
        <w:rPr>
          <w:sz w:val="24"/>
          <w:szCs w:val="24"/>
        </w:rPr>
        <w:t xml:space="preserve"> access to and</w:t>
      </w:r>
      <w:r w:rsidR="00F26C4C">
        <w:rPr>
          <w:sz w:val="24"/>
          <w:szCs w:val="24"/>
        </w:rPr>
        <w:t xml:space="preserve"> utilization of diagnostic imaging</w:t>
      </w:r>
      <w:r w:rsidR="00DF551E">
        <w:rPr>
          <w:sz w:val="24"/>
          <w:szCs w:val="24"/>
        </w:rPr>
        <w:t>. This</w:t>
      </w:r>
      <w:r w:rsidR="00DA2E0C">
        <w:rPr>
          <w:sz w:val="24"/>
          <w:szCs w:val="24"/>
        </w:rPr>
        <w:t xml:space="preserve"> includ</w:t>
      </w:r>
      <w:r w:rsidR="00DF551E">
        <w:rPr>
          <w:sz w:val="24"/>
          <w:szCs w:val="24"/>
        </w:rPr>
        <w:t>es</w:t>
      </w:r>
      <w:r w:rsidR="00DA2E0C">
        <w:rPr>
          <w:sz w:val="24"/>
          <w:szCs w:val="24"/>
        </w:rPr>
        <w:t xml:space="preserve"> </w:t>
      </w:r>
      <w:r w:rsidR="00C25493">
        <w:rPr>
          <w:sz w:val="24"/>
          <w:szCs w:val="24"/>
        </w:rPr>
        <w:t xml:space="preserve">disparities in </w:t>
      </w:r>
      <w:r w:rsidR="000D1628">
        <w:rPr>
          <w:sz w:val="24"/>
          <w:szCs w:val="24"/>
        </w:rPr>
        <w:t>breast</w:t>
      </w:r>
      <w:r w:rsidR="00B103FD">
        <w:rPr>
          <w:rStyle w:val="FootnoteReference"/>
          <w:sz w:val="24"/>
          <w:szCs w:val="24"/>
        </w:rPr>
        <w:footnoteReference w:id="24"/>
      </w:r>
      <w:r w:rsidR="000D1628">
        <w:rPr>
          <w:sz w:val="24"/>
          <w:szCs w:val="24"/>
        </w:rPr>
        <w:t xml:space="preserve"> and prostate cancer </w:t>
      </w:r>
      <w:r w:rsidR="00C25493">
        <w:rPr>
          <w:sz w:val="24"/>
          <w:szCs w:val="24"/>
        </w:rPr>
        <w:t xml:space="preserve">screening utilization </w:t>
      </w:r>
      <w:r w:rsidR="005C20CC" w:rsidRPr="005F07C5">
        <w:rPr>
          <w:sz w:val="24"/>
          <w:szCs w:val="24"/>
        </w:rPr>
        <w:t>by race, ethnicity, and socioeconomic status (SES</w:t>
      </w:r>
      <w:r w:rsidR="00C25493">
        <w:rPr>
          <w:sz w:val="24"/>
          <w:szCs w:val="24"/>
        </w:rPr>
        <w:t>)</w:t>
      </w:r>
      <w:r w:rsidR="00DF551E">
        <w:rPr>
          <w:sz w:val="24"/>
          <w:szCs w:val="24"/>
        </w:rPr>
        <w:t>,</w:t>
      </w:r>
      <w:r w:rsidR="00C25493">
        <w:rPr>
          <w:sz w:val="24"/>
          <w:szCs w:val="24"/>
        </w:rPr>
        <w:t xml:space="preserve"> a </w:t>
      </w:r>
      <w:r w:rsidR="005C20CC" w:rsidRPr="005F07C5">
        <w:rPr>
          <w:sz w:val="24"/>
          <w:szCs w:val="24"/>
        </w:rPr>
        <w:t>lack of guideline-consistent use of MRI</w:t>
      </w:r>
      <w:r w:rsidR="000D1628">
        <w:rPr>
          <w:sz w:val="24"/>
          <w:szCs w:val="24"/>
        </w:rPr>
        <w:t xml:space="preserve"> that can exacerbate existing disparities</w:t>
      </w:r>
      <w:r w:rsidR="005317CE">
        <w:rPr>
          <w:rStyle w:val="EndnoteReference"/>
          <w:sz w:val="24"/>
          <w:szCs w:val="24"/>
        </w:rPr>
        <w:endnoteReference w:id="19"/>
      </w:r>
      <w:r w:rsidR="00E0270A" w:rsidRPr="00E0270A">
        <w:rPr>
          <w:sz w:val="24"/>
          <w:szCs w:val="24"/>
          <w:vertAlign w:val="superscript"/>
        </w:rPr>
        <w:t>,</w:t>
      </w:r>
      <w:r w:rsidR="005C20CC" w:rsidRPr="005F07C5">
        <w:rPr>
          <w:sz w:val="24"/>
          <w:szCs w:val="24"/>
          <w:vertAlign w:val="superscript"/>
        </w:rPr>
        <w:endnoteReference w:id="20"/>
      </w:r>
      <w:r w:rsidR="00E0270A" w:rsidRPr="00E0270A">
        <w:rPr>
          <w:sz w:val="24"/>
          <w:szCs w:val="24"/>
          <w:vertAlign w:val="superscript"/>
        </w:rPr>
        <w:t>,</w:t>
      </w:r>
      <w:r w:rsidR="00A241E3" w:rsidRPr="005F07C5">
        <w:rPr>
          <w:rStyle w:val="EndnoteReference"/>
          <w:sz w:val="24"/>
          <w:szCs w:val="24"/>
        </w:rPr>
        <w:endnoteReference w:id="21"/>
      </w:r>
      <w:r w:rsidR="000F4A77">
        <w:rPr>
          <w:sz w:val="24"/>
          <w:szCs w:val="24"/>
          <w:vertAlign w:val="superscript"/>
        </w:rPr>
        <w:t>,</w:t>
      </w:r>
      <w:r w:rsidR="000F4A77">
        <w:rPr>
          <w:rStyle w:val="EndnoteReference"/>
          <w:sz w:val="24"/>
          <w:szCs w:val="24"/>
        </w:rPr>
        <w:endnoteReference w:id="22"/>
      </w:r>
      <w:r w:rsidR="002E2117" w:rsidRPr="002E2117">
        <w:rPr>
          <w:sz w:val="24"/>
          <w:szCs w:val="24"/>
        </w:rPr>
        <w:t>;</w:t>
      </w:r>
      <w:r w:rsidR="002E2117">
        <w:rPr>
          <w:sz w:val="24"/>
          <w:szCs w:val="24"/>
          <w:vertAlign w:val="superscript"/>
        </w:rPr>
        <w:t xml:space="preserve"> </w:t>
      </w:r>
      <w:r w:rsidR="002E2117">
        <w:rPr>
          <w:sz w:val="24"/>
          <w:szCs w:val="24"/>
        </w:rPr>
        <w:t>and</w:t>
      </w:r>
      <w:r w:rsidR="00975A09">
        <w:rPr>
          <w:sz w:val="24"/>
          <w:szCs w:val="24"/>
        </w:rPr>
        <w:t xml:space="preserve"> </w:t>
      </w:r>
      <w:r w:rsidR="00042E09">
        <w:rPr>
          <w:sz w:val="24"/>
          <w:szCs w:val="24"/>
        </w:rPr>
        <w:t xml:space="preserve">differing use of </w:t>
      </w:r>
      <w:r w:rsidR="00975A09">
        <w:rPr>
          <w:sz w:val="24"/>
          <w:szCs w:val="24"/>
        </w:rPr>
        <w:t xml:space="preserve">MRI and CT among </w:t>
      </w:r>
      <w:r w:rsidR="00871F0F">
        <w:rPr>
          <w:sz w:val="24"/>
          <w:szCs w:val="24"/>
        </w:rPr>
        <w:t>a</w:t>
      </w:r>
      <w:r w:rsidR="00E0270A">
        <w:rPr>
          <w:sz w:val="24"/>
          <w:szCs w:val="24"/>
        </w:rPr>
        <w:t xml:space="preserve">dult ED </w:t>
      </w:r>
      <w:r w:rsidR="00E03A23">
        <w:rPr>
          <w:sz w:val="24"/>
          <w:szCs w:val="24"/>
        </w:rPr>
        <w:t>patients</w:t>
      </w:r>
      <w:r w:rsidR="00E0270A">
        <w:rPr>
          <w:sz w:val="24"/>
          <w:szCs w:val="24"/>
        </w:rPr>
        <w:t>.</w:t>
      </w:r>
      <w:r w:rsidR="00E0270A">
        <w:rPr>
          <w:rStyle w:val="EndnoteReference"/>
          <w:sz w:val="24"/>
          <w:szCs w:val="24"/>
        </w:rPr>
        <w:endnoteReference w:id="23"/>
      </w:r>
      <w:r w:rsidR="00506112">
        <w:rPr>
          <w:sz w:val="24"/>
          <w:szCs w:val="24"/>
          <w:vertAlign w:val="superscript"/>
        </w:rPr>
        <w:t xml:space="preserve"> </w:t>
      </w:r>
      <w:r w:rsidR="00DF551E">
        <w:rPr>
          <w:sz w:val="24"/>
          <w:szCs w:val="24"/>
        </w:rPr>
        <w:t>A</w:t>
      </w:r>
      <w:r w:rsidR="00DB2267">
        <w:rPr>
          <w:sz w:val="24"/>
          <w:szCs w:val="24"/>
        </w:rPr>
        <w:t xml:space="preserve">s mentioned above, </w:t>
      </w:r>
      <w:r w:rsidR="005E1FE5">
        <w:rPr>
          <w:sz w:val="24"/>
          <w:szCs w:val="24"/>
        </w:rPr>
        <w:t>the</w:t>
      </w:r>
      <w:r w:rsidR="009F7356">
        <w:rPr>
          <w:sz w:val="24"/>
          <w:szCs w:val="24"/>
        </w:rPr>
        <w:t xml:space="preserve"> Applicant </w:t>
      </w:r>
      <w:r w:rsidR="004A2D5E">
        <w:rPr>
          <w:sz w:val="24"/>
          <w:szCs w:val="24"/>
        </w:rPr>
        <w:t xml:space="preserve">will also </w:t>
      </w:r>
      <w:r w:rsidR="005E1FE5">
        <w:rPr>
          <w:sz w:val="24"/>
          <w:szCs w:val="24"/>
        </w:rPr>
        <w:t>repor</w:t>
      </w:r>
      <w:r w:rsidR="009F7356">
        <w:rPr>
          <w:sz w:val="24"/>
          <w:szCs w:val="24"/>
        </w:rPr>
        <w:t>t on</w:t>
      </w:r>
      <w:r w:rsidR="005E1FE5">
        <w:rPr>
          <w:sz w:val="24"/>
          <w:szCs w:val="24"/>
        </w:rPr>
        <w:t xml:space="preserve"> utilization of MRI services at SSH by age, race/ethnicity, and payer mix.</w:t>
      </w:r>
      <w:r w:rsidR="00351C3D">
        <w:rPr>
          <w:sz w:val="24"/>
          <w:szCs w:val="24"/>
        </w:rPr>
        <w:t xml:space="preserve"> </w:t>
      </w:r>
      <w:r w:rsidR="005E1FE5">
        <w:rPr>
          <w:sz w:val="24"/>
          <w:szCs w:val="24"/>
        </w:rPr>
        <w:t xml:space="preserve"> </w:t>
      </w:r>
    </w:p>
    <w:p w14:paraId="5D6FBF0F" w14:textId="41F45C81" w:rsidR="005B0D40" w:rsidRPr="005F07C5" w:rsidRDefault="005B0D40" w:rsidP="005F07C5">
      <w:pPr>
        <w:spacing w:line="240" w:lineRule="auto"/>
        <w:rPr>
          <w:b/>
          <w:bCs/>
          <w:sz w:val="24"/>
          <w:szCs w:val="24"/>
        </w:rPr>
      </w:pPr>
      <w:r w:rsidRPr="005F07C5">
        <w:rPr>
          <w:b/>
          <w:bCs/>
          <w:sz w:val="24"/>
          <w:szCs w:val="24"/>
        </w:rPr>
        <w:t>Delivery System Transformation</w:t>
      </w:r>
    </w:p>
    <w:p w14:paraId="372796E3" w14:textId="3E48AF9C" w:rsidR="002D6D76" w:rsidRDefault="0098420E" w:rsidP="00680055">
      <w:pPr>
        <w:spacing w:line="240" w:lineRule="auto"/>
        <w:rPr>
          <w:sz w:val="24"/>
          <w:szCs w:val="24"/>
        </w:rPr>
      </w:pPr>
      <w:r w:rsidRPr="005F07C5">
        <w:rPr>
          <w:sz w:val="24"/>
          <w:szCs w:val="24"/>
        </w:rPr>
        <w:t>As noted above, the Applicant described screening of MassHealth patients for SDoH needs, as well as</w:t>
      </w:r>
      <w:r w:rsidR="006D6A23">
        <w:rPr>
          <w:sz w:val="24"/>
          <w:szCs w:val="24"/>
        </w:rPr>
        <w:t xml:space="preserve"> the</w:t>
      </w:r>
      <w:r w:rsidRPr="005F07C5">
        <w:rPr>
          <w:sz w:val="24"/>
          <w:szCs w:val="24"/>
        </w:rPr>
        <w:t xml:space="preserve"> referral process and linkage to community-based social services and resources.</w:t>
      </w:r>
      <w:r w:rsidR="002D6D76" w:rsidRPr="002D6D76">
        <w:t xml:space="preserve"> </w:t>
      </w:r>
      <w:r w:rsidR="002D6D76" w:rsidRPr="002D6D76">
        <w:rPr>
          <w:sz w:val="24"/>
          <w:szCs w:val="24"/>
        </w:rPr>
        <w:t>The Applicant states</w:t>
      </w:r>
      <w:r w:rsidR="00F852CB">
        <w:rPr>
          <w:sz w:val="24"/>
          <w:szCs w:val="24"/>
        </w:rPr>
        <w:t xml:space="preserve"> it serves</w:t>
      </w:r>
      <w:r w:rsidR="002D6D76" w:rsidRPr="002D6D76">
        <w:rPr>
          <w:sz w:val="24"/>
          <w:szCs w:val="24"/>
        </w:rPr>
        <w:t xml:space="preserve"> </w:t>
      </w:r>
      <w:r w:rsidR="001B40B0">
        <w:rPr>
          <w:sz w:val="24"/>
          <w:szCs w:val="24"/>
        </w:rPr>
        <w:t>~</w:t>
      </w:r>
      <w:r w:rsidR="002D6D76" w:rsidRPr="002D6D76">
        <w:rPr>
          <w:sz w:val="24"/>
          <w:szCs w:val="24"/>
        </w:rPr>
        <w:t xml:space="preserve"> 8,000</w:t>
      </w:r>
      <w:r w:rsidR="001B40B0">
        <w:rPr>
          <w:sz w:val="24"/>
          <w:szCs w:val="24"/>
        </w:rPr>
        <w:t xml:space="preserve"> South Shore Health System</w:t>
      </w:r>
      <w:r w:rsidR="002D6D76" w:rsidRPr="002D6D76">
        <w:rPr>
          <w:sz w:val="24"/>
          <w:szCs w:val="24"/>
        </w:rPr>
        <w:t xml:space="preserve"> </w:t>
      </w:r>
      <w:r w:rsidR="0007334A">
        <w:rPr>
          <w:sz w:val="24"/>
          <w:szCs w:val="24"/>
        </w:rPr>
        <w:t xml:space="preserve">patients </w:t>
      </w:r>
      <w:r w:rsidR="00D736EE">
        <w:rPr>
          <w:sz w:val="24"/>
          <w:szCs w:val="24"/>
        </w:rPr>
        <w:t xml:space="preserve">that </w:t>
      </w:r>
      <w:r w:rsidR="0007334A">
        <w:rPr>
          <w:sz w:val="24"/>
          <w:szCs w:val="24"/>
        </w:rPr>
        <w:t>are members</w:t>
      </w:r>
      <w:r w:rsidR="002D6D76" w:rsidRPr="002D6D76">
        <w:rPr>
          <w:sz w:val="24"/>
          <w:szCs w:val="24"/>
        </w:rPr>
        <w:t xml:space="preserve"> </w:t>
      </w:r>
      <w:r w:rsidR="0007334A">
        <w:rPr>
          <w:sz w:val="24"/>
          <w:szCs w:val="24"/>
        </w:rPr>
        <w:t xml:space="preserve">in </w:t>
      </w:r>
      <w:r w:rsidR="002D6D76" w:rsidRPr="002D6D76">
        <w:rPr>
          <w:sz w:val="24"/>
          <w:szCs w:val="24"/>
        </w:rPr>
        <w:t xml:space="preserve">the BACO MassHealth ACO Program. The Applicant notes that </w:t>
      </w:r>
      <w:r w:rsidR="00F852CB">
        <w:rPr>
          <w:sz w:val="24"/>
          <w:szCs w:val="24"/>
        </w:rPr>
        <w:t>its BACO-</w:t>
      </w:r>
      <w:r w:rsidR="002D6D76" w:rsidRPr="002D6D76">
        <w:rPr>
          <w:sz w:val="24"/>
          <w:szCs w:val="24"/>
        </w:rPr>
        <w:t xml:space="preserve">enrolled </w:t>
      </w:r>
      <w:r w:rsidR="00F852CB">
        <w:rPr>
          <w:sz w:val="24"/>
          <w:szCs w:val="24"/>
        </w:rPr>
        <w:t xml:space="preserve">population </w:t>
      </w:r>
      <w:r w:rsidR="002D6D76" w:rsidRPr="002D6D76">
        <w:rPr>
          <w:sz w:val="24"/>
          <w:szCs w:val="24"/>
        </w:rPr>
        <w:t xml:space="preserve">increased from 5,000 when the program first started to the current enrollment of 8,000. </w:t>
      </w:r>
    </w:p>
    <w:p w14:paraId="6B0CFA33" w14:textId="79FD43AB" w:rsidR="00D736EE" w:rsidRDefault="00D736EE" w:rsidP="005F07C5">
      <w:pPr>
        <w:spacing w:line="240" w:lineRule="auto"/>
        <w:rPr>
          <w:sz w:val="24"/>
          <w:szCs w:val="24"/>
        </w:rPr>
      </w:pPr>
    </w:p>
    <w:p w14:paraId="1AE28FD5" w14:textId="7B3F1C68" w:rsidR="005B0D40" w:rsidRPr="005F07C5" w:rsidRDefault="002D6D76" w:rsidP="005F07C5">
      <w:pPr>
        <w:spacing w:line="240" w:lineRule="auto"/>
        <w:rPr>
          <w:b/>
          <w:bCs/>
          <w:sz w:val="24"/>
          <w:szCs w:val="24"/>
        </w:rPr>
      </w:pPr>
      <w:r>
        <w:rPr>
          <w:b/>
          <w:bCs/>
          <w:sz w:val="24"/>
          <w:szCs w:val="24"/>
        </w:rPr>
        <w:t>A</w:t>
      </w:r>
      <w:r w:rsidR="005B0D40" w:rsidRPr="005F07C5">
        <w:rPr>
          <w:b/>
          <w:bCs/>
          <w:sz w:val="24"/>
          <w:szCs w:val="24"/>
        </w:rPr>
        <w:t>nalysis: Delivery System Transformation</w:t>
      </w:r>
    </w:p>
    <w:p w14:paraId="6C0A44B7" w14:textId="27ECF4A5" w:rsidR="005B0D40" w:rsidRDefault="008B4A12" w:rsidP="00680055">
      <w:pPr>
        <w:spacing w:line="240" w:lineRule="auto"/>
        <w:rPr>
          <w:sz w:val="24"/>
          <w:szCs w:val="24"/>
        </w:rPr>
      </w:pPr>
      <w:r w:rsidRPr="005F07C5">
        <w:rPr>
          <w:sz w:val="24"/>
          <w:szCs w:val="24"/>
        </w:rPr>
        <w:t>Central to the goal of Delivery System Transformation is the integration of social services and community-based expertise. The Applicant has described how residents in the panel are assessed and how linkages to social services organizations are created.</w:t>
      </w:r>
      <w:r w:rsidR="00EF12AB">
        <w:rPr>
          <w:sz w:val="24"/>
          <w:szCs w:val="24"/>
        </w:rPr>
        <w:t xml:space="preserve"> The Applicant further described additional SSHS initiatives to identify and address SDoH needs identified among the Patient Panel. </w:t>
      </w:r>
    </w:p>
    <w:p w14:paraId="572AF8E7" w14:textId="408B9AD2" w:rsidR="0098420E" w:rsidRDefault="001A4EB8" w:rsidP="0098420E">
      <w:pPr>
        <w:spacing w:after="0"/>
      </w:pPr>
      <w:r>
        <w:rPr>
          <w:b/>
          <w:bCs/>
          <w:sz w:val="28"/>
          <w:szCs w:val="28"/>
        </w:rPr>
        <w:t>SUMMARY</w:t>
      </w:r>
      <w:r w:rsidR="00791751">
        <w:rPr>
          <w:b/>
          <w:bCs/>
          <w:sz w:val="28"/>
          <w:szCs w:val="28"/>
        </w:rPr>
        <w:t xml:space="preserve"> for </w:t>
      </w:r>
      <w:r w:rsidR="0098420E" w:rsidRPr="0098420E">
        <w:rPr>
          <w:b/>
          <w:bCs/>
          <w:sz w:val="28"/>
          <w:szCs w:val="28"/>
        </w:rPr>
        <w:t>FACTOR 2</w:t>
      </w:r>
      <w:r w:rsidR="0098420E">
        <w:t xml:space="preserve"> </w:t>
      </w:r>
    </w:p>
    <w:p w14:paraId="1AA947C6" w14:textId="15D5F68F" w:rsidR="005B0D40" w:rsidRDefault="0098420E" w:rsidP="005F07C5">
      <w:pPr>
        <w:spacing w:after="0" w:line="240" w:lineRule="auto"/>
        <w:rPr>
          <w:sz w:val="24"/>
          <w:szCs w:val="24"/>
        </w:rPr>
      </w:pPr>
      <w:r w:rsidRPr="005F07C5">
        <w:rPr>
          <w:sz w:val="24"/>
          <w:szCs w:val="24"/>
        </w:rPr>
        <w:t>As a result of information provided by the Applicant</w:t>
      </w:r>
      <w:r w:rsidR="00B86D7F">
        <w:rPr>
          <w:sz w:val="24"/>
          <w:szCs w:val="24"/>
        </w:rPr>
        <w:t xml:space="preserve">, </w:t>
      </w:r>
      <w:r w:rsidRPr="005F07C5">
        <w:rPr>
          <w:sz w:val="24"/>
          <w:szCs w:val="24"/>
        </w:rPr>
        <w:t>additional analysis</w:t>
      </w:r>
      <w:r w:rsidR="00B86D7F">
        <w:rPr>
          <w:sz w:val="24"/>
          <w:szCs w:val="24"/>
        </w:rPr>
        <w:t xml:space="preserve"> and </w:t>
      </w:r>
      <w:r w:rsidR="004A1774">
        <w:rPr>
          <w:sz w:val="24"/>
          <w:szCs w:val="24"/>
        </w:rPr>
        <w:t>annual reporting measures</w:t>
      </w:r>
      <w:r w:rsidR="00CB7166">
        <w:rPr>
          <w:sz w:val="24"/>
          <w:szCs w:val="24"/>
        </w:rPr>
        <w:t xml:space="preserve"> that include reporting </w:t>
      </w:r>
      <w:r w:rsidR="00E54113">
        <w:rPr>
          <w:sz w:val="24"/>
          <w:szCs w:val="24"/>
        </w:rPr>
        <w:t xml:space="preserve">on </w:t>
      </w:r>
      <w:r w:rsidR="00CB7166">
        <w:rPr>
          <w:sz w:val="24"/>
          <w:szCs w:val="24"/>
        </w:rPr>
        <w:t>MRI utilization</w:t>
      </w:r>
      <w:r w:rsidR="00D5219C">
        <w:rPr>
          <w:sz w:val="24"/>
          <w:szCs w:val="24"/>
        </w:rPr>
        <w:t xml:space="preserve"> by race/ethnicity</w:t>
      </w:r>
      <w:r w:rsidR="00B86D7F">
        <w:rPr>
          <w:sz w:val="24"/>
          <w:szCs w:val="24"/>
        </w:rPr>
        <w:t>,</w:t>
      </w:r>
      <w:r w:rsidRPr="005F07C5">
        <w:rPr>
          <w:sz w:val="24"/>
          <w:szCs w:val="24"/>
        </w:rPr>
        <w:t xml:space="preserve"> staff finds </w:t>
      </w:r>
      <w:r w:rsidR="00BD4BCB" w:rsidRPr="005F07C5">
        <w:rPr>
          <w:sz w:val="24"/>
          <w:szCs w:val="24"/>
        </w:rPr>
        <w:t>that</w:t>
      </w:r>
      <w:r w:rsidRPr="005F07C5">
        <w:rPr>
          <w:sz w:val="24"/>
          <w:szCs w:val="24"/>
        </w:rPr>
        <w:t xml:space="preserve"> the Applicant has demonstrated that the Proposed Project has met Factor 2.</w:t>
      </w:r>
    </w:p>
    <w:p w14:paraId="779D227B" w14:textId="77777777" w:rsidR="00A432D7" w:rsidRDefault="00A432D7" w:rsidP="005F07C5">
      <w:pPr>
        <w:spacing w:after="0" w:line="240" w:lineRule="auto"/>
        <w:rPr>
          <w:sz w:val="24"/>
          <w:szCs w:val="24"/>
        </w:rPr>
      </w:pPr>
    </w:p>
    <w:p w14:paraId="23951672" w14:textId="77777777" w:rsidR="008B587C" w:rsidRPr="005F07C5" w:rsidRDefault="008B587C" w:rsidP="005F07C5">
      <w:pPr>
        <w:spacing w:after="0" w:line="240" w:lineRule="auto"/>
        <w:rPr>
          <w:b/>
          <w:bCs/>
          <w:sz w:val="24"/>
          <w:szCs w:val="24"/>
        </w:rPr>
      </w:pPr>
    </w:p>
    <w:p w14:paraId="6674E1C5" w14:textId="77777777" w:rsidR="00057CC4" w:rsidRPr="00057CC4" w:rsidRDefault="00057CC4" w:rsidP="00057CC4">
      <w:pPr>
        <w:spacing w:after="0"/>
        <w:rPr>
          <w:b/>
          <w:bCs/>
          <w:sz w:val="28"/>
          <w:szCs w:val="28"/>
        </w:rPr>
      </w:pPr>
      <w:r w:rsidRPr="00057CC4">
        <w:rPr>
          <w:b/>
          <w:bCs/>
          <w:sz w:val="28"/>
          <w:szCs w:val="28"/>
        </w:rPr>
        <w:t xml:space="preserve">Factor 3: Relevant Licensure/Oversight Compliance </w:t>
      </w:r>
    </w:p>
    <w:p w14:paraId="3F4905FF" w14:textId="14143654" w:rsidR="005B0D40" w:rsidRPr="006D6A23" w:rsidRDefault="00057CC4" w:rsidP="005F07C5">
      <w:pPr>
        <w:spacing w:after="0" w:line="240" w:lineRule="auto"/>
        <w:rPr>
          <w:b/>
          <w:bCs/>
          <w:sz w:val="24"/>
          <w:szCs w:val="24"/>
        </w:rPr>
      </w:pPr>
      <w:r w:rsidRPr="006D6A23">
        <w:rPr>
          <w:sz w:val="24"/>
          <w:szCs w:val="24"/>
        </w:rPr>
        <w:t>The Applicant has provided evidence of compliance and good standing with federal, state, and local laws and regulations and will not be addressed further in this report.</w:t>
      </w:r>
    </w:p>
    <w:p w14:paraId="64EF588B" w14:textId="457191EB" w:rsidR="005B0D40" w:rsidRDefault="005B0D40">
      <w:pPr>
        <w:rPr>
          <w:b/>
          <w:bCs/>
        </w:rPr>
      </w:pPr>
    </w:p>
    <w:p w14:paraId="6C3734C2" w14:textId="77777777" w:rsidR="00FA0A99" w:rsidRPr="00FA0A99" w:rsidRDefault="00FA0A99">
      <w:pPr>
        <w:rPr>
          <w:b/>
          <w:bCs/>
          <w:sz w:val="28"/>
          <w:szCs w:val="28"/>
        </w:rPr>
      </w:pPr>
      <w:r w:rsidRPr="00FA0A99">
        <w:rPr>
          <w:b/>
          <w:bCs/>
          <w:sz w:val="28"/>
          <w:szCs w:val="28"/>
        </w:rPr>
        <w:t xml:space="preserve">Factor 4: Demonstration of Sufficient Funds as Supported by an Independent CPA Analysis </w:t>
      </w:r>
    </w:p>
    <w:p w14:paraId="0411A0CE" w14:textId="77777777" w:rsidR="005D7A1A" w:rsidRDefault="00FA0A99" w:rsidP="005F07C5">
      <w:pPr>
        <w:spacing w:line="240" w:lineRule="auto"/>
        <w:rPr>
          <w:sz w:val="24"/>
          <w:szCs w:val="24"/>
        </w:rPr>
      </w:pPr>
      <w:r w:rsidRPr="005F07C5">
        <w:rPr>
          <w:sz w:val="24"/>
          <w:szCs w:val="24"/>
        </w:rPr>
        <w:t xml:space="preserve">Under </w:t>
      </w:r>
      <w:r w:rsidR="0047451F" w:rsidRPr="005F07C5">
        <w:rPr>
          <w:sz w:val="24"/>
          <w:szCs w:val="24"/>
        </w:rPr>
        <w:t>F</w:t>
      </w:r>
      <w:r w:rsidRPr="005F07C5">
        <w:rPr>
          <w:sz w:val="24"/>
          <w:szCs w:val="24"/>
        </w:rPr>
        <w:t xml:space="preserve">actor 4, the Applicant must demonstrate that it has sufficient funds available for capital and operating costs necessary to support the Proposed Project without negative effects or consequences to the existing </w:t>
      </w:r>
      <w:r w:rsidR="006D6A23">
        <w:rPr>
          <w:sz w:val="24"/>
          <w:szCs w:val="24"/>
        </w:rPr>
        <w:t>P</w:t>
      </w:r>
      <w:r w:rsidRPr="005F07C5">
        <w:rPr>
          <w:sz w:val="24"/>
          <w:szCs w:val="24"/>
        </w:rPr>
        <w:t xml:space="preserve">atient </w:t>
      </w:r>
      <w:r w:rsidR="006D6A23">
        <w:rPr>
          <w:sz w:val="24"/>
          <w:szCs w:val="24"/>
        </w:rPr>
        <w:t>P</w:t>
      </w:r>
      <w:r w:rsidRPr="005F07C5">
        <w:rPr>
          <w:sz w:val="24"/>
          <w:szCs w:val="24"/>
        </w:rPr>
        <w:t>anel. Documentation sufficient to make such finding must be supported by an analysis by an independent CPA. The CPA examined a range of documents and information in developing its report including</w:t>
      </w:r>
      <w:r w:rsidR="00432E0F" w:rsidRPr="005F07C5">
        <w:rPr>
          <w:sz w:val="24"/>
          <w:szCs w:val="24"/>
        </w:rPr>
        <w:t xml:space="preserve"> </w:t>
      </w:r>
      <w:r w:rsidR="002B3AC3">
        <w:rPr>
          <w:sz w:val="24"/>
          <w:szCs w:val="24"/>
        </w:rPr>
        <w:t xml:space="preserve">a </w:t>
      </w:r>
      <w:r w:rsidR="008543E3" w:rsidRPr="005F07C5">
        <w:rPr>
          <w:sz w:val="24"/>
          <w:szCs w:val="24"/>
        </w:rPr>
        <w:t>five-year financial forecast (Projections) for fiscal years ending 2022 through 2026, projected income statements for the Proposed Project, Audited Financial Statements of South Shore Health System, Inc.</w:t>
      </w:r>
      <w:r w:rsidR="00C67540">
        <w:rPr>
          <w:sz w:val="24"/>
          <w:szCs w:val="24"/>
        </w:rPr>
        <w:t xml:space="preserve"> (South Shore Health)</w:t>
      </w:r>
      <w:r w:rsidR="008543E3" w:rsidRPr="005F07C5">
        <w:rPr>
          <w:sz w:val="24"/>
          <w:szCs w:val="24"/>
        </w:rPr>
        <w:t xml:space="preserve">, South Shore Health website, and </w:t>
      </w:r>
      <w:r w:rsidR="00FC6F94">
        <w:rPr>
          <w:sz w:val="24"/>
          <w:szCs w:val="24"/>
        </w:rPr>
        <w:t xml:space="preserve">a </w:t>
      </w:r>
      <w:r w:rsidR="008543E3" w:rsidRPr="005F07C5">
        <w:rPr>
          <w:sz w:val="24"/>
          <w:szCs w:val="24"/>
        </w:rPr>
        <w:t>Presentation to Leadership on the Proposed Project</w:t>
      </w:r>
      <w:r w:rsidRPr="005F07C5">
        <w:rPr>
          <w:sz w:val="24"/>
          <w:szCs w:val="24"/>
        </w:rPr>
        <w:t>. Additionally, it calculated key liquidity and operating metrics to assist in determining reasonableness of the Applicant’s assumptions</w:t>
      </w:r>
      <w:r w:rsidR="00546AB6" w:rsidRPr="005F07C5">
        <w:rPr>
          <w:sz w:val="24"/>
          <w:szCs w:val="24"/>
        </w:rPr>
        <w:t xml:space="preserve"> and feasibility of the Projections</w:t>
      </w:r>
      <w:r w:rsidRPr="005F07C5">
        <w:rPr>
          <w:sz w:val="24"/>
          <w:szCs w:val="24"/>
        </w:rPr>
        <w:t>.</w:t>
      </w:r>
    </w:p>
    <w:p w14:paraId="4EF6AAFF" w14:textId="77777777" w:rsidR="00A34B66" w:rsidRDefault="00A34B66" w:rsidP="007E0DC1">
      <w:pPr>
        <w:spacing w:line="240" w:lineRule="auto"/>
        <w:rPr>
          <w:sz w:val="24"/>
          <w:szCs w:val="24"/>
        </w:rPr>
      </w:pPr>
    </w:p>
    <w:p w14:paraId="30F7C34E" w14:textId="4C609B5F" w:rsidR="00057CC4" w:rsidRPr="005F07C5" w:rsidRDefault="00FA0A99" w:rsidP="007E0DC1">
      <w:pPr>
        <w:spacing w:line="240" w:lineRule="auto"/>
        <w:rPr>
          <w:b/>
          <w:bCs/>
          <w:sz w:val="24"/>
          <w:szCs w:val="24"/>
        </w:rPr>
      </w:pPr>
      <w:r w:rsidRPr="005F07C5">
        <w:rPr>
          <w:b/>
          <w:bCs/>
          <w:sz w:val="24"/>
          <w:szCs w:val="24"/>
        </w:rPr>
        <w:t>Revenues</w:t>
      </w:r>
    </w:p>
    <w:p w14:paraId="13ABF04B" w14:textId="24268A63" w:rsidR="005B0D40" w:rsidRPr="005F07C5" w:rsidRDefault="00BD65F5" w:rsidP="007F091D">
      <w:pPr>
        <w:spacing w:after="0" w:line="240" w:lineRule="auto"/>
        <w:rPr>
          <w:sz w:val="24"/>
          <w:szCs w:val="24"/>
        </w:rPr>
      </w:pPr>
      <w:r w:rsidRPr="005F07C5">
        <w:rPr>
          <w:sz w:val="24"/>
          <w:szCs w:val="24"/>
        </w:rPr>
        <w:t>The CPA analyzed net patient service revenue, the only category on which the Proposed Project would have an impact, identified by South Shore Health in both projected and financial information. The CPA states that the incremental revenue from the Proposed Project represents approximately .370% (less than 4 tenths of 1%) of South Shore Health operating revenue in FY2022 and approximately .383% (less than 4 tenths of 1%) of South Shore Health operating revenue in FY 2026.</w:t>
      </w:r>
      <w:r w:rsidRPr="005F07C5">
        <w:rPr>
          <w:rStyle w:val="FootnoteReference"/>
          <w:sz w:val="24"/>
          <w:szCs w:val="24"/>
        </w:rPr>
        <w:footnoteReference w:id="25"/>
      </w:r>
      <w:r w:rsidRPr="005F07C5">
        <w:rPr>
          <w:sz w:val="24"/>
          <w:szCs w:val="24"/>
        </w:rPr>
        <w:t xml:space="preserve"> Based upon its review, the CPA determined the Applicant’s projected revenue growth is reasonable.</w:t>
      </w:r>
    </w:p>
    <w:p w14:paraId="617EAB05" w14:textId="77777777" w:rsidR="007F091D" w:rsidRDefault="007F091D" w:rsidP="005F07C5">
      <w:pPr>
        <w:spacing w:line="240" w:lineRule="auto"/>
        <w:rPr>
          <w:b/>
          <w:bCs/>
          <w:sz w:val="24"/>
          <w:szCs w:val="24"/>
        </w:rPr>
      </w:pPr>
    </w:p>
    <w:p w14:paraId="75A6C87A" w14:textId="5090E3C4" w:rsidR="005B0D40" w:rsidRPr="005F07C5" w:rsidRDefault="00953E98" w:rsidP="007F091D">
      <w:pPr>
        <w:spacing w:after="0" w:line="240" w:lineRule="auto"/>
        <w:rPr>
          <w:b/>
          <w:bCs/>
          <w:sz w:val="24"/>
          <w:szCs w:val="24"/>
        </w:rPr>
      </w:pPr>
      <w:r w:rsidRPr="005F07C5">
        <w:rPr>
          <w:b/>
          <w:bCs/>
          <w:sz w:val="24"/>
          <w:szCs w:val="24"/>
        </w:rPr>
        <w:t>Operating Expenses</w:t>
      </w:r>
    </w:p>
    <w:p w14:paraId="583DFCC6" w14:textId="0DABE5EA" w:rsidR="00BD65F5" w:rsidRPr="005F07C5" w:rsidRDefault="001E12E0" w:rsidP="007F091D">
      <w:pPr>
        <w:spacing w:after="0" w:line="240" w:lineRule="auto"/>
        <w:rPr>
          <w:sz w:val="24"/>
          <w:szCs w:val="24"/>
        </w:rPr>
      </w:pPr>
      <w:r w:rsidRPr="005F07C5">
        <w:rPr>
          <w:sz w:val="24"/>
          <w:szCs w:val="24"/>
        </w:rPr>
        <w:t>The CPA reviewed the operating results for South Shore Health for the years ended 2019 and 2020 to determine the impact of the Proposed Project on the consolidated entity and to determine the reasonableness of the Projections for FY2022 through 2026</w:t>
      </w:r>
      <w:r w:rsidR="002B3AC3">
        <w:rPr>
          <w:sz w:val="24"/>
          <w:szCs w:val="24"/>
        </w:rPr>
        <w:t>. The CPA</w:t>
      </w:r>
      <w:r w:rsidRPr="005F07C5">
        <w:rPr>
          <w:sz w:val="24"/>
          <w:szCs w:val="24"/>
        </w:rPr>
        <w:t xml:space="preserve"> determined that the Proposed Project would represent approximately .199%</w:t>
      </w:r>
      <w:r w:rsidR="00F852CB">
        <w:rPr>
          <w:sz w:val="24"/>
          <w:szCs w:val="24"/>
        </w:rPr>
        <w:t xml:space="preserve"> </w:t>
      </w:r>
      <w:r w:rsidRPr="005F07C5">
        <w:rPr>
          <w:sz w:val="24"/>
          <w:szCs w:val="24"/>
        </w:rPr>
        <w:t xml:space="preserve">(less than two tenths of 1%) of South Shore Health operating expenses in FY2022 and approximately .195% (less than 2 tenths of 1%) of South Shore Health operating expenses in FY2026. </w:t>
      </w:r>
      <w:r w:rsidR="001B7FB8" w:rsidRPr="005F07C5">
        <w:rPr>
          <w:sz w:val="24"/>
          <w:szCs w:val="24"/>
        </w:rPr>
        <w:t>Based on their review, the CPA found the operating expenses estimated by the Applicant to be reasonable.</w:t>
      </w:r>
    </w:p>
    <w:p w14:paraId="2106CE9C" w14:textId="77777777" w:rsidR="00787848" w:rsidRDefault="00787848" w:rsidP="007F091D">
      <w:pPr>
        <w:spacing w:after="0" w:line="240" w:lineRule="auto"/>
        <w:rPr>
          <w:b/>
          <w:bCs/>
          <w:sz w:val="24"/>
          <w:szCs w:val="24"/>
        </w:rPr>
      </w:pPr>
    </w:p>
    <w:p w14:paraId="155E0B48" w14:textId="35192756" w:rsidR="005B0D40" w:rsidRPr="005F07C5" w:rsidRDefault="00953E98" w:rsidP="007F091D">
      <w:pPr>
        <w:spacing w:after="0" w:line="240" w:lineRule="auto"/>
        <w:rPr>
          <w:b/>
          <w:bCs/>
          <w:sz w:val="24"/>
          <w:szCs w:val="24"/>
        </w:rPr>
      </w:pPr>
      <w:r w:rsidRPr="005F07C5">
        <w:rPr>
          <w:b/>
          <w:bCs/>
          <w:sz w:val="24"/>
          <w:szCs w:val="24"/>
        </w:rPr>
        <w:t>Capital Expenditures and Cash Flows</w:t>
      </w:r>
    </w:p>
    <w:p w14:paraId="5A3C787F" w14:textId="04F02CFB" w:rsidR="005B0D40" w:rsidRDefault="00602821" w:rsidP="007F091D">
      <w:pPr>
        <w:spacing w:after="0" w:line="240" w:lineRule="auto"/>
        <w:rPr>
          <w:sz w:val="24"/>
          <w:szCs w:val="24"/>
        </w:rPr>
      </w:pPr>
      <w:r w:rsidRPr="005F07C5">
        <w:rPr>
          <w:sz w:val="24"/>
          <w:szCs w:val="24"/>
        </w:rPr>
        <w:t xml:space="preserve">The CPA reviewed </w:t>
      </w:r>
      <w:r w:rsidR="005A2389" w:rsidRPr="005F07C5">
        <w:rPr>
          <w:sz w:val="24"/>
          <w:szCs w:val="24"/>
        </w:rPr>
        <w:t xml:space="preserve">current and projected capital projects and loan financing obligations included in the Projections and impact of projected expenditures on South Shore Health cash flow and determined that the pro-forma capital expenditures and resulting impact on South Shore Health cash flows are reasonable. </w:t>
      </w:r>
    </w:p>
    <w:p w14:paraId="0CFA4B2A" w14:textId="1346DC44" w:rsidR="00CA39AB" w:rsidRDefault="00CA39AB" w:rsidP="00CA39AB">
      <w:pPr>
        <w:spacing w:after="0" w:line="240" w:lineRule="auto"/>
        <w:rPr>
          <w:sz w:val="24"/>
          <w:szCs w:val="24"/>
        </w:rPr>
      </w:pPr>
    </w:p>
    <w:p w14:paraId="373C5D9F" w14:textId="7C0F55E2" w:rsidR="005B0D40" w:rsidRPr="005F07C5" w:rsidRDefault="00953E98" w:rsidP="00CA39AB">
      <w:pPr>
        <w:spacing w:after="0" w:line="240" w:lineRule="auto"/>
        <w:rPr>
          <w:b/>
          <w:bCs/>
          <w:sz w:val="24"/>
          <w:szCs w:val="24"/>
        </w:rPr>
      </w:pPr>
      <w:r w:rsidRPr="005F07C5">
        <w:rPr>
          <w:b/>
          <w:bCs/>
          <w:sz w:val="24"/>
          <w:szCs w:val="24"/>
        </w:rPr>
        <w:t>CPA’s Conclusion of Feasibility</w:t>
      </w:r>
    </w:p>
    <w:p w14:paraId="735ECAEA" w14:textId="2D5FA2DD" w:rsidR="00953E98" w:rsidRDefault="004C2F9B" w:rsidP="00CA39AB">
      <w:pPr>
        <w:spacing w:after="0" w:line="240" w:lineRule="auto"/>
        <w:rPr>
          <w:sz w:val="24"/>
          <w:szCs w:val="24"/>
        </w:rPr>
      </w:pPr>
      <w:r w:rsidRPr="005F07C5">
        <w:rPr>
          <w:sz w:val="24"/>
          <w:szCs w:val="24"/>
        </w:rPr>
        <w:t>The CPA determined that because the Proposed Project represents a relatively insignificant component of the projected operating revenue and expense of South Shore Health, the Projections are not likely to result in insufficient funds available for capital and ongoing operating costs necessary to support the Proposed Project and the continued operating surplus are reasonable and based on feasible financial assumptions</w:t>
      </w:r>
      <w:r w:rsidR="00B730F2">
        <w:rPr>
          <w:sz w:val="24"/>
          <w:szCs w:val="24"/>
        </w:rPr>
        <w:t>. T</w:t>
      </w:r>
      <w:r w:rsidR="004939E7">
        <w:rPr>
          <w:sz w:val="24"/>
          <w:szCs w:val="24"/>
        </w:rPr>
        <w:t>hus</w:t>
      </w:r>
      <w:r w:rsidR="00B730F2">
        <w:rPr>
          <w:sz w:val="24"/>
          <w:szCs w:val="24"/>
        </w:rPr>
        <w:t>,</w:t>
      </w:r>
      <w:r w:rsidRPr="005F07C5">
        <w:rPr>
          <w:sz w:val="24"/>
          <w:szCs w:val="24"/>
        </w:rPr>
        <w:t xml:space="preserve"> the Proposed Project is feasible and </w:t>
      </w:r>
      <w:r w:rsidR="004E7AD4">
        <w:rPr>
          <w:sz w:val="24"/>
          <w:szCs w:val="24"/>
        </w:rPr>
        <w:t>within the financial capability of SSHS</w:t>
      </w:r>
      <w:r w:rsidR="00B730F2">
        <w:rPr>
          <w:sz w:val="24"/>
          <w:szCs w:val="24"/>
        </w:rPr>
        <w:t>,</w:t>
      </w:r>
      <w:r w:rsidR="004E7AD4">
        <w:rPr>
          <w:sz w:val="24"/>
          <w:szCs w:val="24"/>
        </w:rPr>
        <w:t xml:space="preserve"> and </w:t>
      </w:r>
      <w:r w:rsidRPr="005F07C5">
        <w:rPr>
          <w:sz w:val="24"/>
          <w:szCs w:val="24"/>
        </w:rPr>
        <w:t>not likely to have a negative impact on the Patient Panel</w:t>
      </w:r>
      <w:r w:rsidR="004939E7">
        <w:rPr>
          <w:sz w:val="24"/>
          <w:szCs w:val="24"/>
        </w:rPr>
        <w:t>.</w:t>
      </w:r>
    </w:p>
    <w:p w14:paraId="48F7C862" w14:textId="77777777" w:rsidR="006C3E99" w:rsidRPr="005F07C5" w:rsidRDefault="006C3E99" w:rsidP="00CA39AB">
      <w:pPr>
        <w:spacing w:after="0" w:line="240" w:lineRule="auto"/>
        <w:rPr>
          <w:sz w:val="24"/>
          <w:szCs w:val="24"/>
        </w:rPr>
      </w:pPr>
    </w:p>
    <w:p w14:paraId="71CC8064" w14:textId="77777777" w:rsidR="00953E98" w:rsidRPr="005F07C5" w:rsidRDefault="00953E98" w:rsidP="005F07C5">
      <w:pPr>
        <w:spacing w:after="0" w:line="240" w:lineRule="auto"/>
        <w:rPr>
          <w:b/>
          <w:bCs/>
          <w:i/>
          <w:iCs/>
          <w:sz w:val="24"/>
          <w:szCs w:val="24"/>
        </w:rPr>
      </w:pPr>
      <w:r w:rsidRPr="005F07C5">
        <w:rPr>
          <w:b/>
          <w:bCs/>
          <w:i/>
          <w:iCs/>
          <w:sz w:val="24"/>
          <w:szCs w:val="24"/>
        </w:rPr>
        <w:t xml:space="preserve">Analysis </w:t>
      </w:r>
    </w:p>
    <w:p w14:paraId="644F33FC" w14:textId="7A28297C" w:rsidR="00953E98" w:rsidRPr="005F07C5" w:rsidRDefault="00953E98" w:rsidP="005F07C5">
      <w:pPr>
        <w:spacing w:after="0" w:line="240" w:lineRule="auto"/>
        <w:rPr>
          <w:sz w:val="24"/>
          <w:szCs w:val="24"/>
        </w:rPr>
      </w:pPr>
      <w:r w:rsidRPr="005F07C5">
        <w:rPr>
          <w:sz w:val="24"/>
          <w:szCs w:val="24"/>
        </w:rPr>
        <w:t>Staff is satisfied with the CPA’s analysis of Applicants decision to proceed with the Proposed Project. As a result, Staff finds the CPA analysis to be acceptable and that the Applicant has met the requirements of Factor 4.</w:t>
      </w:r>
    </w:p>
    <w:p w14:paraId="48A84FDE" w14:textId="7C0CD9A7" w:rsidR="00953E98" w:rsidRDefault="00953E98"/>
    <w:p w14:paraId="76C321E8" w14:textId="77777777" w:rsidR="00A34B66" w:rsidRDefault="00A34B66">
      <w:pPr>
        <w:rPr>
          <w:b/>
          <w:bCs/>
          <w:sz w:val="28"/>
          <w:szCs w:val="28"/>
        </w:rPr>
      </w:pPr>
    </w:p>
    <w:p w14:paraId="3449C1AF" w14:textId="4F65282D" w:rsidR="003346C7" w:rsidRPr="003346C7" w:rsidRDefault="003346C7">
      <w:pPr>
        <w:rPr>
          <w:b/>
          <w:bCs/>
          <w:sz w:val="28"/>
          <w:szCs w:val="28"/>
        </w:rPr>
      </w:pPr>
      <w:r w:rsidRPr="003346C7">
        <w:rPr>
          <w:b/>
          <w:bCs/>
          <w:sz w:val="28"/>
          <w:szCs w:val="28"/>
        </w:rPr>
        <w:t xml:space="preserve">Factor 5: Assessment of the Proposed Project’s Relative Merit </w:t>
      </w:r>
    </w:p>
    <w:p w14:paraId="14ADBF75" w14:textId="77777777" w:rsidR="003346C7" w:rsidRPr="005F07C5" w:rsidRDefault="003346C7" w:rsidP="005F07C5">
      <w:pPr>
        <w:spacing w:line="240" w:lineRule="auto"/>
        <w:rPr>
          <w:sz w:val="24"/>
          <w:szCs w:val="24"/>
        </w:rPr>
      </w:pPr>
      <w:r w:rsidRPr="005F07C5">
        <w:rPr>
          <w:sz w:val="24"/>
          <w:szCs w:val="24"/>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2AE692E6" w14:textId="785EFE9B" w:rsidR="003346C7" w:rsidRPr="005F07C5" w:rsidRDefault="003346C7" w:rsidP="005F07C5">
      <w:pPr>
        <w:spacing w:line="240" w:lineRule="auto"/>
        <w:rPr>
          <w:sz w:val="24"/>
          <w:szCs w:val="24"/>
        </w:rPr>
      </w:pPr>
      <w:r w:rsidRPr="005F07C5">
        <w:rPr>
          <w:sz w:val="24"/>
          <w:szCs w:val="24"/>
        </w:rPr>
        <w:t>The Applicant considered and rejected two alternatives to the Proposed Project.</w:t>
      </w:r>
    </w:p>
    <w:p w14:paraId="551FC627" w14:textId="2E7B620E" w:rsidR="003346C7" w:rsidRPr="005F07C5" w:rsidRDefault="0095225C" w:rsidP="002D6EBF">
      <w:pPr>
        <w:pStyle w:val="ListParagraph"/>
        <w:numPr>
          <w:ilvl w:val="0"/>
          <w:numId w:val="8"/>
        </w:numPr>
        <w:spacing w:line="240" w:lineRule="auto"/>
        <w:rPr>
          <w:b/>
          <w:bCs/>
          <w:sz w:val="24"/>
          <w:szCs w:val="24"/>
        </w:rPr>
      </w:pPr>
      <w:r w:rsidRPr="005F07C5">
        <w:rPr>
          <w:b/>
          <w:bCs/>
          <w:sz w:val="24"/>
          <w:szCs w:val="24"/>
        </w:rPr>
        <w:t xml:space="preserve">Acquire a mobile MRI unit. </w:t>
      </w:r>
      <w:r w:rsidRPr="005F07C5">
        <w:rPr>
          <w:sz w:val="24"/>
          <w:szCs w:val="24"/>
        </w:rPr>
        <w:t>The Applicant rejected this alternative because the distance required to transport patients from the ED or their room to the MRI trailer would negatively impact patient experience</w:t>
      </w:r>
      <w:r w:rsidR="00D87487">
        <w:rPr>
          <w:sz w:val="24"/>
          <w:szCs w:val="24"/>
        </w:rPr>
        <w:t>;</w:t>
      </w:r>
      <w:r w:rsidRPr="005F07C5">
        <w:rPr>
          <w:sz w:val="24"/>
          <w:szCs w:val="24"/>
        </w:rPr>
        <w:t xml:space="preserve"> the location of the mobile trailer would create access issues for the Hospital’s Code team in the event of an emergency</w:t>
      </w:r>
      <w:r w:rsidR="00D87487">
        <w:rPr>
          <w:sz w:val="24"/>
          <w:szCs w:val="24"/>
        </w:rPr>
        <w:t>;</w:t>
      </w:r>
      <w:r w:rsidRPr="005F07C5">
        <w:rPr>
          <w:sz w:val="24"/>
          <w:szCs w:val="24"/>
        </w:rPr>
        <w:t xml:space="preserve"> and </w:t>
      </w:r>
      <w:r w:rsidR="002D32DB">
        <w:rPr>
          <w:sz w:val="24"/>
          <w:szCs w:val="24"/>
        </w:rPr>
        <w:t xml:space="preserve">because </w:t>
      </w:r>
      <w:r w:rsidRPr="005F07C5">
        <w:rPr>
          <w:sz w:val="24"/>
          <w:szCs w:val="24"/>
        </w:rPr>
        <w:t xml:space="preserve">the space in the mobile trailer is smaller than that in an MRI scan room which limits the </w:t>
      </w:r>
      <w:r w:rsidR="00877D29">
        <w:rPr>
          <w:sz w:val="24"/>
          <w:szCs w:val="24"/>
        </w:rPr>
        <w:t>number</w:t>
      </w:r>
      <w:r w:rsidRPr="005F07C5">
        <w:rPr>
          <w:sz w:val="24"/>
          <w:szCs w:val="24"/>
        </w:rPr>
        <w:t xml:space="preserve"> of supplies and patient comfort</w:t>
      </w:r>
      <w:r w:rsidR="00E16424">
        <w:rPr>
          <w:sz w:val="24"/>
          <w:szCs w:val="24"/>
        </w:rPr>
        <w:t xml:space="preserve"> items</w:t>
      </w:r>
      <w:r w:rsidR="00B730F2">
        <w:rPr>
          <w:sz w:val="24"/>
          <w:szCs w:val="24"/>
        </w:rPr>
        <w:t xml:space="preserve"> that can be made available</w:t>
      </w:r>
      <w:r w:rsidRPr="005F07C5">
        <w:rPr>
          <w:sz w:val="24"/>
          <w:szCs w:val="24"/>
        </w:rPr>
        <w:t>. The Applicant determined this alternative was less efficient because it would require the operation of two separate MRI area</w:t>
      </w:r>
      <w:r w:rsidR="00B96F08">
        <w:rPr>
          <w:sz w:val="24"/>
          <w:szCs w:val="24"/>
        </w:rPr>
        <w:t>s</w:t>
      </w:r>
      <w:r w:rsidRPr="005F07C5">
        <w:rPr>
          <w:sz w:val="24"/>
          <w:szCs w:val="24"/>
        </w:rPr>
        <w:t xml:space="preserve">. </w:t>
      </w:r>
    </w:p>
    <w:p w14:paraId="5D7218D7" w14:textId="1B15756F" w:rsidR="0095225C" w:rsidRPr="00504005" w:rsidRDefault="0095225C" w:rsidP="002D6EBF">
      <w:pPr>
        <w:pStyle w:val="ListParagraph"/>
        <w:numPr>
          <w:ilvl w:val="0"/>
          <w:numId w:val="8"/>
        </w:numPr>
        <w:spacing w:line="240" w:lineRule="auto"/>
        <w:rPr>
          <w:b/>
          <w:bCs/>
          <w:sz w:val="24"/>
          <w:szCs w:val="24"/>
        </w:rPr>
      </w:pPr>
      <w:r w:rsidRPr="005F07C5">
        <w:rPr>
          <w:b/>
          <w:bCs/>
          <w:sz w:val="24"/>
          <w:szCs w:val="24"/>
        </w:rPr>
        <w:t xml:space="preserve">Maintain the status quo of the existing MRI units. </w:t>
      </w:r>
      <w:r w:rsidRPr="005F07C5">
        <w:rPr>
          <w:sz w:val="24"/>
          <w:szCs w:val="24"/>
        </w:rPr>
        <w:t xml:space="preserve">The Applicant rejected this </w:t>
      </w:r>
      <w:r w:rsidR="00F852CB">
        <w:rPr>
          <w:sz w:val="24"/>
          <w:szCs w:val="24"/>
        </w:rPr>
        <w:t>option</w:t>
      </w:r>
      <w:r w:rsidR="00F852CB" w:rsidRPr="005F07C5">
        <w:rPr>
          <w:sz w:val="24"/>
          <w:szCs w:val="24"/>
        </w:rPr>
        <w:t xml:space="preserve"> </w:t>
      </w:r>
      <w:r w:rsidRPr="005F07C5">
        <w:rPr>
          <w:sz w:val="24"/>
          <w:szCs w:val="24"/>
        </w:rPr>
        <w:t xml:space="preserve">because quality of care and access to care would continue to be reduced and wait times and delays would continue to increase as demand for quality </w:t>
      </w:r>
      <w:r w:rsidR="007E0CBF">
        <w:rPr>
          <w:sz w:val="24"/>
          <w:szCs w:val="24"/>
        </w:rPr>
        <w:t xml:space="preserve">MRI </w:t>
      </w:r>
      <w:r w:rsidRPr="005F07C5">
        <w:rPr>
          <w:sz w:val="24"/>
          <w:szCs w:val="24"/>
        </w:rPr>
        <w:t xml:space="preserve">services increases with patient volumes. This alternative would not eliminate the need to refer patients outside of the SSHS for 3T MRI services. </w:t>
      </w:r>
      <w:r w:rsidR="0081028D" w:rsidRPr="005F07C5">
        <w:rPr>
          <w:sz w:val="24"/>
          <w:szCs w:val="24"/>
        </w:rPr>
        <w:t>Operating costs would continue to increase as SSH continued to transport admitted and emergency department patients to its satellites for MR</w:t>
      </w:r>
      <w:r w:rsidR="00B1336F" w:rsidRPr="005F07C5">
        <w:rPr>
          <w:sz w:val="24"/>
          <w:szCs w:val="24"/>
        </w:rPr>
        <w:t xml:space="preserve"> </w:t>
      </w:r>
      <w:r w:rsidR="0081028D" w:rsidRPr="005F07C5">
        <w:rPr>
          <w:sz w:val="24"/>
          <w:szCs w:val="24"/>
        </w:rPr>
        <w:t xml:space="preserve">imaging. </w:t>
      </w:r>
    </w:p>
    <w:p w14:paraId="2146EC15" w14:textId="0D03003B" w:rsidR="00A34B66" w:rsidRPr="00504005" w:rsidRDefault="00A34B66" w:rsidP="00504005">
      <w:pPr>
        <w:spacing w:line="240" w:lineRule="auto"/>
        <w:rPr>
          <w:sz w:val="24"/>
          <w:szCs w:val="24"/>
        </w:rPr>
      </w:pPr>
      <w:r w:rsidRPr="00504005">
        <w:rPr>
          <w:sz w:val="24"/>
          <w:szCs w:val="24"/>
        </w:rPr>
        <w:t xml:space="preserve">The Applicant states that SSH plans to replace the existing </w:t>
      </w:r>
      <w:r w:rsidR="00796917" w:rsidRPr="00504005">
        <w:rPr>
          <w:sz w:val="24"/>
          <w:szCs w:val="24"/>
        </w:rPr>
        <w:t>17-year-old</w:t>
      </w:r>
      <w:r w:rsidRPr="00504005">
        <w:rPr>
          <w:sz w:val="24"/>
          <w:szCs w:val="24"/>
        </w:rPr>
        <w:t xml:space="preserve"> 1.5T MRI unit with a new 1.5T machine concurrent with the addition of a 3T machine.</w:t>
      </w:r>
    </w:p>
    <w:p w14:paraId="77952E2B" w14:textId="415BEF53" w:rsidR="003346C7" w:rsidRPr="005F07C5" w:rsidRDefault="003346C7" w:rsidP="005F07C5">
      <w:pPr>
        <w:spacing w:after="0" w:line="240" w:lineRule="auto"/>
        <w:rPr>
          <w:b/>
          <w:bCs/>
          <w:i/>
          <w:iCs/>
          <w:sz w:val="24"/>
          <w:szCs w:val="24"/>
        </w:rPr>
      </w:pPr>
      <w:r w:rsidRPr="005F07C5">
        <w:rPr>
          <w:b/>
          <w:bCs/>
          <w:i/>
          <w:iCs/>
          <w:sz w:val="24"/>
          <w:szCs w:val="24"/>
        </w:rPr>
        <w:t>Analysis</w:t>
      </w:r>
    </w:p>
    <w:p w14:paraId="3BBAA607" w14:textId="76E7221B" w:rsidR="003346C7" w:rsidRPr="005F07C5" w:rsidRDefault="003346C7" w:rsidP="005F07C5">
      <w:pPr>
        <w:spacing w:after="0" w:line="240" w:lineRule="auto"/>
        <w:rPr>
          <w:sz w:val="24"/>
          <w:szCs w:val="24"/>
        </w:rPr>
      </w:pPr>
      <w:r w:rsidRPr="005F07C5">
        <w:rPr>
          <w:sz w:val="24"/>
          <w:szCs w:val="24"/>
        </w:rPr>
        <w:t>Staff finds that the Applicant has appropriately considered the quality, efficiency, and capital and operating costs of the Proposed Project relative to potential alternatives. As a result of information provided by the Applicant and additional analysis, staff finds the Applicant has reasonably met the standards of Factor 5.</w:t>
      </w:r>
    </w:p>
    <w:p w14:paraId="1C146F74" w14:textId="3D1D6D36" w:rsidR="00B9036F" w:rsidRDefault="00B9036F" w:rsidP="003346C7">
      <w:pPr>
        <w:spacing w:after="0"/>
      </w:pPr>
    </w:p>
    <w:p w14:paraId="2CF3928D" w14:textId="1749EE36" w:rsidR="00430B22" w:rsidRDefault="00430B22" w:rsidP="003346C7">
      <w:pPr>
        <w:spacing w:after="0"/>
      </w:pPr>
    </w:p>
    <w:p w14:paraId="67BA3488" w14:textId="48A599C6" w:rsidR="00C03A69" w:rsidRPr="00A67449" w:rsidRDefault="00FE5CE4" w:rsidP="00A67449">
      <w:pPr>
        <w:tabs>
          <w:tab w:val="left" w:pos="6330"/>
        </w:tabs>
        <w:rPr>
          <w:b/>
          <w:bCs/>
          <w:sz w:val="28"/>
          <w:szCs w:val="28"/>
        </w:rPr>
      </w:pPr>
      <w:r w:rsidRPr="00A67449">
        <w:rPr>
          <w:b/>
          <w:bCs/>
          <w:sz w:val="28"/>
          <w:szCs w:val="28"/>
        </w:rPr>
        <w:t>Factor 6: Fulfillment of DPH Community-based Health Initiatives Guideline</w:t>
      </w:r>
      <w:bookmarkStart w:id="3" w:name="_Toc17151192"/>
      <w:bookmarkStart w:id="4" w:name="_Toc17322410"/>
      <w:r w:rsidR="00A67449" w:rsidRPr="00A67449">
        <w:rPr>
          <w:b/>
          <w:bCs/>
          <w:sz w:val="28"/>
          <w:szCs w:val="28"/>
        </w:rPr>
        <w:t xml:space="preserve">: </w:t>
      </w:r>
      <w:r w:rsidR="00C03A69" w:rsidRPr="00A67449">
        <w:rPr>
          <w:rFonts w:eastAsia="Times New Roman" w:cstheme="minorHAnsi"/>
          <w:b/>
          <w:bCs/>
          <w:sz w:val="28"/>
          <w:szCs w:val="28"/>
        </w:rPr>
        <w:t xml:space="preserve">Overall Application  </w:t>
      </w:r>
    </w:p>
    <w:p w14:paraId="1F752C87" w14:textId="47A464BA" w:rsidR="00C03A69" w:rsidRPr="00C03A69" w:rsidRDefault="00C03A69" w:rsidP="00C03A69">
      <w:pPr>
        <w:spacing w:after="0" w:line="240" w:lineRule="auto"/>
        <w:ind w:right="540"/>
        <w:contextualSpacing/>
        <w:rPr>
          <w:rFonts w:eastAsia="Calibri" w:cstheme="minorHAnsi"/>
          <w:sz w:val="24"/>
          <w:szCs w:val="24"/>
        </w:rPr>
      </w:pPr>
      <w:r w:rsidRPr="00C03A69">
        <w:rPr>
          <w:rFonts w:eastAsia="Calibri" w:cstheme="minorHAnsi"/>
          <w:i/>
          <w:sz w:val="24"/>
          <w:szCs w:val="24"/>
        </w:rPr>
        <w:t>Summary and relevant background and context for this application:</w:t>
      </w:r>
      <w:r w:rsidRPr="00C03A69">
        <w:rPr>
          <w:rFonts w:eastAsia="Calibri" w:cstheme="minorHAnsi"/>
          <w:sz w:val="24"/>
          <w:szCs w:val="24"/>
        </w:rPr>
        <w:t xml:space="preserve"> The Applicant is applying for a DoN that will result in a Tier 1 Community Health Initiative (CHI) project for South Shore Hospital in Weymouth, Massachusetts.  The Applicant Hospital serves the thirty-three towns that constitute the state’s South Shore region, and the Needs Assessment and Planning cover the full region, while the CHI activity will serve those deemed priority areas. The Applicant’s proposed project is </w:t>
      </w:r>
      <w:r w:rsidR="00F852CB">
        <w:rPr>
          <w:rFonts w:eastAsia="Calibri" w:cstheme="minorHAnsi"/>
          <w:sz w:val="24"/>
          <w:szCs w:val="24"/>
        </w:rPr>
        <w:t>its</w:t>
      </w:r>
      <w:r w:rsidR="00F852CB" w:rsidRPr="00C03A69">
        <w:rPr>
          <w:rFonts w:eastAsia="Calibri" w:cstheme="minorHAnsi"/>
          <w:sz w:val="24"/>
          <w:szCs w:val="24"/>
        </w:rPr>
        <w:t xml:space="preserve"> </w:t>
      </w:r>
      <w:r w:rsidRPr="00C03A69">
        <w:rPr>
          <w:rFonts w:eastAsia="Calibri" w:cstheme="minorHAnsi"/>
          <w:sz w:val="24"/>
          <w:szCs w:val="24"/>
        </w:rPr>
        <w:t xml:space="preserve">first CHI that will be implemented under the CHI Guidelines approved in 2017. </w:t>
      </w:r>
    </w:p>
    <w:p w14:paraId="6D3A0232" w14:textId="77777777" w:rsidR="00C03A69" w:rsidRPr="00C03A69" w:rsidRDefault="00C03A69" w:rsidP="00C03A69">
      <w:pPr>
        <w:spacing w:after="0" w:line="240" w:lineRule="auto"/>
        <w:ind w:right="540"/>
        <w:contextualSpacing/>
        <w:rPr>
          <w:rFonts w:eastAsia="Calibri" w:cstheme="minorHAnsi"/>
          <w:sz w:val="24"/>
          <w:szCs w:val="24"/>
        </w:rPr>
      </w:pPr>
    </w:p>
    <w:p w14:paraId="6573191F" w14:textId="77777777" w:rsidR="00C03A69" w:rsidRPr="00C03A69" w:rsidRDefault="00C03A69" w:rsidP="00C03A69">
      <w:pPr>
        <w:spacing w:after="0" w:line="240" w:lineRule="auto"/>
        <w:ind w:right="540"/>
        <w:contextualSpacing/>
        <w:rPr>
          <w:rFonts w:eastAsia="Calibri" w:cstheme="minorHAnsi"/>
          <w:sz w:val="24"/>
          <w:szCs w:val="24"/>
        </w:rPr>
      </w:pPr>
      <w:r w:rsidRPr="00C03A69">
        <w:rPr>
          <w:rFonts w:eastAsia="Calibri" w:cstheme="minorHAnsi"/>
          <w:sz w:val="24"/>
          <w:szCs w:val="24"/>
        </w:rPr>
        <w:t>To fulfill Factor 6, the Applicant submitted its most recent Community Health Needs Assessment (CHNA) and Implementation Strategy, a Self-Assessment, Stakeholder Assessments, and a CHI Narrative.</w:t>
      </w:r>
    </w:p>
    <w:p w14:paraId="0B9795E7" w14:textId="77777777" w:rsidR="00C03A69" w:rsidRPr="00C03A69" w:rsidRDefault="00C03A69" w:rsidP="00C03A69">
      <w:pPr>
        <w:spacing w:after="0" w:line="240" w:lineRule="auto"/>
        <w:ind w:right="540"/>
        <w:contextualSpacing/>
        <w:rPr>
          <w:rFonts w:eastAsia="Calibri" w:cstheme="minorHAnsi"/>
          <w:sz w:val="24"/>
          <w:szCs w:val="24"/>
        </w:rPr>
      </w:pPr>
    </w:p>
    <w:p w14:paraId="515E7803" w14:textId="77777777" w:rsidR="00C03A69" w:rsidRPr="00C03A69" w:rsidRDefault="00C03A69" w:rsidP="00C03A69">
      <w:pPr>
        <w:spacing w:line="240" w:lineRule="auto"/>
        <w:contextualSpacing/>
        <w:rPr>
          <w:rFonts w:eastAsia="Calibri" w:cstheme="minorHAnsi"/>
          <w:sz w:val="24"/>
          <w:szCs w:val="24"/>
        </w:rPr>
      </w:pPr>
      <w:r w:rsidRPr="00C03A69">
        <w:rPr>
          <w:rFonts w:eastAsia="Calibri" w:cstheme="minorHAnsi"/>
          <w:b/>
          <w:sz w:val="24"/>
          <w:szCs w:val="24"/>
        </w:rPr>
        <w:t>The Community Health Needs Assessment</w:t>
      </w:r>
      <w:r w:rsidRPr="00C03A69">
        <w:rPr>
          <w:rFonts w:eastAsia="Calibri" w:cstheme="minorHAnsi"/>
          <w:sz w:val="24"/>
          <w:szCs w:val="24"/>
        </w:rPr>
        <w:t xml:space="preserve"> was conducted in phases starting in 2018 by South Shore Health System (South Shore Hospital will implement the CHI activities).  The final Community Health Needs Assessment utilized quantitative secondary data and primary data gathered from interviews, community forums, focus groups, a community survey, and a Community Health Strategic Retreat.  The CHNA describes quantitative and qualitative data collection methods and outlines demographic characteristics of the participating communities as well as key themes across community health areas and priority populations.  The health priorities include Behavioral Health/Substance Use Disorder and Chronic and Complex Conditions and their Risk Factors, while the populations of focus include Youth and Adolescents, Older Adults, and Low to Moderate Income Individuals.  The CHNA also informs the health system’s Implementation Strategy across the five Priority Populations and four Community Health Priorities outlined in the Needs Assessment.</w:t>
      </w:r>
    </w:p>
    <w:p w14:paraId="302EF4AA" w14:textId="77777777" w:rsidR="00C03A69" w:rsidRPr="00C03A69" w:rsidRDefault="00C03A69" w:rsidP="00C03A69">
      <w:pPr>
        <w:spacing w:line="240" w:lineRule="auto"/>
        <w:contextualSpacing/>
        <w:rPr>
          <w:rFonts w:eastAsia="Calibri" w:cstheme="minorHAnsi"/>
          <w:sz w:val="24"/>
          <w:szCs w:val="24"/>
        </w:rPr>
      </w:pPr>
    </w:p>
    <w:p w14:paraId="146CF4FA" w14:textId="77777777" w:rsidR="00C03A69" w:rsidRPr="00C03A69" w:rsidRDefault="00C03A69" w:rsidP="00C03A69">
      <w:pPr>
        <w:spacing w:line="240" w:lineRule="auto"/>
        <w:contextualSpacing/>
        <w:rPr>
          <w:rFonts w:eastAsia="Calibri" w:cstheme="minorHAnsi"/>
          <w:sz w:val="24"/>
          <w:szCs w:val="24"/>
        </w:rPr>
      </w:pPr>
      <w:r w:rsidRPr="00C03A69">
        <w:rPr>
          <w:rFonts w:eastAsia="Calibri" w:cstheme="minorHAnsi"/>
          <w:b/>
          <w:bCs/>
          <w:sz w:val="24"/>
          <w:szCs w:val="24"/>
        </w:rPr>
        <w:t xml:space="preserve">The Self-Assessment </w:t>
      </w:r>
      <w:r w:rsidRPr="00C03A69">
        <w:rPr>
          <w:rFonts w:eastAsia="Calibri" w:cstheme="minorHAnsi"/>
          <w:sz w:val="24"/>
          <w:szCs w:val="24"/>
        </w:rPr>
        <w:t xml:space="preserve">provided a summary of community engagement processes and socio-demographic information, data and highlights related to topics and themes of community needs. Through data analysis, community surveying, focus groups, forums, key informant interviews and a retreat, the participating community groups and residents identified the key concerns and populations outlined in the 2019 CHNA. </w:t>
      </w:r>
    </w:p>
    <w:p w14:paraId="32FEDEC8" w14:textId="77777777" w:rsidR="00C03A69" w:rsidRPr="00C03A69" w:rsidRDefault="00C03A69" w:rsidP="00C03A69">
      <w:pPr>
        <w:spacing w:line="240" w:lineRule="auto"/>
        <w:contextualSpacing/>
        <w:rPr>
          <w:rFonts w:eastAsia="Calibri" w:cstheme="minorHAnsi"/>
          <w:sz w:val="24"/>
          <w:szCs w:val="24"/>
        </w:rPr>
      </w:pPr>
    </w:p>
    <w:p w14:paraId="76B56ED4" w14:textId="77777777" w:rsidR="00C03A69" w:rsidRPr="00C03A69" w:rsidRDefault="00C03A69" w:rsidP="00C03A69">
      <w:pPr>
        <w:spacing w:line="240" w:lineRule="auto"/>
        <w:contextualSpacing/>
        <w:rPr>
          <w:rFonts w:cstheme="minorHAnsi"/>
          <w:sz w:val="24"/>
          <w:szCs w:val="24"/>
        </w:rPr>
      </w:pPr>
      <w:r w:rsidRPr="00C03A69">
        <w:rPr>
          <w:rFonts w:eastAsia="Calibri" w:cstheme="minorHAnsi"/>
          <w:b/>
          <w:bCs/>
          <w:sz w:val="24"/>
          <w:szCs w:val="24"/>
        </w:rPr>
        <w:t>Stakeholder Assessments</w:t>
      </w:r>
      <w:r w:rsidRPr="00C03A69">
        <w:rPr>
          <w:rFonts w:eastAsia="Calibri" w:cstheme="minorHAnsi"/>
          <w:sz w:val="24"/>
          <w:szCs w:val="24"/>
        </w:rPr>
        <w:t xml:space="preserve"> </w:t>
      </w:r>
      <w:r w:rsidRPr="00C03A69">
        <w:rPr>
          <w:rFonts w:cstheme="minorHAnsi"/>
          <w:sz w:val="24"/>
          <w:szCs w:val="24"/>
        </w:rPr>
        <w:t>submitted provided information on the individuals’ engagement levels including their level of participation and role, and their analysis of how the Applicant engaged the community in community health improvement planning processes. The information provided in these forms were largely consistent with the self-assessment conducted by the Applicant.</w:t>
      </w:r>
    </w:p>
    <w:p w14:paraId="2969A27E" w14:textId="77777777" w:rsidR="00C03A69" w:rsidRPr="00C03A69" w:rsidRDefault="00C03A69" w:rsidP="00C03A69">
      <w:pPr>
        <w:spacing w:line="240" w:lineRule="auto"/>
        <w:contextualSpacing/>
        <w:rPr>
          <w:rFonts w:cstheme="minorHAnsi"/>
          <w:sz w:val="24"/>
          <w:szCs w:val="24"/>
        </w:rPr>
      </w:pPr>
    </w:p>
    <w:p w14:paraId="548B8FC4" w14:textId="77777777" w:rsidR="00C03A69" w:rsidRPr="00C03A69" w:rsidRDefault="00C03A69" w:rsidP="00C03A69">
      <w:pPr>
        <w:spacing w:line="240" w:lineRule="auto"/>
        <w:contextualSpacing/>
        <w:rPr>
          <w:rFonts w:eastAsia="Calibri" w:cstheme="minorHAnsi"/>
          <w:sz w:val="24"/>
          <w:szCs w:val="24"/>
        </w:rPr>
      </w:pPr>
      <w:r w:rsidRPr="00C03A69">
        <w:rPr>
          <w:rFonts w:eastAsia="Calibri" w:cstheme="minorHAnsi"/>
          <w:b/>
          <w:bCs/>
          <w:sz w:val="24"/>
          <w:szCs w:val="24"/>
        </w:rPr>
        <w:t>The CHI Narrative</w:t>
      </w:r>
      <w:r w:rsidRPr="00C03A69">
        <w:rPr>
          <w:rFonts w:eastAsia="Calibri" w:cstheme="minorHAnsi"/>
          <w:sz w:val="24"/>
          <w:szCs w:val="24"/>
        </w:rPr>
        <w:t xml:space="preserve"> provided background and overview information for the CHI processes.  The narrative also outlines advisory duties for the advisory and allocation committees, and planned use of funding for evaluation and administrative activities.  Additionally, the narrative outlines the CHI funds breakdown and the anticipated timeline for CHI activities.</w:t>
      </w:r>
    </w:p>
    <w:p w14:paraId="091743CC" w14:textId="77777777" w:rsidR="00C03A69" w:rsidRPr="00C03A69" w:rsidRDefault="00C03A69" w:rsidP="00C03A69">
      <w:pPr>
        <w:spacing w:line="240" w:lineRule="auto"/>
        <w:contextualSpacing/>
        <w:rPr>
          <w:rFonts w:eastAsia="Calibri" w:cstheme="minorHAnsi"/>
          <w:sz w:val="24"/>
          <w:szCs w:val="24"/>
        </w:rPr>
      </w:pPr>
    </w:p>
    <w:p w14:paraId="5C90AAAC" w14:textId="5646F150" w:rsidR="00C03A69" w:rsidRPr="00C03A69" w:rsidRDefault="00C03A69" w:rsidP="00C03A69">
      <w:pPr>
        <w:spacing w:line="240" w:lineRule="auto"/>
        <w:contextualSpacing/>
        <w:rPr>
          <w:rFonts w:eastAsia="Calibri" w:cstheme="minorHAnsi"/>
          <w:sz w:val="24"/>
          <w:szCs w:val="24"/>
        </w:rPr>
      </w:pPr>
      <w:r w:rsidRPr="00C03A69">
        <w:rPr>
          <w:rFonts w:eastAsia="Calibri" w:cstheme="minorHAnsi"/>
          <w:sz w:val="24"/>
          <w:szCs w:val="24"/>
        </w:rPr>
        <w:t xml:space="preserve">There are differences in approach and alignment between the Applicant’s existing Implementation Strategy and Assessment, and the CHI framework. If used as a guide for choosing CHI strategies, the activities outlined in the Implementation Strategy will need to focus in the areas best aligned with the CHI framework to sufficiently meet Health Priority guideline approaches. The Implementation Strategy areas most closely aligned with that framework are within the Social Determinants of Health priority. The Applicant will need to continue to work closely with its large and robust Advisory Committee to ensure processes and selected strategies will align with the Health Priorities Guideline. DPH will work with the Applicant to ensure Advisory Committee’s make up is sufficient to help them make decisions in line with Health Priority principles. Specifically, DPH will work with the Applicant to ensure resident voice is engaged in decision making through the Advisory Committee. DPH staff will support the Applicant as necessary in outlining future Advisory Committee meetings and reviewing community engagement and RFP processes. The Applicant will also connect with DPH staff to establish processes for planning and implementation work moving forward. Regarding the implementation of specific CHI strategies, DPH will work with the Applicant in moving upstream, and identifying needs at the root cause to support sustainable systems level solutions. </w:t>
      </w:r>
    </w:p>
    <w:p w14:paraId="34F05FDA" w14:textId="77777777" w:rsidR="00C03A69" w:rsidRPr="00C03A69" w:rsidRDefault="00C03A69" w:rsidP="00C03A69">
      <w:pPr>
        <w:spacing w:line="240" w:lineRule="auto"/>
        <w:contextualSpacing/>
        <w:rPr>
          <w:rFonts w:eastAsia="Calibri" w:cstheme="minorHAnsi"/>
          <w:sz w:val="24"/>
          <w:szCs w:val="24"/>
        </w:rPr>
      </w:pPr>
    </w:p>
    <w:p w14:paraId="230260A7" w14:textId="1306718D" w:rsidR="00C03A69" w:rsidRPr="00C03A69" w:rsidRDefault="00C03A69" w:rsidP="00542409">
      <w:pPr>
        <w:spacing w:line="240" w:lineRule="auto"/>
        <w:contextualSpacing/>
        <w:rPr>
          <w:rFonts w:eastAsia="Calibri" w:cstheme="minorHAnsi"/>
          <w:sz w:val="24"/>
          <w:szCs w:val="24"/>
        </w:rPr>
      </w:pPr>
      <w:r w:rsidRPr="00C03A69">
        <w:rPr>
          <w:rFonts w:eastAsia="Calibri" w:cstheme="minorHAnsi"/>
          <w:sz w:val="24"/>
          <w:szCs w:val="24"/>
        </w:rPr>
        <w:t xml:space="preserve">The timeline, RFP processes, and use of evaluation and administrative funds are all appropriate and in line with CHI planning guidelines.  </w:t>
      </w:r>
    </w:p>
    <w:p w14:paraId="2D42A888" w14:textId="77777777" w:rsidR="00C03A69" w:rsidRPr="00C03A69" w:rsidRDefault="00C03A69" w:rsidP="00C03A69">
      <w:pPr>
        <w:pStyle w:val="PlainText"/>
        <w:rPr>
          <w:rFonts w:asciiTheme="minorHAnsi" w:eastAsia="Calibri" w:hAnsiTheme="minorHAnsi" w:cstheme="minorHAnsi"/>
          <w:sz w:val="24"/>
          <w:szCs w:val="24"/>
        </w:rPr>
      </w:pPr>
      <w:r w:rsidRPr="00C03A69">
        <w:rPr>
          <w:rFonts w:asciiTheme="minorHAnsi" w:eastAsia="Calibri" w:hAnsiTheme="minorHAnsi" w:cstheme="minorHAnsi"/>
          <w:sz w:val="24"/>
          <w:szCs w:val="24"/>
        </w:rPr>
        <w:t>The anticipated timeline for CHI activities includes the first meeting of the Advisory Committee six weeks post approval, identifying the Health Priorities Strategies 3 months post approval, and releasing an RFP six months post approval, with funding awarded to successful RFP applicants 3-4 months thereafter.</w:t>
      </w:r>
    </w:p>
    <w:p w14:paraId="71483648" w14:textId="77777777" w:rsidR="00C03A69" w:rsidRPr="00C03A69" w:rsidRDefault="00C03A69" w:rsidP="00C03A69">
      <w:pPr>
        <w:pStyle w:val="PlainText"/>
        <w:rPr>
          <w:rFonts w:asciiTheme="minorHAnsi" w:hAnsiTheme="minorHAnsi" w:cstheme="minorHAnsi"/>
          <w:sz w:val="24"/>
          <w:szCs w:val="24"/>
        </w:rPr>
      </w:pPr>
      <w:r w:rsidRPr="00C03A69">
        <w:rPr>
          <w:rFonts w:asciiTheme="minorHAnsi" w:eastAsia="Calibri" w:hAnsiTheme="minorHAnsi" w:cstheme="minorHAnsi"/>
          <w:sz w:val="24"/>
          <w:szCs w:val="24"/>
        </w:rPr>
        <w:t xml:space="preserve"> </w:t>
      </w:r>
    </w:p>
    <w:p w14:paraId="7A574FEE" w14:textId="77777777" w:rsidR="00C03A69" w:rsidRPr="00C03A69" w:rsidRDefault="00C03A69" w:rsidP="00C03A69">
      <w:pPr>
        <w:pStyle w:val="PlainText"/>
        <w:rPr>
          <w:rFonts w:asciiTheme="minorHAnsi" w:eastAsia="Calibri" w:hAnsiTheme="minorHAnsi" w:cstheme="minorHAnsi"/>
          <w:sz w:val="24"/>
          <w:szCs w:val="24"/>
        </w:rPr>
      </w:pPr>
      <w:r w:rsidRPr="00C03A69">
        <w:rPr>
          <w:rFonts w:asciiTheme="minorHAnsi" w:hAnsiTheme="minorHAnsi" w:cstheme="minorHAnsi"/>
          <w:sz w:val="24"/>
          <w:szCs w:val="24"/>
        </w:rPr>
        <w:t>With the administrative funds, the applicant’s early plans are to support consultant time, and the development and dissemination of community communication materials, particularly about the RFP process.</w:t>
      </w:r>
    </w:p>
    <w:p w14:paraId="02A24D55" w14:textId="77777777" w:rsidR="00C03A69" w:rsidRPr="00C03A69" w:rsidRDefault="00C03A69" w:rsidP="00C03A69">
      <w:pPr>
        <w:spacing w:line="240" w:lineRule="auto"/>
        <w:contextualSpacing/>
        <w:rPr>
          <w:rFonts w:eastAsia="Calibri" w:cstheme="minorHAnsi"/>
          <w:sz w:val="24"/>
          <w:szCs w:val="24"/>
        </w:rPr>
      </w:pPr>
    </w:p>
    <w:p w14:paraId="68434D69" w14:textId="7C86900A" w:rsidR="001F482F" w:rsidRPr="00542409" w:rsidRDefault="00C03A69" w:rsidP="00542409">
      <w:pPr>
        <w:spacing w:after="0" w:line="240" w:lineRule="auto"/>
        <w:ind w:left="-360"/>
        <w:rPr>
          <w:rFonts w:eastAsia="Calibri" w:cstheme="minorHAnsi"/>
          <w:b/>
          <w:sz w:val="24"/>
          <w:szCs w:val="24"/>
        </w:rPr>
      </w:pPr>
      <w:r w:rsidRPr="00C03A69">
        <w:rPr>
          <w:rFonts w:cstheme="minorHAnsi"/>
          <w:i/>
          <w:sz w:val="24"/>
          <w:szCs w:val="24"/>
        </w:rPr>
        <w:t>Summary Analysis</w:t>
      </w:r>
      <w:r w:rsidRPr="00C03A69">
        <w:rPr>
          <w:rFonts w:cstheme="minorHAnsi"/>
          <w:sz w:val="24"/>
          <w:szCs w:val="24"/>
        </w:rPr>
        <w:t xml:space="preserve">: As a result of information provided by the Applicant and additional analysis, staff find that with the conditions outlined below, and with their ongoing commitment to work with staff on the above outlined issues, the Applicant will have demonstrated that the Proposed Project has met Factor 6.  </w:t>
      </w:r>
      <w:bookmarkEnd w:id="3"/>
      <w:bookmarkEnd w:id="4"/>
    </w:p>
    <w:p w14:paraId="55D0D376" w14:textId="77777777" w:rsidR="001F482F" w:rsidRDefault="00761D85" w:rsidP="001F482F">
      <w:pPr>
        <w:spacing w:after="0" w:line="240" w:lineRule="auto"/>
        <w:ind w:left="-360"/>
        <w:rPr>
          <w:rFonts w:eastAsia="Calibri" w:cstheme="minorHAnsi"/>
          <w:b/>
          <w:sz w:val="24"/>
          <w:szCs w:val="24"/>
        </w:rPr>
      </w:pPr>
      <w:r w:rsidRPr="00761D85">
        <w:rPr>
          <w:b/>
          <w:bCs/>
          <w:sz w:val="28"/>
          <w:szCs w:val="28"/>
        </w:rPr>
        <w:t xml:space="preserve">Findings and Recommendations </w:t>
      </w:r>
    </w:p>
    <w:p w14:paraId="265904C8" w14:textId="713B4D9D" w:rsidR="00FD7812" w:rsidRDefault="00761D85" w:rsidP="00FD7812">
      <w:pPr>
        <w:spacing w:after="0" w:line="240" w:lineRule="auto"/>
        <w:ind w:left="-360"/>
        <w:rPr>
          <w:sz w:val="24"/>
          <w:szCs w:val="24"/>
        </w:rPr>
      </w:pPr>
      <w:r w:rsidRPr="005F07C5">
        <w:rPr>
          <w:sz w:val="24"/>
          <w:szCs w:val="24"/>
        </w:rPr>
        <w:t xml:space="preserve">Based upon a review of the materials submitted, Staff finds that, with the addition of the recommended conditions detailed below, the Applicant has met each DoN Factor for the Proposed </w:t>
      </w:r>
      <w:r w:rsidR="00265E61" w:rsidRPr="005F07C5">
        <w:rPr>
          <w:sz w:val="24"/>
          <w:szCs w:val="24"/>
        </w:rPr>
        <w:t>Project and</w:t>
      </w:r>
      <w:r w:rsidRPr="005F07C5">
        <w:rPr>
          <w:sz w:val="24"/>
          <w:szCs w:val="24"/>
        </w:rPr>
        <w:t xml:space="preserve"> recommends that the Department approve this Determination of Need, subject to all applicable standard and Other Conditions. </w:t>
      </w:r>
    </w:p>
    <w:p w14:paraId="220EC634" w14:textId="77777777" w:rsidR="00FD7812" w:rsidRDefault="00FD7812" w:rsidP="00FD7812">
      <w:pPr>
        <w:spacing w:after="0" w:line="240" w:lineRule="auto"/>
        <w:ind w:left="-360"/>
        <w:rPr>
          <w:sz w:val="24"/>
          <w:szCs w:val="24"/>
        </w:rPr>
      </w:pPr>
    </w:p>
    <w:p w14:paraId="7B9A3AB4" w14:textId="696E818B" w:rsidR="00FD7812" w:rsidRPr="00FD7812" w:rsidRDefault="00050ED6" w:rsidP="00FD7812">
      <w:pPr>
        <w:spacing w:after="0" w:line="240" w:lineRule="auto"/>
        <w:ind w:left="-360"/>
        <w:rPr>
          <w:sz w:val="24"/>
          <w:szCs w:val="24"/>
        </w:rPr>
      </w:pPr>
      <w:r w:rsidRPr="00FD7812">
        <w:rPr>
          <w:rFonts w:cstheme="minorHAnsi"/>
          <w:sz w:val="24"/>
          <w:szCs w:val="24"/>
        </w:rPr>
        <w:t xml:space="preserve">In compliance with the provisions of 105 CMR 100.310(A)(12) and (17), which require a </w:t>
      </w:r>
      <w:r w:rsidR="00FD7812">
        <w:rPr>
          <w:rFonts w:cstheme="minorHAnsi"/>
          <w:sz w:val="24"/>
          <w:szCs w:val="24"/>
        </w:rPr>
        <w:t xml:space="preserve">Holder to </w:t>
      </w:r>
      <w:r w:rsidRPr="00FD7812">
        <w:rPr>
          <w:rFonts w:cstheme="minorHAnsi"/>
          <w:sz w:val="24"/>
          <w:szCs w:val="24"/>
        </w:rPr>
        <w:t xml:space="preserve">report to the Department, at a minimum on an annual basis, including the measures related to </w:t>
      </w:r>
      <w:r w:rsidR="00FD7812">
        <w:rPr>
          <w:rFonts w:cstheme="minorHAnsi"/>
          <w:sz w:val="24"/>
          <w:szCs w:val="24"/>
        </w:rPr>
        <w:t xml:space="preserve">the project’s </w:t>
      </w:r>
      <w:r w:rsidRPr="00FD7812">
        <w:rPr>
          <w:rFonts w:cstheme="minorHAnsi"/>
          <w:sz w:val="24"/>
          <w:szCs w:val="24"/>
        </w:rPr>
        <w:t>achievement of the DoN factors</w:t>
      </w:r>
      <w:r w:rsidR="00FD7812">
        <w:rPr>
          <w:rFonts w:cstheme="minorHAnsi"/>
          <w:sz w:val="24"/>
          <w:szCs w:val="24"/>
        </w:rPr>
        <w:t>,</w:t>
      </w:r>
      <w:r w:rsidRPr="00FD7812">
        <w:rPr>
          <w:rFonts w:cstheme="minorHAnsi"/>
          <w:sz w:val="24"/>
          <w:szCs w:val="24"/>
        </w:rPr>
        <w:t xml:space="preserve"> for a period of five years from completion of the Project, the Holder shall address</w:t>
      </w:r>
      <w:r w:rsidR="00FD7812" w:rsidRPr="00FD7812">
        <w:rPr>
          <w:rFonts w:cstheme="minorHAnsi"/>
          <w:sz w:val="24"/>
          <w:szCs w:val="24"/>
        </w:rPr>
        <w:t xml:space="preserve"> ongoing evaluation of access and quality measures described below in Appendix</w:t>
      </w:r>
      <w:r w:rsidR="00EC40B4">
        <w:rPr>
          <w:rFonts w:cstheme="minorHAnsi"/>
          <w:sz w:val="24"/>
          <w:szCs w:val="24"/>
        </w:rPr>
        <w:t xml:space="preserve"> 1</w:t>
      </w:r>
      <w:r w:rsidR="00FD7812" w:rsidRPr="00FD7812">
        <w:rPr>
          <w:rFonts w:cstheme="minorHAnsi"/>
          <w:sz w:val="24"/>
          <w:szCs w:val="24"/>
        </w:rPr>
        <w:t>.</w:t>
      </w:r>
    </w:p>
    <w:p w14:paraId="2926520D" w14:textId="77777777" w:rsidR="005950D3" w:rsidRDefault="005950D3" w:rsidP="005950D3">
      <w:pPr>
        <w:spacing w:after="0" w:line="240" w:lineRule="auto"/>
        <w:ind w:left="-360"/>
        <w:rPr>
          <w:rFonts w:eastAsia="Calibri" w:cstheme="minorHAnsi"/>
          <w:b/>
          <w:sz w:val="24"/>
          <w:szCs w:val="24"/>
        </w:rPr>
      </w:pPr>
    </w:p>
    <w:p w14:paraId="31F07000" w14:textId="42739AA8" w:rsidR="004A553C" w:rsidRDefault="00DC50CC" w:rsidP="005950D3">
      <w:pPr>
        <w:spacing w:after="0" w:line="240" w:lineRule="auto"/>
        <w:ind w:left="-360"/>
        <w:rPr>
          <w:b/>
          <w:bCs/>
          <w:sz w:val="24"/>
          <w:szCs w:val="24"/>
        </w:rPr>
      </w:pPr>
      <w:r>
        <w:rPr>
          <w:b/>
          <w:bCs/>
          <w:sz w:val="24"/>
          <w:szCs w:val="24"/>
        </w:rPr>
        <w:t>C</w:t>
      </w:r>
      <w:r w:rsidR="004A553C" w:rsidRPr="005F07C5">
        <w:rPr>
          <w:b/>
          <w:bCs/>
          <w:sz w:val="24"/>
          <w:szCs w:val="24"/>
        </w:rPr>
        <w:t>onditions</w:t>
      </w:r>
      <w:r>
        <w:rPr>
          <w:b/>
          <w:bCs/>
          <w:sz w:val="24"/>
          <w:szCs w:val="24"/>
        </w:rPr>
        <w:t xml:space="preserve"> to the DoN</w:t>
      </w:r>
    </w:p>
    <w:p w14:paraId="6800FD4A" w14:textId="77777777" w:rsidR="00153801" w:rsidRPr="005950D3" w:rsidRDefault="00153801" w:rsidP="005950D3">
      <w:pPr>
        <w:spacing w:after="0" w:line="240" w:lineRule="auto"/>
        <w:ind w:left="-360"/>
        <w:rPr>
          <w:rFonts w:eastAsia="Calibri" w:cstheme="minorHAnsi"/>
          <w:b/>
          <w:sz w:val="24"/>
          <w:szCs w:val="24"/>
        </w:rPr>
      </w:pPr>
    </w:p>
    <w:p w14:paraId="704BFC1C" w14:textId="77777777" w:rsidR="00C03A69" w:rsidRPr="00C03A69" w:rsidRDefault="00C03A69" w:rsidP="002D6EBF">
      <w:pPr>
        <w:pStyle w:val="ListParagraph"/>
        <w:numPr>
          <w:ilvl w:val="0"/>
          <w:numId w:val="20"/>
        </w:numPr>
        <w:spacing w:after="0" w:line="240" w:lineRule="auto"/>
        <w:ind w:right="540"/>
        <w:rPr>
          <w:rFonts w:eastAsia="Calibri" w:cstheme="minorHAnsi"/>
          <w:sz w:val="24"/>
          <w:szCs w:val="24"/>
        </w:rPr>
      </w:pPr>
      <w:r w:rsidRPr="00C03A69">
        <w:rPr>
          <w:rFonts w:eastAsia="Calibri" w:cstheme="minorHAnsi"/>
          <w:sz w:val="24"/>
          <w:szCs w:val="24"/>
        </w:rPr>
        <w:t>Of the total required CHI contribution of $119,374.05</w:t>
      </w:r>
    </w:p>
    <w:p w14:paraId="2E13A8F2" w14:textId="77777777" w:rsidR="00C03A69" w:rsidRPr="00C03A69" w:rsidRDefault="00C03A69" w:rsidP="002D6EBF">
      <w:pPr>
        <w:numPr>
          <w:ilvl w:val="1"/>
          <w:numId w:val="19"/>
        </w:numPr>
        <w:spacing w:after="0" w:line="240" w:lineRule="auto"/>
        <w:ind w:left="1440" w:right="540"/>
        <w:contextualSpacing/>
        <w:rPr>
          <w:rFonts w:eastAsia="Calibri" w:cstheme="minorHAnsi"/>
          <w:sz w:val="24"/>
          <w:szCs w:val="24"/>
        </w:rPr>
      </w:pPr>
      <w:r w:rsidRPr="00C03A69">
        <w:rPr>
          <w:rFonts w:eastAsia="Calibri" w:cstheme="minorHAnsi"/>
          <w:sz w:val="24"/>
          <w:szCs w:val="24"/>
        </w:rPr>
        <w:t xml:space="preserve">$11,459.91 will be directed to the CHI Statewide Initiative </w:t>
      </w:r>
    </w:p>
    <w:p w14:paraId="43451F9C" w14:textId="77777777" w:rsidR="00C03A69" w:rsidRPr="00C03A69" w:rsidRDefault="00C03A69" w:rsidP="002D6EBF">
      <w:pPr>
        <w:numPr>
          <w:ilvl w:val="1"/>
          <w:numId w:val="19"/>
        </w:numPr>
        <w:spacing w:after="0" w:line="240" w:lineRule="auto"/>
        <w:ind w:left="1440" w:right="540"/>
        <w:contextualSpacing/>
        <w:rPr>
          <w:rFonts w:eastAsia="Calibri" w:cstheme="minorHAnsi"/>
          <w:sz w:val="24"/>
          <w:szCs w:val="24"/>
        </w:rPr>
      </w:pPr>
      <w:r w:rsidRPr="00C03A69">
        <w:rPr>
          <w:rFonts w:eastAsia="Calibri" w:cstheme="minorHAnsi"/>
          <w:sz w:val="24"/>
          <w:szCs w:val="24"/>
        </w:rPr>
        <w:t xml:space="preserve">$103,139.18 will be dedicated to local approaches to the DoN Health Priorities </w:t>
      </w:r>
    </w:p>
    <w:p w14:paraId="4DDA7964" w14:textId="77777777" w:rsidR="00C03A69" w:rsidRPr="00C03A69" w:rsidRDefault="00C03A69" w:rsidP="002D6EBF">
      <w:pPr>
        <w:numPr>
          <w:ilvl w:val="1"/>
          <w:numId w:val="19"/>
        </w:numPr>
        <w:spacing w:after="0" w:line="240" w:lineRule="auto"/>
        <w:ind w:left="1440" w:right="540"/>
        <w:contextualSpacing/>
        <w:rPr>
          <w:rFonts w:eastAsia="Calibri" w:cstheme="minorHAnsi"/>
          <w:sz w:val="24"/>
          <w:szCs w:val="24"/>
        </w:rPr>
      </w:pPr>
      <w:r w:rsidRPr="00C03A69">
        <w:rPr>
          <w:rFonts w:eastAsia="Calibri" w:cstheme="minorHAnsi"/>
          <w:sz w:val="24"/>
          <w:szCs w:val="24"/>
        </w:rPr>
        <w:t>$4,774.96 will be designated as the administrative fee.</w:t>
      </w:r>
    </w:p>
    <w:p w14:paraId="516FC360" w14:textId="77777777" w:rsidR="00C03A69" w:rsidRPr="00C03A69" w:rsidRDefault="00C03A69" w:rsidP="002D6EBF">
      <w:pPr>
        <w:pStyle w:val="ListParagraph"/>
        <w:numPr>
          <w:ilvl w:val="0"/>
          <w:numId w:val="20"/>
        </w:numPr>
        <w:spacing w:after="0" w:line="240" w:lineRule="auto"/>
        <w:ind w:right="540"/>
        <w:rPr>
          <w:rFonts w:eastAsia="Calibri" w:cstheme="minorHAnsi"/>
          <w:sz w:val="24"/>
          <w:szCs w:val="24"/>
        </w:rPr>
      </w:pPr>
      <w:r w:rsidRPr="00C03A69">
        <w:rPr>
          <w:rFonts w:eastAsia="Calibri" w:cstheme="minorHAnsi"/>
          <w:sz w:val="24"/>
          <w:szCs w:val="24"/>
        </w:rPr>
        <w:t xml:space="preserve">To comply with the Holder’s obligation to contribute to the Statewide CHI Initiative, the Holder must submit a check for $11,459.91 to Health Resources in Action (the fiscal agent for the CHI Statewide Initiative). </w:t>
      </w:r>
    </w:p>
    <w:p w14:paraId="47A70FBE" w14:textId="77777777" w:rsidR="00C03A69" w:rsidRPr="00C03A69" w:rsidRDefault="00C03A69" w:rsidP="002D6EBF">
      <w:pPr>
        <w:numPr>
          <w:ilvl w:val="2"/>
          <w:numId w:val="19"/>
        </w:numPr>
        <w:spacing w:after="0" w:line="240" w:lineRule="auto"/>
        <w:ind w:right="540"/>
        <w:contextualSpacing/>
        <w:rPr>
          <w:rFonts w:eastAsia="Calibri" w:cstheme="minorHAnsi"/>
          <w:sz w:val="24"/>
          <w:szCs w:val="24"/>
        </w:rPr>
      </w:pPr>
      <w:r w:rsidRPr="00C03A69">
        <w:rPr>
          <w:rFonts w:eastAsia="Calibri" w:cstheme="minorHAnsi"/>
          <w:sz w:val="24"/>
          <w:szCs w:val="24"/>
        </w:rPr>
        <w:t xml:space="preserve">The Holder must submit the funds to HRiA within 30 days from the date of the Notice of Approval. </w:t>
      </w:r>
    </w:p>
    <w:p w14:paraId="6F13CC01" w14:textId="77777777" w:rsidR="00C03A69" w:rsidRPr="00C03A69" w:rsidRDefault="00C03A69" w:rsidP="002D6EBF">
      <w:pPr>
        <w:numPr>
          <w:ilvl w:val="2"/>
          <w:numId w:val="19"/>
        </w:numPr>
        <w:spacing w:after="0" w:line="240" w:lineRule="auto"/>
        <w:ind w:right="540"/>
        <w:contextualSpacing/>
        <w:rPr>
          <w:rFonts w:eastAsia="Calibri" w:cstheme="minorHAnsi"/>
          <w:sz w:val="24"/>
          <w:szCs w:val="24"/>
        </w:rPr>
      </w:pPr>
      <w:r w:rsidRPr="00C03A69">
        <w:rPr>
          <w:rFonts w:eastAsia="Calibri" w:cstheme="minorHAnsi"/>
          <w:sz w:val="24"/>
          <w:szCs w:val="24"/>
        </w:rPr>
        <w:t>The Holder must promptly notify DPH (CHI contact staff) when the payment has been made.</w:t>
      </w:r>
    </w:p>
    <w:p w14:paraId="1C07D700" w14:textId="77777777" w:rsidR="004A553C" w:rsidRDefault="004A553C">
      <w:pPr>
        <w:rPr>
          <w:b/>
          <w:bCs/>
        </w:rPr>
      </w:pPr>
    </w:p>
    <w:p w14:paraId="32D7BF34" w14:textId="56B3AE8A" w:rsidR="002032BF" w:rsidRDefault="002032BF"/>
    <w:p w14:paraId="201C67AD" w14:textId="7D42F7F8" w:rsidR="005A6035" w:rsidRDefault="00503A3A" w:rsidP="005A6035">
      <w:pPr>
        <w:jc w:val="center"/>
        <w:rPr>
          <w:b/>
          <w:bCs/>
          <w:sz w:val="28"/>
          <w:szCs w:val="28"/>
        </w:rPr>
      </w:pPr>
      <w:r w:rsidRPr="00097FBA">
        <w:rPr>
          <w:b/>
          <w:bCs/>
          <w:sz w:val="28"/>
          <w:szCs w:val="28"/>
        </w:rPr>
        <w:t>Appendix</w:t>
      </w:r>
      <w:r w:rsidR="000559EC">
        <w:rPr>
          <w:b/>
          <w:bCs/>
          <w:sz w:val="28"/>
          <w:szCs w:val="28"/>
        </w:rPr>
        <w:t xml:space="preserve"> 1</w:t>
      </w:r>
    </w:p>
    <w:p w14:paraId="62FBB823" w14:textId="7FF31D83" w:rsidR="005A6035" w:rsidRDefault="005A6035" w:rsidP="00E038A6">
      <w:pPr>
        <w:spacing w:after="0" w:line="240" w:lineRule="auto"/>
        <w:rPr>
          <w:sz w:val="24"/>
          <w:szCs w:val="24"/>
        </w:rPr>
      </w:pPr>
      <w:r w:rsidRPr="005A6035">
        <w:rPr>
          <w:sz w:val="24"/>
          <w:szCs w:val="24"/>
        </w:rPr>
        <w:t xml:space="preserve">The Holder shall provide, in its annual report to the Department, the following outcome measures. These metrics will become part of the annual reporting on the approved DoN, required pursuant to 105 CMR 100.310(A)(12). </w:t>
      </w:r>
    </w:p>
    <w:p w14:paraId="418D70A1" w14:textId="77777777" w:rsidR="005A6035" w:rsidRPr="005A6035" w:rsidRDefault="005A6035" w:rsidP="005A6035">
      <w:pPr>
        <w:spacing w:after="0" w:line="240" w:lineRule="auto"/>
        <w:rPr>
          <w:sz w:val="24"/>
          <w:szCs w:val="24"/>
        </w:rPr>
      </w:pPr>
    </w:p>
    <w:p w14:paraId="3C5AA5F5" w14:textId="77777777" w:rsidR="006A778D" w:rsidRPr="006A778D" w:rsidRDefault="006A778D" w:rsidP="00E038A6">
      <w:pPr>
        <w:pStyle w:val="ListParagraph"/>
        <w:widowControl w:val="0"/>
        <w:numPr>
          <w:ilvl w:val="1"/>
          <w:numId w:val="23"/>
        </w:numPr>
        <w:tabs>
          <w:tab w:val="left" w:pos="1385"/>
        </w:tabs>
        <w:autoSpaceDE w:val="0"/>
        <w:autoSpaceDN w:val="0"/>
        <w:spacing w:after="0" w:line="240" w:lineRule="auto"/>
        <w:ind w:left="592" w:right="118"/>
        <w:contextualSpacing w:val="0"/>
        <w:jc w:val="both"/>
        <w:rPr>
          <w:rFonts w:cstheme="minorHAnsi"/>
          <w:sz w:val="24"/>
          <w:szCs w:val="24"/>
        </w:rPr>
      </w:pPr>
      <w:r w:rsidRPr="006A778D">
        <w:rPr>
          <w:rFonts w:cstheme="minorHAnsi"/>
          <w:b/>
          <w:spacing w:val="4"/>
          <w:sz w:val="24"/>
          <w:szCs w:val="24"/>
        </w:rPr>
        <w:t xml:space="preserve">Patient </w:t>
      </w:r>
      <w:r w:rsidRPr="006A778D">
        <w:rPr>
          <w:rFonts w:cstheme="minorHAnsi"/>
          <w:b/>
          <w:sz w:val="24"/>
          <w:szCs w:val="24"/>
        </w:rPr>
        <w:t>Experience/Satisfaction</w:t>
      </w:r>
      <w:r w:rsidRPr="006A778D">
        <w:rPr>
          <w:rFonts w:cstheme="minorHAnsi"/>
          <w:sz w:val="24"/>
          <w:szCs w:val="24"/>
        </w:rPr>
        <w:t xml:space="preserve">: Patients that </w:t>
      </w:r>
      <w:r w:rsidRPr="006A778D">
        <w:rPr>
          <w:rFonts w:cstheme="minorHAnsi"/>
          <w:spacing w:val="2"/>
          <w:sz w:val="24"/>
          <w:szCs w:val="24"/>
        </w:rPr>
        <w:t xml:space="preserve">are </w:t>
      </w:r>
      <w:r w:rsidRPr="006A778D">
        <w:rPr>
          <w:rFonts w:cstheme="minorHAnsi"/>
          <w:sz w:val="24"/>
          <w:szCs w:val="24"/>
        </w:rPr>
        <w:t xml:space="preserve">satisfied </w:t>
      </w:r>
      <w:r w:rsidRPr="006A778D">
        <w:rPr>
          <w:rFonts w:cstheme="minorHAnsi"/>
          <w:spacing w:val="-5"/>
          <w:sz w:val="24"/>
          <w:szCs w:val="24"/>
        </w:rPr>
        <w:t xml:space="preserve">with </w:t>
      </w:r>
      <w:r w:rsidRPr="006A778D">
        <w:rPr>
          <w:rFonts w:cstheme="minorHAnsi"/>
          <w:sz w:val="24"/>
          <w:szCs w:val="24"/>
        </w:rPr>
        <w:t xml:space="preserve">care </w:t>
      </w:r>
      <w:r w:rsidRPr="006A778D">
        <w:rPr>
          <w:rFonts w:cstheme="minorHAnsi"/>
          <w:spacing w:val="2"/>
          <w:sz w:val="24"/>
          <w:szCs w:val="24"/>
        </w:rPr>
        <w:t xml:space="preserve">are </w:t>
      </w:r>
      <w:r w:rsidRPr="006A778D">
        <w:rPr>
          <w:rFonts w:cstheme="minorHAnsi"/>
          <w:spacing w:val="-5"/>
          <w:sz w:val="24"/>
          <w:szCs w:val="24"/>
        </w:rPr>
        <w:t xml:space="preserve">more </w:t>
      </w:r>
      <w:r w:rsidRPr="006A778D">
        <w:rPr>
          <w:rFonts w:cstheme="minorHAnsi"/>
          <w:sz w:val="24"/>
          <w:szCs w:val="24"/>
        </w:rPr>
        <w:t xml:space="preserve">likely to seek additional treatment </w:t>
      </w:r>
      <w:r w:rsidRPr="006A778D">
        <w:rPr>
          <w:rFonts w:cstheme="minorHAnsi"/>
          <w:spacing w:val="-3"/>
          <w:sz w:val="24"/>
          <w:szCs w:val="24"/>
        </w:rPr>
        <w:t xml:space="preserve">when </w:t>
      </w:r>
      <w:r w:rsidRPr="006A778D">
        <w:rPr>
          <w:rFonts w:cstheme="minorHAnsi"/>
          <w:sz w:val="24"/>
          <w:szCs w:val="24"/>
        </w:rPr>
        <w:t xml:space="preserve">necessary. </w:t>
      </w:r>
      <w:r w:rsidRPr="006A778D">
        <w:rPr>
          <w:rFonts w:cstheme="minorHAnsi"/>
          <w:spacing w:val="-4"/>
          <w:sz w:val="24"/>
          <w:szCs w:val="24"/>
        </w:rPr>
        <w:t xml:space="preserve">SSH </w:t>
      </w:r>
      <w:r w:rsidRPr="006A778D">
        <w:rPr>
          <w:rFonts w:cstheme="minorHAnsi"/>
          <w:sz w:val="24"/>
          <w:szCs w:val="24"/>
        </w:rPr>
        <w:t xml:space="preserve">staff </w:t>
      </w:r>
      <w:r w:rsidRPr="006A778D">
        <w:rPr>
          <w:rFonts w:cstheme="minorHAnsi"/>
          <w:spacing w:val="-6"/>
          <w:sz w:val="24"/>
          <w:szCs w:val="24"/>
        </w:rPr>
        <w:t xml:space="preserve">will </w:t>
      </w:r>
      <w:r w:rsidRPr="006A778D">
        <w:rPr>
          <w:rFonts w:cstheme="minorHAnsi"/>
          <w:sz w:val="24"/>
          <w:szCs w:val="24"/>
        </w:rPr>
        <w:t xml:space="preserve">review </w:t>
      </w:r>
      <w:r w:rsidRPr="006A778D">
        <w:rPr>
          <w:rFonts w:cstheme="minorHAnsi"/>
          <w:spacing w:val="-3"/>
          <w:sz w:val="24"/>
          <w:szCs w:val="24"/>
        </w:rPr>
        <w:t xml:space="preserve">overall </w:t>
      </w:r>
      <w:r w:rsidRPr="006A778D">
        <w:rPr>
          <w:rFonts w:cstheme="minorHAnsi"/>
          <w:sz w:val="24"/>
          <w:szCs w:val="24"/>
        </w:rPr>
        <w:t>ratings</w:t>
      </w:r>
      <w:r w:rsidRPr="006A778D">
        <w:rPr>
          <w:rFonts w:cstheme="minorHAnsi"/>
          <w:spacing w:val="-12"/>
          <w:sz w:val="24"/>
          <w:szCs w:val="24"/>
        </w:rPr>
        <w:t xml:space="preserve"> </w:t>
      </w:r>
      <w:r w:rsidRPr="006A778D">
        <w:rPr>
          <w:rFonts w:cstheme="minorHAnsi"/>
          <w:sz w:val="24"/>
          <w:szCs w:val="24"/>
        </w:rPr>
        <w:t>of</w:t>
      </w:r>
      <w:r w:rsidRPr="006A778D">
        <w:rPr>
          <w:rFonts w:cstheme="minorHAnsi"/>
          <w:spacing w:val="-9"/>
          <w:sz w:val="24"/>
          <w:szCs w:val="24"/>
        </w:rPr>
        <w:t xml:space="preserve"> </w:t>
      </w:r>
      <w:r w:rsidRPr="006A778D">
        <w:rPr>
          <w:rFonts w:cstheme="minorHAnsi"/>
          <w:sz w:val="24"/>
          <w:szCs w:val="24"/>
        </w:rPr>
        <w:t>care</w:t>
      </w:r>
      <w:r w:rsidRPr="006A778D">
        <w:rPr>
          <w:rFonts w:cstheme="minorHAnsi"/>
          <w:spacing w:val="-6"/>
          <w:sz w:val="24"/>
          <w:szCs w:val="24"/>
        </w:rPr>
        <w:t xml:space="preserve"> </w:t>
      </w:r>
      <w:r w:rsidRPr="006A778D">
        <w:rPr>
          <w:rFonts w:cstheme="minorHAnsi"/>
          <w:spacing w:val="-5"/>
          <w:sz w:val="24"/>
          <w:szCs w:val="24"/>
        </w:rPr>
        <w:t>with</w:t>
      </w:r>
      <w:r w:rsidRPr="006A778D">
        <w:rPr>
          <w:rFonts w:cstheme="minorHAnsi"/>
          <w:spacing w:val="-7"/>
          <w:sz w:val="24"/>
          <w:szCs w:val="24"/>
        </w:rPr>
        <w:t xml:space="preserve"> </w:t>
      </w:r>
      <w:r w:rsidRPr="006A778D">
        <w:rPr>
          <w:rFonts w:cstheme="minorHAnsi"/>
          <w:sz w:val="24"/>
          <w:szCs w:val="24"/>
        </w:rPr>
        <w:t>imaging</w:t>
      </w:r>
      <w:r w:rsidRPr="006A778D">
        <w:rPr>
          <w:rFonts w:cstheme="minorHAnsi"/>
          <w:spacing w:val="-7"/>
          <w:sz w:val="24"/>
          <w:szCs w:val="24"/>
        </w:rPr>
        <w:t xml:space="preserve"> </w:t>
      </w:r>
      <w:r w:rsidRPr="006A778D">
        <w:rPr>
          <w:rFonts w:cstheme="minorHAnsi"/>
          <w:sz w:val="24"/>
          <w:szCs w:val="24"/>
        </w:rPr>
        <w:t>services</w:t>
      </w:r>
      <w:r w:rsidRPr="006A778D">
        <w:rPr>
          <w:rFonts w:cstheme="minorHAnsi"/>
          <w:spacing w:val="-11"/>
          <w:sz w:val="24"/>
          <w:szCs w:val="24"/>
        </w:rPr>
        <w:t xml:space="preserve"> </w:t>
      </w:r>
      <w:r w:rsidRPr="006A778D">
        <w:rPr>
          <w:rFonts w:cstheme="minorHAnsi"/>
          <w:sz w:val="24"/>
          <w:szCs w:val="24"/>
        </w:rPr>
        <w:t>via</w:t>
      </w:r>
      <w:r w:rsidRPr="006A778D">
        <w:rPr>
          <w:rFonts w:cstheme="minorHAnsi"/>
          <w:spacing w:val="-7"/>
          <w:sz w:val="24"/>
          <w:szCs w:val="24"/>
        </w:rPr>
        <w:t xml:space="preserve"> </w:t>
      </w:r>
      <w:r w:rsidRPr="006A778D">
        <w:rPr>
          <w:rFonts w:cstheme="minorHAnsi"/>
          <w:sz w:val="24"/>
          <w:szCs w:val="24"/>
        </w:rPr>
        <w:t>a</w:t>
      </w:r>
      <w:r w:rsidRPr="006A778D">
        <w:rPr>
          <w:rFonts w:cstheme="minorHAnsi"/>
          <w:spacing w:val="-7"/>
          <w:sz w:val="24"/>
          <w:szCs w:val="24"/>
        </w:rPr>
        <w:t xml:space="preserve"> </w:t>
      </w:r>
      <w:r w:rsidRPr="006A778D">
        <w:rPr>
          <w:rFonts w:cstheme="minorHAnsi"/>
          <w:sz w:val="24"/>
          <w:szCs w:val="24"/>
        </w:rPr>
        <w:t>Press</w:t>
      </w:r>
      <w:r w:rsidRPr="006A778D">
        <w:rPr>
          <w:rFonts w:cstheme="minorHAnsi"/>
          <w:spacing w:val="-11"/>
          <w:sz w:val="24"/>
          <w:szCs w:val="24"/>
        </w:rPr>
        <w:t xml:space="preserve"> </w:t>
      </w:r>
      <w:r w:rsidRPr="006A778D">
        <w:rPr>
          <w:rFonts w:cstheme="minorHAnsi"/>
          <w:sz w:val="24"/>
          <w:szCs w:val="24"/>
        </w:rPr>
        <w:t>Ganey</w:t>
      </w:r>
      <w:r w:rsidRPr="006A778D">
        <w:rPr>
          <w:rFonts w:cstheme="minorHAnsi"/>
          <w:spacing w:val="-11"/>
          <w:sz w:val="24"/>
          <w:szCs w:val="24"/>
        </w:rPr>
        <w:t xml:space="preserve"> </w:t>
      </w:r>
      <w:r w:rsidRPr="006A778D">
        <w:rPr>
          <w:rFonts w:cstheme="minorHAnsi"/>
          <w:sz w:val="24"/>
          <w:szCs w:val="24"/>
        </w:rPr>
        <w:t>survey.</w:t>
      </w:r>
    </w:p>
    <w:p w14:paraId="7C9D8B6E" w14:textId="77777777" w:rsidR="006A778D" w:rsidRPr="006A778D" w:rsidRDefault="006A778D" w:rsidP="00E038A6">
      <w:pPr>
        <w:pStyle w:val="BodyText"/>
        <w:spacing w:before="82"/>
        <w:ind w:left="720" w:right="122"/>
        <w:jc w:val="both"/>
        <w:rPr>
          <w:rFonts w:asciiTheme="minorHAnsi" w:hAnsiTheme="minorHAnsi" w:cstheme="minorHAnsi"/>
          <w:sz w:val="24"/>
          <w:szCs w:val="24"/>
        </w:rPr>
      </w:pPr>
      <w:r w:rsidRPr="006A778D">
        <w:rPr>
          <w:rFonts w:asciiTheme="minorHAnsi" w:hAnsiTheme="minorHAnsi" w:cstheme="minorHAnsi"/>
          <w:b/>
          <w:spacing w:val="4"/>
          <w:sz w:val="24"/>
          <w:szCs w:val="24"/>
        </w:rPr>
        <w:t>Measure:</w:t>
      </w:r>
      <w:r w:rsidRPr="006A778D">
        <w:rPr>
          <w:rFonts w:asciiTheme="minorHAnsi" w:hAnsiTheme="minorHAnsi" w:cstheme="minorHAnsi"/>
          <w:b/>
          <w:spacing w:val="-17"/>
          <w:sz w:val="24"/>
          <w:szCs w:val="24"/>
        </w:rPr>
        <w:t xml:space="preserve"> </w:t>
      </w:r>
      <w:r w:rsidRPr="006A778D">
        <w:rPr>
          <w:rFonts w:asciiTheme="minorHAnsi" w:hAnsiTheme="minorHAnsi" w:cstheme="minorHAnsi"/>
          <w:sz w:val="24"/>
          <w:szCs w:val="24"/>
        </w:rPr>
        <w:t>Overall</w:t>
      </w:r>
      <w:r w:rsidRPr="006A778D">
        <w:rPr>
          <w:rFonts w:asciiTheme="minorHAnsi" w:hAnsiTheme="minorHAnsi" w:cstheme="minorHAnsi"/>
          <w:spacing w:val="-5"/>
          <w:sz w:val="24"/>
          <w:szCs w:val="24"/>
        </w:rPr>
        <w:t xml:space="preserve"> </w:t>
      </w:r>
      <w:r w:rsidRPr="006A778D">
        <w:rPr>
          <w:rFonts w:asciiTheme="minorHAnsi" w:hAnsiTheme="minorHAnsi" w:cstheme="minorHAnsi"/>
          <w:sz w:val="24"/>
          <w:szCs w:val="24"/>
        </w:rPr>
        <w:t>rating of</w:t>
      </w:r>
      <w:r w:rsidRPr="006A778D">
        <w:rPr>
          <w:rFonts w:asciiTheme="minorHAnsi" w:hAnsiTheme="minorHAnsi" w:cstheme="minorHAnsi"/>
          <w:spacing w:val="-2"/>
          <w:sz w:val="24"/>
          <w:szCs w:val="24"/>
        </w:rPr>
        <w:t xml:space="preserve"> </w:t>
      </w:r>
      <w:r w:rsidRPr="006A778D">
        <w:rPr>
          <w:rFonts w:asciiTheme="minorHAnsi" w:hAnsiTheme="minorHAnsi" w:cstheme="minorHAnsi"/>
          <w:sz w:val="24"/>
          <w:szCs w:val="24"/>
        </w:rPr>
        <w:t>care</w:t>
      </w:r>
      <w:r w:rsidRPr="006A778D">
        <w:rPr>
          <w:rFonts w:asciiTheme="minorHAnsi" w:hAnsiTheme="minorHAnsi" w:cstheme="minorHAnsi"/>
          <w:spacing w:val="-19"/>
          <w:sz w:val="24"/>
          <w:szCs w:val="24"/>
        </w:rPr>
        <w:t xml:space="preserve"> </w:t>
      </w:r>
      <w:r w:rsidRPr="006A778D">
        <w:rPr>
          <w:rFonts w:asciiTheme="minorHAnsi" w:hAnsiTheme="minorHAnsi" w:cstheme="minorHAnsi"/>
          <w:sz w:val="24"/>
          <w:szCs w:val="24"/>
        </w:rPr>
        <w:t>using</w:t>
      </w:r>
      <w:r w:rsidRPr="006A778D">
        <w:rPr>
          <w:rFonts w:asciiTheme="minorHAnsi" w:hAnsiTheme="minorHAnsi" w:cstheme="minorHAnsi"/>
          <w:spacing w:val="1"/>
          <w:sz w:val="24"/>
          <w:szCs w:val="24"/>
        </w:rPr>
        <w:t xml:space="preserve"> </w:t>
      </w:r>
      <w:r w:rsidRPr="006A778D">
        <w:rPr>
          <w:rFonts w:asciiTheme="minorHAnsi" w:hAnsiTheme="minorHAnsi" w:cstheme="minorHAnsi"/>
          <w:sz w:val="24"/>
          <w:szCs w:val="24"/>
        </w:rPr>
        <w:t>response options:</w:t>
      </w:r>
      <w:r w:rsidRPr="006A778D">
        <w:rPr>
          <w:rFonts w:asciiTheme="minorHAnsi" w:hAnsiTheme="minorHAnsi" w:cstheme="minorHAnsi"/>
          <w:spacing w:val="-1"/>
          <w:sz w:val="24"/>
          <w:szCs w:val="24"/>
        </w:rPr>
        <w:t xml:space="preserve"> </w:t>
      </w:r>
      <w:r w:rsidRPr="006A778D">
        <w:rPr>
          <w:rFonts w:asciiTheme="minorHAnsi" w:hAnsiTheme="minorHAnsi" w:cstheme="minorHAnsi"/>
          <w:sz w:val="24"/>
          <w:szCs w:val="24"/>
        </w:rPr>
        <w:t>Very</w:t>
      </w:r>
      <w:r w:rsidRPr="006A778D">
        <w:rPr>
          <w:rFonts w:asciiTheme="minorHAnsi" w:hAnsiTheme="minorHAnsi" w:cstheme="minorHAnsi"/>
          <w:spacing w:val="-5"/>
          <w:sz w:val="24"/>
          <w:szCs w:val="24"/>
        </w:rPr>
        <w:t xml:space="preserve"> </w:t>
      </w:r>
      <w:r w:rsidRPr="006A778D">
        <w:rPr>
          <w:rFonts w:asciiTheme="minorHAnsi" w:hAnsiTheme="minorHAnsi" w:cstheme="minorHAnsi"/>
          <w:sz w:val="24"/>
          <w:szCs w:val="24"/>
        </w:rPr>
        <w:t>poor,</w:t>
      </w:r>
      <w:r w:rsidRPr="006A778D">
        <w:rPr>
          <w:rFonts w:asciiTheme="minorHAnsi" w:hAnsiTheme="minorHAnsi" w:cstheme="minorHAnsi"/>
          <w:spacing w:val="-2"/>
          <w:sz w:val="24"/>
          <w:szCs w:val="24"/>
        </w:rPr>
        <w:t xml:space="preserve"> </w:t>
      </w:r>
      <w:r w:rsidRPr="006A778D">
        <w:rPr>
          <w:rFonts w:asciiTheme="minorHAnsi" w:hAnsiTheme="minorHAnsi" w:cstheme="minorHAnsi"/>
          <w:sz w:val="24"/>
          <w:szCs w:val="24"/>
        </w:rPr>
        <w:t>poor,</w:t>
      </w:r>
      <w:r w:rsidRPr="006A778D">
        <w:rPr>
          <w:rFonts w:asciiTheme="minorHAnsi" w:hAnsiTheme="minorHAnsi" w:cstheme="minorHAnsi"/>
          <w:spacing w:val="-2"/>
          <w:sz w:val="24"/>
          <w:szCs w:val="24"/>
        </w:rPr>
        <w:t xml:space="preserve"> </w:t>
      </w:r>
      <w:r w:rsidRPr="006A778D">
        <w:rPr>
          <w:rFonts w:asciiTheme="minorHAnsi" w:hAnsiTheme="minorHAnsi" w:cstheme="minorHAnsi"/>
          <w:sz w:val="24"/>
          <w:szCs w:val="24"/>
        </w:rPr>
        <w:t>fair,</w:t>
      </w:r>
      <w:r w:rsidRPr="006A778D">
        <w:rPr>
          <w:rFonts w:asciiTheme="minorHAnsi" w:hAnsiTheme="minorHAnsi" w:cstheme="minorHAnsi"/>
          <w:spacing w:val="-1"/>
          <w:sz w:val="24"/>
          <w:szCs w:val="24"/>
        </w:rPr>
        <w:t xml:space="preserve"> </w:t>
      </w:r>
      <w:r w:rsidRPr="006A778D">
        <w:rPr>
          <w:rFonts w:asciiTheme="minorHAnsi" w:hAnsiTheme="minorHAnsi" w:cstheme="minorHAnsi"/>
          <w:spacing w:val="-11"/>
          <w:sz w:val="24"/>
          <w:szCs w:val="24"/>
        </w:rPr>
        <w:t xml:space="preserve">good, </w:t>
      </w:r>
      <w:r w:rsidRPr="006A778D">
        <w:rPr>
          <w:rFonts w:asciiTheme="minorHAnsi" w:hAnsiTheme="minorHAnsi" w:cstheme="minorHAnsi"/>
          <w:sz w:val="24"/>
          <w:szCs w:val="24"/>
        </w:rPr>
        <w:t>very</w:t>
      </w:r>
      <w:r w:rsidRPr="006A778D">
        <w:rPr>
          <w:rFonts w:asciiTheme="minorHAnsi" w:hAnsiTheme="minorHAnsi" w:cstheme="minorHAnsi"/>
          <w:spacing w:val="-14"/>
          <w:sz w:val="24"/>
          <w:szCs w:val="24"/>
        </w:rPr>
        <w:t xml:space="preserve"> </w:t>
      </w:r>
      <w:r w:rsidRPr="006A778D">
        <w:rPr>
          <w:rFonts w:asciiTheme="minorHAnsi" w:hAnsiTheme="minorHAnsi" w:cstheme="minorHAnsi"/>
          <w:spacing w:val="3"/>
          <w:sz w:val="24"/>
          <w:szCs w:val="24"/>
        </w:rPr>
        <w:t>good</w:t>
      </w:r>
    </w:p>
    <w:p w14:paraId="42FAFC96" w14:textId="77777777" w:rsidR="006A778D" w:rsidRPr="006A778D" w:rsidRDefault="006A778D" w:rsidP="00E038A6">
      <w:pPr>
        <w:pStyle w:val="BodyText"/>
        <w:spacing w:before="85"/>
        <w:ind w:left="720" w:right="121"/>
        <w:jc w:val="both"/>
        <w:rPr>
          <w:rFonts w:asciiTheme="minorHAnsi" w:hAnsiTheme="minorHAnsi" w:cstheme="minorHAnsi"/>
          <w:sz w:val="24"/>
          <w:szCs w:val="24"/>
        </w:rPr>
      </w:pPr>
      <w:r w:rsidRPr="006A778D">
        <w:rPr>
          <w:rFonts w:asciiTheme="minorHAnsi" w:hAnsiTheme="minorHAnsi" w:cstheme="minorHAnsi"/>
          <w:b/>
          <w:sz w:val="24"/>
          <w:szCs w:val="24"/>
        </w:rPr>
        <w:t xml:space="preserve">Projections: </w:t>
      </w:r>
      <w:r w:rsidRPr="006A778D">
        <w:rPr>
          <w:rFonts w:asciiTheme="minorHAnsi" w:hAnsiTheme="minorHAnsi" w:cstheme="minorHAnsi"/>
          <w:spacing w:val="-8"/>
          <w:sz w:val="24"/>
          <w:szCs w:val="24"/>
        </w:rPr>
        <w:t xml:space="preserve">SSHS </w:t>
      </w:r>
      <w:r w:rsidRPr="006A778D">
        <w:rPr>
          <w:rFonts w:asciiTheme="minorHAnsi" w:hAnsiTheme="minorHAnsi" w:cstheme="minorHAnsi"/>
          <w:spacing w:val="-6"/>
          <w:sz w:val="24"/>
          <w:szCs w:val="24"/>
        </w:rPr>
        <w:t xml:space="preserve">will </w:t>
      </w:r>
      <w:r w:rsidRPr="006A778D">
        <w:rPr>
          <w:rFonts w:asciiTheme="minorHAnsi" w:hAnsiTheme="minorHAnsi" w:cstheme="minorHAnsi"/>
          <w:sz w:val="24"/>
          <w:szCs w:val="24"/>
        </w:rPr>
        <w:t xml:space="preserve">provide baseline measures and </w:t>
      </w:r>
      <w:r w:rsidRPr="006A778D">
        <w:rPr>
          <w:rFonts w:asciiTheme="minorHAnsi" w:hAnsiTheme="minorHAnsi" w:cstheme="minorHAnsi"/>
          <w:spacing w:val="2"/>
          <w:sz w:val="24"/>
          <w:szCs w:val="24"/>
        </w:rPr>
        <w:t xml:space="preserve">three years </w:t>
      </w:r>
      <w:r w:rsidRPr="006A778D">
        <w:rPr>
          <w:rFonts w:asciiTheme="minorHAnsi" w:hAnsiTheme="minorHAnsi" w:cstheme="minorHAnsi"/>
          <w:sz w:val="24"/>
          <w:szCs w:val="24"/>
        </w:rPr>
        <w:t xml:space="preserve">of </w:t>
      </w:r>
      <w:r w:rsidRPr="006A778D">
        <w:rPr>
          <w:rFonts w:asciiTheme="minorHAnsi" w:hAnsiTheme="minorHAnsi" w:cstheme="minorHAnsi"/>
          <w:spacing w:val="-3"/>
          <w:sz w:val="24"/>
          <w:szCs w:val="24"/>
        </w:rPr>
        <w:t xml:space="preserve">projections </w:t>
      </w:r>
      <w:r w:rsidRPr="006A778D">
        <w:rPr>
          <w:rFonts w:asciiTheme="minorHAnsi" w:hAnsiTheme="minorHAnsi" w:cstheme="minorHAnsi"/>
          <w:sz w:val="24"/>
          <w:szCs w:val="24"/>
        </w:rPr>
        <w:t xml:space="preserve">following one full year of </w:t>
      </w:r>
      <w:r w:rsidRPr="006A778D">
        <w:rPr>
          <w:rFonts w:asciiTheme="minorHAnsi" w:hAnsiTheme="minorHAnsi" w:cstheme="minorHAnsi"/>
          <w:spacing w:val="2"/>
          <w:sz w:val="24"/>
          <w:szCs w:val="24"/>
        </w:rPr>
        <w:t xml:space="preserve">operation from </w:t>
      </w:r>
      <w:r w:rsidRPr="006A778D">
        <w:rPr>
          <w:rFonts w:asciiTheme="minorHAnsi" w:hAnsiTheme="minorHAnsi" w:cstheme="minorHAnsi"/>
          <w:sz w:val="24"/>
          <w:szCs w:val="24"/>
        </w:rPr>
        <w:t xml:space="preserve">the date of implementation of the </w:t>
      </w:r>
      <w:r w:rsidRPr="006A778D">
        <w:rPr>
          <w:rFonts w:asciiTheme="minorHAnsi" w:hAnsiTheme="minorHAnsi" w:cstheme="minorHAnsi"/>
          <w:spacing w:val="-7"/>
          <w:sz w:val="24"/>
          <w:szCs w:val="24"/>
        </w:rPr>
        <w:t xml:space="preserve">Proposed </w:t>
      </w:r>
      <w:r w:rsidRPr="006A778D">
        <w:rPr>
          <w:rFonts w:asciiTheme="minorHAnsi" w:hAnsiTheme="minorHAnsi" w:cstheme="minorHAnsi"/>
          <w:sz w:val="24"/>
          <w:szCs w:val="24"/>
        </w:rPr>
        <w:t>Project.</w:t>
      </w:r>
    </w:p>
    <w:p w14:paraId="31B8E9A0" w14:textId="7A9D5D21" w:rsidR="006A778D" w:rsidRDefault="006A778D" w:rsidP="00E038A6">
      <w:pPr>
        <w:pStyle w:val="BodyText"/>
        <w:spacing w:before="84"/>
        <w:ind w:left="720" w:right="121"/>
        <w:jc w:val="both"/>
        <w:rPr>
          <w:rFonts w:asciiTheme="minorHAnsi" w:hAnsiTheme="minorHAnsi" w:cstheme="minorHAnsi"/>
          <w:sz w:val="24"/>
          <w:szCs w:val="24"/>
        </w:rPr>
      </w:pPr>
      <w:r w:rsidRPr="006A778D">
        <w:rPr>
          <w:rFonts w:asciiTheme="minorHAnsi" w:hAnsiTheme="minorHAnsi" w:cstheme="minorHAnsi"/>
          <w:b/>
          <w:sz w:val="24"/>
          <w:szCs w:val="24"/>
        </w:rPr>
        <w:t xml:space="preserve">Monitoring: </w:t>
      </w:r>
      <w:r w:rsidRPr="006A778D">
        <w:rPr>
          <w:rFonts w:asciiTheme="minorHAnsi" w:hAnsiTheme="minorHAnsi" w:cstheme="minorHAnsi"/>
          <w:sz w:val="24"/>
          <w:szCs w:val="24"/>
        </w:rPr>
        <w:t>Results will be benchmarked and reviewed quarterly by the Radiology Department.</w:t>
      </w:r>
    </w:p>
    <w:p w14:paraId="020ABCFE" w14:textId="77777777" w:rsidR="00691DF2" w:rsidRPr="006A778D" w:rsidRDefault="00691DF2" w:rsidP="00691DF2">
      <w:pPr>
        <w:pStyle w:val="BodyText"/>
        <w:spacing w:before="84"/>
        <w:ind w:left="1384" w:right="121"/>
        <w:jc w:val="both"/>
        <w:rPr>
          <w:rFonts w:asciiTheme="minorHAnsi" w:hAnsiTheme="minorHAnsi" w:cstheme="minorHAnsi"/>
          <w:sz w:val="24"/>
          <w:szCs w:val="24"/>
        </w:rPr>
      </w:pPr>
    </w:p>
    <w:p w14:paraId="1DE75E84" w14:textId="77777777" w:rsidR="006A778D" w:rsidRPr="006A778D" w:rsidRDefault="006A778D" w:rsidP="005A6035">
      <w:pPr>
        <w:pStyle w:val="ListParagraph"/>
        <w:widowControl w:val="0"/>
        <w:numPr>
          <w:ilvl w:val="1"/>
          <w:numId w:val="23"/>
        </w:numPr>
        <w:tabs>
          <w:tab w:val="left" w:pos="1385"/>
        </w:tabs>
        <w:autoSpaceDE w:val="0"/>
        <w:autoSpaceDN w:val="0"/>
        <w:spacing w:before="83" w:after="0" w:line="240" w:lineRule="auto"/>
        <w:ind w:left="689" w:right="106" w:hanging="545"/>
        <w:contextualSpacing w:val="0"/>
        <w:jc w:val="both"/>
        <w:rPr>
          <w:rFonts w:cstheme="minorHAnsi"/>
          <w:sz w:val="24"/>
          <w:szCs w:val="24"/>
        </w:rPr>
      </w:pPr>
      <w:r w:rsidRPr="006A778D">
        <w:rPr>
          <w:rFonts w:cstheme="minorHAnsi"/>
          <w:b/>
          <w:sz w:val="24"/>
          <w:szCs w:val="24"/>
        </w:rPr>
        <w:t>Access - Wait Times</w:t>
      </w:r>
      <w:r w:rsidRPr="006A778D">
        <w:rPr>
          <w:rFonts w:cstheme="minorHAnsi"/>
          <w:sz w:val="24"/>
          <w:szCs w:val="24"/>
        </w:rPr>
        <w:t xml:space="preserve">: </w:t>
      </w:r>
      <w:r w:rsidRPr="006A778D">
        <w:rPr>
          <w:rFonts w:cstheme="minorHAnsi"/>
          <w:spacing w:val="3"/>
          <w:sz w:val="24"/>
          <w:szCs w:val="24"/>
        </w:rPr>
        <w:t xml:space="preserve">The </w:t>
      </w:r>
      <w:r w:rsidRPr="006A778D">
        <w:rPr>
          <w:rFonts w:cstheme="minorHAnsi"/>
          <w:sz w:val="24"/>
          <w:szCs w:val="24"/>
        </w:rPr>
        <w:t xml:space="preserve">Proposed Project seeks to </w:t>
      </w:r>
      <w:r w:rsidRPr="006A778D">
        <w:rPr>
          <w:rFonts w:cstheme="minorHAnsi"/>
          <w:spacing w:val="2"/>
          <w:sz w:val="24"/>
          <w:szCs w:val="24"/>
        </w:rPr>
        <w:t xml:space="preserve">ensure </w:t>
      </w:r>
      <w:r w:rsidRPr="006A778D">
        <w:rPr>
          <w:rFonts w:cstheme="minorHAnsi"/>
          <w:sz w:val="24"/>
          <w:szCs w:val="24"/>
        </w:rPr>
        <w:t xml:space="preserve">timely access to </w:t>
      </w:r>
      <w:r w:rsidRPr="006A778D">
        <w:rPr>
          <w:rFonts w:cstheme="minorHAnsi"/>
          <w:spacing w:val="-5"/>
          <w:sz w:val="24"/>
          <w:szCs w:val="24"/>
        </w:rPr>
        <w:t xml:space="preserve">MRI </w:t>
      </w:r>
      <w:r w:rsidRPr="006A778D">
        <w:rPr>
          <w:rFonts w:cstheme="minorHAnsi"/>
          <w:sz w:val="24"/>
          <w:szCs w:val="24"/>
        </w:rPr>
        <w:t xml:space="preserve">services. </w:t>
      </w:r>
      <w:r w:rsidRPr="006A778D">
        <w:rPr>
          <w:rFonts w:cstheme="minorHAnsi"/>
          <w:spacing w:val="-4"/>
          <w:sz w:val="24"/>
          <w:szCs w:val="24"/>
        </w:rPr>
        <w:t xml:space="preserve">SSH </w:t>
      </w:r>
      <w:r w:rsidRPr="006A778D">
        <w:rPr>
          <w:rFonts w:cstheme="minorHAnsi"/>
          <w:spacing w:val="-6"/>
          <w:sz w:val="24"/>
          <w:szCs w:val="24"/>
        </w:rPr>
        <w:t xml:space="preserve">will </w:t>
      </w:r>
      <w:r w:rsidRPr="006A778D">
        <w:rPr>
          <w:rFonts w:cstheme="minorHAnsi"/>
          <w:sz w:val="24"/>
          <w:szCs w:val="24"/>
        </w:rPr>
        <w:t xml:space="preserve">track the </w:t>
      </w:r>
      <w:r w:rsidRPr="006A778D">
        <w:rPr>
          <w:rFonts w:cstheme="minorHAnsi"/>
          <w:spacing w:val="-3"/>
          <w:sz w:val="24"/>
          <w:szCs w:val="24"/>
        </w:rPr>
        <w:t xml:space="preserve">time </w:t>
      </w:r>
      <w:r w:rsidRPr="006A778D">
        <w:rPr>
          <w:rFonts w:cstheme="minorHAnsi"/>
          <w:sz w:val="24"/>
          <w:szCs w:val="24"/>
        </w:rPr>
        <w:t xml:space="preserve">interval (in </w:t>
      </w:r>
      <w:r w:rsidRPr="006A778D">
        <w:rPr>
          <w:rFonts w:cstheme="minorHAnsi"/>
          <w:spacing w:val="2"/>
          <w:sz w:val="24"/>
          <w:szCs w:val="24"/>
        </w:rPr>
        <w:t xml:space="preserve">hours) from </w:t>
      </w:r>
      <w:r w:rsidRPr="006A778D">
        <w:rPr>
          <w:rFonts w:cstheme="minorHAnsi"/>
          <w:spacing w:val="-3"/>
          <w:sz w:val="24"/>
          <w:szCs w:val="24"/>
        </w:rPr>
        <w:t xml:space="preserve">when </w:t>
      </w:r>
      <w:r w:rsidRPr="006A778D">
        <w:rPr>
          <w:rFonts w:cstheme="minorHAnsi"/>
          <w:sz w:val="24"/>
          <w:szCs w:val="24"/>
        </w:rPr>
        <w:t xml:space="preserve">the case </w:t>
      </w:r>
      <w:r w:rsidRPr="006A778D">
        <w:rPr>
          <w:rFonts w:cstheme="minorHAnsi"/>
          <w:spacing w:val="-5"/>
          <w:sz w:val="24"/>
          <w:szCs w:val="24"/>
        </w:rPr>
        <w:t xml:space="preserve">was initiated </w:t>
      </w:r>
      <w:r w:rsidRPr="006A778D">
        <w:rPr>
          <w:rFonts w:cstheme="minorHAnsi"/>
          <w:sz w:val="24"/>
          <w:szCs w:val="24"/>
        </w:rPr>
        <w:t xml:space="preserve">for scheduling to appointment. This information </w:t>
      </w:r>
      <w:r w:rsidRPr="006A778D">
        <w:rPr>
          <w:rFonts w:cstheme="minorHAnsi"/>
          <w:spacing w:val="-6"/>
          <w:sz w:val="24"/>
          <w:szCs w:val="24"/>
        </w:rPr>
        <w:t xml:space="preserve">will </w:t>
      </w:r>
      <w:r w:rsidRPr="006A778D">
        <w:rPr>
          <w:rFonts w:cstheme="minorHAnsi"/>
          <w:sz w:val="24"/>
          <w:szCs w:val="24"/>
        </w:rPr>
        <w:t xml:space="preserve">be obtained via the electronic medical </w:t>
      </w:r>
      <w:r w:rsidRPr="006A778D">
        <w:rPr>
          <w:rFonts w:cstheme="minorHAnsi"/>
          <w:spacing w:val="2"/>
          <w:sz w:val="24"/>
          <w:szCs w:val="24"/>
        </w:rPr>
        <w:t xml:space="preserve">record </w:t>
      </w:r>
      <w:r w:rsidRPr="006A778D">
        <w:rPr>
          <w:rFonts w:cstheme="minorHAnsi"/>
          <w:sz w:val="24"/>
          <w:szCs w:val="24"/>
        </w:rPr>
        <w:t>system,</w:t>
      </w:r>
      <w:r w:rsidRPr="006A778D">
        <w:rPr>
          <w:rFonts w:cstheme="minorHAnsi"/>
          <w:spacing w:val="-39"/>
          <w:sz w:val="24"/>
          <w:szCs w:val="24"/>
        </w:rPr>
        <w:t xml:space="preserve"> </w:t>
      </w:r>
      <w:r w:rsidRPr="006A778D">
        <w:rPr>
          <w:rFonts w:cstheme="minorHAnsi"/>
          <w:sz w:val="24"/>
          <w:szCs w:val="24"/>
        </w:rPr>
        <w:t>Epic.</w:t>
      </w:r>
    </w:p>
    <w:p w14:paraId="5021BB0E" w14:textId="77777777" w:rsidR="006A778D" w:rsidRPr="006A778D" w:rsidRDefault="006A778D" w:rsidP="006B1176">
      <w:pPr>
        <w:pStyle w:val="BodyText"/>
        <w:spacing w:before="84"/>
        <w:ind w:left="720" w:right="124"/>
        <w:jc w:val="both"/>
        <w:rPr>
          <w:rFonts w:asciiTheme="minorHAnsi" w:hAnsiTheme="minorHAnsi" w:cstheme="minorHAnsi"/>
          <w:sz w:val="24"/>
          <w:szCs w:val="24"/>
        </w:rPr>
      </w:pPr>
      <w:r w:rsidRPr="006A778D">
        <w:rPr>
          <w:rFonts w:asciiTheme="minorHAnsi" w:hAnsiTheme="minorHAnsi" w:cstheme="minorHAnsi"/>
          <w:b/>
          <w:sz w:val="24"/>
          <w:szCs w:val="24"/>
        </w:rPr>
        <w:t xml:space="preserve">Measure: </w:t>
      </w:r>
      <w:r w:rsidRPr="006A778D">
        <w:rPr>
          <w:rFonts w:asciiTheme="minorHAnsi" w:hAnsiTheme="minorHAnsi" w:cstheme="minorHAnsi"/>
          <w:sz w:val="24"/>
          <w:szCs w:val="24"/>
        </w:rPr>
        <w:t>Time interval (in hours) from when the case was initiated for scheduling to appointment.</w:t>
      </w:r>
    </w:p>
    <w:p w14:paraId="3911DE67" w14:textId="77777777" w:rsidR="006A778D" w:rsidRPr="006A778D" w:rsidRDefault="006A778D" w:rsidP="006B1176">
      <w:pPr>
        <w:pStyle w:val="BodyText"/>
        <w:spacing w:before="65"/>
        <w:ind w:left="720" w:right="121"/>
        <w:jc w:val="both"/>
        <w:rPr>
          <w:rFonts w:asciiTheme="minorHAnsi" w:hAnsiTheme="minorHAnsi" w:cstheme="minorHAnsi"/>
          <w:sz w:val="24"/>
          <w:szCs w:val="24"/>
        </w:rPr>
      </w:pPr>
      <w:r w:rsidRPr="006A778D">
        <w:rPr>
          <w:rFonts w:asciiTheme="minorHAnsi" w:hAnsiTheme="minorHAnsi" w:cstheme="minorHAnsi"/>
          <w:b/>
          <w:sz w:val="24"/>
          <w:szCs w:val="24"/>
        </w:rPr>
        <w:t xml:space="preserve">Monitoring: </w:t>
      </w:r>
      <w:r w:rsidRPr="006A778D">
        <w:rPr>
          <w:rFonts w:asciiTheme="minorHAnsi" w:hAnsiTheme="minorHAnsi" w:cstheme="minorHAnsi"/>
          <w:sz w:val="24"/>
          <w:szCs w:val="24"/>
        </w:rPr>
        <w:t>Results will be benchmarked and reviewed quarterly by the Radiology Department.</w:t>
      </w:r>
    </w:p>
    <w:p w14:paraId="62A1A4CD" w14:textId="0E9C73F6" w:rsidR="005A6035" w:rsidRDefault="006A778D" w:rsidP="006B1176">
      <w:pPr>
        <w:spacing w:before="81" w:after="0" w:line="240" w:lineRule="auto"/>
        <w:ind w:left="720" w:right="2951"/>
        <w:jc w:val="both"/>
        <w:rPr>
          <w:rFonts w:cstheme="minorHAnsi"/>
          <w:b/>
          <w:sz w:val="24"/>
          <w:szCs w:val="24"/>
        </w:rPr>
      </w:pPr>
      <w:r w:rsidRPr="006A778D">
        <w:rPr>
          <w:rFonts w:cstheme="minorHAnsi"/>
          <w:b/>
          <w:sz w:val="24"/>
          <w:szCs w:val="24"/>
        </w:rPr>
        <w:t xml:space="preserve">Projections - Admitted patients: </w:t>
      </w:r>
      <w:r w:rsidR="006B1176">
        <w:rPr>
          <w:rFonts w:cstheme="minorHAnsi"/>
          <w:b/>
          <w:sz w:val="24"/>
          <w:szCs w:val="24"/>
        </w:rPr>
        <w:t xml:space="preserve"> </w:t>
      </w:r>
    </w:p>
    <w:p w14:paraId="7D8DF8D8" w14:textId="15BF3003" w:rsidR="006A778D" w:rsidRPr="006A778D" w:rsidRDefault="006A778D" w:rsidP="006B1176">
      <w:pPr>
        <w:spacing w:before="81" w:after="0" w:line="240" w:lineRule="auto"/>
        <w:ind w:left="1440" w:right="2951"/>
        <w:jc w:val="both"/>
        <w:rPr>
          <w:rFonts w:cstheme="minorHAnsi"/>
          <w:sz w:val="24"/>
          <w:szCs w:val="24"/>
        </w:rPr>
      </w:pPr>
      <w:r w:rsidRPr="006A778D">
        <w:rPr>
          <w:rFonts w:cstheme="minorHAnsi"/>
          <w:sz w:val="24"/>
          <w:szCs w:val="24"/>
        </w:rPr>
        <w:t xml:space="preserve">Baseline: 24 </w:t>
      </w:r>
      <w:r w:rsidRPr="006A778D">
        <w:rPr>
          <w:rFonts w:cstheme="minorHAnsi"/>
          <w:spacing w:val="2"/>
          <w:sz w:val="24"/>
          <w:szCs w:val="24"/>
        </w:rPr>
        <w:t xml:space="preserve">hours </w:t>
      </w:r>
      <w:r w:rsidRPr="006A778D">
        <w:rPr>
          <w:rFonts w:cstheme="minorHAnsi"/>
          <w:sz w:val="24"/>
          <w:szCs w:val="24"/>
        </w:rPr>
        <w:t>Year 1: 14</w:t>
      </w:r>
      <w:r w:rsidRPr="006A778D">
        <w:rPr>
          <w:rFonts w:cstheme="minorHAnsi"/>
          <w:spacing w:val="-29"/>
          <w:sz w:val="24"/>
          <w:szCs w:val="24"/>
        </w:rPr>
        <w:t xml:space="preserve"> </w:t>
      </w:r>
      <w:r w:rsidRPr="006A778D">
        <w:rPr>
          <w:rFonts w:cstheme="minorHAnsi"/>
          <w:spacing w:val="2"/>
          <w:sz w:val="24"/>
          <w:szCs w:val="24"/>
        </w:rPr>
        <w:t>hours</w:t>
      </w:r>
    </w:p>
    <w:p w14:paraId="053730DF" w14:textId="51A08098" w:rsidR="006A778D" w:rsidRPr="00691DF2" w:rsidRDefault="006A778D" w:rsidP="006B1176">
      <w:pPr>
        <w:pStyle w:val="BodyText"/>
        <w:ind w:left="1440"/>
        <w:jc w:val="both"/>
        <w:rPr>
          <w:rFonts w:asciiTheme="minorHAnsi" w:hAnsiTheme="minorHAnsi" w:cstheme="minorHAnsi"/>
          <w:sz w:val="24"/>
          <w:szCs w:val="24"/>
        </w:rPr>
      </w:pPr>
      <w:r w:rsidRPr="006A778D">
        <w:rPr>
          <w:rFonts w:asciiTheme="minorHAnsi" w:hAnsiTheme="minorHAnsi" w:cstheme="minorHAnsi"/>
          <w:sz w:val="24"/>
          <w:szCs w:val="24"/>
        </w:rPr>
        <w:t>Year 2: 12</w:t>
      </w:r>
      <w:r w:rsidRPr="006A778D">
        <w:rPr>
          <w:rFonts w:asciiTheme="minorHAnsi" w:hAnsiTheme="minorHAnsi" w:cstheme="minorHAnsi"/>
          <w:spacing w:val="6"/>
          <w:sz w:val="24"/>
          <w:szCs w:val="24"/>
        </w:rPr>
        <w:t xml:space="preserve"> </w:t>
      </w:r>
      <w:r w:rsidRPr="006A778D">
        <w:rPr>
          <w:rFonts w:asciiTheme="minorHAnsi" w:hAnsiTheme="minorHAnsi" w:cstheme="minorHAnsi"/>
          <w:spacing w:val="2"/>
          <w:sz w:val="24"/>
          <w:szCs w:val="24"/>
        </w:rPr>
        <w:t>hours</w:t>
      </w:r>
    </w:p>
    <w:p w14:paraId="1E725196" w14:textId="71011571" w:rsidR="006A778D" w:rsidRPr="006A778D" w:rsidRDefault="00691DF2" w:rsidP="006B1176">
      <w:pPr>
        <w:pStyle w:val="BodyText"/>
        <w:spacing w:before="85"/>
        <w:ind w:left="1440"/>
        <w:jc w:val="both"/>
        <w:rPr>
          <w:rFonts w:asciiTheme="minorHAnsi" w:hAnsiTheme="minorHAnsi" w:cstheme="minorHAnsi"/>
          <w:sz w:val="24"/>
          <w:szCs w:val="24"/>
        </w:rPr>
      </w:pPr>
      <w:r>
        <w:rPr>
          <w:rFonts w:asciiTheme="minorHAnsi" w:hAnsiTheme="minorHAnsi" w:cstheme="minorHAnsi"/>
          <w:sz w:val="24"/>
          <w:szCs w:val="24"/>
        </w:rPr>
        <w:t>Y</w:t>
      </w:r>
      <w:r w:rsidR="006A778D" w:rsidRPr="006A778D">
        <w:rPr>
          <w:rFonts w:asciiTheme="minorHAnsi" w:hAnsiTheme="minorHAnsi" w:cstheme="minorHAnsi"/>
          <w:sz w:val="24"/>
          <w:szCs w:val="24"/>
        </w:rPr>
        <w:t>ear 3: 8</w:t>
      </w:r>
      <w:r w:rsidR="006A778D" w:rsidRPr="006A778D">
        <w:rPr>
          <w:rFonts w:asciiTheme="minorHAnsi" w:hAnsiTheme="minorHAnsi" w:cstheme="minorHAnsi"/>
          <w:spacing w:val="17"/>
          <w:sz w:val="24"/>
          <w:szCs w:val="24"/>
        </w:rPr>
        <w:t xml:space="preserve"> </w:t>
      </w:r>
      <w:r w:rsidR="006A778D" w:rsidRPr="006A778D">
        <w:rPr>
          <w:rFonts w:asciiTheme="minorHAnsi" w:hAnsiTheme="minorHAnsi" w:cstheme="minorHAnsi"/>
          <w:spacing w:val="2"/>
          <w:sz w:val="24"/>
          <w:szCs w:val="24"/>
        </w:rPr>
        <w:t>hours</w:t>
      </w:r>
    </w:p>
    <w:p w14:paraId="213A0964" w14:textId="77777777" w:rsidR="006B1176" w:rsidRDefault="006A778D" w:rsidP="006B1176">
      <w:pPr>
        <w:spacing w:before="83" w:after="0" w:line="240" w:lineRule="auto"/>
        <w:ind w:right="1782" w:firstLine="720"/>
        <w:jc w:val="both"/>
        <w:rPr>
          <w:rFonts w:cstheme="minorHAnsi"/>
          <w:b/>
          <w:sz w:val="24"/>
          <w:szCs w:val="24"/>
        </w:rPr>
      </w:pPr>
      <w:r w:rsidRPr="006A778D">
        <w:rPr>
          <w:rFonts w:cstheme="minorHAnsi"/>
          <w:b/>
          <w:sz w:val="24"/>
          <w:szCs w:val="24"/>
        </w:rPr>
        <w:t xml:space="preserve">Projections – Emergency </w:t>
      </w:r>
      <w:r w:rsidRPr="006A778D">
        <w:rPr>
          <w:rFonts w:cstheme="minorHAnsi"/>
          <w:b/>
          <w:spacing w:val="3"/>
          <w:sz w:val="24"/>
          <w:szCs w:val="24"/>
        </w:rPr>
        <w:t xml:space="preserve">and </w:t>
      </w:r>
      <w:r w:rsidRPr="006A778D">
        <w:rPr>
          <w:rFonts w:cstheme="minorHAnsi"/>
          <w:b/>
          <w:sz w:val="24"/>
          <w:szCs w:val="24"/>
        </w:rPr>
        <w:t xml:space="preserve">Observation: </w:t>
      </w:r>
    </w:p>
    <w:p w14:paraId="22B0B498" w14:textId="23196B67" w:rsidR="006A778D" w:rsidRPr="006A778D" w:rsidRDefault="006A778D" w:rsidP="006B1176">
      <w:pPr>
        <w:spacing w:before="83" w:after="0" w:line="240" w:lineRule="auto"/>
        <w:ind w:left="1440" w:right="1782"/>
        <w:jc w:val="both"/>
        <w:rPr>
          <w:rFonts w:cstheme="minorHAnsi"/>
          <w:sz w:val="24"/>
          <w:szCs w:val="24"/>
        </w:rPr>
      </w:pPr>
      <w:r w:rsidRPr="006A778D">
        <w:rPr>
          <w:rFonts w:cstheme="minorHAnsi"/>
          <w:sz w:val="24"/>
          <w:szCs w:val="24"/>
        </w:rPr>
        <w:t>Baseline: 13 hours Year 1: 8</w:t>
      </w:r>
      <w:r w:rsidRPr="006A778D">
        <w:rPr>
          <w:rFonts w:cstheme="minorHAnsi"/>
          <w:spacing w:val="-13"/>
          <w:sz w:val="24"/>
          <w:szCs w:val="24"/>
        </w:rPr>
        <w:t xml:space="preserve"> </w:t>
      </w:r>
      <w:r w:rsidRPr="006A778D">
        <w:rPr>
          <w:rFonts w:cstheme="minorHAnsi"/>
          <w:spacing w:val="2"/>
          <w:sz w:val="24"/>
          <w:szCs w:val="24"/>
        </w:rPr>
        <w:t>hours</w:t>
      </w:r>
    </w:p>
    <w:p w14:paraId="700D0189" w14:textId="77777777" w:rsidR="006A778D" w:rsidRPr="006A778D" w:rsidRDefault="006A778D" w:rsidP="006B1176">
      <w:pPr>
        <w:pStyle w:val="BodyText"/>
        <w:ind w:left="720" w:firstLine="720"/>
        <w:jc w:val="both"/>
        <w:rPr>
          <w:rFonts w:asciiTheme="minorHAnsi" w:hAnsiTheme="minorHAnsi" w:cstheme="minorHAnsi"/>
          <w:sz w:val="24"/>
          <w:szCs w:val="24"/>
        </w:rPr>
      </w:pPr>
      <w:r w:rsidRPr="006A778D">
        <w:rPr>
          <w:rFonts w:asciiTheme="minorHAnsi" w:hAnsiTheme="minorHAnsi" w:cstheme="minorHAnsi"/>
          <w:sz w:val="24"/>
          <w:szCs w:val="24"/>
        </w:rPr>
        <w:t>Year 2: 6</w:t>
      </w:r>
      <w:r w:rsidRPr="006A778D">
        <w:rPr>
          <w:rFonts w:asciiTheme="minorHAnsi" w:hAnsiTheme="minorHAnsi" w:cstheme="minorHAnsi"/>
          <w:spacing w:val="17"/>
          <w:sz w:val="24"/>
          <w:szCs w:val="24"/>
        </w:rPr>
        <w:t xml:space="preserve"> </w:t>
      </w:r>
      <w:r w:rsidRPr="006A778D">
        <w:rPr>
          <w:rFonts w:asciiTheme="minorHAnsi" w:hAnsiTheme="minorHAnsi" w:cstheme="minorHAnsi"/>
          <w:spacing w:val="2"/>
          <w:sz w:val="24"/>
          <w:szCs w:val="24"/>
        </w:rPr>
        <w:t>hours</w:t>
      </w:r>
    </w:p>
    <w:p w14:paraId="3E00C833" w14:textId="15723165" w:rsidR="006A778D" w:rsidRDefault="006A778D" w:rsidP="006B1176">
      <w:pPr>
        <w:pStyle w:val="BodyText"/>
        <w:ind w:left="720" w:firstLine="720"/>
        <w:jc w:val="both"/>
        <w:rPr>
          <w:rFonts w:asciiTheme="minorHAnsi" w:hAnsiTheme="minorHAnsi" w:cstheme="minorHAnsi"/>
          <w:spacing w:val="2"/>
          <w:sz w:val="24"/>
          <w:szCs w:val="24"/>
        </w:rPr>
      </w:pPr>
      <w:r w:rsidRPr="006A778D">
        <w:rPr>
          <w:rFonts w:asciiTheme="minorHAnsi" w:hAnsiTheme="minorHAnsi" w:cstheme="minorHAnsi"/>
          <w:sz w:val="24"/>
          <w:szCs w:val="24"/>
        </w:rPr>
        <w:t>Year 3: 6</w:t>
      </w:r>
      <w:r w:rsidRPr="006A778D">
        <w:rPr>
          <w:rFonts w:asciiTheme="minorHAnsi" w:hAnsiTheme="minorHAnsi" w:cstheme="minorHAnsi"/>
          <w:spacing w:val="17"/>
          <w:sz w:val="24"/>
          <w:szCs w:val="24"/>
        </w:rPr>
        <w:t xml:space="preserve"> </w:t>
      </w:r>
      <w:r w:rsidRPr="006A778D">
        <w:rPr>
          <w:rFonts w:asciiTheme="minorHAnsi" w:hAnsiTheme="minorHAnsi" w:cstheme="minorHAnsi"/>
          <w:spacing w:val="2"/>
          <w:sz w:val="24"/>
          <w:szCs w:val="24"/>
        </w:rPr>
        <w:t>hours</w:t>
      </w:r>
    </w:p>
    <w:p w14:paraId="58DDB1ED" w14:textId="77777777" w:rsidR="00691DF2" w:rsidRPr="006A778D" w:rsidRDefault="00691DF2" w:rsidP="00691DF2">
      <w:pPr>
        <w:pStyle w:val="BodyText"/>
        <w:ind w:left="2279"/>
        <w:jc w:val="both"/>
        <w:rPr>
          <w:rFonts w:asciiTheme="minorHAnsi" w:hAnsiTheme="minorHAnsi" w:cstheme="minorHAnsi"/>
          <w:sz w:val="24"/>
          <w:szCs w:val="24"/>
        </w:rPr>
      </w:pPr>
    </w:p>
    <w:p w14:paraId="3F0D27DE" w14:textId="0E4D625C" w:rsidR="006A778D" w:rsidRPr="006A778D" w:rsidRDefault="006A778D" w:rsidP="006B1176">
      <w:pPr>
        <w:pStyle w:val="ListParagraph"/>
        <w:widowControl w:val="0"/>
        <w:numPr>
          <w:ilvl w:val="1"/>
          <w:numId w:val="23"/>
        </w:numPr>
        <w:tabs>
          <w:tab w:val="left" w:pos="1384"/>
        </w:tabs>
        <w:autoSpaceDE w:val="0"/>
        <w:autoSpaceDN w:val="0"/>
        <w:spacing w:before="83" w:after="0" w:line="240" w:lineRule="auto"/>
        <w:ind w:left="544" w:right="118" w:hanging="544"/>
        <w:contextualSpacing w:val="0"/>
        <w:jc w:val="both"/>
        <w:rPr>
          <w:rFonts w:cstheme="minorHAnsi"/>
          <w:sz w:val="24"/>
          <w:szCs w:val="24"/>
        </w:rPr>
      </w:pPr>
      <w:r w:rsidRPr="006A778D">
        <w:rPr>
          <w:rFonts w:cstheme="minorHAnsi"/>
          <w:b/>
          <w:spacing w:val="2"/>
          <w:sz w:val="24"/>
          <w:szCs w:val="24"/>
        </w:rPr>
        <w:t xml:space="preserve">Quality </w:t>
      </w:r>
      <w:r w:rsidRPr="006A778D">
        <w:rPr>
          <w:rFonts w:cstheme="minorHAnsi"/>
          <w:b/>
          <w:spacing w:val="3"/>
          <w:sz w:val="24"/>
          <w:szCs w:val="24"/>
        </w:rPr>
        <w:t xml:space="preserve">of </w:t>
      </w:r>
      <w:r w:rsidRPr="006A778D">
        <w:rPr>
          <w:rFonts w:cstheme="minorHAnsi"/>
          <w:b/>
          <w:spacing w:val="2"/>
          <w:sz w:val="24"/>
          <w:szCs w:val="24"/>
        </w:rPr>
        <w:t xml:space="preserve">Care </w:t>
      </w:r>
      <w:r w:rsidRPr="006A778D">
        <w:rPr>
          <w:rFonts w:cstheme="minorHAnsi"/>
          <w:b/>
          <w:sz w:val="24"/>
          <w:szCs w:val="24"/>
        </w:rPr>
        <w:t xml:space="preserve">- </w:t>
      </w:r>
      <w:r w:rsidRPr="006A778D">
        <w:rPr>
          <w:rFonts w:cstheme="minorHAnsi"/>
          <w:b/>
          <w:spacing w:val="4"/>
          <w:sz w:val="24"/>
          <w:szCs w:val="24"/>
        </w:rPr>
        <w:t xml:space="preserve">Reporting </w:t>
      </w:r>
      <w:r w:rsidRPr="006A778D">
        <w:rPr>
          <w:rFonts w:cstheme="minorHAnsi"/>
          <w:b/>
          <w:spacing w:val="3"/>
          <w:sz w:val="24"/>
          <w:szCs w:val="24"/>
        </w:rPr>
        <w:t xml:space="preserve">of </w:t>
      </w:r>
      <w:r w:rsidRPr="006A778D">
        <w:rPr>
          <w:rFonts w:cstheme="minorHAnsi"/>
          <w:b/>
          <w:spacing w:val="2"/>
          <w:sz w:val="24"/>
          <w:szCs w:val="24"/>
        </w:rPr>
        <w:t xml:space="preserve">Critical </w:t>
      </w:r>
      <w:r w:rsidRPr="006A778D">
        <w:rPr>
          <w:rFonts w:cstheme="minorHAnsi"/>
          <w:b/>
          <w:spacing w:val="-3"/>
          <w:sz w:val="24"/>
          <w:szCs w:val="24"/>
        </w:rPr>
        <w:t xml:space="preserve">Value </w:t>
      </w:r>
      <w:r w:rsidRPr="006A778D">
        <w:rPr>
          <w:rFonts w:cstheme="minorHAnsi"/>
          <w:b/>
          <w:spacing w:val="2"/>
          <w:sz w:val="24"/>
          <w:szCs w:val="24"/>
        </w:rPr>
        <w:t xml:space="preserve">Results: </w:t>
      </w:r>
      <w:r w:rsidRPr="006A778D">
        <w:rPr>
          <w:rFonts w:cstheme="minorHAnsi"/>
          <w:spacing w:val="-4"/>
          <w:sz w:val="24"/>
          <w:szCs w:val="24"/>
        </w:rPr>
        <w:t xml:space="preserve">SSH </w:t>
      </w:r>
      <w:r w:rsidRPr="006A778D">
        <w:rPr>
          <w:rFonts w:cstheme="minorHAnsi"/>
          <w:sz w:val="24"/>
          <w:szCs w:val="24"/>
        </w:rPr>
        <w:t xml:space="preserve">uses </w:t>
      </w:r>
      <w:r w:rsidRPr="006A778D">
        <w:rPr>
          <w:rFonts w:cstheme="minorHAnsi"/>
          <w:spacing w:val="-3"/>
          <w:sz w:val="24"/>
          <w:szCs w:val="24"/>
        </w:rPr>
        <w:t xml:space="preserve">PowerScribe within </w:t>
      </w:r>
      <w:r w:rsidRPr="006A778D">
        <w:rPr>
          <w:rFonts w:cstheme="minorHAnsi"/>
          <w:spacing w:val="-7"/>
          <w:sz w:val="24"/>
          <w:szCs w:val="24"/>
        </w:rPr>
        <w:t xml:space="preserve">EPIC </w:t>
      </w:r>
      <w:r w:rsidRPr="006A778D">
        <w:rPr>
          <w:rFonts w:cstheme="minorHAnsi"/>
          <w:sz w:val="24"/>
          <w:szCs w:val="24"/>
        </w:rPr>
        <w:t xml:space="preserve">to document radiology findings, including any follow-up actions </w:t>
      </w:r>
      <w:r w:rsidRPr="006A778D">
        <w:rPr>
          <w:rFonts w:cstheme="minorHAnsi"/>
          <w:spacing w:val="-8"/>
          <w:sz w:val="24"/>
          <w:szCs w:val="24"/>
        </w:rPr>
        <w:t xml:space="preserve">required </w:t>
      </w:r>
      <w:r w:rsidRPr="006A778D">
        <w:rPr>
          <w:rFonts w:cstheme="minorHAnsi"/>
          <w:sz w:val="24"/>
          <w:szCs w:val="24"/>
        </w:rPr>
        <w:t xml:space="preserve">as a result of Critical or Significant findings. </w:t>
      </w:r>
      <w:r w:rsidRPr="006A778D">
        <w:rPr>
          <w:rFonts w:cstheme="minorHAnsi"/>
          <w:spacing w:val="-3"/>
          <w:sz w:val="24"/>
          <w:szCs w:val="24"/>
        </w:rPr>
        <w:t xml:space="preserve">All </w:t>
      </w:r>
      <w:r w:rsidRPr="006A778D">
        <w:rPr>
          <w:rFonts w:cstheme="minorHAnsi"/>
          <w:sz w:val="24"/>
          <w:szCs w:val="24"/>
        </w:rPr>
        <w:t xml:space="preserve">Radiologists </w:t>
      </w:r>
      <w:r w:rsidRPr="006A778D">
        <w:rPr>
          <w:rFonts w:cstheme="minorHAnsi"/>
          <w:spacing w:val="2"/>
          <w:sz w:val="24"/>
          <w:szCs w:val="24"/>
        </w:rPr>
        <w:t>are</w:t>
      </w:r>
      <w:r w:rsidR="007759A2">
        <w:rPr>
          <w:rFonts w:cstheme="minorHAnsi"/>
          <w:spacing w:val="2"/>
          <w:sz w:val="24"/>
          <w:szCs w:val="24"/>
        </w:rPr>
        <w:t xml:space="preserve"> </w:t>
      </w:r>
      <w:r w:rsidRPr="006A778D">
        <w:rPr>
          <w:rFonts w:cstheme="minorHAnsi"/>
          <w:sz w:val="24"/>
          <w:szCs w:val="24"/>
        </w:rPr>
        <w:t xml:space="preserve">expected </w:t>
      </w:r>
      <w:r w:rsidRPr="006A778D">
        <w:rPr>
          <w:rFonts w:cstheme="minorHAnsi"/>
          <w:spacing w:val="-8"/>
          <w:sz w:val="24"/>
          <w:szCs w:val="24"/>
        </w:rPr>
        <w:t xml:space="preserve">to </w:t>
      </w:r>
      <w:r w:rsidRPr="006A778D">
        <w:rPr>
          <w:rFonts w:cstheme="minorHAnsi"/>
          <w:sz w:val="24"/>
          <w:szCs w:val="24"/>
        </w:rPr>
        <w:t xml:space="preserve">document Critical or Significant findings </w:t>
      </w:r>
      <w:r w:rsidRPr="006A778D">
        <w:rPr>
          <w:rFonts w:cstheme="minorHAnsi"/>
          <w:spacing w:val="-3"/>
          <w:sz w:val="24"/>
          <w:szCs w:val="24"/>
        </w:rPr>
        <w:t xml:space="preserve">within </w:t>
      </w:r>
      <w:r w:rsidRPr="006A778D">
        <w:rPr>
          <w:rFonts w:cstheme="minorHAnsi"/>
          <w:sz w:val="24"/>
          <w:szCs w:val="24"/>
        </w:rPr>
        <w:t xml:space="preserve">the “Follow </w:t>
      </w:r>
      <w:r w:rsidRPr="006A778D">
        <w:rPr>
          <w:rFonts w:cstheme="minorHAnsi"/>
          <w:spacing w:val="-5"/>
          <w:sz w:val="24"/>
          <w:szCs w:val="24"/>
        </w:rPr>
        <w:t xml:space="preserve">Up” </w:t>
      </w:r>
      <w:r w:rsidRPr="006A778D">
        <w:rPr>
          <w:rFonts w:cstheme="minorHAnsi"/>
          <w:sz w:val="24"/>
          <w:szCs w:val="24"/>
        </w:rPr>
        <w:t xml:space="preserve">tab in </w:t>
      </w:r>
      <w:r w:rsidRPr="006A778D">
        <w:rPr>
          <w:rFonts w:cstheme="minorHAnsi"/>
          <w:spacing w:val="-3"/>
          <w:sz w:val="24"/>
          <w:szCs w:val="24"/>
        </w:rPr>
        <w:t xml:space="preserve">PowerScribe. </w:t>
      </w:r>
      <w:r w:rsidRPr="006A778D">
        <w:rPr>
          <w:rFonts w:cstheme="minorHAnsi"/>
          <w:sz w:val="24"/>
          <w:szCs w:val="24"/>
        </w:rPr>
        <w:t xml:space="preserve">Once an acuity of Critical or Significant is </w:t>
      </w:r>
      <w:r w:rsidRPr="006A778D">
        <w:rPr>
          <w:rFonts w:cstheme="minorHAnsi"/>
          <w:spacing w:val="2"/>
          <w:sz w:val="24"/>
          <w:szCs w:val="24"/>
        </w:rPr>
        <w:t xml:space="preserve">entered </w:t>
      </w:r>
      <w:r w:rsidRPr="006A778D">
        <w:rPr>
          <w:rFonts w:cstheme="minorHAnsi"/>
          <w:sz w:val="24"/>
          <w:szCs w:val="24"/>
        </w:rPr>
        <w:t xml:space="preserve">into the patient’s medical </w:t>
      </w:r>
      <w:r w:rsidRPr="006A778D">
        <w:rPr>
          <w:rFonts w:cstheme="minorHAnsi"/>
          <w:spacing w:val="-5"/>
          <w:sz w:val="24"/>
          <w:szCs w:val="24"/>
        </w:rPr>
        <w:t xml:space="preserve">record, </w:t>
      </w:r>
      <w:r w:rsidRPr="006A778D">
        <w:rPr>
          <w:rFonts w:cstheme="minorHAnsi"/>
          <w:sz w:val="24"/>
          <w:szCs w:val="24"/>
        </w:rPr>
        <w:t xml:space="preserve">a </w:t>
      </w:r>
      <w:r w:rsidRPr="006A778D">
        <w:rPr>
          <w:rFonts w:cstheme="minorHAnsi"/>
          <w:spacing w:val="2"/>
          <w:sz w:val="24"/>
          <w:szCs w:val="24"/>
        </w:rPr>
        <w:t xml:space="preserve">72-hour </w:t>
      </w:r>
      <w:r w:rsidRPr="006A778D">
        <w:rPr>
          <w:rFonts w:cstheme="minorHAnsi"/>
          <w:sz w:val="24"/>
          <w:szCs w:val="24"/>
        </w:rPr>
        <w:t xml:space="preserve">timer is </w:t>
      </w:r>
      <w:r w:rsidRPr="006A778D">
        <w:rPr>
          <w:rFonts w:cstheme="minorHAnsi"/>
          <w:spacing w:val="2"/>
          <w:sz w:val="24"/>
          <w:szCs w:val="24"/>
        </w:rPr>
        <w:t xml:space="preserve">triggered </w:t>
      </w:r>
      <w:r w:rsidRPr="006A778D">
        <w:rPr>
          <w:rFonts w:cstheme="minorHAnsi"/>
          <w:sz w:val="24"/>
          <w:szCs w:val="24"/>
        </w:rPr>
        <w:t xml:space="preserve">for administrative staff to notify the patient’s care </w:t>
      </w:r>
      <w:r w:rsidRPr="006A778D">
        <w:rPr>
          <w:rFonts w:cstheme="minorHAnsi"/>
          <w:spacing w:val="-11"/>
          <w:sz w:val="24"/>
          <w:szCs w:val="24"/>
        </w:rPr>
        <w:t xml:space="preserve">team. </w:t>
      </w:r>
      <w:r w:rsidRPr="006A778D">
        <w:rPr>
          <w:rFonts w:cstheme="minorHAnsi"/>
          <w:spacing w:val="-8"/>
          <w:sz w:val="24"/>
          <w:szCs w:val="24"/>
        </w:rPr>
        <w:t xml:space="preserve">If </w:t>
      </w:r>
      <w:r w:rsidRPr="006A778D">
        <w:rPr>
          <w:rFonts w:cstheme="minorHAnsi"/>
          <w:sz w:val="24"/>
          <w:szCs w:val="24"/>
        </w:rPr>
        <w:t xml:space="preserve">follow-up is not completed </w:t>
      </w:r>
      <w:r w:rsidRPr="006A778D">
        <w:rPr>
          <w:rFonts w:cstheme="minorHAnsi"/>
          <w:spacing w:val="-3"/>
          <w:sz w:val="24"/>
          <w:szCs w:val="24"/>
        </w:rPr>
        <w:t xml:space="preserve">within </w:t>
      </w:r>
      <w:r w:rsidRPr="006A778D">
        <w:rPr>
          <w:rFonts w:cstheme="minorHAnsi"/>
          <w:spacing w:val="3"/>
          <w:sz w:val="24"/>
          <w:szCs w:val="24"/>
        </w:rPr>
        <w:t xml:space="preserve">72-hours, </w:t>
      </w:r>
      <w:r w:rsidRPr="006A778D">
        <w:rPr>
          <w:rFonts w:cstheme="minorHAnsi"/>
          <w:sz w:val="24"/>
          <w:szCs w:val="24"/>
        </w:rPr>
        <w:t>an escalation alert is sent out to a specific</w:t>
      </w:r>
      <w:r w:rsidRPr="006A778D">
        <w:rPr>
          <w:rFonts w:cstheme="minorHAnsi"/>
          <w:spacing w:val="-14"/>
          <w:sz w:val="24"/>
          <w:szCs w:val="24"/>
        </w:rPr>
        <w:t xml:space="preserve"> </w:t>
      </w:r>
      <w:r w:rsidRPr="006A778D">
        <w:rPr>
          <w:rFonts w:cstheme="minorHAnsi"/>
          <w:spacing w:val="2"/>
          <w:sz w:val="24"/>
          <w:szCs w:val="24"/>
        </w:rPr>
        <w:t>pool</w:t>
      </w:r>
      <w:r w:rsidRPr="006A778D">
        <w:rPr>
          <w:rFonts w:cstheme="minorHAnsi"/>
          <w:spacing w:val="-14"/>
          <w:sz w:val="24"/>
          <w:szCs w:val="24"/>
        </w:rPr>
        <w:t xml:space="preserve"> </w:t>
      </w:r>
      <w:r w:rsidRPr="006A778D">
        <w:rPr>
          <w:rFonts w:cstheme="minorHAnsi"/>
          <w:sz w:val="24"/>
          <w:szCs w:val="24"/>
        </w:rPr>
        <w:t>of</w:t>
      </w:r>
      <w:r w:rsidRPr="006A778D">
        <w:rPr>
          <w:rFonts w:cstheme="minorHAnsi"/>
          <w:spacing w:val="-11"/>
          <w:sz w:val="24"/>
          <w:szCs w:val="24"/>
        </w:rPr>
        <w:t xml:space="preserve"> </w:t>
      </w:r>
      <w:r w:rsidRPr="006A778D">
        <w:rPr>
          <w:rFonts w:cstheme="minorHAnsi"/>
          <w:sz w:val="24"/>
          <w:szCs w:val="24"/>
        </w:rPr>
        <w:t>administrative</w:t>
      </w:r>
      <w:r w:rsidRPr="006A778D">
        <w:rPr>
          <w:rFonts w:cstheme="minorHAnsi"/>
          <w:spacing w:val="-9"/>
          <w:sz w:val="24"/>
          <w:szCs w:val="24"/>
        </w:rPr>
        <w:t xml:space="preserve"> </w:t>
      </w:r>
      <w:r w:rsidRPr="006A778D">
        <w:rPr>
          <w:rFonts w:cstheme="minorHAnsi"/>
          <w:sz w:val="24"/>
          <w:szCs w:val="24"/>
        </w:rPr>
        <w:t>imaging</w:t>
      </w:r>
      <w:r w:rsidRPr="006A778D">
        <w:rPr>
          <w:rFonts w:cstheme="minorHAnsi"/>
          <w:spacing w:val="-9"/>
          <w:sz w:val="24"/>
          <w:szCs w:val="24"/>
        </w:rPr>
        <w:t xml:space="preserve"> </w:t>
      </w:r>
      <w:r w:rsidRPr="006A778D">
        <w:rPr>
          <w:rFonts w:cstheme="minorHAnsi"/>
          <w:sz w:val="24"/>
          <w:szCs w:val="24"/>
        </w:rPr>
        <w:t>staff.</w:t>
      </w:r>
    </w:p>
    <w:p w14:paraId="76BF333B" w14:textId="77777777" w:rsidR="006A778D" w:rsidRPr="006A778D" w:rsidRDefault="006A778D" w:rsidP="00691DF2">
      <w:pPr>
        <w:pStyle w:val="BodyText"/>
        <w:spacing w:before="99"/>
        <w:ind w:left="1383" w:right="109"/>
        <w:jc w:val="both"/>
        <w:rPr>
          <w:rFonts w:asciiTheme="minorHAnsi" w:hAnsiTheme="minorHAnsi" w:cstheme="minorHAnsi"/>
          <w:sz w:val="24"/>
          <w:szCs w:val="24"/>
        </w:rPr>
      </w:pPr>
      <w:r w:rsidRPr="006A778D">
        <w:rPr>
          <w:rFonts w:asciiTheme="minorHAnsi" w:hAnsiTheme="minorHAnsi" w:cstheme="minorHAnsi"/>
          <w:b/>
          <w:sz w:val="24"/>
          <w:szCs w:val="24"/>
        </w:rPr>
        <w:t xml:space="preserve">Measure: </w:t>
      </w:r>
      <w:r w:rsidRPr="006A778D">
        <w:rPr>
          <w:rFonts w:asciiTheme="minorHAnsi" w:hAnsiTheme="minorHAnsi" w:cstheme="minorHAnsi"/>
          <w:sz w:val="24"/>
          <w:szCs w:val="24"/>
        </w:rPr>
        <w:t>Number of radiologists conducting critical value reporting on cases being interpreted.</w:t>
      </w:r>
    </w:p>
    <w:p w14:paraId="201D587E" w14:textId="77777777" w:rsidR="006A778D" w:rsidRPr="006A778D" w:rsidRDefault="006A778D" w:rsidP="00691DF2">
      <w:pPr>
        <w:spacing w:after="0" w:line="240" w:lineRule="auto"/>
        <w:ind w:left="1383"/>
        <w:jc w:val="both"/>
        <w:rPr>
          <w:rFonts w:cstheme="minorHAnsi"/>
          <w:sz w:val="24"/>
          <w:szCs w:val="24"/>
        </w:rPr>
      </w:pPr>
      <w:r w:rsidRPr="006A778D">
        <w:rPr>
          <w:rFonts w:cstheme="minorHAnsi"/>
          <w:b/>
          <w:sz w:val="24"/>
          <w:szCs w:val="24"/>
        </w:rPr>
        <w:t xml:space="preserve">Projections: </w:t>
      </w:r>
      <w:r w:rsidRPr="006A778D">
        <w:rPr>
          <w:rFonts w:cstheme="minorHAnsi"/>
          <w:sz w:val="24"/>
          <w:szCs w:val="24"/>
        </w:rPr>
        <w:t>Baseline: 100%</w:t>
      </w:r>
    </w:p>
    <w:p w14:paraId="20D8AF92" w14:textId="77777777" w:rsidR="006A778D" w:rsidRPr="006A778D" w:rsidRDefault="006A778D" w:rsidP="00691DF2">
      <w:pPr>
        <w:pStyle w:val="BodyText"/>
        <w:ind w:left="2279"/>
        <w:rPr>
          <w:rFonts w:asciiTheme="minorHAnsi" w:hAnsiTheme="minorHAnsi" w:cstheme="minorHAnsi"/>
          <w:sz w:val="24"/>
          <w:szCs w:val="24"/>
        </w:rPr>
      </w:pPr>
      <w:r w:rsidRPr="006A778D">
        <w:rPr>
          <w:rFonts w:asciiTheme="minorHAnsi" w:hAnsiTheme="minorHAnsi" w:cstheme="minorHAnsi"/>
          <w:spacing w:val="-4"/>
          <w:sz w:val="24"/>
          <w:szCs w:val="24"/>
        </w:rPr>
        <w:t xml:space="preserve">Year </w:t>
      </w:r>
      <w:r w:rsidRPr="006A778D">
        <w:rPr>
          <w:rFonts w:asciiTheme="minorHAnsi" w:hAnsiTheme="minorHAnsi" w:cstheme="minorHAnsi"/>
          <w:sz w:val="24"/>
          <w:szCs w:val="24"/>
        </w:rPr>
        <w:t>1:</w:t>
      </w:r>
      <w:r w:rsidRPr="006A778D">
        <w:rPr>
          <w:rFonts w:asciiTheme="minorHAnsi" w:hAnsiTheme="minorHAnsi" w:cstheme="minorHAnsi"/>
          <w:spacing w:val="9"/>
          <w:sz w:val="24"/>
          <w:szCs w:val="24"/>
        </w:rPr>
        <w:t xml:space="preserve"> </w:t>
      </w:r>
      <w:r w:rsidRPr="006A778D">
        <w:rPr>
          <w:rFonts w:asciiTheme="minorHAnsi" w:hAnsiTheme="minorHAnsi" w:cstheme="minorHAnsi"/>
          <w:spacing w:val="3"/>
          <w:sz w:val="24"/>
          <w:szCs w:val="24"/>
        </w:rPr>
        <w:t>100%</w:t>
      </w:r>
    </w:p>
    <w:p w14:paraId="33D426B1" w14:textId="77777777" w:rsidR="006A778D" w:rsidRPr="006A778D" w:rsidRDefault="006A778D" w:rsidP="00691DF2">
      <w:pPr>
        <w:pStyle w:val="BodyText"/>
        <w:ind w:left="2279"/>
        <w:rPr>
          <w:rFonts w:asciiTheme="minorHAnsi" w:hAnsiTheme="minorHAnsi" w:cstheme="minorHAnsi"/>
          <w:sz w:val="24"/>
          <w:szCs w:val="24"/>
        </w:rPr>
      </w:pPr>
      <w:r w:rsidRPr="006A778D">
        <w:rPr>
          <w:rFonts w:asciiTheme="minorHAnsi" w:hAnsiTheme="minorHAnsi" w:cstheme="minorHAnsi"/>
          <w:spacing w:val="-4"/>
          <w:sz w:val="24"/>
          <w:szCs w:val="24"/>
        </w:rPr>
        <w:t xml:space="preserve">Year </w:t>
      </w:r>
      <w:r w:rsidRPr="006A778D">
        <w:rPr>
          <w:rFonts w:asciiTheme="minorHAnsi" w:hAnsiTheme="minorHAnsi" w:cstheme="minorHAnsi"/>
          <w:sz w:val="24"/>
          <w:szCs w:val="24"/>
        </w:rPr>
        <w:t>2:</w:t>
      </w:r>
      <w:r w:rsidRPr="006A778D">
        <w:rPr>
          <w:rFonts w:asciiTheme="minorHAnsi" w:hAnsiTheme="minorHAnsi" w:cstheme="minorHAnsi"/>
          <w:spacing w:val="9"/>
          <w:sz w:val="24"/>
          <w:szCs w:val="24"/>
        </w:rPr>
        <w:t xml:space="preserve"> </w:t>
      </w:r>
      <w:r w:rsidRPr="006A778D">
        <w:rPr>
          <w:rFonts w:asciiTheme="minorHAnsi" w:hAnsiTheme="minorHAnsi" w:cstheme="minorHAnsi"/>
          <w:spacing w:val="3"/>
          <w:sz w:val="24"/>
          <w:szCs w:val="24"/>
        </w:rPr>
        <w:t>100%</w:t>
      </w:r>
    </w:p>
    <w:p w14:paraId="6CDD260C" w14:textId="77777777" w:rsidR="006A778D" w:rsidRPr="006A778D" w:rsidRDefault="006A778D" w:rsidP="00691DF2">
      <w:pPr>
        <w:pStyle w:val="BodyText"/>
        <w:ind w:left="2279"/>
        <w:rPr>
          <w:rFonts w:asciiTheme="minorHAnsi" w:hAnsiTheme="minorHAnsi" w:cstheme="minorHAnsi"/>
          <w:sz w:val="24"/>
          <w:szCs w:val="24"/>
        </w:rPr>
      </w:pPr>
      <w:r w:rsidRPr="006A778D">
        <w:rPr>
          <w:rFonts w:asciiTheme="minorHAnsi" w:hAnsiTheme="minorHAnsi" w:cstheme="minorHAnsi"/>
          <w:spacing w:val="-4"/>
          <w:sz w:val="24"/>
          <w:szCs w:val="24"/>
        </w:rPr>
        <w:t xml:space="preserve">Year </w:t>
      </w:r>
      <w:r w:rsidRPr="006A778D">
        <w:rPr>
          <w:rFonts w:asciiTheme="minorHAnsi" w:hAnsiTheme="minorHAnsi" w:cstheme="minorHAnsi"/>
          <w:sz w:val="24"/>
          <w:szCs w:val="24"/>
        </w:rPr>
        <w:t>3:</w:t>
      </w:r>
      <w:r w:rsidRPr="006A778D">
        <w:rPr>
          <w:rFonts w:asciiTheme="minorHAnsi" w:hAnsiTheme="minorHAnsi" w:cstheme="minorHAnsi"/>
          <w:spacing w:val="9"/>
          <w:sz w:val="24"/>
          <w:szCs w:val="24"/>
        </w:rPr>
        <w:t xml:space="preserve"> </w:t>
      </w:r>
      <w:r w:rsidRPr="006A778D">
        <w:rPr>
          <w:rFonts w:asciiTheme="minorHAnsi" w:hAnsiTheme="minorHAnsi" w:cstheme="minorHAnsi"/>
          <w:spacing w:val="3"/>
          <w:sz w:val="24"/>
          <w:szCs w:val="24"/>
        </w:rPr>
        <w:t>100%</w:t>
      </w:r>
    </w:p>
    <w:p w14:paraId="7B097AB7" w14:textId="76928D7E" w:rsidR="006A778D" w:rsidRDefault="006A778D" w:rsidP="00691DF2">
      <w:pPr>
        <w:pStyle w:val="BodyText"/>
        <w:spacing w:before="67"/>
        <w:ind w:left="1383" w:right="121"/>
        <w:jc w:val="both"/>
        <w:rPr>
          <w:rFonts w:asciiTheme="minorHAnsi" w:hAnsiTheme="minorHAnsi" w:cstheme="minorHAnsi"/>
          <w:sz w:val="24"/>
          <w:szCs w:val="24"/>
        </w:rPr>
      </w:pPr>
      <w:r w:rsidRPr="006A778D">
        <w:rPr>
          <w:rFonts w:asciiTheme="minorHAnsi" w:hAnsiTheme="minorHAnsi" w:cstheme="minorHAnsi"/>
          <w:b/>
          <w:sz w:val="24"/>
          <w:szCs w:val="24"/>
        </w:rPr>
        <w:t xml:space="preserve">Monitoring: </w:t>
      </w:r>
      <w:r w:rsidRPr="006A778D">
        <w:rPr>
          <w:rFonts w:asciiTheme="minorHAnsi" w:hAnsiTheme="minorHAnsi" w:cstheme="minorHAnsi"/>
          <w:sz w:val="24"/>
          <w:szCs w:val="24"/>
        </w:rPr>
        <w:t>MRI scans will be forwarded to the patient’s care team in order to complete follow-up as required. The radiologist will be available to answer any questions.</w:t>
      </w:r>
    </w:p>
    <w:p w14:paraId="6F4B1461" w14:textId="77777777" w:rsidR="00691DF2" w:rsidRPr="006A778D" w:rsidRDefault="00691DF2" w:rsidP="00691DF2">
      <w:pPr>
        <w:pStyle w:val="BodyText"/>
        <w:spacing w:before="67"/>
        <w:ind w:left="1383" w:right="121"/>
        <w:jc w:val="both"/>
        <w:rPr>
          <w:rFonts w:asciiTheme="minorHAnsi" w:hAnsiTheme="minorHAnsi" w:cstheme="minorHAnsi"/>
          <w:sz w:val="24"/>
          <w:szCs w:val="24"/>
        </w:rPr>
      </w:pPr>
    </w:p>
    <w:p w14:paraId="35B5AF19" w14:textId="77777777" w:rsidR="006A778D" w:rsidRPr="006A778D" w:rsidRDefault="006A778D" w:rsidP="006B1176">
      <w:pPr>
        <w:pStyle w:val="ListParagraph"/>
        <w:widowControl w:val="0"/>
        <w:numPr>
          <w:ilvl w:val="1"/>
          <w:numId w:val="23"/>
        </w:numPr>
        <w:tabs>
          <w:tab w:val="left" w:pos="1384"/>
        </w:tabs>
        <w:autoSpaceDE w:val="0"/>
        <w:autoSpaceDN w:val="0"/>
        <w:spacing w:before="84" w:after="0" w:line="240" w:lineRule="auto"/>
        <w:ind w:left="688" w:right="121" w:hanging="544"/>
        <w:contextualSpacing w:val="0"/>
        <w:jc w:val="both"/>
        <w:rPr>
          <w:rFonts w:cstheme="minorHAnsi"/>
          <w:sz w:val="24"/>
          <w:szCs w:val="24"/>
        </w:rPr>
      </w:pPr>
      <w:r w:rsidRPr="006A778D">
        <w:rPr>
          <w:rFonts w:cstheme="minorHAnsi"/>
          <w:b/>
          <w:spacing w:val="2"/>
          <w:sz w:val="24"/>
          <w:szCs w:val="24"/>
        </w:rPr>
        <w:t>Quality</w:t>
      </w:r>
      <w:r w:rsidRPr="006A778D">
        <w:rPr>
          <w:rFonts w:cstheme="minorHAnsi"/>
          <w:b/>
          <w:spacing w:val="-20"/>
          <w:sz w:val="24"/>
          <w:szCs w:val="24"/>
        </w:rPr>
        <w:t xml:space="preserve"> </w:t>
      </w:r>
      <w:r w:rsidRPr="006A778D">
        <w:rPr>
          <w:rFonts w:cstheme="minorHAnsi"/>
          <w:b/>
          <w:spacing w:val="3"/>
          <w:sz w:val="24"/>
          <w:szCs w:val="24"/>
        </w:rPr>
        <w:t>of</w:t>
      </w:r>
      <w:r w:rsidRPr="006A778D">
        <w:rPr>
          <w:rFonts w:cstheme="minorHAnsi"/>
          <w:b/>
          <w:spacing w:val="2"/>
          <w:sz w:val="24"/>
          <w:szCs w:val="24"/>
        </w:rPr>
        <w:t xml:space="preserve"> Care</w:t>
      </w:r>
      <w:r w:rsidRPr="006A778D">
        <w:rPr>
          <w:rFonts w:cstheme="minorHAnsi"/>
          <w:b/>
          <w:spacing w:val="18"/>
          <w:sz w:val="24"/>
          <w:szCs w:val="24"/>
        </w:rPr>
        <w:t xml:space="preserve"> </w:t>
      </w:r>
      <w:r w:rsidRPr="006A778D">
        <w:rPr>
          <w:rFonts w:cstheme="minorHAnsi"/>
          <w:b/>
          <w:sz w:val="24"/>
          <w:szCs w:val="24"/>
        </w:rPr>
        <w:t>-</w:t>
      </w:r>
      <w:r w:rsidRPr="006A778D">
        <w:rPr>
          <w:rFonts w:cstheme="minorHAnsi"/>
          <w:b/>
          <w:spacing w:val="2"/>
          <w:sz w:val="24"/>
          <w:szCs w:val="24"/>
        </w:rPr>
        <w:t xml:space="preserve"> </w:t>
      </w:r>
      <w:r w:rsidRPr="006A778D">
        <w:rPr>
          <w:rFonts w:cstheme="minorHAnsi"/>
          <w:b/>
          <w:sz w:val="24"/>
          <w:szCs w:val="24"/>
        </w:rPr>
        <w:t>Quality</w:t>
      </w:r>
      <w:r w:rsidRPr="006A778D">
        <w:rPr>
          <w:rFonts w:cstheme="minorHAnsi"/>
          <w:b/>
          <w:spacing w:val="-19"/>
          <w:sz w:val="24"/>
          <w:szCs w:val="24"/>
        </w:rPr>
        <w:t xml:space="preserve"> </w:t>
      </w:r>
      <w:r w:rsidRPr="006A778D">
        <w:rPr>
          <w:rFonts w:cstheme="minorHAnsi"/>
          <w:b/>
          <w:spacing w:val="3"/>
          <w:sz w:val="24"/>
          <w:szCs w:val="24"/>
        </w:rPr>
        <w:t>of</w:t>
      </w:r>
      <w:r w:rsidRPr="006A778D">
        <w:rPr>
          <w:rFonts w:cstheme="minorHAnsi"/>
          <w:b/>
          <w:spacing w:val="2"/>
          <w:sz w:val="24"/>
          <w:szCs w:val="24"/>
        </w:rPr>
        <w:t xml:space="preserve"> </w:t>
      </w:r>
      <w:r w:rsidRPr="006A778D">
        <w:rPr>
          <w:rFonts w:cstheme="minorHAnsi"/>
          <w:b/>
          <w:sz w:val="24"/>
          <w:szCs w:val="24"/>
        </w:rPr>
        <w:t>MRI</w:t>
      </w:r>
      <w:r w:rsidRPr="006A778D">
        <w:rPr>
          <w:rFonts w:cstheme="minorHAnsi"/>
          <w:b/>
          <w:spacing w:val="-3"/>
          <w:sz w:val="24"/>
          <w:szCs w:val="24"/>
        </w:rPr>
        <w:t xml:space="preserve"> </w:t>
      </w:r>
      <w:r w:rsidRPr="006A778D">
        <w:rPr>
          <w:rFonts w:cstheme="minorHAnsi"/>
          <w:b/>
          <w:sz w:val="24"/>
          <w:szCs w:val="24"/>
        </w:rPr>
        <w:t>Scan</w:t>
      </w:r>
      <w:r w:rsidRPr="006A778D">
        <w:rPr>
          <w:rFonts w:cstheme="minorHAnsi"/>
          <w:sz w:val="24"/>
          <w:szCs w:val="24"/>
        </w:rPr>
        <w:t>:</w:t>
      </w:r>
      <w:r w:rsidRPr="006A778D">
        <w:rPr>
          <w:rFonts w:cstheme="minorHAnsi"/>
          <w:spacing w:val="-3"/>
          <w:sz w:val="24"/>
          <w:szCs w:val="24"/>
        </w:rPr>
        <w:t xml:space="preserve"> </w:t>
      </w:r>
      <w:r w:rsidRPr="006A778D">
        <w:rPr>
          <w:rFonts w:cstheme="minorHAnsi"/>
          <w:spacing w:val="3"/>
          <w:sz w:val="24"/>
          <w:szCs w:val="24"/>
        </w:rPr>
        <w:t>The</w:t>
      </w:r>
      <w:r w:rsidRPr="006A778D">
        <w:rPr>
          <w:rFonts w:cstheme="minorHAnsi"/>
          <w:spacing w:val="-20"/>
          <w:sz w:val="24"/>
          <w:szCs w:val="24"/>
        </w:rPr>
        <w:t xml:space="preserve"> </w:t>
      </w:r>
      <w:r w:rsidRPr="006A778D">
        <w:rPr>
          <w:rFonts w:cstheme="minorHAnsi"/>
          <w:sz w:val="24"/>
          <w:szCs w:val="24"/>
        </w:rPr>
        <w:t>quality</w:t>
      </w:r>
      <w:r w:rsidRPr="006A778D">
        <w:rPr>
          <w:rFonts w:cstheme="minorHAnsi"/>
          <w:spacing w:val="-5"/>
          <w:sz w:val="24"/>
          <w:szCs w:val="24"/>
        </w:rPr>
        <w:t xml:space="preserve"> </w:t>
      </w:r>
      <w:r w:rsidRPr="006A778D">
        <w:rPr>
          <w:rFonts w:cstheme="minorHAnsi"/>
          <w:sz w:val="24"/>
          <w:szCs w:val="24"/>
        </w:rPr>
        <w:t>of</w:t>
      </w:r>
      <w:r w:rsidRPr="006A778D">
        <w:rPr>
          <w:rFonts w:cstheme="minorHAnsi"/>
          <w:spacing w:val="-3"/>
          <w:sz w:val="24"/>
          <w:szCs w:val="24"/>
        </w:rPr>
        <w:t xml:space="preserve"> </w:t>
      </w:r>
      <w:r w:rsidRPr="006A778D">
        <w:rPr>
          <w:rFonts w:cstheme="minorHAnsi"/>
          <w:sz w:val="24"/>
          <w:szCs w:val="24"/>
        </w:rPr>
        <w:t xml:space="preserve">an </w:t>
      </w:r>
      <w:r w:rsidRPr="006A778D">
        <w:rPr>
          <w:rFonts w:cstheme="minorHAnsi"/>
          <w:spacing w:val="-5"/>
          <w:sz w:val="24"/>
          <w:szCs w:val="24"/>
        </w:rPr>
        <w:t>MRI</w:t>
      </w:r>
      <w:r w:rsidRPr="006A778D">
        <w:rPr>
          <w:rFonts w:cstheme="minorHAnsi"/>
          <w:spacing w:val="-22"/>
          <w:sz w:val="24"/>
          <w:szCs w:val="24"/>
        </w:rPr>
        <w:t xml:space="preserve"> </w:t>
      </w:r>
      <w:r w:rsidRPr="006A778D">
        <w:rPr>
          <w:rFonts w:cstheme="minorHAnsi"/>
          <w:sz w:val="24"/>
          <w:szCs w:val="24"/>
        </w:rPr>
        <w:t>scan</w:t>
      </w:r>
      <w:r w:rsidRPr="006A778D">
        <w:rPr>
          <w:rFonts w:cstheme="minorHAnsi"/>
          <w:spacing w:val="-1"/>
          <w:sz w:val="24"/>
          <w:szCs w:val="24"/>
        </w:rPr>
        <w:t xml:space="preserve"> </w:t>
      </w:r>
      <w:r w:rsidRPr="006A778D">
        <w:rPr>
          <w:rFonts w:cstheme="minorHAnsi"/>
          <w:sz w:val="24"/>
          <w:szCs w:val="24"/>
        </w:rPr>
        <w:t>is</w:t>
      </w:r>
      <w:r w:rsidRPr="006A778D">
        <w:rPr>
          <w:rFonts w:cstheme="minorHAnsi"/>
          <w:spacing w:val="14"/>
          <w:sz w:val="24"/>
          <w:szCs w:val="24"/>
        </w:rPr>
        <w:t xml:space="preserve"> </w:t>
      </w:r>
      <w:r w:rsidRPr="006A778D">
        <w:rPr>
          <w:rFonts w:cstheme="minorHAnsi"/>
          <w:sz w:val="24"/>
          <w:szCs w:val="24"/>
        </w:rPr>
        <w:t>imperative</w:t>
      </w:r>
      <w:r w:rsidRPr="006A778D">
        <w:rPr>
          <w:rFonts w:cstheme="minorHAnsi"/>
          <w:spacing w:val="-1"/>
          <w:sz w:val="24"/>
          <w:szCs w:val="24"/>
        </w:rPr>
        <w:t xml:space="preserve"> </w:t>
      </w:r>
      <w:r w:rsidRPr="006A778D">
        <w:rPr>
          <w:rFonts w:cstheme="minorHAnsi"/>
          <w:spacing w:val="-8"/>
          <w:sz w:val="24"/>
          <w:szCs w:val="24"/>
        </w:rPr>
        <w:t xml:space="preserve">to </w:t>
      </w:r>
      <w:r w:rsidRPr="006A778D">
        <w:rPr>
          <w:rFonts w:cstheme="minorHAnsi"/>
          <w:sz w:val="24"/>
          <w:szCs w:val="24"/>
        </w:rPr>
        <w:t xml:space="preserve">its interpretation. Accordingly, the System </w:t>
      </w:r>
      <w:r w:rsidRPr="006A778D">
        <w:rPr>
          <w:rFonts w:cstheme="minorHAnsi"/>
          <w:spacing w:val="-6"/>
          <w:sz w:val="24"/>
          <w:szCs w:val="24"/>
        </w:rPr>
        <w:t xml:space="preserve">will </w:t>
      </w:r>
      <w:r w:rsidRPr="006A778D">
        <w:rPr>
          <w:rFonts w:cstheme="minorHAnsi"/>
          <w:sz w:val="24"/>
          <w:szCs w:val="24"/>
        </w:rPr>
        <w:t xml:space="preserve">evaluate the number of scans </w:t>
      </w:r>
      <w:r w:rsidRPr="006A778D">
        <w:rPr>
          <w:rFonts w:cstheme="minorHAnsi"/>
          <w:spacing w:val="-3"/>
          <w:sz w:val="24"/>
          <w:szCs w:val="24"/>
        </w:rPr>
        <w:t xml:space="preserve">that </w:t>
      </w:r>
      <w:r w:rsidRPr="006A778D">
        <w:rPr>
          <w:rFonts w:cstheme="minorHAnsi"/>
          <w:spacing w:val="2"/>
          <w:sz w:val="24"/>
          <w:szCs w:val="24"/>
        </w:rPr>
        <w:t xml:space="preserve">need </w:t>
      </w:r>
      <w:r w:rsidRPr="006A778D">
        <w:rPr>
          <w:rFonts w:cstheme="minorHAnsi"/>
          <w:sz w:val="24"/>
          <w:szCs w:val="24"/>
        </w:rPr>
        <w:t xml:space="preserve">to be </w:t>
      </w:r>
      <w:r w:rsidRPr="006A778D">
        <w:rPr>
          <w:rFonts w:cstheme="minorHAnsi"/>
          <w:spacing w:val="2"/>
          <w:sz w:val="24"/>
          <w:szCs w:val="24"/>
        </w:rPr>
        <w:t xml:space="preserve">repeated </w:t>
      </w:r>
      <w:r w:rsidRPr="006A778D">
        <w:rPr>
          <w:rFonts w:cstheme="minorHAnsi"/>
          <w:spacing w:val="-3"/>
          <w:sz w:val="24"/>
          <w:szCs w:val="24"/>
        </w:rPr>
        <w:t xml:space="preserve">within </w:t>
      </w:r>
      <w:r w:rsidRPr="006A778D">
        <w:rPr>
          <w:rFonts w:cstheme="minorHAnsi"/>
          <w:sz w:val="24"/>
          <w:szCs w:val="24"/>
        </w:rPr>
        <w:t xml:space="preserve">a </w:t>
      </w:r>
      <w:r w:rsidRPr="006A778D">
        <w:rPr>
          <w:rFonts w:cstheme="minorHAnsi"/>
          <w:spacing w:val="3"/>
          <w:sz w:val="24"/>
          <w:szCs w:val="24"/>
        </w:rPr>
        <w:t xml:space="preserve">48-hour </w:t>
      </w:r>
      <w:r w:rsidRPr="006A778D">
        <w:rPr>
          <w:rFonts w:cstheme="minorHAnsi"/>
          <w:spacing w:val="2"/>
          <w:sz w:val="24"/>
          <w:szCs w:val="24"/>
        </w:rPr>
        <w:t xml:space="preserve">period from </w:t>
      </w:r>
      <w:r w:rsidRPr="006A778D">
        <w:rPr>
          <w:rFonts w:cstheme="minorHAnsi"/>
          <w:sz w:val="24"/>
          <w:szCs w:val="24"/>
        </w:rPr>
        <w:t xml:space="preserve">the date of the original scan </w:t>
      </w:r>
      <w:r w:rsidRPr="006A778D">
        <w:rPr>
          <w:rFonts w:cstheme="minorHAnsi"/>
          <w:spacing w:val="-8"/>
          <w:sz w:val="24"/>
          <w:szCs w:val="24"/>
        </w:rPr>
        <w:t xml:space="preserve">to </w:t>
      </w:r>
      <w:r w:rsidRPr="006A778D">
        <w:rPr>
          <w:rFonts w:cstheme="minorHAnsi"/>
          <w:spacing w:val="2"/>
          <w:sz w:val="24"/>
          <w:szCs w:val="24"/>
        </w:rPr>
        <w:t>ensure</w:t>
      </w:r>
      <w:r w:rsidRPr="006A778D">
        <w:rPr>
          <w:rFonts w:cstheme="minorHAnsi"/>
          <w:spacing w:val="-9"/>
          <w:sz w:val="24"/>
          <w:szCs w:val="24"/>
        </w:rPr>
        <w:t xml:space="preserve"> </w:t>
      </w:r>
      <w:r w:rsidRPr="006A778D">
        <w:rPr>
          <w:rFonts w:cstheme="minorHAnsi"/>
          <w:sz w:val="24"/>
          <w:szCs w:val="24"/>
        </w:rPr>
        <w:t>radiology</w:t>
      </w:r>
      <w:r w:rsidRPr="006A778D">
        <w:rPr>
          <w:rFonts w:cstheme="minorHAnsi"/>
          <w:spacing w:val="-12"/>
          <w:sz w:val="24"/>
          <w:szCs w:val="24"/>
        </w:rPr>
        <w:t xml:space="preserve"> </w:t>
      </w:r>
      <w:r w:rsidRPr="006A778D">
        <w:rPr>
          <w:rFonts w:cstheme="minorHAnsi"/>
          <w:sz w:val="24"/>
          <w:szCs w:val="24"/>
        </w:rPr>
        <w:t>technicians</w:t>
      </w:r>
      <w:r w:rsidRPr="006A778D">
        <w:rPr>
          <w:rFonts w:cstheme="minorHAnsi"/>
          <w:spacing w:val="-12"/>
          <w:sz w:val="24"/>
          <w:szCs w:val="24"/>
        </w:rPr>
        <w:t xml:space="preserve"> </w:t>
      </w:r>
      <w:r w:rsidRPr="006A778D">
        <w:rPr>
          <w:rFonts w:cstheme="minorHAnsi"/>
          <w:spacing w:val="2"/>
          <w:sz w:val="24"/>
          <w:szCs w:val="24"/>
        </w:rPr>
        <w:t>are</w:t>
      </w:r>
      <w:r w:rsidRPr="006A778D">
        <w:rPr>
          <w:rFonts w:cstheme="minorHAnsi"/>
          <w:spacing w:val="-8"/>
          <w:sz w:val="24"/>
          <w:szCs w:val="24"/>
        </w:rPr>
        <w:t xml:space="preserve"> </w:t>
      </w:r>
      <w:r w:rsidRPr="006A778D">
        <w:rPr>
          <w:rFonts w:cstheme="minorHAnsi"/>
          <w:sz w:val="24"/>
          <w:szCs w:val="24"/>
        </w:rPr>
        <w:t>performing</w:t>
      </w:r>
      <w:r w:rsidRPr="006A778D">
        <w:rPr>
          <w:rFonts w:cstheme="minorHAnsi"/>
          <w:spacing w:val="-8"/>
          <w:sz w:val="24"/>
          <w:szCs w:val="24"/>
        </w:rPr>
        <w:t xml:space="preserve"> </w:t>
      </w:r>
      <w:r w:rsidRPr="006A778D">
        <w:rPr>
          <w:rFonts w:cstheme="minorHAnsi"/>
          <w:sz w:val="24"/>
          <w:szCs w:val="24"/>
        </w:rPr>
        <w:t>appropriate</w:t>
      </w:r>
      <w:r w:rsidRPr="006A778D">
        <w:rPr>
          <w:rFonts w:cstheme="minorHAnsi"/>
          <w:spacing w:val="-9"/>
          <w:sz w:val="24"/>
          <w:szCs w:val="24"/>
        </w:rPr>
        <w:t xml:space="preserve"> </w:t>
      </w:r>
      <w:r w:rsidRPr="006A778D">
        <w:rPr>
          <w:rFonts w:cstheme="minorHAnsi"/>
          <w:sz w:val="24"/>
          <w:szCs w:val="24"/>
        </w:rPr>
        <w:t>scans.</w:t>
      </w:r>
    </w:p>
    <w:p w14:paraId="160B2C39" w14:textId="77777777" w:rsidR="006A778D" w:rsidRPr="006A778D" w:rsidRDefault="006A778D" w:rsidP="00691DF2">
      <w:pPr>
        <w:pStyle w:val="BodyText"/>
        <w:spacing w:before="84"/>
        <w:ind w:left="1383" w:right="136"/>
        <w:jc w:val="both"/>
        <w:rPr>
          <w:rFonts w:asciiTheme="minorHAnsi" w:hAnsiTheme="minorHAnsi" w:cstheme="minorHAnsi"/>
          <w:sz w:val="24"/>
          <w:szCs w:val="24"/>
        </w:rPr>
      </w:pPr>
      <w:r w:rsidRPr="006A778D">
        <w:rPr>
          <w:rFonts w:asciiTheme="minorHAnsi" w:hAnsiTheme="minorHAnsi" w:cstheme="minorHAnsi"/>
          <w:b/>
          <w:sz w:val="24"/>
          <w:szCs w:val="24"/>
        </w:rPr>
        <w:t xml:space="preserve">Measure: </w:t>
      </w:r>
      <w:r w:rsidRPr="006A778D">
        <w:rPr>
          <w:rFonts w:asciiTheme="minorHAnsi" w:hAnsiTheme="minorHAnsi" w:cstheme="minorHAnsi"/>
          <w:sz w:val="24"/>
          <w:szCs w:val="24"/>
        </w:rPr>
        <w:t>The number of repeat MRI scans performed on patients within a 48-hour period from the date of the original scan.</w:t>
      </w:r>
    </w:p>
    <w:p w14:paraId="45AC4DE4" w14:textId="77777777" w:rsidR="006A778D" w:rsidRPr="006A778D" w:rsidRDefault="006A778D" w:rsidP="00691DF2">
      <w:pPr>
        <w:spacing w:before="81" w:after="0" w:line="240" w:lineRule="auto"/>
        <w:ind w:left="1383"/>
        <w:jc w:val="both"/>
        <w:rPr>
          <w:rFonts w:cstheme="minorHAnsi"/>
          <w:sz w:val="24"/>
          <w:szCs w:val="24"/>
        </w:rPr>
      </w:pPr>
      <w:r w:rsidRPr="006A778D">
        <w:rPr>
          <w:rFonts w:cstheme="minorHAnsi"/>
          <w:b/>
          <w:sz w:val="24"/>
          <w:szCs w:val="24"/>
        </w:rPr>
        <w:t xml:space="preserve">Projections: </w:t>
      </w:r>
      <w:r w:rsidRPr="006A778D">
        <w:rPr>
          <w:rFonts w:cstheme="minorHAnsi"/>
          <w:sz w:val="24"/>
          <w:szCs w:val="24"/>
        </w:rPr>
        <w:t>Baseline: 5/month</w:t>
      </w:r>
    </w:p>
    <w:p w14:paraId="7E34ECBB" w14:textId="77777777" w:rsidR="006A778D" w:rsidRPr="006A778D" w:rsidRDefault="006A778D" w:rsidP="00691DF2">
      <w:pPr>
        <w:pStyle w:val="BodyText"/>
        <w:spacing w:before="83"/>
        <w:ind w:left="2279"/>
        <w:rPr>
          <w:rFonts w:asciiTheme="minorHAnsi" w:hAnsiTheme="minorHAnsi" w:cstheme="minorHAnsi"/>
          <w:sz w:val="24"/>
          <w:szCs w:val="24"/>
        </w:rPr>
      </w:pPr>
      <w:r w:rsidRPr="006A778D">
        <w:rPr>
          <w:rFonts w:asciiTheme="minorHAnsi" w:hAnsiTheme="minorHAnsi" w:cstheme="minorHAnsi"/>
          <w:sz w:val="24"/>
          <w:szCs w:val="24"/>
        </w:rPr>
        <w:t xml:space="preserve">Year 1: 4/month </w:t>
      </w:r>
      <w:r w:rsidRPr="006A778D">
        <w:rPr>
          <w:rFonts w:asciiTheme="minorHAnsi" w:hAnsiTheme="minorHAnsi" w:cstheme="minorHAnsi"/>
          <w:spacing w:val="2"/>
          <w:sz w:val="24"/>
          <w:szCs w:val="24"/>
        </w:rPr>
        <w:t>(20%</w:t>
      </w:r>
      <w:r w:rsidRPr="006A778D">
        <w:rPr>
          <w:rFonts w:asciiTheme="minorHAnsi" w:hAnsiTheme="minorHAnsi" w:cstheme="minorHAnsi"/>
          <w:spacing w:val="11"/>
          <w:sz w:val="24"/>
          <w:szCs w:val="24"/>
        </w:rPr>
        <w:t xml:space="preserve"> </w:t>
      </w:r>
      <w:r w:rsidRPr="006A778D">
        <w:rPr>
          <w:rFonts w:asciiTheme="minorHAnsi" w:hAnsiTheme="minorHAnsi" w:cstheme="minorHAnsi"/>
          <w:sz w:val="24"/>
          <w:szCs w:val="24"/>
        </w:rPr>
        <w:t>improvement)</w:t>
      </w:r>
    </w:p>
    <w:p w14:paraId="4F6AB805" w14:textId="77777777" w:rsidR="006A778D" w:rsidRPr="006A778D" w:rsidRDefault="006A778D" w:rsidP="00691DF2">
      <w:pPr>
        <w:pStyle w:val="BodyText"/>
        <w:spacing w:before="67"/>
        <w:ind w:left="2278"/>
        <w:rPr>
          <w:rFonts w:asciiTheme="minorHAnsi" w:hAnsiTheme="minorHAnsi" w:cstheme="minorHAnsi"/>
          <w:sz w:val="24"/>
          <w:szCs w:val="24"/>
        </w:rPr>
      </w:pPr>
      <w:r w:rsidRPr="006A778D">
        <w:rPr>
          <w:rFonts w:asciiTheme="minorHAnsi" w:hAnsiTheme="minorHAnsi" w:cstheme="minorHAnsi"/>
          <w:sz w:val="24"/>
          <w:szCs w:val="24"/>
        </w:rPr>
        <w:t xml:space="preserve">Year 2: 3/month </w:t>
      </w:r>
      <w:r w:rsidRPr="006A778D">
        <w:rPr>
          <w:rFonts w:asciiTheme="minorHAnsi" w:hAnsiTheme="minorHAnsi" w:cstheme="minorHAnsi"/>
          <w:spacing w:val="2"/>
          <w:sz w:val="24"/>
          <w:szCs w:val="24"/>
        </w:rPr>
        <w:t>(40%</w:t>
      </w:r>
      <w:r w:rsidRPr="006A778D">
        <w:rPr>
          <w:rFonts w:asciiTheme="minorHAnsi" w:hAnsiTheme="minorHAnsi" w:cstheme="minorHAnsi"/>
          <w:spacing w:val="11"/>
          <w:sz w:val="24"/>
          <w:szCs w:val="24"/>
        </w:rPr>
        <w:t xml:space="preserve"> </w:t>
      </w:r>
      <w:r w:rsidRPr="006A778D">
        <w:rPr>
          <w:rFonts w:asciiTheme="minorHAnsi" w:hAnsiTheme="minorHAnsi" w:cstheme="minorHAnsi"/>
          <w:sz w:val="24"/>
          <w:szCs w:val="24"/>
        </w:rPr>
        <w:t>improvement)</w:t>
      </w:r>
    </w:p>
    <w:p w14:paraId="4C227BD8" w14:textId="77777777" w:rsidR="006A778D" w:rsidRPr="006A778D" w:rsidRDefault="006A778D" w:rsidP="00691DF2">
      <w:pPr>
        <w:pStyle w:val="BodyText"/>
        <w:spacing w:before="83"/>
        <w:ind w:left="2278"/>
        <w:rPr>
          <w:rFonts w:asciiTheme="minorHAnsi" w:hAnsiTheme="minorHAnsi" w:cstheme="minorHAnsi"/>
          <w:sz w:val="24"/>
          <w:szCs w:val="24"/>
        </w:rPr>
      </w:pPr>
      <w:r w:rsidRPr="006A778D">
        <w:rPr>
          <w:rFonts w:asciiTheme="minorHAnsi" w:hAnsiTheme="minorHAnsi" w:cstheme="minorHAnsi"/>
          <w:sz w:val="24"/>
          <w:szCs w:val="24"/>
        </w:rPr>
        <w:t xml:space="preserve">Year 3: 2/month </w:t>
      </w:r>
      <w:r w:rsidRPr="006A778D">
        <w:rPr>
          <w:rFonts w:asciiTheme="minorHAnsi" w:hAnsiTheme="minorHAnsi" w:cstheme="minorHAnsi"/>
          <w:spacing w:val="2"/>
          <w:sz w:val="24"/>
          <w:szCs w:val="24"/>
        </w:rPr>
        <w:t>(60%</w:t>
      </w:r>
      <w:r w:rsidRPr="006A778D">
        <w:rPr>
          <w:rFonts w:asciiTheme="minorHAnsi" w:hAnsiTheme="minorHAnsi" w:cstheme="minorHAnsi"/>
          <w:spacing w:val="11"/>
          <w:sz w:val="24"/>
          <w:szCs w:val="24"/>
        </w:rPr>
        <w:t xml:space="preserve"> </w:t>
      </w:r>
      <w:r w:rsidRPr="006A778D">
        <w:rPr>
          <w:rFonts w:asciiTheme="minorHAnsi" w:hAnsiTheme="minorHAnsi" w:cstheme="minorHAnsi"/>
          <w:sz w:val="24"/>
          <w:szCs w:val="24"/>
        </w:rPr>
        <w:t>improvement)</w:t>
      </w:r>
    </w:p>
    <w:p w14:paraId="436873E9" w14:textId="351C684B" w:rsidR="00503A3A" w:rsidRDefault="006A778D" w:rsidP="00691DF2">
      <w:pPr>
        <w:pStyle w:val="BodyText"/>
        <w:spacing w:before="83"/>
        <w:ind w:left="1382" w:right="109"/>
        <w:jc w:val="both"/>
        <w:rPr>
          <w:rFonts w:asciiTheme="minorHAnsi" w:hAnsiTheme="minorHAnsi" w:cstheme="minorHAnsi"/>
          <w:sz w:val="24"/>
          <w:szCs w:val="24"/>
        </w:rPr>
      </w:pPr>
      <w:r w:rsidRPr="006A778D">
        <w:rPr>
          <w:rFonts w:asciiTheme="minorHAnsi" w:hAnsiTheme="minorHAnsi" w:cstheme="minorHAnsi"/>
          <w:b/>
          <w:spacing w:val="2"/>
          <w:sz w:val="24"/>
          <w:szCs w:val="24"/>
        </w:rPr>
        <w:t xml:space="preserve">Monitoring: </w:t>
      </w:r>
      <w:r w:rsidRPr="006A778D">
        <w:rPr>
          <w:rFonts w:asciiTheme="minorHAnsi" w:hAnsiTheme="minorHAnsi" w:cstheme="minorHAnsi"/>
          <w:spacing w:val="-5"/>
          <w:sz w:val="24"/>
          <w:szCs w:val="24"/>
        </w:rPr>
        <w:t xml:space="preserve">MRI </w:t>
      </w:r>
      <w:r w:rsidRPr="006A778D">
        <w:rPr>
          <w:rFonts w:asciiTheme="minorHAnsi" w:hAnsiTheme="minorHAnsi" w:cstheme="minorHAnsi"/>
          <w:sz w:val="24"/>
          <w:szCs w:val="24"/>
        </w:rPr>
        <w:t xml:space="preserve">technologists </w:t>
      </w:r>
      <w:r w:rsidRPr="006A778D">
        <w:rPr>
          <w:rFonts w:asciiTheme="minorHAnsi" w:hAnsiTheme="minorHAnsi" w:cstheme="minorHAnsi"/>
          <w:spacing w:val="-6"/>
          <w:sz w:val="24"/>
          <w:szCs w:val="24"/>
        </w:rPr>
        <w:t xml:space="preserve">will </w:t>
      </w:r>
      <w:r w:rsidRPr="006A778D">
        <w:rPr>
          <w:rFonts w:asciiTheme="minorHAnsi" w:hAnsiTheme="minorHAnsi" w:cstheme="minorHAnsi"/>
          <w:sz w:val="24"/>
          <w:szCs w:val="24"/>
        </w:rPr>
        <w:t xml:space="preserve">track the number of scans that </w:t>
      </w:r>
      <w:r w:rsidRPr="006A778D">
        <w:rPr>
          <w:rFonts w:asciiTheme="minorHAnsi" w:hAnsiTheme="minorHAnsi" w:cstheme="minorHAnsi"/>
          <w:spacing w:val="2"/>
          <w:sz w:val="24"/>
          <w:szCs w:val="24"/>
        </w:rPr>
        <w:t xml:space="preserve">are </w:t>
      </w:r>
      <w:r w:rsidRPr="006A778D">
        <w:rPr>
          <w:rFonts w:asciiTheme="minorHAnsi" w:hAnsiTheme="minorHAnsi" w:cstheme="minorHAnsi"/>
          <w:spacing w:val="-4"/>
          <w:sz w:val="24"/>
          <w:szCs w:val="24"/>
        </w:rPr>
        <w:t xml:space="preserve">repeated </w:t>
      </w:r>
      <w:r w:rsidRPr="006A778D">
        <w:rPr>
          <w:rFonts w:asciiTheme="minorHAnsi" w:hAnsiTheme="minorHAnsi" w:cstheme="minorHAnsi"/>
          <w:spacing w:val="-9"/>
          <w:sz w:val="24"/>
          <w:szCs w:val="24"/>
        </w:rPr>
        <w:t xml:space="preserve">and </w:t>
      </w:r>
      <w:r w:rsidRPr="006A778D">
        <w:rPr>
          <w:rFonts w:asciiTheme="minorHAnsi" w:hAnsiTheme="minorHAnsi" w:cstheme="minorHAnsi"/>
          <w:sz w:val="24"/>
          <w:szCs w:val="24"/>
        </w:rPr>
        <w:t xml:space="preserve">scheduled for the </w:t>
      </w:r>
      <w:r w:rsidRPr="006A778D">
        <w:rPr>
          <w:rFonts w:asciiTheme="minorHAnsi" w:hAnsiTheme="minorHAnsi" w:cstheme="minorHAnsi"/>
          <w:spacing w:val="-3"/>
          <w:sz w:val="24"/>
          <w:szCs w:val="24"/>
        </w:rPr>
        <w:t xml:space="preserve">next </w:t>
      </w:r>
      <w:r w:rsidRPr="006A778D">
        <w:rPr>
          <w:rFonts w:asciiTheme="minorHAnsi" w:hAnsiTheme="minorHAnsi" w:cstheme="minorHAnsi"/>
          <w:sz w:val="24"/>
          <w:szCs w:val="24"/>
        </w:rPr>
        <w:t xml:space="preserve">scan day. Technologists </w:t>
      </w:r>
      <w:r w:rsidRPr="006A778D">
        <w:rPr>
          <w:rFonts w:asciiTheme="minorHAnsi" w:hAnsiTheme="minorHAnsi" w:cstheme="minorHAnsi"/>
          <w:spacing w:val="-6"/>
          <w:sz w:val="24"/>
          <w:szCs w:val="24"/>
        </w:rPr>
        <w:t xml:space="preserve">will </w:t>
      </w:r>
      <w:r w:rsidRPr="006A778D">
        <w:rPr>
          <w:rFonts w:asciiTheme="minorHAnsi" w:hAnsiTheme="minorHAnsi" w:cstheme="minorHAnsi"/>
          <w:sz w:val="24"/>
          <w:szCs w:val="24"/>
        </w:rPr>
        <w:t xml:space="preserve">document each case </w:t>
      </w:r>
      <w:r w:rsidRPr="006A778D">
        <w:rPr>
          <w:rFonts w:asciiTheme="minorHAnsi" w:hAnsiTheme="minorHAnsi" w:cstheme="minorHAnsi"/>
          <w:spacing w:val="-4"/>
          <w:sz w:val="24"/>
          <w:szCs w:val="24"/>
        </w:rPr>
        <w:t xml:space="preserve">and </w:t>
      </w:r>
      <w:r w:rsidRPr="006A778D">
        <w:rPr>
          <w:rFonts w:asciiTheme="minorHAnsi" w:hAnsiTheme="minorHAnsi" w:cstheme="minorHAnsi"/>
          <w:sz w:val="24"/>
          <w:szCs w:val="24"/>
        </w:rPr>
        <w:t>conduct a monthly comparison to total volume to meet or exceed the metric.</w:t>
      </w:r>
    </w:p>
    <w:p w14:paraId="1DD9D57F" w14:textId="77777777" w:rsidR="00691DF2" w:rsidRDefault="00691DF2" w:rsidP="00691DF2">
      <w:pPr>
        <w:pStyle w:val="BodyText"/>
        <w:spacing w:before="83"/>
        <w:ind w:left="1382" w:right="109"/>
        <w:jc w:val="both"/>
        <w:rPr>
          <w:rFonts w:asciiTheme="minorHAnsi" w:hAnsiTheme="minorHAnsi" w:cstheme="minorHAnsi"/>
          <w:sz w:val="24"/>
          <w:szCs w:val="24"/>
        </w:rPr>
      </w:pPr>
    </w:p>
    <w:p w14:paraId="78EE86BC" w14:textId="4DA4681F" w:rsidR="00691DF2" w:rsidRDefault="00691DF2" w:rsidP="006B1176">
      <w:pPr>
        <w:pStyle w:val="BodyText"/>
        <w:numPr>
          <w:ilvl w:val="1"/>
          <w:numId w:val="23"/>
        </w:numPr>
        <w:ind w:left="448" w:right="109"/>
        <w:jc w:val="both"/>
        <w:rPr>
          <w:rFonts w:asciiTheme="minorHAnsi" w:hAnsiTheme="minorHAnsi" w:cstheme="minorHAnsi"/>
          <w:sz w:val="24"/>
          <w:szCs w:val="24"/>
        </w:rPr>
      </w:pPr>
      <w:r>
        <w:rPr>
          <w:rFonts w:asciiTheme="minorHAnsi" w:hAnsiTheme="minorHAnsi" w:cstheme="minorHAnsi"/>
          <w:sz w:val="24"/>
          <w:szCs w:val="24"/>
        </w:rPr>
        <w:t>T</w:t>
      </w:r>
      <w:r w:rsidRPr="00691DF2">
        <w:rPr>
          <w:rFonts w:asciiTheme="minorHAnsi" w:hAnsiTheme="minorHAnsi" w:cstheme="minorHAnsi"/>
          <w:sz w:val="24"/>
          <w:szCs w:val="24"/>
        </w:rPr>
        <w:t xml:space="preserve">he Applicant </w:t>
      </w:r>
      <w:r>
        <w:rPr>
          <w:rFonts w:asciiTheme="minorHAnsi" w:hAnsiTheme="minorHAnsi" w:cstheme="minorHAnsi"/>
          <w:sz w:val="24"/>
          <w:szCs w:val="24"/>
        </w:rPr>
        <w:t xml:space="preserve">will </w:t>
      </w:r>
      <w:r w:rsidRPr="00691DF2">
        <w:rPr>
          <w:rFonts w:asciiTheme="minorHAnsi" w:hAnsiTheme="minorHAnsi" w:cstheme="minorHAnsi"/>
          <w:sz w:val="24"/>
          <w:szCs w:val="24"/>
        </w:rPr>
        <w:t xml:space="preserve">report annually on the </w:t>
      </w:r>
      <w:r>
        <w:rPr>
          <w:rFonts w:asciiTheme="minorHAnsi" w:hAnsiTheme="minorHAnsi" w:cstheme="minorHAnsi"/>
          <w:sz w:val="24"/>
          <w:szCs w:val="24"/>
        </w:rPr>
        <w:t>following</w:t>
      </w:r>
      <w:r w:rsidR="00E038A6">
        <w:rPr>
          <w:rFonts w:asciiTheme="minorHAnsi" w:hAnsiTheme="minorHAnsi" w:cstheme="minorHAnsi"/>
          <w:sz w:val="24"/>
          <w:szCs w:val="24"/>
        </w:rPr>
        <w:t>:</w:t>
      </w:r>
    </w:p>
    <w:p w14:paraId="54C134F0" w14:textId="77777777" w:rsidR="00691DF2" w:rsidRDefault="00691DF2" w:rsidP="006B1176">
      <w:pPr>
        <w:pStyle w:val="BodyText"/>
        <w:numPr>
          <w:ilvl w:val="2"/>
          <w:numId w:val="23"/>
        </w:numPr>
        <w:ind w:left="1888" w:right="109"/>
        <w:jc w:val="both"/>
        <w:rPr>
          <w:rFonts w:asciiTheme="minorHAnsi" w:hAnsiTheme="minorHAnsi" w:cstheme="minorHAnsi"/>
          <w:sz w:val="24"/>
          <w:szCs w:val="24"/>
        </w:rPr>
      </w:pPr>
      <w:r>
        <w:rPr>
          <w:rFonts w:asciiTheme="minorHAnsi" w:hAnsiTheme="minorHAnsi" w:cstheme="minorHAnsi"/>
          <w:sz w:val="24"/>
          <w:szCs w:val="24"/>
        </w:rPr>
        <w:t>N</w:t>
      </w:r>
      <w:r w:rsidRPr="00691DF2">
        <w:rPr>
          <w:rFonts w:asciiTheme="minorHAnsi" w:hAnsiTheme="minorHAnsi" w:cstheme="minorHAnsi"/>
          <w:sz w:val="24"/>
          <w:szCs w:val="24"/>
        </w:rPr>
        <w:t xml:space="preserve">umber of transfers from SSH to SSHS outpatient facilities for MR imaging, </w:t>
      </w:r>
    </w:p>
    <w:p w14:paraId="6FF0C3F6" w14:textId="77777777" w:rsidR="00691DF2" w:rsidRPr="00691DF2" w:rsidRDefault="00691DF2" w:rsidP="006B1176">
      <w:pPr>
        <w:pStyle w:val="BodyText"/>
        <w:numPr>
          <w:ilvl w:val="2"/>
          <w:numId w:val="23"/>
        </w:numPr>
        <w:ind w:left="1888" w:right="109"/>
        <w:jc w:val="both"/>
        <w:rPr>
          <w:rFonts w:asciiTheme="minorHAnsi" w:hAnsiTheme="minorHAnsi" w:cstheme="minorHAnsi"/>
          <w:sz w:val="24"/>
          <w:szCs w:val="24"/>
        </w:rPr>
      </w:pPr>
      <w:r>
        <w:rPr>
          <w:rFonts w:asciiTheme="minorHAnsi" w:hAnsiTheme="minorHAnsi" w:cstheme="minorHAnsi"/>
          <w:sz w:val="24"/>
          <w:szCs w:val="24"/>
        </w:rPr>
        <w:t xml:space="preserve">Number </w:t>
      </w:r>
      <w:r w:rsidRPr="00691DF2">
        <w:rPr>
          <w:rFonts w:asciiTheme="minorHAnsi" w:hAnsiTheme="minorHAnsi" w:cstheme="minorHAnsi"/>
          <w:sz w:val="24"/>
          <w:szCs w:val="24"/>
        </w:rPr>
        <w:t>of patient referrals to facilities outside of SSHS for 3T MR imaging.</w:t>
      </w:r>
      <w:r w:rsidRPr="00691DF2">
        <w:t xml:space="preserve"> </w:t>
      </w:r>
    </w:p>
    <w:p w14:paraId="77A507CE" w14:textId="2DA0BE23" w:rsidR="00542409" w:rsidRDefault="00691DF2" w:rsidP="00542409">
      <w:pPr>
        <w:pStyle w:val="BodyText"/>
        <w:numPr>
          <w:ilvl w:val="2"/>
          <w:numId w:val="23"/>
        </w:numPr>
        <w:ind w:left="1888" w:right="109"/>
        <w:jc w:val="both"/>
        <w:rPr>
          <w:rFonts w:asciiTheme="minorHAnsi" w:hAnsiTheme="minorHAnsi" w:cstheme="minorHAnsi"/>
          <w:sz w:val="24"/>
          <w:szCs w:val="24"/>
        </w:rPr>
      </w:pPr>
      <w:r>
        <w:rPr>
          <w:rFonts w:asciiTheme="minorHAnsi" w:hAnsiTheme="minorHAnsi" w:cstheme="minorHAnsi"/>
          <w:sz w:val="24"/>
          <w:szCs w:val="24"/>
        </w:rPr>
        <w:t>U</w:t>
      </w:r>
      <w:r w:rsidRPr="00691DF2">
        <w:rPr>
          <w:rFonts w:asciiTheme="minorHAnsi" w:hAnsiTheme="minorHAnsi" w:cstheme="minorHAnsi"/>
          <w:sz w:val="24"/>
          <w:szCs w:val="24"/>
        </w:rPr>
        <w:t>tilization of MRI at SSH</w:t>
      </w:r>
      <w:r>
        <w:rPr>
          <w:rFonts w:asciiTheme="minorHAnsi" w:hAnsiTheme="minorHAnsi" w:cstheme="minorHAnsi"/>
          <w:sz w:val="24"/>
          <w:szCs w:val="24"/>
        </w:rPr>
        <w:t xml:space="preserve"> </w:t>
      </w:r>
      <w:r w:rsidR="000E4567">
        <w:rPr>
          <w:rFonts w:asciiTheme="minorHAnsi" w:hAnsiTheme="minorHAnsi" w:cstheme="minorHAnsi"/>
          <w:sz w:val="24"/>
          <w:szCs w:val="24"/>
        </w:rPr>
        <w:t>stratified</w:t>
      </w:r>
      <w:r w:rsidR="0019217E">
        <w:rPr>
          <w:rFonts w:asciiTheme="minorHAnsi" w:hAnsiTheme="minorHAnsi" w:cstheme="minorHAnsi"/>
          <w:sz w:val="24"/>
          <w:szCs w:val="24"/>
        </w:rPr>
        <w:t xml:space="preserve"> </w:t>
      </w:r>
      <w:r w:rsidRPr="00691DF2">
        <w:rPr>
          <w:rFonts w:asciiTheme="minorHAnsi" w:hAnsiTheme="minorHAnsi" w:cstheme="minorHAnsi"/>
          <w:sz w:val="24"/>
          <w:szCs w:val="24"/>
        </w:rPr>
        <w:t xml:space="preserve">by </w:t>
      </w:r>
      <w:r w:rsidR="00452A1C">
        <w:rPr>
          <w:rFonts w:asciiTheme="minorHAnsi" w:hAnsiTheme="minorHAnsi" w:cstheme="minorHAnsi"/>
          <w:sz w:val="24"/>
          <w:szCs w:val="24"/>
        </w:rPr>
        <w:t>age, race/</w:t>
      </w:r>
      <w:r w:rsidRPr="00691DF2">
        <w:rPr>
          <w:rFonts w:asciiTheme="minorHAnsi" w:hAnsiTheme="minorHAnsi" w:cstheme="minorHAnsi"/>
          <w:sz w:val="24"/>
          <w:szCs w:val="24"/>
        </w:rPr>
        <w:t>ethnicity</w:t>
      </w:r>
      <w:r w:rsidR="0012321C">
        <w:rPr>
          <w:rFonts w:asciiTheme="minorHAnsi" w:hAnsiTheme="minorHAnsi" w:cstheme="minorHAnsi"/>
          <w:sz w:val="24"/>
          <w:szCs w:val="24"/>
        </w:rPr>
        <w:t>, and payer mix</w:t>
      </w:r>
      <w:r w:rsidRPr="00691DF2">
        <w:rPr>
          <w:rFonts w:asciiTheme="minorHAnsi" w:hAnsiTheme="minorHAnsi" w:cstheme="minorHAnsi"/>
          <w:sz w:val="24"/>
          <w:szCs w:val="24"/>
        </w:rPr>
        <w:t>.</w:t>
      </w:r>
    </w:p>
    <w:p w14:paraId="692A3F1D" w14:textId="38AD7437" w:rsidR="00503A3A" w:rsidRDefault="00B07C43" w:rsidP="00542409">
      <w:pPr>
        <w:pStyle w:val="BodyText"/>
        <w:ind w:right="109"/>
        <w:jc w:val="both"/>
        <w:rPr>
          <w:b/>
          <w:bCs/>
        </w:rPr>
      </w:pPr>
      <w:r>
        <w:rPr>
          <w:rFonts w:asciiTheme="minorHAnsi" w:hAnsiTheme="minorHAnsi" w:cstheme="minorHAnsi"/>
          <w:sz w:val="24"/>
          <w:szCs w:val="24"/>
        </w:rPr>
        <w:t xml:space="preserve"> </w:t>
      </w:r>
      <w:r w:rsidR="00691DF2" w:rsidRPr="00691DF2">
        <w:rPr>
          <w:rFonts w:asciiTheme="minorHAnsi" w:hAnsiTheme="minorHAnsi" w:cstheme="minorHAnsi"/>
          <w:sz w:val="24"/>
          <w:szCs w:val="24"/>
        </w:rPr>
        <w:t>Reporting will include a description of the numerator</w:t>
      </w:r>
      <w:r>
        <w:rPr>
          <w:rFonts w:asciiTheme="minorHAnsi" w:hAnsiTheme="minorHAnsi" w:cstheme="minorHAnsi"/>
          <w:sz w:val="24"/>
          <w:szCs w:val="24"/>
        </w:rPr>
        <w:t>s</w:t>
      </w:r>
      <w:r w:rsidR="00691DF2" w:rsidRPr="00691DF2">
        <w:rPr>
          <w:rFonts w:asciiTheme="minorHAnsi" w:hAnsiTheme="minorHAnsi" w:cstheme="minorHAnsi"/>
          <w:sz w:val="24"/>
          <w:szCs w:val="24"/>
        </w:rPr>
        <w:t xml:space="preserve"> and denominator</w:t>
      </w:r>
      <w:r>
        <w:rPr>
          <w:rFonts w:asciiTheme="minorHAnsi" w:hAnsiTheme="minorHAnsi" w:cstheme="minorHAnsi"/>
          <w:sz w:val="24"/>
          <w:szCs w:val="24"/>
        </w:rPr>
        <w:t>s</w:t>
      </w:r>
      <w:r w:rsidR="00691DF2" w:rsidRPr="00691DF2">
        <w:rPr>
          <w:rFonts w:asciiTheme="minorHAnsi" w:hAnsiTheme="minorHAnsi" w:cstheme="minorHAnsi"/>
          <w:sz w:val="24"/>
          <w:szCs w:val="24"/>
        </w:rPr>
        <w:t>.</w:t>
      </w:r>
      <w:r w:rsidR="00542409">
        <w:rPr>
          <w:b/>
          <w:bCs/>
        </w:rPr>
        <w:t xml:space="preserve"> </w:t>
      </w:r>
    </w:p>
    <w:p w14:paraId="0F459D5D" w14:textId="2E8F745B" w:rsidR="004D293C" w:rsidRPr="005F07C5" w:rsidRDefault="00F83EBE" w:rsidP="00561BCC">
      <w:pPr>
        <w:spacing w:after="0" w:line="240" w:lineRule="auto"/>
        <w:rPr>
          <w:b/>
          <w:bCs/>
          <w:sz w:val="24"/>
          <w:szCs w:val="24"/>
        </w:rPr>
      </w:pPr>
      <w:r w:rsidRPr="005F07C5">
        <w:rPr>
          <w:b/>
          <w:bCs/>
          <w:sz w:val="24"/>
          <w:szCs w:val="24"/>
        </w:rPr>
        <w:t>REFERENCES</w:t>
      </w:r>
    </w:p>
    <w:sectPr w:rsidR="004D293C" w:rsidRPr="005F07C5" w:rsidSect="007A5143">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89688" w14:textId="77777777" w:rsidR="009F0B93" w:rsidRDefault="009F0B93" w:rsidP="00231103">
      <w:pPr>
        <w:spacing w:after="0" w:line="240" w:lineRule="auto"/>
      </w:pPr>
      <w:r>
        <w:separator/>
      </w:r>
    </w:p>
  </w:endnote>
  <w:endnote w:type="continuationSeparator" w:id="0">
    <w:p w14:paraId="172DFD4F" w14:textId="77777777" w:rsidR="009F0B93" w:rsidRDefault="009F0B93" w:rsidP="00231103">
      <w:pPr>
        <w:spacing w:after="0" w:line="240" w:lineRule="auto"/>
      </w:pPr>
      <w:r>
        <w:continuationSeparator/>
      </w:r>
    </w:p>
  </w:endnote>
  <w:endnote w:id="1">
    <w:p w14:paraId="2D121D8B" w14:textId="6FA09899" w:rsidR="001D1C4F" w:rsidRPr="00982F1B" w:rsidRDefault="001D1C4F" w:rsidP="001D1C4F">
      <w:pPr>
        <w:pStyle w:val="EndnoteText"/>
        <w:rPr>
          <w:rFonts w:cstheme="minorHAnsi"/>
        </w:rPr>
      </w:pPr>
      <w:r w:rsidRPr="00982F1B">
        <w:rPr>
          <w:rStyle w:val="EndnoteReference"/>
          <w:rFonts w:cstheme="minorHAnsi"/>
        </w:rPr>
        <w:endnoteRef/>
      </w:r>
      <w:r w:rsidRPr="00982F1B">
        <w:rPr>
          <w:rFonts w:cstheme="minorHAnsi"/>
        </w:rPr>
        <w:t xml:space="preserve"> </w:t>
      </w:r>
      <w:r w:rsidR="00090F76" w:rsidRPr="00982F1B">
        <w:rPr>
          <w:rFonts w:cstheme="minorHAnsi"/>
        </w:rPr>
        <w:t xml:space="preserve">Heaton J, Kohn MD. EMS Inter-Facility Transport. [Updated 2020 Sep 27]. In: StatPearls [Internet]. Treasure Island (FL): StatPearls Publishing; 2021 Jan-. Available from: </w:t>
      </w:r>
      <w:hyperlink r:id="rId1" w:history="1">
        <w:r w:rsidR="009E5272">
          <w:rPr>
            <w:rStyle w:val="Hyperlink"/>
            <w:rFonts w:cstheme="minorHAnsi"/>
          </w:rPr>
          <w:t>source at https://www.ncbi.nlm.nih.gov/books/NBK555916/</w:t>
        </w:r>
      </w:hyperlink>
      <w:r w:rsidR="00090F76" w:rsidRPr="00982F1B">
        <w:rPr>
          <w:rFonts w:cstheme="minorHAnsi"/>
        </w:rPr>
        <w:t xml:space="preserve"> </w:t>
      </w:r>
    </w:p>
  </w:endnote>
  <w:endnote w:id="2">
    <w:p w14:paraId="2B0417A4" w14:textId="77777777" w:rsidR="001D1C4F" w:rsidRPr="00982F1B" w:rsidRDefault="001D1C4F" w:rsidP="001D1C4F">
      <w:pPr>
        <w:pStyle w:val="EndnoteText"/>
        <w:rPr>
          <w:rFonts w:cstheme="minorHAnsi"/>
        </w:rPr>
      </w:pPr>
      <w:r w:rsidRPr="00982F1B">
        <w:rPr>
          <w:rStyle w:val="EndnoteReference"/>
          <w:rFonts w:cstheme="minorHAnsi"/>
        </w:rPr>
        <w:endnoteRef/>
      </w:r>
      <w:r w:rsidRPr="00982F1B">
        <w:rPr>
          <w:rFonts w:cstheme="minorHAnsi"/>
        </w:rPr>
        <w:t xml:space="preserve"> Cournane S, Conway R, Creagh D, Byrne DG, Sheehy N, Silke B. Radiology imaging delays as independent predictors of length of hospital stay for emergency medical admissions. Clin Radiol. 2016 Sep;71(9):912-8. doi: 10.1016/j.crad.2016.03.023. Epub 2016 Jul 7. PMID: 27210242.</w:t>
      </w:r>
    </w:p>
  </w:endnote>
  <w:endnote w:id="3">
    <w:p w14:paraId="570BC69E" w14:textId="77777777" w:rsidR="001D1C4F" w:rsidRPr="00982F1B" w:rsidRDefault="001D1C4F" w:rsidP="001D1C4F">
      <w:pPr>
        <w:pStyle w:val="EndnoteText"/>
        <w:rPr>
          <w:rFonts w:cstheme="minorHAnsi"/>
        </w:rPr>
      </w:pPr>
      <w:r w:rsidRPr="00982F1B">
        <w:rPr>
          <w:rStyle w:val="EndnoteReference"/>
          <w:rFonts w:cstheme="minorHAnsi"/>
        </w:rPr>
        <w:endnoteRef/>
      </w:r>
      <w:r w:rsidRPr="00982F1B">
        <w:rPr>
          <w:rFonts w:cstheme="minorHAnsi"/>
        </w:rPr>
        <w:t xml:space="preserve"> Drose JA, Pritchard NL, Honce JM, Snuttjer DK, Borgstede JP. Utilizing Process Improvement Methodology to Improve Inpatient Access to MRI. Radiographics. 2019 Nov-Dec;39(7):2103-2110. doi: 10.1148/rg.2019190043. PMID: 31697626.</w:t>
      </w:r>
    </w:p>
  </w:endnote>
  <w:endnote w:id="4">
    <w:p w14:paraId="79CF85A5" w14:textId="77777777" w:rsidR="001D1C4F" w:rsidRPr="00982F1B" w:rsidRDefault="001D1C4F" w:rsidP="001D1C4F">
      <w:pPr>
        <w:pStyle w:val="EndnoteText"/>
        <w:rPr>
          <w:rFonts w:cstheme="minorHAnsi"/>
        </w:rPr>
      </w:pPr>
      <w:r w:rsidRPr="00982F1B">
        <w:rPr>
          <w:rStyle w:val="EndnoteReference"/>
          <w:rFonts w:cstheme="minorHAnsi"/>
        </w:rPr>
        <w:endnoteRef/>
      </w:r>
      <w:r w:rsidRPr="00982F1B">
        <w:rPr>
          <w:rFonts w:cstheme="minorHAnsi"/>
        </w:rPr>
        <w:t xml:space="preserve"> Daye D, Carrodeguas E, Glover M 4th, Guerrier CE, Harvey HB, Flores EJ. Impact of Delayed Time to Advanced Imaging on Missed Appointments Across Different Demographic and Socioeconomic Factors. J Am Coll Radiol. 2018 May;15(5):713-720. doi: 10.1016/j.jacr.2018.01.023. Epub 2018 Mar 2. PMID: 29503152.</w:t>
      </w:r>
    </w:p>
  </w:endnote>
  <w:endnote w:id="5">
    <w:p w14:paraId="1777AD36" w14:textId="1310AE0F" w:rsidR="004522C3" w:rsidRPr="00982F1B" w:rsidRDefault="004522C3" w:rsidP="004522C3">
      <w:pPr>
        <w:pStyle w:val="EndnoteText"/>
        <w:rPr>
          <w:rFonts w:cstheme="minorHAnsi"/>
        </w:rPr>
      </w:pPr>
      <w:r w:rsidRPr="00982F1B">
        <w:rPr>
          <w:rStyle w:val="EndnoteReference"/>
          <w:rFonts w:cstheme="minorHAnsi"/>
        </w:rPr>
        <w:endnoteRef/>
      </w:r>
      <w:r w:rsidRPr="00982F1B">
        <w:rPr>
          <w:rFonts w:cstheme="minorHAnsi"/>
        </w:rPr>
        <w:t xml:space="preserve"> Radiology Affiliates Imaging. </w:t>
      </w:r>
      <w:r w:rsidRPr="00982F1B">
        <w:rPr>
          <w:rFonts w:cstheme="minorHAnsi"/>
          <w:i/>
          <w:iCs/>
        </w:rPr>
        <w:t>Why the 3 Tesla MRI is the Best Scanner for Diagnostic Imaging</w:t>
      </w:r>
      <w:r w:rsidRPr="00982F1B">
        <w:rPr>
          <w:rFonts w:cstheme="minorHAnsi"/>
        </w:rPr>
        <w:t xml:space="preserve">. Available: </w:t>
      </w:r>
      <w:hyperlink r:id="rId2" w:anchor=":~:text=The%20higher%20resolution%20of%20the%203%20Tesla%20MRI,that%20cannot%20be%20seen%20with%20less%20powerful%20machines" w:history="1">
        <w:r w:rsidRPr="00982F1B">
          <w:rPr>
            <w:rStyle w:val="Hyperlink"/>
            <w:rFonts w:cstheme="minorHAnsi"/>
          </w:rPr>
          <w:t>https://4rai.com/blog/why-the-3-tesla-mri-is-the-best-scanner-for-diagnostic-imaging#:~:text=The%20higher%20resolution%20of%20the%203%20Tesla%20MRI,that%20cannot%20be%20seen%20with%20less%20powerful%20machines</w:t>
        </w:r>
      </w:hyperlink>
      <w:r w:rsidRPr="00982F1B">
        <w:rPr>
          <w:rFonts w:cstheme="minorHAnsi"/>
        </w:rPr>
        <w:t xml:space="preserve"> </w:t>
      </w:r>
    </w:p>
  </w:endnote>
  <w:endnote w:id="6">
    <w:p w14:paraId="2BBA4CBC" w14:textId="77777777" w:rsidR="00C81AED" w:rsidRDefault="00C81AED" w:rsidP="00C81AED">
      <w:pPr>
        <w:pStyle w:val="EndnoteText"/>
      </w:pPr>
      <w:r>
        <w:rPr>
          <w:rStyle w:val="EndnoteReference"/>
        </w:rPr>
        <w:endnoteRef/>
      </w:r>
      <w:r>
        <w:t xml:space="preserve"> </w:t>
      </w:r>
      <w:r w:rsidRPr="00BC1453">
        <w:t>Hand IL, Shellhaas RA, Milla SS; COMMITTEE ON FETUS AND NEWBORN, SECTION ON NEUROLOGY, SECTION ON RADIOLOGY. Routine Neuroimaging of the Preterm Brain. Pediatrics. 2020 Nov;146(5):e2020029082. doi: 10.1542/peds.2020-029082. PMID: 33106343.</w:t>
      </w:r>
    </w:p>
  </w:endnote>
  <w:endnote w:id="7">
    <w:p w14:paraId="00A8FE98" w14:textId="61513EA9" w:rsidR="007803A1" w:rsidRDefault="007803A1" w:rsidP="007803A1">
      <w:pPr>
        <w:pStyle w:val="EndnoteText"/>
      </w:pPr>
      <w:r>
        <w:rPr>
          <w:rStyle w:val="EndnoteReference"/>
        </w:rPr>
        <w:endnoteRef/>
      </w:r>
      <w:r>
        <w:t xml:space="preserve"> </w:t>
      </w:r>
      <w:r w:rsidR="00D625DF">
        <w:t xml:space="preserve">American Academy of Pediatrics (AAP) News. </w:t>
      </w:r>
      <w:r>
        <w:t>Report on neuroimaging of preterm infants reviews modalities, timing, prognostic value</w:t>
      </w:r>
      <w:r w:rsidR="00D625DF">
        <w:t xml:space="preserve">. </w:t>
      </w:r>
      <w:r>
        <w:t xml:space="preserve">Ivan L. Hand, M.D., FAAP. October 26, 2020. </w:t>
      </w:r>
    </w:p>
    <w:p w14:paraId="4CED2B38" w14:textId="2FD9C6E8" w:rsidR="007803A1" w:rsidRDefault="007803A1" w:rsidP="007803A1">
      <w:pPr>
        <w:pStyle w:val="EndnoteText"/>
      </w:pPr>
      <w:r>
        <w:t xml:space="preserve">Available: </w:t>
      </w:r>
      <w:hyperlink r:id="rId3" w:history="1">
        <w:r w:rsidR="009E5272">
          <w:rPr>
            <w:rStyle w:val="Hyperlink"/>
          </w:rPr>
          <w:t>source at https://www.aappublications.org/news/2020/10/26/neuroimaging102620</w:t>
        </w:r>
      </w:hyperlink>
      <w:r>
        <w:t xml:space="preserve"> </w:t>
      </w:r>
    </w:p>
  </w:endnote>
  <w:endnote w:id="8">
    <w:p w14:paraId="0473548A" w14:textId="60404292" w:rsidR="004044B7" w:rsidRDefault="004044B7" w:rsidP="004044B7">
      <w:pPr>
        <w:pStyle w:val="EndnoteText"/>
      </w:pPr>
      <w:r>
        <w:rPr>
          <w:rStyle w:val="EndnoteReference"/>
        </w:rPr>
        <w:endnoteRef/>
      </w:r>
      <w:r>
        <w:t xml:space="preserve"> South Shore Health. NICU Tests and Treatment. Available: </w:t>
      </w:r>
      <w:hyperlink r:id="rId4" w:history="1">
        <w:r w:rsidR="009E5272">
          <w:rPr>
            <w:rStyle w:val="Hyperlink"/>
          </w:rPr>
          <w:t>source at https://www.southshorehealth.org/services-care/neonatal-intensive-care/nicu-tests-treatments</w:t>
        </w:r>
      </w:hyperlink>
      <w:r>
        <w:t xml:space="preserve"> </w:t>
      </w:r>
    </w:p>
  </w:endnote>
  <w:endnote w:id="9">
    <w:p w14:paraId="7D560F47" w14:textId="458F7415" w:rsidR="00F152D8" w:rsidRPr="00982F1B" w:rsidRDefault="00F152D8" w:rsidP="00F152D8">
      <w:pPr>
        <w:pStyle w:val="EndnoteText"/>
        <w:rPr>
          <w:rFonts w:cstheme="minorHAnsi"/>
          <w:b/>
          <w:bCs/>
        </w:rPr>
      </w:pPr>
      <w:r w:rsidRPr="00982F1B">
        <w:rPr>
          <w:rStyle w:val="EndnoteReference"/>
          <w:rFonts w:cstheme="minorHAnsi"/>
        </w:rPr>
        <w:endnoteRef/>
      </w:r>
      <w:r w:rsidRPr="00982F1B">
        <w:rPr>
          <w:rFonts w:cstheme="minorHAnsi"/>
        </w:rPr>
        <w:t xml:space="preserve"> American Cancer Society. </w:t>
      </w:r>
      <w:r w:rsidRPr="00982F1B">
        <w:rPr>
          <w:rFonts w:cstheme="minorHAnsi"/>
          <w:i/>
          <w:iCs/>
        </w:rPr>
        <w:t>MRI for Cancer</w:t>
      </w:r>
      <w:r w:rsidRPr="00982F1B">
        <w:rPr>
          <w:rFonts w:cstheme="minorHAnsi"/>
        </w:rPr>
        <w:t xml:space="preserve">. Available: </w:t>
      </w:r>
      <w:hyperlink r:id="rId5" w:history="1">
        <w:r w:rsidR="009E5272">
          <w:rPr>
            <w:rStyle w:val="Hyperlink"/>
            <w:rFonts w:cstheme="minorHAnsi"/>
          </w:rPr>
          <w:t>source at https://www.cancer.org/treatment/understanding-your-diagnosis/tests/mri-for-cancer.html</w:t>
        </w:r>
      </w:hyperlink>
      <w:r w:rsidRPr="00982F1B">
        <w:rPr>
          <w:rFonts w:cstheme="minorHAnsi"/>
        </w:rPr>
        <w:t xml:space="preserve"> </w:t>
      </w:r>
    </w:p>
  </w:endnote>
  <w:endnote w:id="10">
    <w:p w14:paraId="3922DBE6" w14:textId="796CCE15" w:rsidR="00775529" w:rsidRPr="00982F1B" w:rsidRDefault="00775529" w:rsidP="00775529">
      <w:pPr>
        <w:pStyle w:val="EndnoteText"/>
        <w:rPr>
          <w:rFonts w:cstheme="minorHAnsi"/>
        </w:rPr>
      </w:pPr>
      <w:r w:rsidRPr="00982F1B">
        <w:rPr>
          <w:rStyle w:val="EndnoteReference"/>
          <w:rFonts w:cstheme="minorHAnsi"/>
        </w:rPr>
        <w:endnoteRef/>
      </w:r>
      <w:r w:rsidRPr="00982F1B">
        <w:rPr>
          <w:rFonts w:cstheme="minorHAnsi"/>
        </w:rPr>
        <w:t xml:space="preserve"> American Cancer Society. Key Statistics for Prostate Cancer. Available: </w:t>
      </w:r>
      <w:hyperlink r:id="rId6" w:history="1">
        <w:r w:rsidR="009E5272">
          <w:rPr>
            <w:rStyle w:val="Hyperlink"/>
            <w:rFonts w:cstheme="minorHAnsi"/>
          </w:rPr>
          <w:t>source at https://www.cancer.org/cancer/prostate-cancer/about/key-statistics.html</w:t>
        </w:r>
      </w:hyperlink>
      <w:r w:rsidRPr="00982F1B">
        <w:rPr>
          <w:rFonts w:cstheme="minorHAnsi"/>
        </w:rPr>
        <w:t xml:space="preserve"> </w:t>
      </w:r>
    </w:p>
  </w:endnote>
  <w:endnote w:id="11">
    <w:p w14:paraId="095AD6A8" w14:textId="1B644138" w:rsidR="00775529" w:rsidRPr="00982F1B" w:rsidRDefault="00775529" w:rsidP="00775529">
      <w:pPr>
        <w:pStyle w:val="EndnoteText"/>
        <w:rPr>
          <w:rFonts w:cstheme="minorHAnsi"/>
        </w:rPr>
      </w:pPr>
      <w:r w:rsidRPr="00982F1B">
        <w:rPr>
          <w:rStyle w:val="EndnoteReference"/>
          <w:rFonts w:cstheme="minorHAnsi"/>
        </w:rPr>
        <w:endnoteRef/>
      </w:r>
      <w:r w:rsidRPr="00982F1B">
        <w:rPr>
          <w:rFonts w:cstheme="minorHAnsi"/>
        </w:rPr>
        <w:t xml:space="preserve"> Nation Cancer Institute. Prostate Cancer – Patient Version. Available: </w:t>
      </w:r>
      <w:hyperlink r:id="rId7" w:history="1">
        <w:r w:rsidR="009E5272">
          <w:rPr>
            <w:rStyle w:val="Hyperlink"/>
            <w:rFonts w:cstheme="minorHAnsi"/>
          </w:rPr>
          <w:t>source at https://www.cancer.gov/types/prostate</w:t>
        </w:r>
      </w:hyperlink>
      <w:r w:rsidRPr="00982F1B">
        <w:rPr>
          <w:rFonts w:cstheme="minorHAnsi"/>
        </w:rPr>
        <w:t xml:space="preserve"> </w:t>
      </w:r>
    </w:p>
  </w:endnote>
  <w:endnote w:id="12">
    <w:p w14:paraId="69950FCD" w14:textId="527322AE" w:rsidR="00F152D8" w:rsidRPr="00982F1B" w:rsidRDefault="00F152D8" w:rsidP="00F152D8">
      <w:pPr>
        <w:pStyle w:val="EndnoteText"/>
        <w:rPr>
          <w:rFonts w:cstheme="minorHAnsi"/>
        </w:rPr>
      </w:pPr>
      <w:r w:rsidRPr="00982F1B">
        <w:rPr>
          <w:rStyle w:val="EndnoteReference"/>
          <w:rFonts w:cstheme="minorHAnsi"/>
        </w:rPr>
        <w:endnoteRef/>
      </w:r>
      <w:r w:rsidRPr="00982F1B">
        <w:rPr>
          <w:rFonts w:cstheme="minorHAnsi"/>
        </w:rPr>
        <w:t xml:space="preserve"> MRI's Role In Active Surveillance. 3T MRI Offers a Better Portrait of Prostate Cancer — and Its Risk to Men</w:t>
      </w:r>
      <w:r w:rsidRPr="00982F1B">
        <w:rPr>
          <w:rFonts w:cstheme="minorHAnsi"/>
        </w:rPr>
        <w:br/>
        <w:t xml:space="preserve">By Jeannette Sabatini. </w:t>
      </w:r>
      <w:r w:rsidRPr="00982F1B">
        <w:rPr>
          <w:rFonts w:cstheme="minorHAnsi"/>
          <w:i/>
          <w:iCs/>
        </w:rPr>
        <w:t>Radiology Today</w:t>
      </w:r>
      <w:r w:rsidRPr="00982F1B">
        <w:rPr>
          <w:rFonts w:cstheme="minorHAnsi"/>
        </w:rPr>
        <w:t>. Vol. 16 No. 12 P. 12. Available</w:t>
      </w:r>
      <w:r w:rsidRPr="00982F1B">
        <w:rPr>
          <w:rFonts w:cstheme="minorHAnsi"/>
          <w:b/>
          <w:bCs/>
        </w:rPr>
        <w:t xml:space="preserve">: </w:t>
      </w:r>
      <w:hyperlink r:id="rId8" w:history="1">
        <w:r w:rsidR="009E5272">
          <w:rPr>
            <w:rStyle w:val="Hyperlink"/>
            <w:rFonts w:cstheme="minorHAnsi"/>
          </w:rPr>
          <w:t>source at https://www.radiologytoday.net/archive/rt1215p12.shtml</w:t>
        </w:r>
      </w:hyperlink>
      <w:r w:rsidRPr="00982F1B">
        <w:rPr>
          <w:rFonts w:cstheme="minorHAnsi"/>
        </w:rPr>
        <w:t xml:space="preserve"> </w:t>
      </w:r>
    </w:p>
  </w:endnote>
  <w:endnote w:id="13">
    <w:p w14:paraId="168C12CD" w14:textId="119980B5" w:rsidR="00F152D8" w:rsidRPr="00982F1B" w:rsidRDefault="00F152D8" w:rsidP="00F152D8">
      <w:pPr>
        <w:pStyle w:val="EndnoteText"/>
        <w:rPr>
          <w:rFonts w:cstheme="minorHAnsi"/>
          <w:b/>
          <w:bCs/>
        </w:rPr>
      </w:pPr>
      <w:r w:rsidRPr="00982F1B">
        <w:rPr>
          <w:rStyle w:val="EndnoteReference"/>
          <w:rFonts w:cstheme="minorHAnsi"/>
        </w:rPr>
        <w:endnoteRef/>
      </w:r>
      <w:r w:rsidRPr="00982F1B">
        <w:rPr>
          <w:rFonts w:cstheme="minorHAnsi"/>
        </w:rPr>
        <w:t xml:space="preserve"> American Cancer Society. Breast MRI. Available: </w:t>
      </w:r>
      <w:hyperlink r:id="rId9" w:history="1">
        <w:r w:rsidR="009E5272">
          <w:rPr>
            <w:rStyle w:val="Hyperlink"/>
            <w:rFonts w:cstheme="minorHAnsi"/>
          </w:rPr>
          <w:t>source at https://www.cancer.org/cancer/breast-cancer/screening-tests-and-early-detection/breast-mri-scans.html</w:t>
        </w:r>
      </w:hyperlink>
      <w:r w:rsidRPr="00982F1B">
        <w:rPr>
          <w:rFonts w:cstheme="minorHAnsi"/>
        </w:rPr>
        <w:t xml:space="preserve"> </w:t>
      </w:r>
    </w:p>
  </w:endnote>
  <w:endnote w:id="14">
    <w:p w14:paraId="32730EA5" w14:textId="4DA4B0F7" w:rsidR="00F33FC6" w:rsidRPr="00982F1B" w:rsidRDefault="00F33FC6" w:rsidP="0015193C">
      <w:pPr>
        <w:pStyle w:val="EndnoteText"/>
        <w:rPr>
          <w:rFonts w:cstheme="minorHAnsi"/>
        </w:rPr>
      </w:pPr>
      <w:r w:rsidRPr="00982F1B">
        <w:rPr>
          <w:rStyle w:val="EndnoteReference"/>
          <w:rFonts w:cstheme="minorHAnsi"/>
        </w:rPr>
        <w:endnoteRef/>
      </w:r>
      <w:r w:rsidRPr="00982F1B">
        <w:rPr>
          <w:rFonts w:cstheme="minorHAnsi"/>
        </w:rPr>
        <w:t xml:space="preserve"> </w:t>
      </w:r>
      <w:r w:rsidR="0015193C" w:rsidRPr="0015193C">
        <w:rPr>
          <w:rFonts w:cstheme="minorHAnsi"/>
        </w:rPr>
        <w:t>American College of Radiology</w:t>
      </w:r>
      <w:r w:rsidR="0015193C">
        <w:rPr>
          <w:rFonts w:cstheme="minorHAnsi"/>
        </w:rPr>
        <w:t xml:space="preserve">. </w:t>
      </w:r>
      <w:r w:rsidR="0015193C" w:rsidRPr="0015193C">
        <w:rPr>
          <w:rFonts w:cstheme="minorHAnsi"/>
        </w:rPr>
        <w:t>Ten Things Physicians and Patients Should Question</w:t>
      </w:r>
      <w:r w:rsidRPr="00982F1B">
        <w:rPr>
          <w:rFonts w:cstheme="minorHAnsi"/>
        </w:rPr>
        <w:t xml:space="preserve"> Choos Wisely Rep. 2016;2016.</w:t>
      </w:r>
      <w:r w:rsidR="0015193C">
        <w:rPr>
          <w:rFonts w:cstheme="minorHAnsi"/>
        </w:rPr>
        <w:t xml:space="preserve"> </w:t>
      </w:r>
      <w:hyperlink r:id="rId10" w:history="1">
        <w:r w:rsidR="009E5272">
          <w:rPr>
            <w:rStyle w:val="Hyperlink"/>
            <w:rFonts w:cstheme="minorHAnsi"/>
          </w:rPr>
          <w:t>source at https://www.choosingwisely.org/societies/american-college-of-radiology/</w:t>
        </w:r>
      </w:hyperlink>
      <w:r w:rsidR="0015193C">
        <w:rPr>
          <w:rFonts w:cstheme="minorHAnsi"/>
        </w:rPr>
        <w:t xml:space="preserve"> </w:t>
      </w:r>
    </w:p>
  </w:endnote>
  <w:endnote w:id="15">
    <w:p w14:paraId="54CE5E03" w14:textId="35BF2EF8" w:rsidR="00A36515" w:rsidRPr="00982F1B" w:rsidRDefault="00A36515">
      <w:pPr>
        <w:pStyle w:val="EndnoteText"/>
        <w:rPr>
          <w:rFonts w:cstheme="minorHAnsi"/>
        </w:rPr>
      </w:pPr>
      <w:r w:rsidRPr="00982F1B">
        <w:rPr>
          <w:rStyle w:val="EndnoteReference"/>
          <w:rFonts w:cstheme="minorHAnsi"/>
        </w:rPr>
        <w:endnoteRef/>
      </w:r>
      <w:r w:rsidRPr="00982F1B">
        <w:rPr>
          <w:rFonts w:cstheme="minorHAnsi"/>
        </w:rPr>
        <w:t xml:space="preserve"> </w:t>
      </w:r>
      <w:r w:rsidR="00712E5E">
        <w:rPr>
          <w:rFonts w:cstheme="minorHAnsi"/>
        </w:rPr>
        <w:t xml:space="preserve">Health Policy Commission. </w:t>
      </w:r>
      <w:r w:rsidRPr="00982F1B">
        <w:rPr>
          <w:rFonts w:cstheme="minorHAnsi"/>
        </w:rPr>
        <w:t xml:space="preserve">2018 Annual Health Care Cost Trends Report. </w:t>
      </w:r>
      <w:r w:rsidR="00712E5E">
        <w:rPr>
          <w:rFonts w:cstheme="minorHAnsi"/>
        </w:rPr>
        <w:t xml:space="preserve">Available: </w:t>
      </w:r>
      <w:hyperlink r:id="rId11" w:history="1">
        <w:r w:rsidR="009E5272">
          <w:rPr>
            <w:rStyle w:val="Hyperlink"/>
            <w:rFonts w:cstheme="minorHAnsi"/>
          </w:rPr>
          <w:t>source at https://www.mass.gov/doc/2018-health-care-cost-trends-report/download</w:t>
        </w:r>
      </w:hyperlink>
      <w:r w:rsidR="00712E5E">
        <w:rPr>
          <w:rFonts w:cstheme="minorHAnsi"/>
        </w:rPr>
        <w:t xml:space="preserve"> </w:t>
      </w:r>
    </w:p>
  </w:endnote>
  <w:endnote w:id="16">
    <w:p w14:paraId="0C9600DC" w14:textId="0717CDF3" w:rsidR="00C61FFA" w:rsidRPr="00982F1B" w:rsidRDefault="00C61FFA" w:rsidP="00C61FFA">
      <w:pPr>
        <w:pStyle w:val="EndnoteText"/>
        <w:rPr>
          <w:rFonts w:cstheme="minorHAnsi"/>
        </w:rPr>
      </w:pPr>
      <w:r w:rsidRPr="00982F1B">
        <w:rPr>
          <w:rStyle w:val="EndnoteReference"/>
          <w:rFonts w:cstheme="minorHAnsi"/>
        </w:rPr>
        <w:endnoteRef/>
      </w:r>
      <w:r w:rsidRPr="00982F1B">
        <w:rPr>
          <w:rFonts w:cstheme="minorHAnsi"/>
        </w:rPr>
        <w:t xml:space="preserve"> Lown Institute. When one unnecessary procedure leads to many...(2019). Available: </w:t>
      </w:r>
      <w:hyperlink r:id="rId12" w:history="1">
        <w:r w:rsidR="009E5272">
          <w:rPr>
            <w:rStyle w:val="Hyperlink"/>
            <w:rFonts w:cstheme="minorHAnsi"/>
          </w:rPr>
          <w:t>source at https://lowninstitute.org/news/blog/when-one-unnecessary-procedure-leads-to-many/</w:t>
        </w:r>
      </w:hyperlink>
      <w:r w:rsidRPr="00982F1B">
        <w:rPr>
          <w:rFonts w:cstheme="minorHAnsi"/>
        </w:rPr>
        <w:t xml:space="preserve">  </w:t>
      </w:r>
    </w:p>
  </w:endnote>
  <w:endnote w:id="17">
    <w:p w14:paraId="20F9A88A" w14:textId="717FB0D9" w:rsidR="00541921" w:rsidRPr="00982F1B" w:rsidRDefault="00541921" w:rsidP="00541921">
      <w:pPr>
        <w:pStyle w:val="EndnoteText"/>
        <w:rPr>
          <w:rFonts w:cstheme="minorHAnsi"/>
        </w:rPr>
      </w:pPr>
      <w:r w:rsidRPr="00982F1B">
        <w:rPr>
          <w:rStyle w:val="EndnoteReference"/>
          <w:rFonts w:cstheme="minorHAnsi"/>
        </w:rPr>
        <w:endnoteRef/>
      </w:r>
      <w:r w:rsidRPr="00982F1B">
        <w:rPr>
          <w:rFonts w:cstheme="minorHAnsi"/>
        </w:rPr>
        <w:t xml:space="preserve"> HealthIT.gov. </w:t>
      </w:r>
      <w:r w:rsidR="00434D6D" w:rsidRPr="00434D6D">
        <w:rPr>
          <w:rFonts w:cstheme="minorHAnsi"/>
        </w:rPr>
        <w:t>Improved Diagnostics &amp; Patient Outcomes</w:t>
      </w:r>
      <w:r w:rsidR="00434D6D">
        <w:rPr>
          <w:rFonts w:cstheme="minorHAnsi"/>
        </w:rPr>
        <w:t xml:space="preserve">. </w:t>
      </w:r>
      <w:r w:rsidRPr="00982F1B">
        <w:rPr>
          <w:rFonts w:cstheme="minorHAnsi"/>
        </w:rPr>
        <w:t xml:space="preserve">Available:  </w:t>
      </w:r>
      <w:hyperlink r:id="rId13" w:history="1">
        <w:r w:rsidR="009E5272">
          <w:rPr>
            <w:rStyle w:val="Hyperlink"/>
            <w:rFonts w:cstheme="minorHAnsi"/>
          </w:rPr>
          <w:t>source at https://www.healthit.gov/topic/health-it-and-health-information-exchange-basics/improved-diagnostics-patient-outcomes</w:t>
        </w:r>
      </w:hyperlink>
    </w:p>
  </w:endnote>
  <w:endnote w:id="18">
    <w:p w14:paraId="2AB972C0" w14:textId="16369A38" w:rsidR="000A1D7F" w:rsidRPr="00982F1B" w:rsidRDefault="000A1D7F">
      <w:pPr>
        <w:pStyle w:val="EndnoteText"/>
        <w:rPr>
          <w:rFonts w:cstheme="minorHAnsi"/>
        </w:rPr>
      </w:pPr>
      <w:r w:rsidRPr="00982F1B">
        <w:rPr>
          <w:rStyle w:val="EndnoteReference"/>
          <w:rFonts w:cstheme="minorHAnsi"/>
        </w:rPr>
        <w:endnoteRef/>
      </w:r>
      <w:r w:rsidRPr="00982F1B">
        <w:rPr>
          <w:rFonts w:cstheme="minorHAnsi"/>
        </w:rPr>
        <w:t xml:space="preserve"> Early cancer diagnosis saves lives, cuts treatment costs. </w:t>
      </w:r>
      <w:hyperlink r:id="rId14" w:history="1">
        <w:r w:rsidR="009E5272">
          <w:rPr>
            <w:rStyle w:val="Hyperlink"/>
            <w:rFonts w:cstheme="minorHAnsi"/>
          </w:rPr>
          <w:t>source at https://www.who.int/news-room/detail/03-02-2017-early-cancer-diagnosis-saves-lives-cuts-treatment-costs</w:t>
        </w:r>
      </w:hyperlink>
      <w:r w:rsidR="00CA3057">
        <w:rPr>
          <w:rFonts w:cstheme="minorHAnsi"/>
        </w:rPr>
        <w:t xml:space="preserve"> </w:t>
      </w:r>
    </w:p>
  </w:endnote>
  <w:endnote w:id="19">
    <w:p w14:paraId="61C84486" w14:textId="1AD2F2DC" w:rsidR="005317CE" w:rsidRPr="00982F1B" w:rsidRDefault="005317CE">
      <w:pPr>
        <w:pStyle w:val="EndnoteText"/>
      </w:pPr>
      <w:r w:rsidRPr="00982F1B">
        <w:rPr>
          <w:rStyle w:val="EndnoteReference"/>
        </w:rPr>
        <w:endnoteRef/>
      </w:r>
      <w:r w:rsidRPr="00982F1B">
        <w:t xml:space="preserve"> Miles RC, Onega T, Lee CI. Addressing Potential Health Disparities in the Adoption of Advanced Breast Imaging Technologies. </w:t>
      </w:r>
      <w:r w:rsidRPr="00982F1B">
        <w:rPr>
          <w:i/>
          <w:iCs/>
        </w:rPr>
        <w:t>Acad Radiol</w:t>
      </w:r>
      <w:r w:rsidRPr="00982F1B">
        <w:t>. 2018;25(5):547-551. doi:10.1016/j.acra.2017.05.021</w:t>
      </w:r>
    </w:p>
  </w:endnote>
  <w:endnote w:id="20">
    <w:p w14:paraId="76B4092C" w14:textId="77777777" w:rsidR="005C20CC" w:rsidRPr="00982F1B" w:rsidRDefault="005C20CC" w:rsidP="005C20CC">
      <w:pPr>
        <w:pStyle w:val="EndnoteText"/>
        <w:tabs>
          <w:tab w:val="left" w:pos="990"/>
        </w:tabs>
        <w:rPr>
          <w:rFonts w:cstheme="minorHAnsi"/>
        </w:rPr>
      </w:pPr>
      <w:r w:rsidRPr="00982F1B">
        <w:rPr>
          <w:rStyle w:val="EndnoteReference"/>
          <w:rFonts w:cstheme="minorHAnsi"/>
        </w:rPr>
        <w:endnoteRef/>
      </w:r>
      <w:r w:rsidRPr="00982F1B">
        <w:rPr>
          <w:rFonts w:cstheme="minorHAnsi"/>
        </w:rPr>
        <w:t xml:space="preserve"> Haas JS, Hill DA, Wellman RD, et al. Disparities in the use of screening magnetic resonance imaging of the breast in community practice by race, ethnicity, and socioeconomic status. </w:t>
      </w:r>
      <w:r w:rsidRPr="00982F1B">
        <w:rPr>
          <w:rFonts w:cstheme="minorHAnsi"/>
          <w:i/>
          <w:iCs/>
        </w:rPr>
        <w:t>Cancer</w:t>
      </w:r>
      <w:r w:rsidRPr="00982F1B">
        <w:rPr>
          <w:rFonts w:cstheme="minorHAnsi"/>
        </w:rPr>
        <w:t>. 2016;122(4):611-617. doi:10.1002/cncr.29805</w:t>
      </w:r>
    </w:p>
  </w:endnote>
  <w:endnote w:id="21">
    <w:p w14:paraId="51F66A0D" w14:textId="5FD26B97" w:rsidR="00A241E3" w:rsidRPr="00982F1B" w:rsidRDefault="00A241E3" w:rsidP="00A241E3">
      <w:pPr>
        <w:pStyle w:val="EndnoteText"/>
        <w:rPr>
          <w:rFonts w:cstheme="minorHAnsi"/>
        </w:rPr>
      </w:pPr>
      <w:r w:rsidRPr="00982F1B">
        <w:rPr>
          <w:rStyle w:val="EndnoteReference"/>
          <w:rFonts w:cstheme="minorHAnsi"/>
        </w:rPr>
        <w:endnoteRef/>
      </w:r>
      <w:r w:rsidRPr="00982F1B">
        <w:rPr>
          <w:rFonts w:cstheme="minorHAnsi"/>
        </w:rPr>
        <w:t xml:space="preserve"> Washington, C., Deville, C. Health disparities and inequities in the utilization of diagnostic imaging for prostate cancer. </w:t>
      </w:r>
      <w:r w:rsidRPr="00982F1B">
        <w:rPr>
          <w:rFonts w:cstheme="minorHAnsi"/>
          <w:i/>
          <w:iCs/>
        </w:rPr>
        <w:t>Abdom Radiol</w:t>
      </w:r>
      <w:r w:rsidRPr="00982F1B">
        <w:rPr>
          <w:rFonts w:cstheme="minorHAnsi"/>
        </w:rPr>
        <w:t> 45,</w:t>
      </w:r>
      <w:r w:rsidRPr="00982F1B">
        <w:rPr>
          <w:rFonts w:cstheme="minorHAnsi"/>
          <w:b/>
          <w:bCs/>
        </w:rPr>
        <w:t> </w:t>
      </w:r>
      <w:r w:rsidRPr="00982F1B">
        <w:rPr>
          <w:rFonts w:cstheme="minorHAnsi"/>
        </w:rPr>
        <w:t xml:space="preserve">4090–4096 (2020). </w:t>
      </w:r>
      <w:hyperlink r:id="rId15" w:history="1">
        <w:r w:rsidR="009E5272">
          <w:rPr>
            <w:rStyle w:val="Hyperlink"/>
            <w:rFonts w:cstheme="minorHAnsi"/>
          </w:rPr>
          <w:t>source at https://doi.org/10.1007/s00261-020-02657-6</w:t>
        </w:r>
      </w:hyperlink>
      <w:r w:rsidR="0025293E">
        <w:rPr>
          <w:rFonts w:cstheme="minorHAnsi"/>
        </w:rPr>
        <w:t xml:space="preserve"> </w:t>
      </w:r>
    </w:p>
  </w:endnote>
  <w:endnote w:id="22">
    <w:p w14:paraId="546205BA" w14:textId="6BFD770E" w:rsidR="000F4A77" w:rsidRPr="00982F1B" w:rsidRDefault="000F4A77">
      <w:pPr>
        <w:pStyle w:val="EndnoteText"/>
      </w:pPr>
      <w:r w:rsidRPr="00982F1B">
        <w:rPr>
          <w:rStyle w:val="EndnoteReference"/>
        </w:rPr>
        <w:endnoteRef/>
      </w:r>
      <w:r w:rsidRPr="00982F1B">
        <w:t xml:space="preserve"> Miles RC, Onega T, Lee CI. Addressing Potential Health Disparities in the Adoption of Advanced Breast Imaging Technologies. Acad Radiol. 2018 May;25(5):547-551. doi: 10.1016/j.acra.2017.05.021. PMID: 29729855; PMCID: PMC6420779.</w:t>
      </w:r>
    </w:p>
  </w:endnote>
  <w:endnote w:id="23">
    <w:p w14:paraId="3B436742" w14:textId="77777777" w:rsidR="00E0270A" w:rsidRPr="00982F1B" w:rsidRDefault="00E0270A" w:rsidP="00E0270A">
      <w:pPr>
        <w:pStyle w:val="EndnoteText"/>
      </w:pPr>
      <w:r w:rsidRPr="00982F1B">
        <w:rPr>
          <w:rStyle w:val="EndnoteReference"/>
        </w:rPr>
        <w:endnoteRef/>
      </w:r>
      <w:r w:rsidRPr="00982F1B">
        <w:t xml:space="preserve"> Schrager JD, Patzer RE, Kim JJ, Pitts SR, Chokshi FH, Phillips JS, Zhang X. Racial and Ethnic Differences in Diagnostic Imaging Utilization During Adult Emergency Department Visits in the United States, 2005 to 2014. J Am Coll Radiol. 2019 Aug;16(8):1036-1045. doi: 10.1016/j.jacr.2019.03.002. Epub 2019 May 16. PMID: 31092354.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5575B" w14:textId="77777777" w:rsidR="00407A67" w:rsidRDefault="00407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999566"/>
      <w:docPartObj>
        <w:docPartGallery w:val="Page Numbers (Bottom of Page)"/>
        <w:docPartUnique/>
      </w:docPartObj>
    </w:sdtPr>
    <w:sdtEndPr>
      <w:rPr>
        <w:noProof/>
      </w:rPr>
    </w:sdtEndPr>
    <w:sdtContent>
      <w:p w14:paraId="77B228D2" w14:textId="6F8EE75C" w:rsidR="00127AF5" w:rsidRDefault="00127A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D65ADA" w14:textId="77777777" w:rsidR="00127AF5" w:rsidRDefault="00127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705FE" w14:textId="77777777" w:rsidR="00407A67" w:rsidRDefault="0040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FA84C" w14:textId="77777777" w:rsidR="009F0B93" w:rsidRDefault="009F0B93" w:rsidP="00231103">
      <w:pPr>
        <w:spacing w:after="0" w:line="240" w:lineRule="auto"/>
      </w:pPr>
      <w:r>
        <w:separator/>
      </w:r>
    </w:p>
  </w:footnote>
  <w:footnote w:type="continuationSeparator" w:id="0">
    <w:p w14:paraId="1A4743C1" w14:textId="77777777" w:rsidR="009F0B93" w:rsidRDefault="009F0B93" w:rsidP="00231103">
      <w:pPr>
        <w:spacing w:after="0" w:line="240" w:lineRule="auto"/>
      </w:pPr>
      <w:r>
        <w:continuationSeparator/>
      </w:r>
    </w:p>
  </w:footnote>
  <w:footnote w:id="1">
    <w:p w14:paraId="62E20E7E" w14:textId="77777777" w:rsidR="00CF2B67" w:rsidRPr="00744093" w:rsidRDefault="00CF2B67" w:rsidP="00CF2B67">
      <w:pPr>
        <w:pStyle w:val="FootnoteText"/>
        <w:rPr>
          <w:rFonts w:ascii="Calibri" w:hAnsi="Calibri" w:cs="Calibri"/>
          <w:sz w:val="18"/>
          <w:szCs w:val="18"/>
        </w:rPr>
      </w:pPr>
      <w:r w:rsidRPr="00744093">
        <w:rPr>
          <w:rStyle w:val="FootnoteReference"/>
          <w:rFonts w:ascii="Calibri" w:hAnsi="Calibri" w:cs="Calibri"/>
          <w:sz w:val="18"/>
          <w:szCs w:val="18"/>
        </w:rPr>
        <w:footnoteRef/>
      </w:r>
      <w:r w:rsidRPr="00744093">
        <w:rPr>
          <w:rFonts w:ascii="Calibri" w:hAnsi="Calibri" w:cs="Calibri"/>
          <w:sz w:val="18"/>
          <w:szCs w:val="18"/>
        </w:rPr>
        <w:t xml:space="preserve"> 3: Sufficient evidence of compliance and good standing with federal, state, and local laws and regulations</w:t>
      </w:r>
    </w:p>
    <w:p w14:paraId="1552EEEA" w14:textId="77777777" w:rsidR="00CF2B67" w:rsidRPr="00CF2B67" w:rsidRDefault="00CF2B67" w:rsidP="00CF2B67">
      <w:pPr>
        <w:pStyle w:val="FootnoteText"/>
        <w:rPr>
          <w:rFonts w:cs="Calibri"/>
          <w:sz w:val="16"/>
          <w:szCs w:val="16"/>
        </w:rPr>
      </w:pPr>
      <w:r w:rsidRPr="00744093">
        <w:rPr>
          <w:rFonts w:ascii="Calibri" w:hAnsi="Calibri" w:cs="Calibri"/>
          <w:sz w:val="18"/>
          <w:szCs w:val="18"/>
        </w:rPr>
        <w:t>4: Sufficient documentation of the availability of sufficient funds for capital and ongoing operating costs necessary to support the Project without negative impacts or consequences to the Applicant's existing Patient Panel 5: The … Project, on balance, is superior to alternative and substitute methods for meeting … Patient Panel needs.</w:t>
      </w:r>
    </w:p>
  </w:footnote>
  <w:footnote w:id="2">
    <w:p w14:paraId="3E414372" w14:textId="3BFF5EFB" w:rsidR="00032FF5" w:rsidRDefault="00032FF5">
      <w:pPr>
        <w:pStyle w:val="FootnoteText"/>
      </w:pPr>
      <w:r>
        <w:rPr>
          <w:rStyle w:val="FootnoteReference"/>
        </w:rPr>
        <w:footnoteRef/>
      </w:r>
      <w:r w:rsidR="00483936">
        <w:t xml:space="preserve"> </w:t>
      </w:r>
      <w:r w:rsidRPr="00032FF5">
        <w:t>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3">
    <w:p w14:paraId="4DE797FB" w14:textId="77777777" w:rsidR="00460A58" w:rsidRDefault="00460A58" w:rsidP="00231103">
      <w:pPr>
        <w:pStyle w:val="FootnoteText"/>
      </w:pPr>
      <w:r>
        <w:rPr>
          <w:rStyle w:val="FootnoteReference"/>
        </w:rPr>
        <w:footnoteRef/>
      </w:r>
      <w:r>
        <w:t xml:space="preserve"> Self-reported.</w:t>
      </w:r>
    </w:p>
  </w:footnote>
  <w:footnote w:id="4">
    <w:p w14:paraId="5542EBDC" w14:textId="1D0C3FF6" w:rsidR="00460A58" w:rsidRDefault="00460A58">
      <w:pPr>
        <w:pStyle w:val="FootnoteText"/>
      </w:pPr>
      <w:r>
        <w:rPr>
          <w:rStyle w:val="FootnoteReference"/>
        </w:rPr>
        <w:footnoteRef/>
      </w:r>
      <w:r>
        <w:t xml:space="preserve"> </w:t>
      </w:r>
      <w:r w:rsidR="00D66243">
        <w:t xml:space="preserve">The Applicant states </w:t>
      </w:r>
      <w:r w:rsidR="0039633B">
        <w:t xml:space="preserve">70% of patients originate from the following </w:t>
      </w:r>
      <w:r w:rsidR="00106EAB">
        <w:t xml:space="preserve">17 </w:t>
      </w:r>
      <w:r w:rsidR="0039633B">
        <w:t>c</w:t>
      </w:r>
      <w:r w:rsidR="00DF45C5">
        <w:t xml:space="preserve">ities and </w:t>
      </w:r>
      <w:r w:rsidR="0039633B">
        <w:t>t</w:t>
      </w:r>
      <w:r w:rsidR="00DF45C5">
        <w:t>owns comprising SSHS’s service area</w:t>
      </w:r>
      <w:r w:rsidR="00271277">
        <w:t xml:space="preserve"> </w:t>
      </w:r>
      <w:r w:rsidR="00271277" w:rsidRPr="00561AFD">
        <w:t>in order of size</w:t>
      </w:r>
      <w:r w:rsidR="00DF45C5" w:rsidRPr="00561AFD">
        <w:t>:</w:t>
      </w:r>
      <w:r w:rsidR="00DF45C5">
        <w:t xml:space="preserve"> </w:t>
      </w:r>
      <w:r>
        <w:t xml:space="preserve">Weymouth, Hingham, Braintree, Marshfield, Plymouth, Rockland, Quincy, Scituate, Pembroke, Hanover, Duxbury, Norwell, Abington, Kingston, Hull, Whitman and Hanson. </w:t>
      </w:r>
    </w:p>
  </w:footnote>
  <w:footnote w:id="5">
    <w:p w14:paraId="1DB85590" w14:textId="7E6194DE" w:rsidR="00460A58" w:rsidRDefault="00460A58" w:rsidP="00460A58">
      <w:pPr>
        <w:pStyle w:val="FootnoteText"/>
      </w:pPr>
      <w:r>
        <w:rPr>
          <w:rStyle w:val="FootnoteReference"/>
        </w:rPr>
        <w:footnoteRef/>
      </w:r>
      <w:r>
        <w:t xml:space="preserve"> </w:t>
      </w:r>
      <w:r w:rsidR="00D66243">
        <w:t xml:space="preserve">The Applicant states </w:t>
      </w:r>
      <w:r w:rsidR="00DF45C5">
        <w:t>70% of patients originate from the following 14</w:t>
      </w:r>
      <w:r w:rsidR="00D66243">
        <w:t xml:space="preserve"> cities and towns</w:t>
      </w:r>
      <w:r w:rsidR="00271277">
        <w:t xml:space="preserve"> </w:t>
      </w:r>
      <w:r w:rsidR="00271277" w:rsidRPr="00561AFD">
        <w:t>in order of size</w:t>
      </w:r>
      <w:r w:rsidR="00DF45C5" w:rsidRPr="00561AFD">
        <w:t>:</w:t>
      </w:r>
      <w:r w:rsidR="00DF45C5">
        <w:t xml:space="preserve"> </w:t>
      </w:r>
      <w:r w:rsidRPr="00514ECB">
        <w:t>Weymouth, Hingham, Braintree, Marshfield</w:t>
      </w:r>
      <w:r>
        <w:t>, Quincy, Rockland, Scituate, Pembroke, Hanover, Hull, Plymouth, Abington, Duxbury, and Norwell.</w:t>
      </w:r>
    </w:p>
  </w:footnote>
  <w:footnote w:id="6">
    <w:p w14:paraId="1D9EA7BB" w14:textId="4418833F" w:rsidR="0038415A" w:rsidRPr="0038415A" w:rsidRDefault="00704946" w:rsidP="0038415A">
      <w:pPr>
        <w:pStyle w:val="FootnoteText"/>
      </w:pPr>
      <w:r>
        <w:rPr>
          <w:rStyle w:val="FootnoteReference"/>
        </w:rPr>
        <w:footnoteRef/>
      </w:r>
      <w:r>
        <w:t xml:space="preserve"> Hospital Satellites:</w:t>
      </w:r>
      <w:r w:rsidR="0038415A" w:rsidRPr="0038415A">
        <w:t> South Shore Hospital Breast Care Center/Multispecialty Care</w:t>
      </w:r>
      <w:r w:rsidR="00823020">
        <w:t xml:space="preserve"> located in</w:t>
      </w:r>
      <w:r w:rsidR="0038415A" w:rsidRPr="0038415A">
        <w:t xml:space="preserve"> South Weymouth, MA</w:t>
      </w:r>
      <w:r w:rsidR="0038415A">
        <w:t xml:space="preserve"> and </w:t>
      </w:r>
      <w:r w:rsidR="00823020">
        <w:t xml:space="preserve">the </w:t>
      </w:r>
      <w:r w:rsidR="0038415A" w:rsidRPr="0038415A">
        <w:t>Center for Orthopedics, Spine, and Sports Medicine</w:t>
      </w:r>
      <w:r w:rsidR="00823020">
        <w:t xml:space="preserve"> located in</w:t>
      </w:r>
      <w:r w:rsidR="0038415A" w:rsidRPr="0038415A">
        <w:t xml:space="preserve"> Hingham, MA</w:t>
      </w:r>
      <w:r w:rsidR="0038415A">
        <w:t>.</w:t>
      </w:r>
    </w:p>
    <w:p w14:paraId="191C4B0F" w14:textId="6A9563BC" w:rsidR="00704946" w:rsidRDefault="00704946" w:rsidP="00704946">
      <w:pPr>
        <w:pStyle w:val="FootnoteText"/>
      </w:pPr>
      <w:r>
        <w:tab/>
      </w:r>
      <w:r>
        <w:tab/>
      </w:r>
      <w:r>
        <w:tab/>
      </w:r>
      <w:r>
        <w:tab/>
      </w:r>
      <w:r>
        <w:tab/>
      </w:r>
      <w:r>
        <w:tab/>
      </w:r>
      <w:r>
        <w:tab/>
      </w:r>
      <w:r>
        <w:tab/>
      </w:r>
    </w:p>
    <w:p w14:paraId="30E42703" w14:textId="6BB1A538" w:rsidR="00704946" w:rsidRDefault="00704946">
      <w:pPr>
        <w:pStyle w:val="FootnoteText"/>
      </w:pPr>
    </w:p>
  </w:footnote>
  <w:footnote w:id="7">
    <w:p w14:paraId="2EE062F4" w14:textId="2D5D9BDF" w:rsidR="00415FB9" w:rsidRDefault="00415FB9">
      <w:pPr>
        <w:pStyle w:val="FootnoteText"/>
      </w:pPr>
      <w:r>
        <w:rPr>
          <w:rStyle w:val="FootnoteReference"/>
        </w:rPr>
        <w:footnoteRef/>
      </w:r>
      <w:r>
        <w:t xml:space="preserve"> Due to the impact of COVID</w:t>
      </w:r>
      <w:r w:rsidR="002B523E">
        <w:t>-</w:t>
      </w:r>
      <w:r>
        <w:t>19 on MRI scan volume, staff is presenting the data for FY19</w:t>
      </w:r>
      <w:r w:rsidR="002B523E">
        <w:t xml:space="preserve"> instead of FY20, the most recent year for which data are available. </w:t>
      </w:r>
    </w:p>
  </w:footnote>
  <w:footnote w:id="8">
    <w:p w14:paraId="6D09847F" w14:textId="29592C58" w:rsidR="009C23FE" w:rsidRDefault="009C23FE">
      <w:pPr>
        <w:pStyle w:val="FootnoteText"/>
      </w:pPr>
      <w:r>
        <w:rPr>
          <w:rStyle w:val="FootnoteReference"/>
        </w:rPr>
        <w:footnoteRef/>
      </w:r>
      <w:r>
        <w:t xml:space="preserve"> </w:t>
      </w:r>
      <w:r w:rsidRPr="009C23FE">
        <w:t xml:space="preserve">In FY19, </w:t>
      </w:r>
      <w:r w:rsidR="0037435B">
        <w:t xml:space="preserve">for SSHS </w:t>
      </w:r>
      <w:r w:rsidRPr="009C23FE">
        <w:t xml:space="preserve">there were 10,837 unique MRI patients; 2,544 inpatients and 8,293 outpatients. </w:t>
      </w:r>
    </w:p>
  </w:footnote>
  <w:footnote w:id="9">
    <w:p w14:paraId="60656709" w14:textId="722EC6CE" w:rsidR="0017267B" w:rsidRDefault="0017267B">
      <w:pPr>
        <w:pStyle w:val="FootnoteText"/>
      </w:pPr>
      <w:r>
        <w:rPr>
          <w:rStyle w:val="FootnoteReference"/>
        </w:rPr>
        <w:footnoteRef/>
      </w:r>
      <w:r>
        <w:t xml:space="preserve"> The Applicant notes that </w:t>
      </w:r>
      <w:r w:rsidRPr="0017267B">
        <w:t>the scanner at the Cancer Center is shorter in length and wider providing the sense of a more open space</w:t>
      </w:r>
      <w:r w:rsidR="007E14DC">
        <w:t>.</w:t>
      </w:r>
    </w:p>
  </w:footnote>
  <w:footnote w:id="10">
    <w:p w14:paraId="455B68F4" w14:textId="77777777" w:rsidR="00FE342A" w:rsidRDefault="00FE342A" w:rsidP="00FE342A">
      <w:pPr>
        <w:pStyle w:val="FootnoteText"/>
      </w:pPr>
      <w:r>
        <w:rPr>
          <w:rStyle w:val="FootnoteReference"/>
        </w:rPr>
        <w:footnoteRef/>
      </w:r>
      <w:r>
        <w:t xml:space="preserve"> The Applicant states downtime is calculated by tallying the number of hours per year that the MRI scanner is unavailable due to scheduled or unscheduled downtime. </w:t>
      </w:r>
    </w:p>
  </w:footnote>
  <w:footnote w:id="11">
    <w:p w14:paraId="60534612" w14:textId="5BD1C361" w:rsidR="00D8391C" w:rsidRDefault="00D8391C">
      <w:pPr>
        <w:pStyle w:val="FootnoteText"/>
      </w:pPr>
      <w:r>
        <w:rPr>
          <w:rStyle w:val="FootnoteReference"/>
        </w:rPr>
        <w:footnoteRef/>
      </w:r>
      <w:r>
        <w:t xml:space="preserve"> The Breast Cancer Center is affiliated with Brigham and Women’s and Dana-Farber Cancer Institute, and is comprised of specialists including Brigham and Women’s breast surgeons, medical and radiation oncologists from Dana-Farber Cancer Institute, and South Shore Hospital’s radiologists and pathologists, non-physician experts including nurses, a dietician, oncology social workers, and experts in integrative therapies. A Breast Imaging Navigator coordinates care with the multidisciplinary team. </w:t>
      </w:r>
      <w:r w:rsidR="005669C3">
        <w:t xml:space="preserve">All patients seen at the Center have access to the services. </w:t>
      </w:r>
    </w:p>
  </w:footnote>
  <w:footnote w:id="12">
    <w:p w14:paraId="638652C0" w14:textId="4E2ED730" w:rsidR="00616E4A" w:rsidRDefault="00616E4A">
      <w:pPr>
        <w:pStyle w:val="FootnoteText"/>
      </w:pPr>
      <w:r>
        <w:rPr>
          <w:rStyle w:val="FootnoteReference"/>
        </w:rPr>
        <w:footnoteRef/>
      </w:r>
      <w:r>
        <w:t xml:space="preserve"> Wait day is </w:t>
      </w:r>
      <w:r w:rsidRPr="00616E4A">
        <w:t>the number of days between the date an examination was ordered or requested within the computerized order entry system and the date the examination was performed or scheduled to be performed</w:t>
      </w:r>
      <w:r>
        <w:t>.</w:t>
      </w:r>
    </w:p>
  </w:footnote>
  <w:footnote w:id="13">
    <w:p w14:paraId="4AFCBB49" w14:textId="33F090C4" w:rsidR="005A47EC" w:rsidRDefault="005A47EC">
      <w:pPr>
        <w:pStyle w:val="FootnoteText"/>
      </w:pPr>
      <w:r>
        <w:rPr>
          <w:rStyle w:val="FootnoteReference"/>
        </w:rPr>
        <w:footnoteRef/>
      </w:r>
      <w:r>
        <w:t xml:space="preserve"> The article lists p</w:t>
      </w:r>
      <w:r w:rsidRPr="005A47EC">
        <w:t xml:space="preserve">ossible reasons for the relationship between missed appointments and increased </w:t>
      </w:r>
      <w:r w:rsidR="00275621">
        <w:t>wait days</w:t>
      </w:r>
      <w:r>
        <w:t>:</w:t>
      </w:r>
      <w:r w:rsidRPr="005A47EC">
        <w:t xml:space="preserve"> patients’ forgetting appointments, decreased patient control over future schedule conflicts, patients’ perception that scans scheduled for long intervals might not be as important, resolution of the symptoms prompting the imaging studies, patients’ undergoing sooner imaging or workup at alternative sites or as inpatients, and anxiety or anticipation of positive results from imaging.</w:t>
      </w:r>
      <w:r w:rsidR="00BF3295" w:rsidRPr="00BF3295">
        <w:t xml:space="preserve"> </w:t>
      </w:r>
      <w:r w:rsidR="00BF3295">
        <w:t>P</w:t>
      </w:r>
      <w:r w:rsidR="00BF3295" w:rsidRPr="00BF3295">
        <w:t>ossible reasons for this association that may be amplified in minority population include disparities in health literacy, and perceived disrespect or mistrust of the health care system.</w:t>
      </w:r>
    </w:p>
  </w:footnote>
  <w:footnote w:id="14">
    <w:p w14:paraId="3261844C" w14:textId="77777777" w:rsidR="00BF3295" w:rsidRDefault="005A47EC" w:rsidP="00BF3295">
      <w:pPr>
        <w:pStyle w:val="FootnoteText"/>
      </w:pPr>
      <w:r>
        <w:rPr>
          <w:rStyle w:val="FootnoteReference"/>
        </w:rPr>
        <w:footnoteRef/>
      </w:r>
      <w:r>
        <w:t xml:space="preserve"> </w:t>
      </w:r>
      <w:r w:rsidR="00BF3295">
        <w:t>When stratified by race, black or African American, Hispanic, and Asian race had increased missed</w:t>
      </w:r>
    </w:p>
    <w:p w14:paraId="51155F90" w14:textId="386B9A67" w:rsidR="00BF3295" w:rsidRDefault="00BF3295" w:rsidP="00BF3295">
      <w:pPr>
        <w:pStyle w:val="FootnoteText"/>
      </w:pPr>
      <w:r>
        <w:t xml:space="preserve">appointment rates compared with their white counterparts. </w:t>
      </w:r>
      <w:r w:rsidR="00275621" w:rsidRPr="00275621">
        <w:t>W</w:t>
      </w:r>
      <w:r w:rsidRPr="00275621">
        <w:t xml:space="preserve">hen </w:t>
      </w:r>
      <w:r>
        <w:t>stratified by insurance, patients</w:t>
      </w:r>
    </w:p>
    <w:p w14:paraId="4E7F8C7C" w14:textId="77777777" w:rsidR="00BF3295" w:rsidRDefault="00BF3295" w:rsidP="00BF3295">
      <w:pPr>
        <w:pStyle w:val="FootnoteText"/>
      </w:pPr>
      <w:r>
        <w:t>with Medicaid had increased missed appointment rates compared with patients with Medicare or commercial</w:t>
      </w:r>
    </w:p>
    <w:p w14:paraId="631C9872" w14:textId="563DFEAB" w:rsidR="005A47EC" w:rsidRDefault="00BF3295" w:rsidP="00BF3295">
      <w:pPr>
        <w:pStyle w:val="FootnoteText"/>
      </w:pPr>
      <w:r>
        <w:t>insurance.</w:t>
      </w:r>
    </w:p>
  </w:footnote>
  <w:footnote w:id="15">
    <w:p w14:paraId="0DA8167C" w14:textId="77777777" w:rsidR="004044B7" w:rsidRDefault="004044B7" w:rsidP="004044B7">
      <w:pPr>
        <w:pStyle w:val="FootnoteText"/>
      </w:pPr>
      <w:r>
        <w:rPr>
          <w:rStyle w:val="FootnoteReference"/>
        </w:rPr>
        <w:footnoteRef/>
      </w:r>
      <w:r>
        <w:t xml:space="preserve"> The NICU is </w:t>
      </w:r>
      <w:r w:rsidRPr="00FF7677">
        <w:t xml:space="preserve">staffed </w:t>
      </w:r>
      <w:r w:rsidRPr="00507383">
        <w:t>by doctors, nurses, and respiratory therapists with specific training in the care of ill, premature, and recovery newborns</w:t>
      </w:r>
      <w:r>
        <w:t xml:space="preserve"> with 24/7 i</w:t>
      </w:r>
      <w:r w:rsidRPr="00507383">
        <w:t>n-hospital coverage by a neonatologist and a neonatal nurse practitioner</w:t>
      </w:r>
      <w:r w:rsidRPr="00FF7677">
        <w:t>.</w:t>
      </w:r>
    </w:p>
  </w:footnote>
  <w:footnote w:id="16">
    <w:p w14:paraId="58B050FA" w14:textId="72EFA62E" w:rsidR="0016782E" w:rsidRDefault="0016782E">
      <w:pPr>
        <w:pStyle w:val="FootnoteText"/>
      </w:pPr>
      <w:r>
        <w:rPr>
          <w:rStyle w:val="FootnoteReference"/>
        </w:rPr>
        <w:footnoteRef/>
      </w:r>
      <w:r>
        <w:t xml:space="preserve"> The Applicant </w:t>
      </w:r>
      <w:r w:rsidR="008F25FF">
        <w:t xml:space="preserve">states that there are MRI orders where the insurance carrier denies the approval and the exam is not performed or alternative imaging is ordered by the clinician, and </w:t>
      </w:r>
      <w:r>
        <w:t xml:space="preserve">notes that if a </w:t>
      </w:r>
      <w:r w:rsidR="00CA49FE">
        <w:t>patient</w:t>
      </w:r>
      <w:r>
        <w:t xml:space="preserve"> wishes to proceed with an MRI exam without prior authorization, the patient is personally responsible for the cost of the exam. </w:t>
      </w:r>
    </w:p>
  </w:footnote>
  <w:footnote w:id="17">
    <w:p w14:paraId="1832FDDB" w14:textId="77777777" w:rsidR="00933C70" w:rsidRDefault="00933C70" w:rsidP="00933C70">
      <w:pPr>
        <w:pStyle w:val="FootnoteText"/>
      </w:pPr>
      <w:r>
        <w:rPr>
          <w:rStyle w:val="FootnoteReference"/>
        </w:rPr>
        <w:footnoteRef/>
      </w:r>
      <w:r>
        <w:t xml:space="preserve"> Detailed descriptions can be found in Reponses to DoN Questions. </w:t>
      </w:r>
      <w:hyperlink r:id="rId1" w:history="1">
        <w:r w:rsidRPr="00076E41">
          <w:rPr>
            <w:rStyle w:val="Hyperlink"/>
          </w:rPr>
          <w:t>https://www.mass.gov/lists/don-south-shore-health-system-inc-21040109-hs</w:t>
        </w:r>
      </w:hyperlink>
      <w:r>
        <w:t xml:space="preserve"> </w:t>
      </w:r>
    </w:p>
  </w:footnote>
  <w:footnote w:id="18">
    <w:p w14:paraId="59A029B2" w14:textId="03666CFF" w:rsidR="008B587C" w:rsidRDefault="008B587C">
      <w:pPr>
        <w:pStyle w:val="FootnoteText"/>
      </w:pPr>
      <w:r>
        <w:rPr>
          <w:rStyle w:val="FootnoteReference"/>
        </w:rPr>
        <w:footnoteRef/>
      </w:r>
      <w:r>
        <w:t xml:space="preserve"> </w:t>
      </w:r>
      <w:r w:rsidRPr="008B587C">
        <w:t xml:space="preserve">Under the </w:t>
      </w:r>
      <w:r>
        <w:t>Flexible Services Program (</w:t>
      </w:r>
      <w:r w:rsidRPr="008B587C">
        <w:t>FSP</w:t>
      </w:r>
      <w:r>
        <w:t>)</w:t>
      </w:r>
      <w:r w:rsidRPr="008B587C">
        <w:t>, the State will provide eligible MassHealth members with access to Flexible Services, which consist of Tenancy Preservation Services (TPS) and Nutritional Support Services (NSS).</w:t>
      </w:r>
      <w:r>
        <w:t xml:space="preserve"> </w:t>
      </w:r>
      <w:hyperlink r:id="rId2" w:history="1">
        <w:r w:rsidRPr="00C406A0">
          <w:rPr>
            <w:rStyle w:val="Hyperlink"/>
          </w:rPr>
          <w:t>https://www.medicaid.gov/medicaid/section-1115-demonstrations/downloads/ma-masshealth-appvd-flex-services-protocol-05112020.pdf</w:t>
        </w:r>
      </w:hyperlink>
      <w:r>
        <w:t xml:space="preserve"> </w:t>
      </w:r>
    </w:p>
  </w:footnote>
  <w:footnote w:id="19">
    <w:p w14:paraId="06DF283E" w14:textId="1CF035F1" w:rsidR="000C4C9F" w:rsidRDefault="000C4C9F" w:rsidP="000C4C9F">
      <w:pPr>
        <w:pStyle w:val="FootnoteText"/>
      </w:pPr>
      <w:r>
        <w:rPr>
          <w:rStyle w:val="FootnoteReference"/>
        </w:rPr>
        <w:footnoteRef/>
      </w:r>
      <w:r>
        <w:t xml:space="preserve"> DOVE, Inc. (Domestic Violence Ended), DOVE is a</w:t>
      </w:r>
      <w:r w:rsidR="001456C5">
        <w:t xml:space="preserve"> 501(c)3 charitable non-profit organization</w:t>
      </w:r>
      <w:r>
        <w:t xml:space="preserve"> </w:t>
      </w:r>
      <w:r w:rsidR="001456C5">
        <w:t xml:space="preserve">and legal advocacy program that provides community-based services and outreach programs for individuals impacted by domestic or partner violence. </w:t>
      </w:r>
    </w:p>
  </w:footnote>
  <w:footnote w:id="20">
    <w:p w14:paraId="7BC6B82D" w14:textId="0DF56286" w:rsidR="00C57F0B" w:rsidRDefault="00C57F0B">
      <w:pPr>
        <w:pStyle w:val="FootnoteText"/>
      </w:pPr>
      <w:r>
        <w:rPr>
          <w:rStyle w:val="FootnoteReference"/>
        </w:rPr>
        <w:footnoteRef/>
      </w:r>
      <w:r>
        <w:t xml:space="preserve"> </w:t>
      </w:r>
      <w:r w:rsidRPr="00C57F0B">
        <w:t>South Shore Hospital Launches SNF-at-Home Program</w:t>
      </w:r>
      <w:r>
        <w:t xml:space="preserve">. </w:t>
      </w:r>
      <w:hyperlink r:id="rId3" w:history="1">
        <w:r w:rsidRPr="00863153">
          <w:rPr>
            <w:rStyle w:val="Hyperlink"/>
          </w:rPr>
          <w:t>https://www.hcinnovationgroup.com/population-health-management/remote-patient-monitoring-rpm/news/21217217/south-shore-hospital-launches-snfathome-program</w:t>
        </w:r>
      </w:hyperlink>
      <w:r>
        <w:t xml:space="preserve"> </w:t>
      </w:r>
    </w:p>
  </w:footnote>
  <w:footnote w:id="21">
    <w:p w14:paraId="5719B7FF" w14:textId="4F6C905B" w:rsidR="006C0B85" w:rsidRDefault="006C0B85">
      <w:pPr>
        <w:pStyle w:val="FootnoteText"/>
      </w:pPr>
      <w:r>
        <w:rPr>
          <w:rStyle w:val="FootnoteReference"/>
        </w:rPr>
        <w:footnoteRef/>
      </w:r>
      <w:r>
        <w:t xml:space="preserve"> </w:t>
      </w:r>
      <w:r w:rsidRPr="006C0B85">
        <w:t xml:space="preserve">ASAP's are private non-profit agencies with governing boards that serve and represent 51% of people </w:t>
      </w:r>
      <w:r w:rsidR="00A432D7" w:rsidRPr="006C0B85">
        <w:t>aged</w:t>
      </w:r>
      <w:r w:rsidRPr="006C0B85">
        <w:t xml:space="preserve"> 60 and older.</w:t>
      </w:r>
    </w:p>
  </w:footnote>
  <w:footnote w:id="22">
    <w:p w14:paraId="167EDDF3" w14:textId="3AB8A66F" w:rsidR="00D10C13" w:rsidRDefault="00D10C13">
      <w:pPr>
        <w:pStyle w:val="FootnoteText"/>
      </w:pPr>
      <w:r>
        <w:rPr>
          <w:rStyle w:val="FootnoteReference"/>
        </w:rPr>
        <w:footnoteRef/>
      </w:r>
      <w:r>
        <w:t xml:space="preserve"> </w:t>
      </w:r>
      <w:r w:rsidRPr="00D10C13">
        <w:t>Community Engagement Standards for Community Health Planning Guideline</w:t>
      </w:r>
    </w:p>
  </w:footnote>
  <w:footnote w:id="23">
    <w:p w14:paraId="65F782EA" w14:textId="6DC23E06" w:rsidR="00D10C13" w:rsidRDefault="00D10C13">
      <w:pPr>
        <w:pStyle w:val="FootnoteText"/>
      </w:pPr>
      <w:r>
        <w:rPr>
          <w:rStyle w:val="FootnoteReference"/>
        </w:rPr>
        <w:footnoteRef/>
      </w:r>
      <w:r>
        <w:t xml:space="preserve"> </w:t>
      </w:r>
      <w:r w:rsidRPr="00D10C13">
        <w:t xml:space="preserve">DoN Regulation 100.210 (A)(1)(e). </w:t>
      </w:r>
      <w:hyperlink r:id="rId4" w:history="1">
        <w:r w:rsidRPr="000C0099">
          <w:rPr>
            <w:rStyle w:val="Hyperlink"/>
          </w:rPr>
          <w:t>https://www.mass.gov/files/documents/2018/12/31/jud-lib-105cmr100.pdf</w:t>
        </w:r>
      </w:hyperlink>
      <w:r>
        <w:t xml:space="preserve"> </w:t>
      </w:r>
    </w:p>
  </w:footnote>
  <w:footnote w:id="24">
    <w:p w14:paraId="3FADD4B4" w14:textId="1F5208D0" w:rsidR="00B103FD" w:rsidRDefault="00B103FD" w:rsidP="00D42B1B">
      <w:pPr>
        <w:pStyle w:val="FootnoteText"/>
      </w:pPr>
      <w:r>
        <w:rPr>
          <w:rStyle w:val="FootnoteReference"/>
        </w:rPr>
        <w:footnoteRef/>
      </w:r>
      <w:r>
        <w:t xml:space="preserve"> </w:t>
      </w:r>
      <w:r w:rsidRPr="00B103FD">
        <w:t>The article states further work should examine potential causes of the observed disparities which may include patient preference, provider-level variation in recommending and ordering screening MRI, patient-provider communication, or financial barriers to care.</w:t>
      </w:r>
    </w:p>
  </w:footnote>
  <w:footnote w:id="25">
    <w:p w14:paraId="15E13F79" w14:textId="7609633C" w:rsidR="00BD65F5" w:rsidRDefault="00BD65F5">
      <w:pPr>
        <w:pStyle w:val="FootnoteText"/>
      </w:pPr>
      <w:r>
        <w:rPr>
          <w:rStyle w:val="FootnoteReference"/>
        </w:rPr>
        <w:footnoteRef/>
      </w:r>
      <w:r>
        <w:t xml:space="preserve"> The first </w:t>
      </w:r>
      <w:r w:rsidR="00981996">
        <w:t>year</w:t>
      </w:r>
      <w:r>
        <w:t xml:space="preserve"> in which revenue</w:t>
      </w:r>
      <w:r w:rsidR="001E12E0">
        <w:t xml:space="preserve"> and operating expenses</w:t>
      </w:r>
      <w:r>
        <w:t xml:space="preserve"> </w:t>
      </w:r>
      <w:r w:rsidR="001E12E0">
        <w:t>are</w:t>
      </w:r>
      <w:r>
        <w:t xml:space="preserve"> present for the Proposed Project is FY2022.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4A34B" w14:textId="22A0CB40" w:rsidR="00407A67" w:rsidRDefault="00407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71A6" w14:textId="0DA22DEB" w:rsidR="00407A67" w:rsidRDefault="00407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23C4" w14:textId="2D61F92C" w:rsidR="00407A67" w:rsidRDefault="00407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13C"/>
    <w:multiLevelType w:val="hybridMultilevel"/>
    <w:tmpl w:val="D5C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D0643"/>
    <w:multiLevelType w:val="hybridMultilevel"/>
    <w:tmpl w:val="5AE468D6"/>
    <w:lvl w:ilvl="0" w:tplc="98800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D31D1"/>
    <w:multiLevelType w:val="hybridMultilevel"/>
    <w:tmpl w:val="C90C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42223"/>
    <w:multiLevelType w:val="hybridMultilevel"/>
    <w:tmpl w:val="C30A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110D1"/>
    <w:multiLevelType w:val="hybridMultilevel"/>
    <w:tmpl w:val="D6A8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37B61"/>
    <w:multiLevelType w:val="hybridMultilevel"/>
    <w:tmpl w:val="0F1AA302"/>
    <w:lvl w:ilvl="0" w:tplc="66728DCC">
      <w:numFmt w:val="bullet"/>
      <w:lvlText w:val="•"/>
      <w:lvlJc w:val="left"/>
      <w:pPr>
        <w:ind w:left="1440" w:hanging="360"/>
      </w:pPr>
      <w:rPr>
        <w:rFonts w:hint="default"/>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8C57AB"/>
    <w:multiLevelType w:val="hybridMultilevel"/>
    <w:tmpl w:val="F8A0D4D2"/>
    <w:lvl w:ilvl="0" w:tplc="66728DCC">
      <w:numFmt w:val="bullet"/>
      <w:lvlText w:val="•"/>
      <w:lvlJc w:val="left"/>
      <w:pPr>
        <w:ind w:left="1440" w:hanging="360"/>
      </w:pPr>
      <w:rPr>
        <w:rFonts w:hint="default"/>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C95212"/>
    <w:multiLevelType w:val="hybridMultilevel"/>
    <w:tmpl w:val="6088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44623"/>
    <w:multiLevelType w:val="hybridMultilevel"/>
    <w:tmpl w:val="FC9A43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5A3FF3"/>
    <w:multiLevelType w:val="hybridMultilevel"/>
    <w:tmpl w:val="0798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8483B"/>
    <w:multiLevelType w:val="hybridMultilevel"/>
    <w:tmpl w:val="7E3A0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C36FDC"/>
    <w:multiLevelType w:val="hybridMultilevel"/>
    <w:tmpl w:val="4156DCF4"/>
    <w:lvl w:ilvl="0" w:tplc="344E1D3E">
      <w:start w:val="1"/>
      <w:numFmt w:val="upperLetter"/>
      <w:lvlText w:val="%1."/>
      <w:lvlJc w:val="left"/>
      <w:pPr>
        <w:ind w:left="391" w:hanging="272"/>
        <w:jc w:val="right"/>
      </w:pPr>
      <w:rPr>
        <w:rFonts w:ascii="Arial" w:eastAsia="Arial" w:hAnsi="Arial" w:cs="Arial" w:hint="default"/>
        <w:spacing w:val="-6"/>
        <w:w w:val="101"/>
        <w:sz w:val="22"/>
        <w:szCs w:val="22"/>
        <w:lang w:val="en-US" w:eastAsia="en-US" w:bidi="en-US"/>
      </w:rPr>
    </w:lvl>
    <w:lvl w:ilvl="1" w:tplc="40C4FF58">
      <w:start w:val="1"/>
      <w:numFmt w:val="decimal"/>
      <w:lvlText w:val="%2."/>
      <w:lvlJc w:val="left"/>
      <w:pPr>
        <w:ind w:left="1384" w:hanging="448"/>
        <w:jc w:val="right"/>
      </w:pPr>
      <w:rPr>
        <w:rFonts w:ascii="Arial" w:eastAsia="Arial" w:hAnsi="Arial" w:cs="Arial" w:hint="default"/>
        <w:b/>
        <w:bCs/>
        <w:spacing w:val="0"/>
        <w:w w:val="101"/>
        <w:sz w:val="22"/>
        <w:szCs w:val="22"/>
        <w:lang w:val="en-US" w:eastAsia="en-US" w:bidi="en-US"/>
      </w:rPr>
    </w:lvl>
    <w:lvl w:ilvl="2" w:tplc="66728DCC">
      <w:numFmt w:val="bullet"/>
      <w:lvlText w:val="•"/>
      <w:lvlJc w:val="left"/>
      <w:pPr>
        <w:ind w:left="2293" w:hanging="448"/>
      </w:pPr>
      <w:rPr>
        <w:rFonts w:hint="default"/>
        <w:lang w:val="en-US" w:eastAsia="en-US" w:bidi="en-US"/>
      </w:rPr>
    </w:lvl>
    <w:lvl w:ilvl="3" w:tplc="381E34AA">
      <w:numFmt w:val="bullet"/>
      <w:lvlText w:val="•"/>
      <w:lvlJc w:val="left"/>
      <w:pPr>
        <w:ind w:left="3206" w:hanging="448"/>
      </w:pPr>
      <w:rPr>
        <w:rFonts w:hint="default"/>
        <w:lang w:val="en-US" w:eastAsia="en-US" w:bidi="en-US"/>
      </w:rPr>
    </w:lvl>
    <w:lvl w:ilvl="4" w:tplc="BE16D776">
      <w:numFmt w:val="bullet"/>
      <w:lvlText w:val="•"/>
      <w:lvlJc w:val="left"/>
      <w:pPr>
        <w:ind w:left="4120" w:hanging="448"/>
      </w:pPr>
      <w:rPr>
        <w:rFonts w:hint="default"/>
        <w:lang w:val="en-US" w:eastAsia="en-US" w:bidi="en-US"/>
      </w:rPr>
    </w:lvl>
    <w:lvl w:ilvl="5" w:tplc="82349E78">
      <w:numFmt w:val="bullet"/>
      <w:lvlText w:val="•"/>
      <w:lvlJc w:val="left"/>
      <w:pPr>
        <w:ind w:left="5033" w:hanging="448"/>
      </w:pPr>
      <w:rPr>
        <w:rFonts w:hint="default"/>
        <w:lang w:val="en-US" w:eastAsia="en-US" w:bidi="en-US"/>
      </w:rPr>
    </w:lvl>
    <w:lvl w:ilvl="6" w:tplc="CA3A8C80">
      <w:numFmt w:val="bullet"/>
      <w:lvlText w:val="•"/>
      <w:lvlJc w:val="left"/>
      <w:pPr>
        <w:ind w:left="5946" w:hanging="448"/>
      </w:pPr>
      <w:rPr>
        <w:rFonts w:hint="default"/>
        <w:lang w:val="en-US" w:eastAsia="en-US" w:bidi="en-US"/>
      </w:rPr>
    </w:lvl>
    <w:lvl w:ilvl="7" w:tplc="B28EA7EE">
      <w:numFmt w:val="bullet"/>
      <w:lvlText w:val="•"/>
      <w:lvlJc w:val="left"/>
      <w:pPr>
        <w:ind w:left="6860" w:hanging="448"/>
      </w:pPr>
      <w:rPr>
        <w:rFonts w:hint="default"/>
        <w:lang w:val="en-US" w:eastAsia="en-US" w:bidi="en-US"/>
      </w:rPr>
    </w:lvl>
    <w:lvl w:ilvl="8" w:tplc="EA52E32A">
      <w:numFmt w:val="bullet"/>
      <w:lvlText w:val="•"/>
      <w:lvlJc w:val="left"/>
      <w:pPr>
        <w:ind w:left="7773" w:hanging="448"/>
      </w:pPr>
      <w:rPr>
        <w:rFonts w:hint="default"/>
        <w:lang w:val="en-US" w:eastAsia="en-US" w:bidi="en-US"/>
      </w:rPr>
    </w:lvl>
  </w:abstractNum>
  <w:abstractNum w:abstractNumId="12" w15:restartNumberingAfterBreak="0">
    <w:nsid w:val="1B4261D0"/>
    <w:multiLevelType w:val="hybridMultilevel"/>
    <w:tmpl w:val="0308B508"/>
    <w:lvl w:ilvl="0" w:tplc="706E97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22D8D"/>
    <w:multiLevelType w:val="hybridMultilevel"/>
    <w:tmpl w:val="8420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D39CA"/>
    <w:multiLevelType w:val="hybridMultilevel"/>
    <w:tmpl w:val="98B87830"/>
    <w:lvl w:ilvl="0" w:tplc="6E4CD0F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8217E"/>
    <w:multiLevelType w:val="hybridMultilevel"/>
    <w:tmpl w:val="A8B0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9B75CC"/>
    <w:multiLevelType w:val="hybridMultilevel"/>
    <w:tmpl w:val="B492F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046D1"/>
    <w:multiLevelType w:val="hybridMultilevel"/>
    <w:tmpl w:val="0BD4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C3C3F"/>
    <w:multiLevelType w:val="hybridMultilevel"/>
    <w:tmpl w:val="E8B04098"/>
    <w:lvl w:ilvl="0" w:tplc="F7E81972">
      <w:start w:val="1"/>
      <w:numFmt w:val="decimal"/>
      <w:lvlText w:val="%1."/>
      <w:lvlJc w:val="left"/>
      <w:pPr>
        <w:ind w:left="720" w:hanging="360"/>
      </w:pPr>
      <w:rPr>
        <w:rFonts w:asciiTheme="minorHAnsi" w:eastAsiaTheme="minorHAnsi" w:hAnsiTheme="minorHAnsi" w:cstheme="minorBidi"/>
      </w:rPr>
    </w:lvl>
    <w:lvl w:ilvl="1" w:tplc="951A992E">
      <w:start w:val="1"/>
      <w:numFmt w:val="lowerLetter"/>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B0C1A"/>
    <w:multiLevelType w:val="hybridMultilevel"/>
    <w:tmpl w:val="EE6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45930"/>
    <w:multiLevelType w:val="hybridMultilevel"/>
    <w:tmpl w:val="A8A8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763E4"/>
    <w:multiLevelType w:val="hybridMultilevel"/>
    <w:tmpl w:val="C802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FA080D"/>
    <w:multiLevelType w:val="hybridMultilevel"/>
    <w:tmpl w:val="F24A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32ABC"/>
    <w:multiLevelType w:val="hybridMultilevel"/>
    <w:tmpl w:val="C46E4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E40CFE"/>
    <w:multiLevelType w:val="hybridMultilevel"/>
    <w:tmpl w:val="6074B922"/>
    <w:lvl w:ilvl="0" w:tplc="A6E8BBAC">
      <w:start w:val="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5" w15:restartNumberingAfterBreak="0">
    <w:nsid w:val="454524C1"/>
    <w:multiLevelType w:val="hybridMultilevel"/>
    <w:tmpl w:val="7FDEF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7A5807"/>
    <w:multiLevelType w:val="hybridMultilevel"/>
    <w:tmpl w:val="204A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73137"/>
    <w:multiLevelType w:val="hybridMultilevel"/>
    <w:tmpl w:val="2BB4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867BE"/>
    <w:multiLevelType w:val="hybridMultilevel"/>
    <w:tmpl w:val="66D0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A18BC"/>
    <w:multiLevelType w:val="hybridMultilevel"/>
    <w:tmpl w:val="11369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874722"/>
    <w:multiLevelType w:val="hybridMultilevel"/>
    <w:tmpl w:val="2B049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774200"/>
    <w:multiLevelType w:val="hybridMultilevel"/>
    <w:tmpl w:val="9958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F1351"/>
    <w:multiLevelType w:val="hybridMultilevel"/>
    <w:tmpl w:val="920EB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F24687"/>
    <w:multiLevelType w:val="hybridMultilevel"/>
    <w:tmpl w:val="03DED3FA"/>
    <w:lvl w:ilvl="0" w:tplc="AB9AC9F0">
      <w:start w:val="1"/>
      <w:numFmt w:val="decimal"/>
      <w:lvlText w:val="%1."/>
      <w:lvlJc w:val="left"/>
      <w:pPr>
        <w:ind w:left="1080" w:hanging="720"/>
      </w:p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7A54FE"/>
    <w:multiLevelType w:val="hybridMultilevel"/>
    <w:tmpl w:val="CE566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B8A6E8A"/>
    <w:multiLevelType w:val="hybridMultilevel"/>
    <w:tmpl w:val="0CF6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B6C2D"/>
    <w:multiLevelType w:val="hybridMultilevel"/>
    <w:tmpl w:val="94063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B969D1"/>
    <w:multiLevelType w:val="hybridMultilevel"/>
    <w:tmpl w:val="9C0634E6"/>
    <w:lvl w:ilvl="0" w:tplc="2ECA7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1E4B46"/>
    <w:multiLevelType w:val="hybridMultilevel"/>
    <w:tmpl w:val="E8B04098"/>
    <w:lvl w:ilvl="0" w:tplc="F7E81972">
      <w:start w:val="1"/>
      <w:numFmt w:val="decimal"/>
      <w:lvlText w:val="%1."/>
      <w:lvlJc w:val="left"/>
      <w:pPr>
        <w:ind w:left="720" w:hanging="360"/>
      </w:pPr>
      <w:rPr>
        <w:rFonts w:asciiTheme="minorHAnsi" w:eastAsiaTheme="minorHAnsi" w:hAnsiTheme="minorHAnsi" w:cstheme="minorBidi"/>
      </w:rPr>
    </w:lvl>
    <w:lvl w:ilvl="1" w:tplc="951A992E">
      <w:start w:val="1"/>
      <w:numFmt w:val="lowerLetter"/>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57F26"/>
    <w:multiLevelType w:val="hybridMultilevel"/>
    <w:tmpl w:val="769C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096CE7"/>
    <w:multiLevelType w:val="hybridMultilevel"/>
    <w:tmpl w:val="24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BC45B9"/>
    <w:multiLevelType w:val="hybridMultilevel"/>
    <w:tmpl w:val="20C0B322"/>
    <w:lvl w:ilvl="0" w:tplc="AB9AC9F0">
      <w:start w:val="1"/>
      <w:numFmt w:val="decimal"/>
      <w:lvlText w:val="%1."/>
      <w:lvlJc w:val="left"/>
      <w:pPr>
        <w:ind w:left="1080" w:hanging="720"/>
      </w:p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5865D22"/>
    <w:multiLevelType w:val="hybridMultilevel"/>
    <w:tmpl w:val="7A34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B655C"/>
    <w:multiLevelType w:val="hybridMultilevel"/>
    <w:tmpl w:val="98BA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94591E"/>
    <w:multiLevelType w:val="hybridMultilevel"/>
    <w:tmpl w:val="13BEA9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26"/>
  </w:num>
  <w:num w:numId="4">
    <w:abstractNumId w:val="23"/>
  </w:num>
  <w:num w:numId="5">
    <w:abstractNumId w:val="37"/>
  </w:num>
  <w:num w:numId="6">
    <w:abstractNumId w:val="18"/>
  </w:num>
  <w:num w:numId="7">
    <w:abstractNumId w:val="12"/>
  </w:num>
  <w:num w:numId="8">
    <w:abstractNumId w:val="36"/>
  </w:num>
  <w:num w:numId="9">
    <w:abstractNumId w:val="15"/>
  </w:num>
  <w:num w:numId="10">
    <w:abstractNumId w:val="1"/>
  </w:num>
  <w:num w:numId="11">
    <w:abstractNumId w:val="0"/>
  </w:num>
  <w:num w:numId="12">
    <w:abstractNumId w:val="20"/>
  </w:num>
  <w:num w:numId="13">
    <w:abstractNumId w:val="40"/>
  </w:num>
  <w:num w:numId="14">
    <w:abstractNumId w:val="21"/>
  </w:num>
  <w:num w:numId="15">
    <w:abstractNumId w:val="28"/>
  </w:num>
  <w:num w:numId="16">
    <w:abstractNumId w:val="17"/>
  </w:num>
  <w:num w:numId="17">
    <w:abstractNumId w:val="35"/>
  </w:num>
  <w:num w:numId="18">
    <w:abstractNumId w:val="38"/>
  </w:num>
  <w:num w:numId="19">
    <w:abstractNumId w:val="41"/>
  </w:num>
  <w:num w:numId="20">
    <w:abstractNumId w:val="33"/>
  </w:num>
  <w:num w:numId="21">
    <w:abstractNumId w:val="42"/>
  </w:num>
  <w:num w:numId="22">
    <w:abstractNumId w:val="14"/>
  </w:num>
  <w:num w:numId="23">
    <w:abstractNumId w:val="11"/>
  </w:num>
  <w:num w:numId="24">
    <w:abstractNumId w:val="13"/>
  </w:num>
  <w:num w:numId="25">
    <w:abstractNumId w:val="30"/>
  </w:num>
  <w:num w:numId="26">
    <w:abstractNumId w:val="22"/>
  </w:num>
  <w:num w:numId="27">
    <w:abstractNumId w:val="29"/>
  </w:num>
  <w:num w:numId="28">
    <w:abstractNumId w:val="44"/>
  </w:num>
  <w:num w:numId="29">
    <w:abstractNumId w:val="19"/>
  </w:num>
  <w:num w:numId="30">
    <w:abstractNumId w:val="24"/>
  </w:num>
  <w:num w:numId="31">
    <w:abstractNumId w:val="9"/>
  </w:num>
  <w:num w:numId="32">
    <w:abstractNumId w:val="10"/>
  </w:num>
  <w:num w:numId="33">
    <w:abstractNumId w:val="3"/>
  </w:num>
  <w:num w:numId="34">
    <w:abstractNumId w:val="34"/>
  </w:num>
  <w:num w:numId="35">
    <w:abstractNumId w:val="16"/>
  </w:num>
  <w:num w:numId="36">
    <w:abstractNumId w:val="31"/>
  </w:num>
  <w:num w:numId="37">
    <w:abstractNumId w:val="32"/>
  </w:num>
  <w:num w:numId="38">
    <w:abstractNumId w:val="25"/>
  </w:num>
  <w:num w:numId="39">
    <w:abstractNumId w:val="7"/>
  </w:num>
  <w:num w:numId="40">
    <w:abstractNumId w:val="5"/>
  </w:num>
  <w:num w:numId="41">
    <w:abstractNumId w:val="6"/>
  </w:num>
  <w:num w:numId="42">
    <w:abstractNumId w:val="43"/>
  </w:num>
  <w:num w:numId="43">
    <w:abstractNumId w:val="8"/>
  </w:num>
  <w:num w:numId="44">
    <w:abstractNumId w:val="2"/>
  </w:num>
  <w:num w:numId="45">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5C"/>
    <w:rsid w:val="00001724"/>
    <w:rsid w:val="00002849"/>
    <w:rsid w:val="0000377A"/>
    <w:rsid w:val="000037BD"/>
    <w:rsid w:val="00004BCE"/>
    <w:rsid w:val="0000564B"/>
    <w:rsid w:val="00005930"/>
    <w:rsid w:val="00006120"/>
    <w:rsid w:val="0000620A"/>
    <w:rsid w:val="000109B4"/>
    <w:rsid w:val="0001101F"/>
    <w:rsid w:val="00011D5C"/>
    <w:rsid w:val="0001463A"/>
    <w:rsid w:val="00021CE3"/>
    <w:rsid w:val="000221E0"/>
    <w:rsid w:val="00023105"/>
    <w:rsid w:val="00023FEB"/>
    <w:rsid w:val="0002493A"/>
    <w:rsid w:val="00024EFA"/>
    <w:rsid w:val="00025521"/>
    <w:rsid w:val="0003045D"/>
    <w:rsid w:val="00030EDB"/>
    <w:rsid w:val="00032FF5"/>
    <w:rsid w:val="00033558"/>
    <w:rsid w:val="00034AF3"/>
    <w:rsid w:val="00034C8A"/>
    <w:rsid w:val="00034E3D"/>
    <w:rsid w:val="000357B3"/>
    <w:rsid w:val="000358CB"/>
    <w:rsid w:val="000372DD"/>
    <w:rsid w:val="00040674"/>
    <w:rsid w:val="00041D23"/>
    <w:rsid w:val="0004248B"/>
    <w:rsid w:val="00042AF6"/>
    <w:rsid w:val="00042E09"/>
    <w:rsid w:val="00043E84"/>
    <w:rsid w:val="00043FE3"/>
    <w:rsid w:val="00045C97"/>
    <w:rsid w:val="0004643D"/>
    <w:rsid w:val="0004645C"/>
    <w:rsid w:val="00047AEF"/>
    <w:rsid w:val="00050ED6"/>
    <w:rsid w:val="00052194"/>
    <w:rsid w:val="000542BB"/>
    <w:rsid w:val="000551B2"/>
    <w:rsid w:val="000559EC"/>
    <w:rsid w:val="00056707"/>
    <w:rsid w:val="000570BB"/>
    <w:rsid w:val="000571DD"/>
    <w:rsid w:val="00057CC4"/>
    <w:rsid w:val="00060651"/>
    <w:rsid w:val="00060A51"/>
    <w:rsid w:val="0006103E"/>
    <w:rsid w:val="00062599"/>
    <w:rsid w:val="00063680"/>
    <w:rsid w:val="00064A49"/>
    <w:rsid w:val="000678AD"/>
    <w:rsid w:val="00071296"/>
    <w:rsid w:val="00071FCF"/>
    <w:rsid w:val="0007334A"/>
    <w:rsid w:val="00073588"/>
    <w:rsid w:val="0007370C"/>
    <w:rsid w:val="00073DC9"/>
    <w:rsid w:val="00074092"/>
    <w:rsid w:val="000766C8"/>
    <w:rsid w:val="00076CB2"/>
    <w:rsid w:val="00077393"/>
    <w:rsid w:val="000803E1"/>
    <w:rsid w:val="00085226"/>
    <w:rsid w:val="00085427"/>
    <w:rsid w:val="000862E1"/>
    <w:rsid w:val="00087615"/>
    <w:rsid w:val="00090F76"/>
    <w:rsid w:val="00092162"/>
    <w:rsid w:val="00094303"/>
    <w:rsid w:val="00094A55"/>
    <w:rsid w:val="00095007"/>
    <w:rsid w:val="000952D1"/>
    <w:rsid w:val="00095398"/>
    <w:rsid w:val="00097809"/>
    <w:rsid w:val="00097905"/>
    <w:rsid w:val="00097FBA"/>
    <w:rsid w:val="000A04AF"/>
    <w:rsid w:val="000A1D7F"/>
    <w:rsid w:val="000A5150"/>
    <w:rsid w:val="000A67B4"/>
    <w:rsid w:val="000A7362"/>
    <w:rsid w:val="000B00A4"/>
    <w:rsid w:val="000B068A"/>
    <w:rsid w:val="000B1D01"/>
    <w:rsid w:val="000B572B"/>
    <w:rsid w:val="000C0F1B"/>
    <w:rsid w:val="000C218C"/>
    <w:rsid w:val="000C4C9F"/>
    <w:rsid w:val="000C50D2"/>
    <w:rsid w:val="000C57D3"/>
    <w:rsid w:val="000C662C"/>
    <w:rsid w:val="000C6D9B"/>
    <w:rsid w:val="000C7EB8"/>
    <w:rsid w:val="000D1628"/>
    <w:rsid w:val="000D172A"/>
    <w:rsid w:val="000D1EAC"/>
    <w:rsid w:val="000D256E"/>
    <w:rsid w:val="000D3100"/>
    <w:rsid w:val="000E14AF"/>
    <w:rsid w:val="000E25A2"/>
    <w:rsid w:val="000E29D6"/>
    <w:rsid w:val="000E31EB"/>
    <w:rsid w:val="000E363B"/>
    <w:rsid w:val="000E4567"/>
    <w:rsid w:val="000E6217"/>
    <w:rsid w:val="000E6E5F"/>
    <w:rsid w:val="000E7433"/>
    <w:rsid w:val="000F0728"/>
    <w:rsid w:val="000F0C77"/>
    <w:rsid w:val="000F4A77"/>
    <w:rsid w:val="000F5882"/>
    <w:rsid w:val="000F5D79"/>
    <w:rsid w:val="000F7069"/>
    <w:rsid w:val="000F7DDB"/>
    <w:rsid w:val="00100E92"/>
    <w:rsid w:val="00101B78"/>
    <w:rsid w:val="001037E2"/>
    <w:rsid w:val="001041BA"/>
    <w:rsid w:val="00105E82"/>
    <w:rsid w:val="00106D23"/>
    <w:rsid w:val="00106EAB"/>
    <w:rsid w:val="00107300"/>
    <w:rsid w:val="001102AD"/>
    <w:rsid w:val="00110694"/>
    <w:rsid w:val="00112509"/>
    <w:rsid w:val="00113D5E"/>
    <w:rsid w:val="001144E9"/>
    <w:rsid w:val="0011452E"/>
    <w:rsid w:val="001151AB"/>
    <w:rsid w:val="0011666F"/>
    <w:rsid w:val="00120E27"/>
    <w:rsid w:val="00121948"/>
    <w:rsid w:val="00122014"/>
    <w:rsid w:val="0012226C"/>
    <w:rsid w:val="0012321C"/>
    <w:rsid w:val="00123CF8"/>
    <w:rsid w:val="00124249"/>
    <w:rsid w:val="00127AF5"/>
    <w:rsid w:val="00131BC1"/>
    <w:rsid w:val="00133AEF"/>
    <w:rsid w:val="00133FA2"/>
    <w:rsid w:val="00134C6F"/>
    <w:rsid w:val="00137753"/>
    <w:rsid w:val="00140343"/>
    <w:rsid w:val="00140A5E"/>
    <w:rsid w:val="00143A79"/>
    <w:rsid w:val="00143FCB"/>
    <w:rsid w:val="00144328"/>
    <w:rsid w:val="00144893"/>
    <w:rsid w:val="00145577"/>
    <w:rsid w:val="001456C5"/>
    <w:rsid w:val="0014690F"/>
    <w:rsid w:val="001472ED"/>
    <w:rsid w:val="0015193C"/>
    <w:rsid w:val="0015203D"/>
    <w:rsid w:val="00153801"/>
    <w:rsid w:val="0015438B"/>
    <w:rsid w:val="00154A80"/>
    <w:rsid w:val="00157036"/>
    <w:rsid w:val="00160717"/>
    <w:rsid w:val="00160E14"/>
    <w:rsid w:val="00161701"/>
    <w:rsid w:val="00162A1A"/>
    <w:rsid w:val="00163DCC"/>
    <w:rsid w:val="00164669"/>
    <w:rsid w:val="0016562D"/>
    <w:rsid w:val="00165969"/>
    <w:rsid w:val="00166844"/>
    <w:rsid w:val="00166CDE"/>
    <w:rsid w:val="0016782E"/>
    <w:rsid w:val="00170E00"/>
    <w:rsid w:val="00171DDC"/>
    <w:rsid w:val="0017267B"/>
    <w:rsid w:val="00173733"/>
    <w:rsid w:val="001755C5"/>
    <w:rsid w:val="00176084"/>
    <w:rsid w:val="00176C56"/>
    <w:rsid w:val="00177380"/>
    <w:rsid w:val="00180B8F"/>
    <w:rsid w:val="00180DCE"/>
    <w:rsid w:val="001827FA"/>
    <w:rsid w:val="001836B2"/>
    <w:rsid w:val="001840F7"/>
    <w:rsid w:val="001843BF"/>
    <w:rsid w:val="001859D2"/>
    <w:rsid w:val="00186494"/>
    <w:rsid w:val="001879CD"/>
    <w:rsid w:val="001908B8"/>
    <w:rsid w:val="00191A7E"/>
    <w:rsid w:val="00191DAC"/>
    <w:rsid w:val="0019217E"/>
    <w:rsid w:val="00192500"/>
    <w:rsid w:val="00192CFC"/>
    <w:rsid w:val="001A3E88"/>
    <w:rsid w:val="001A4977"/>
    <w:rsid w:val="001A4AE9"/>
    <w:rsid w:val="001A4B54"/>
    <w:rsid w:val="001A4CFA"/>
    <w:rsid w:val="001A4EB8"/>
    <w:rsid w:val="001A7437"/>
    <w:rsid w:val="001A7DC3"/>
    <w:rsid w:val="001B0000"/>
    <w:rsid w:val="001B12FC"/>
    <w:rsid w:val="001B189B"/>
    <w:rsid w:val="001B380A"/>
    <w:rsid w:val="001B3A91"/>
    <w:rsid w:val="001B40B0"/>
    <w:rsid w:val="001B55C7"/>
    <w:rsid w:val="001B5908"/>
    <w:rsid w:val="001B6C88"/>
    <w:rsid w:val="001B7C9A"/>
    <w:rsid w:val="001B7E7E"/>
    <w:rsid w:val="001B7FB8"/>
    <w:rsid w:val="001C0FD2"/>
    <w:rsid w:val="001C14FA"/>
    <w:rsid w:val="001C16B2"/>
    <w:rsid w:val="001C1FD5"/>
    <w:rsid w:val="001C3428"/>
    <w:rsid w:val="001C364B"/>
    <w:rsid w:val="001C5BF3"/>
    <w:rsid w:val="001C6CE8"/>
    <w:rsid w:val="001C6EC5"/>
    <w:rsid w:val="001C7466"/>
    <w:rsid w:val="001D17F8"/>
    <w:rsid w:val="001D1C4F"/>
    <w:rsid w:val="001D4A38"/>
    <w:rsid w:val="001E06B6"/>
    <w:rsid w:val="001E12E0"/>
    <w:rsid w:val="001E19F9"/>
    <w:rsid w:val="001E514A"/>
    <w:rsid w:val="001E62BF"/>
    <w:rsid w:val="001E6A90"/>
    <w:rsid w:val="001E76B6"/>
    <w:rsid w:val="001F082F"/>
    <w:rsid w:val="001F0E7D"/>
    <w:rsid w:val="001F1548"/>
    <w:rsid w:val="001F24C5"/>
    <w:rsid w:val="001F27B7"/>
    <w:rsid w:val="001F2A57"/>
    <w:rsid w:val="001F482F"/>
    <w:rsid w:val="001F5246"/>
    <w:rsid w:val="001F6D74"/>
    <w:rsid w:val="001F766A"/>
    <w:rsid w:val="001F7E41"/>
    <w:rsid w:val="00201BC5"/>
    <w:rsid w:val="002032BF"/>
    <w:rsid w:val="00204FCC"/>
    <w:rsid w:val="00206245"/>
    <w:rsid w:val="00207251"/>
    <w:rsid w:val="002110D9"/>
    <w:rsid w:val="0021428A"/>
    <w:rsid w:val="00216136"/>
    <w:rsid w:val="00216949"/>
    <w:rsid w:val="00223ED0"/>
    <w:rsid w:val="0022469B"/>
    <w:rsid w:val="00225CB9"/>
    <w:rsid w:val="00226443"/>
    <w:rsid w:val="00231103"/>
    <w:rsid w:val="00233BCA"/>
    <w:rsid w:val="0023597E"/>
    <w:rsid w:val="00235AAE"/>
    <w:rsid w:val="0024243F"/>
    <w:rsid w:val="00242455"/>
    <w:rsid w:val="00243116"/>
    <w:rsid w:val="00243D77"/>
    <w:rsid w:val="00247F46"/>
    <w:rsid w:val="002500B7"/>
    <w:rsid w:val="0025064E"/>
    <w:rsid w:val="0025293E"/>
    <w:rsid w:val="0025349C"/>
    <w:rsid w:val="00256515"/>
    <w:rsid w:val="00256DFA"/>
    <w:rsid w:val="002612DE"/>
    <w:rsid w:val="002615CB"/>
    <w:rsid w:val="00261AD6"/>
    <w:rsid w:val="0026314B"/>
    <w:rsid w:val="00263548"/>
    <w:rsid w:val="00263593"/>
    <w:rsid w:val="0026489E"/>
    <w:rsid w:val="00265841"/>
    <w:rsid w:val="00265E61"/>
    <w:rsid w:val="00266AB6"/>
    <w:rsid w:val="00267FF8"/>
    <w:rsid w:val="00271277"/>
    <w:rsid w:val="002727C9"/>
    <w:rsid w:val="0027335D"/>
    <w:rsid w:val="00273516"/>
    <w:rsid w:val="002744ED"/>
    <w:rsid w:val="00274934"/>
    <w:rsid w:val="00274B04"/>
    <w:rsid w:val="00275621"/>
    <w:rsid w:val="0027640D"/>
    <w:rsid w:val="002778C6"/>
    <w:rsid w:val="002809E6"/>
    <w:rsid w:val="00283010"/>
    <w:rsid w:val="00283116"/>
    <w:rsid w:val="00283985"/>
    <w:rsid w:val="00284CA5"/>
    <w:rsid w:val="0029438F"/>
    <w:rsid w:val="002945E2"/>
    <w:rsid w:val="002956E5"/>
    <w:rsid w:val="00296483"/>
    <w:rsid w:val="00297A0F"/>
    <w:rsid w:val="002A09F5"/>
    <w:rsid w:val="002A1D6A"/>
    <w:rsid w:val="002A61C6"/>
    <w:rsid w:val="002A698A"/>
    <w:rsid w:val="002A6B86"/>
    <w:rsid w:val="002A7B3C"/>
    <w:rsid w:val="002B3AC3"/>
    <w:rsid w:val="002B523E"/>
    <w:rsid w:val="002B6738"/>
    <w:rsid w:val="002B77B1"/>
    <w:rsid w:val="002C13F0"/>
    <w:rsid w:val="002C33A6"/>
    <w:rsid w:val="002C4F7B"/>
    <w:rsid w:val="002C4FA2"/>
    <w:rsid w:val="002C6490"/>
    <w:rsid w:val="002D1D15"/>
    <w:rsid w:val="002D23BA"/>
    <w:rsid w:val="002D2A12"/>
    <w:rsid w:val="002D32DB"/>
    <w:rsid w:val="002D36FB"/>
    <w:rsid w:val="002D4FF4"/>
    <w:rsid w:val="002D6D76"/>
    <w:rsid w:val="002D6EBF"/>
    <w:rsid w:val="002D7B5E"/>
    <w:rsid w:val="002E20B0"/>
    <w:rsid w:val="002E2117"/>
    <w:rsid w:val="002E4428"/>
    <w:rsid w:val="002E56A1"/>
    <w:rsid w:val="002E610A"/>
    <w:rsid w:val="002E6F08"/>
    <w:rsid w:val="002E78CF"/>
    <w:rsid w:val="002F0813"/>
    <w:rsid w:val="002F1046"/>
    <w:rsid w:val="002F2140"/>
    <w:rsid w:val="002F4CBF"/>
    <w:rsid w:val="002F6463"/>
    <w:rsid w:val="002F7B99"/>
    <w:rsid w:val="00302EB2"/>
    <w:rsid w:val="0030356D"/>
    <w:rsid w:val="00303B4A"/>
    <w:rsid w:val="00303EE3"/>
    <w:rsid w:val="003042BC"/>
    <w:rsid w:val="00306307"/>
    <w:rsid w:val="0030663B"/>
    <w:rsid w:val="003078D6"/>
    <w:rsid w:val="003103B0"/>
    <w:rsid w:val="00311073"/>
    <w:rsid w:val="003124DA"/>
    <w:rsid w:val="00312A19"/>
    <w:rsid w:val="003149DA"/>
    <w:rsid w:val="00316601"/>
    <w:rsid w:val="00316995"/>
    <w:rsid w:val="0031734E"/>
    <w:rsid w:val="00317CEB"/>
    <w:rsid w:val="0032063C"/>
    <w:rsid w:val="00321282"/>
    <w:rsid w:val="00321970"/>
    <w:rsid w:val="0032268E"/>
    <w:rsid w:val="003227EC"/>
    <w:rsid w:val="00327C83"/>
    <w:rsid w:val="003302C2"/>
    <w:rsid w:val="00331D93"/>
    <w:rsid w:val="003346C7"/>
    <w:rsid w:val="00335181"/>
    <w:rsid w:val="003401E1"/>
    <w:rsid w:val="00340EB5"/>
    <w:rsid w:val="00341FC5"/>
    <w:rsid w:val="003426BE"/>
    <w:rsid w:val="00344E3A"/>
    <w:rsid w:val="00344EFE"/>
    <w:rsid w:val="00345410"/>
    <w:rsid w:val="00345AF9"/>
    <w:rsid w:val="00345E56"/>
    <w:rsid w:val="00350790"/>
    <w:rsid w:val="00351909"/>
    <w:rsid w:val="00351C3D"/>
    <w:rsid w:val="0035406E"/>
    <w:rsid w:val="00355464"/>
    <w:rsid w:val="00355C3C"/>
    <w:rsid w:val="0035674E"/>
    <w:rsid w:val="003611E2"/>
    <w:rsid w:val="00361859"/>
    <w:rsid w:val="003620FB"/>
    <w:rsid w:val="0036358B"/>
    <w:rsid w:val="00363A86"/>
    <w:rsid w:val="003654FF"/>
    <w:rsid w:val="00366403"/>
    <w:rsid w:val="0036672B"/>
    <w:rsid w:val="00366DCC"/>
    <w:rsid w:val="00367189"/>
    <w:rsid w:val="00373C61"/>
    <w:rsid w:val="0037435B"/>
    <w:rsid w:val="0037738F"/>
    <w:rsid w:val="0037785E"/>
    <w:rsid w:val="00380361"/>
    <w:rsid w:val="003805AC"/>
    <w:rsid w:val="00380A27"/>
    <w:rsid w:val="0038189A"/>
    <w:rsid w:val="00382131"/>
    <w:rsid w:val="0038294A"/>
    <w:rsid w:val="00383018"/>
    <w:rsid w:val="00383B05"/>
    <w:rsid w:val="0038415A"/>
    <w:rsid w:val="003843FC"/>
    <w:rsid w:val="003844E3"/>
    <w:rsid w:val="0039099A"/>
    <w:rsid w:val="0039633B"/>
    <w:rsid w:val="003A0818"/>
    <w:rsid w:val="003A124C"/>
    <w:rsid w:val="003A2DF4"/>
    <w:rsid w:val="003A3086"/>
    <w:rsid w:val="003A5383"/>
    <w:rsid w:val="003A5707"/>
    <w:rsid w:val="003A5748"/>
    <w:rsid w:val="003A5ED2"/>
    <w:rsid w:val="003B1342"/>
    <w:rsid w:val="003B1B8A"/>
    <w:rsid w:val="003B2EC5"/>
    <w:rsid w:val="003B308D"/>
    <w:rsid w:val="003B36B7"/>
    <w:rsid w:val="003B5948"/>
    <w:rsid w:val="003B6DC0"/>
    <w:rsid w:val="003B6F30"/>
    <w:rsid w:val="003C466D"/>
    <w:rsid w:val="003C4AFE"/>
    <w:rsid w:val="003C4B09"/>
    <w:rsid w:val="003C4C61"/>
    <w:rsid w:val="003C51D8"/>
    <w:rsid w:val="003C5FD2"/>
    <w:rsid w:val="003C6202"/>
    <w:rsid w:val="003C72BC"/>
    <w:rsid w:val="003D09CA"/>
    <w:rsid w:val="003D2624"/>
    <w:rsid w:val="003D47B5"/>
    <w:rsid w:val="003D50D2"/>
    <w:rsid w:val="003D5DC9"/>
    <w:rsid w:val="003D64CF"/>
    <w:rsid w:val="003E049C"/>
    <w:rsid w:val="003E0906"/>
    <w:rsid w:val="003E49B7"/>
    <w:rsid w:val="003E6C80"/>
    <w:rsid w:val="003F40DB"/>
    <w:rsid w:val="003F4376"/>
    <w:rsid w:val="003F4BBE"/>
    <w:rsid w:val="003F5E18"/>
    <w:rsid w:val="00401EDA"/>
    <w:rsid w:val="00402393"/>
    <w:rsid w:val="004039A7"/>
    <w:rsid w:val="004044B7"/>
    <w:rsid w:val="00406326"/>
    <w:rsid w:val="004067C6"/>
    <w:rsid w:val="00407A67"/>
    <w:rsid w:val="00410145"/>
    <w:rsid w:val="00412C32"/>
    <w:rsid w:val="004130F4"/>
    <w:rsid w:val="004153C1"/>
    <w:rsid w:val="00415FB9"/>
    <w:rsid w:val="00416AA5"/>
    <w:rsid w:val="00416C41"/>
    <w:rsid w:val="004176C8"/>
    <w:rsid w:val="0041771D"/>
    <w:rsid w:val="00417E45"/>
    <w:rsid w:val="00420064"/>
    <w:rsid w:val="004239E1"/>
    <w:rsid w:val="00424976"/>
    <w:rsid w:val="00426F31"/>
    <w:rsid w:val="00430B22"/>
    <w:rsid w:val="004317DB"/>
    <w:rsid w:val="00431D6D"/>
    <w:rsid w:val="00432E0F"/>
    <w:rsid w:val="00433427"/>
    <w:rsid w:val="00434D6D"/>
    <w:rsid w:val="0043785E"/>
    <w:rsid w:val="00441CF7"/>
    <w:rsid w:val="00442DB0"/>
    <w:rsid w:val="0044359D"/>
    <w:rsid w:val="004442F2"/>
    <w:rsid w:val="00447121"/>
    <w:rsid w:val="0045091C"/>
    <w:rsid w:val="004511A8"/>
    <w:rsid w:val="004513D2"/>
    <w:rsid w:val="00451EBF"/>
    <w:rsid w:val="004522C3"/>
    <w:rsid w:val="0045298B"/>
    <w:rsid w:val="00452A1C"/>
    <w:rsid w:val="0045355D"/>
    <w:rsid w:val="00453DBA"/>
    <w:rsid w:val="004602F7"/>
    <w:rsid w:val="00460A58"/>
    <w:rsid w:val="0046379C"/>
    <w:rsid w:val="004644B6"/>
    <w:rsid w:val="0046455E"/>
    <w:rsid w:val="00464996"/>
    <w:rsid w:val="00465046"/>
    <w:rsid w:val="00470ED1"/>
    <w:rsid w:val="0047183D"/>
    <w:rsid w:val="004730A2"/>
    <w:rsid w:val="00473766"/>
    <w:rsid w:val="0047451F"/>
    <w:rsid w:val="00477447"/>
    <w:rsid w:val="004777AC"/>
    <w:rsid w:val="00480E45"/>
    <w:rsid w:val="004820DE"/>
    <w:rsid w:val="00483936"/>
    <w:rsid w:val="004845C0"/>
    <w:rsid w:val="004853A8"/>
    <w:rsid w:val="00486A39"/>
    <w:rsid w:val="0049061E"/>
    <w:rsid w:val="004939E7"/>
    <w:rsid w:val="00496242"/>
    <w:rsid w:val="00496F62"/>
    <w:rsid w:val="00497264"/>
    <w:rsid w:val="00497890"/>
    <w:rsid w:val="004A1774"/>
    <w:rsid w:val="004A29F6"/>
    <w:rsid w:val="004A2D5E"/>
    <w:rsid w:val="004A4023"/>
    <w:rsid w:val="004A4A56"/>
    <w:rsid w:val="004A553C"/>
    <w:rsid w:val="004A694D"/>
    <w:rsid w:val="004A6F1A"/>
    <w:rsid w:val="004A777A"/>
    <w:rsid w:val="004A7DFA"/>
    <w:rsid w:val="004A7F52"/>
    <w:rsid w:val="004B1CE6"/>
    <w:rsid w:val="004B2665"/>
    <w:rsid w:val="004C17E6"/>
    <w:rsid w:val="004C2AE3"/>
    <w:rsid w:val="004C2F9B"/>
    <w:rsid w:val="004C4556"/>
    <w:rsid w:val="004C5E66"/>
    <w:rsid w:val="004C6EF7"/>
    <w:rsid w:val="004D2822"/>
    <w:rsid w:val="004D293C"/>
    <w:rsid w:val="004D2C1C"/>
    <w:rsid w:val="004D3444"/>
    <w:rsid w:val="004D5F48"/>
    <w:rsid w:val="004D7290"/>
    <w:rsid w:val="004D7445"/>
    <w:rsid w:val="004D76A3"/>
    <w:rsid w:val="004D7860"/>
    <w:rsid w:val="004E0765"/>
    <w:rsid w:val="004E166A"/>
    <w:rsid w:val="004E19F0"/>
    <w:rsid w:val="004E21D1"/>
    <w:rsid w:val="004E2966"/>
    <w:rsid w:val="004E5E50"/>
    <w:rsid w:val="004E7AD4"/>
    <w:rsid w:val="004F0A5D"/>
    <w:rsid w:val="004F2AF1"/>
    <w:rsid w:val="004F432A"/>
    <w:rsid w:val="004F47AB"/>
    <w:rsid w:val="004F55F9"/>
    <w:rsid w:val="004F5BB9"/>
    <w:rsid w:val="004F6294"/>
    <w:rsid w:val="004F6BB4"/>
    <w:rsid w:val="004F6C6A"/>
    <w:rsid w:val="004F7581"/>
    <w:rsid w:val="005019A3"/>
    <w:rsid w:val="00503A3A"/>
    <w:rsid w:val="00504005"/>
    <w:rsid w:val="0050566F"/>
    <w:rsid w:val="00505E2B"/>
    <w:rsid w:val="00506112"/>
    <w:rsid w:val="00506960"/>
    <w:rsid w:val="00507383"/>
    <w:rsid w:val="00507BCB"/>
    <w:rsid w:val="00507E06"/>
    <w:rsid w:val="0051043F"/>
    <w:rsid w:val="00510D93"/>
    <w:rsid w:val="00511FFC"/>
    <w:rsid w:val="0051371D"/>
    <w:rsid w:val="00514ECB"/>
    <w:rsid w:val="00515ADC"/>
    <w:rsid w:val="0051680C"/>
    <w:rsid w:val="0052681B"/>
    <w:rsid w:val="00526F45"/>
    <w:rsid w:val="00527788"/>
    <w:rsid w:val="00527FAD"/>
    <w:rsid w:val="005301FC"/>
    <w:rsid w:val="00530477"/>
    <w:rsid w:val="005317CE"/>
    <w:rsid w:val="00532CD6"/>
    <w:rsid w:val="00534757"/>
    <w:rsid w:val="005362FB"/>
    <w:rsid w:val="005377B4"/>
    <w:rsid w:val="00537B5F"/>
    <w:rsid w:val="0054059D"/>
    <w:rsid w:val="005407F6"/>
    <w:rsid w:val="00541921"/>
    <w:rsid w:val="00541E8A"/>
    <w:rsid w:val="00542409"/>
    <w:rsid w:val="00544A91"/>
    <w:rsid w:val="0054572D"/>
    <w:rsid w:val="00546928"/>
    <w:rsid w:val="00546AB6"/>
    <w:rsid w:val="00551E52"/>
    <w:rsid w:val="005524C9"/>
    <w:rsid w:val="00553843"/>
    <w:rsid w:val="00553A13"/>
    <w:rsid w:val="00554B43"/>
    <w:rsid w:val="00556058"/>
    <w:rsid w:val="00556DA1"/>
    <w:rsid w:val="00560E8F"/>
    <w:rsid w:val="0056130D"/>
    <w:rsid w:val="00561790"/>
    <w:rsid w:val="00561AFD"/>
    <w:rsid w:val="00561BCC"/>
    <w:rsid w:val="0056486D"/>
    <w:rsid w:val="00565DA7"/>
    <w:rsid w:val="00565ECE"/>
    <w:rsid w:val="005669C3"/>
    <w:rsid w:val="0057038C"/>
    <w:rsid w:val="005723E8"/>
    <w:rsid w:val="0057267F"/>
    <w:rsid w:val="005739A5"/>
    <w:rsid w:val="00573EE7"/>
    <w:rsid w:val="00575405"/>
    <w:rsid w:val="0057546E"/>
    <w:rsid w:val="005756B1"/>
    <w:rsid w:val="00576C23"/>
    <w:rsid w:val="005774FE"/>
    <w:rsid w:val="00580F0D"/>
    <w:rsid w:val="0058136A"/>
    <w:rsid w:val="00581526"/>
    <w:rsid w:val="005837BA"/>
    <w:rsid w:val="00584092"/>
    <w:rsid w:val="00584D1E"/>
    <w:rsid w:val="00587263"/>
    <w:rsid w:val="00587600"/>
    <w:rsid w:val="00590EC8"/>
    <w:rsid w:val="00591528"/>
    <w:rsid w:val="0059213B"/>
    <w:rsid w:val="0059323D"/>
    <w:rsid w:val="005941A3"/>
    <w:rsid w:val="005950D3"/>
    <w:rsid w:val="005965DE"/>
    <w:rsid w:val="00597CAB"/>
    <w:rsid w:val="005A1789"/>
    <w:rsid w:val="005A18D2"/>
    <w:rsid w:val="005A2389"/>
    <w:rsid w:val="005A2571"/>
    <w:rsid w:val="005A28F0"/>
    <w:rsid w:val="005A47EC"/>
    <w:rsid w:val="005A6035"/>
    <w:rsid w:val="005A7598"/>
    <w:rsid w:val="005B094D"/>
    <w:rsid w:val="005B0D40"/>
    <w:rsid w:val="005B1219"/>
    <w:rsid w:val="005B13C3"/>
    <w:rsid w:val="005B1471"/>
    <w:rsid w:val="005B319B"/>
    <w:rsid w:val="005B3336"/>
    <w:rsid w:val="005B40AA"/>
    <w:rsid w:val="005B49A9"/>
    <w:rsid w:val="005B4AEC"/>
    <w:rsid w:val="005B5EC9"/>
    <w:rsid w:val="005B7A5D"/>
    <w:rsid w:val="005C0A35"/>
    <w:rsid w:val="005C0B13"/>
    <w:rsid w:val="005C20CC"/>
    <w:rsid w:val="005C3136"/>
    <w:rsid w:val="005C4901"/>
    <w:rsid w:val="005C533B"/>
    <w:rsid w:val="005C72A1"/>
    <w:rsid w:val="005D22E0"/>
    <w:rsid w:val="005D3016"/>
    <w:rsid w:val="005D4A86"/>
    <w:rsid w:val="005D5693"/>
    <w:rsid w:val="005D645E"/>
    <w:rsid w:val="005D75F6"/>
    <w:rsid w:val="005D7A1A"/>
    <w:rsid w:val="005E0251"/>
    <w:rsid w:val="005E0467"/>
    <w:rsid w:val="005E1FE5"/>
    <w:rsid w:val="005E2886"/>
    <w:rsid w:val="005F0764"/>
    <w:rsid w:val="005F07C5"/>
    <w:rsid w:val="005F1456"/>
    <w:rsid w:val="005F2922"/>
    <w:rsid w:val="005F435B"/>
    <w:rsid w:val="005F53F5"/>
    <w:rsid w:val="005F5C86"/>
    <w:rsid w:val="005F6DA3"/>
    <w:rsid w:val="0060112A"/>
    <w:rsid w:val="00601352"/>
    <w:rsid w:val="00602821"/>
    <w:rsid w:val="00603B35"/>
    <w:rsid w:val="00604A32"/>
    <w:rsid w:val="00610EFB"/>
    <w:rsid w:val="006128CA"/>
    <w:rsid w:val="00612CC1"/>
    <w:rsid w:val="00615C36"/>
    <w:rsid w:val="00616678"/>
    <w:rsid w:val="0061674F"/>
    <w:rsid w:val="00616E4A"/>
    <w:rsid w:val="00617438"/>
    <w:rsid w:val="0061768D"/>
    <w:rsid w:val="0062153D"/>
    <w:rsid w:val="00622AA2"/>
    <w:rsid w:val="00624DE2"/>
    <w:rsid w:val="006274EF"/>
    <w:rsid w:val="00631D98"/>
    <w:rsid w:val="00632516"/>
    <w:rsid w:val="00633838"/>
    <w:rsid w:val="006341B1"/>
    <w:rsid w:val="00635F33"/>
    <w:rsid w:val="00636976"/>
    <w:rsid w:val="00637B0F"/>
    <w:rsid w:val="00637DCB"/>
    <w:rsid w:val="006403D2"/>
    <w:rsid w:val="00641DDC"/>
    <w:rsid w:val="00642695"/>
    <w:rsid w:val="00643D57"/>
    <w:rsid w:val="00644CE4"/>
    <w:rsid w:val="00646990"/>
    <w:rsid w:val="006471FB"/>
    <w:rsid w:val="00650E71"/>
    <w:rsid w:val="00650FC2"/>
    <w:rsid w:val="006524DB"/>
    <w:rsid w:val="00652BC1"/>
    <w:rsid w:val="0065480C"/>
    <w:rsid w:val="006560F8"/>
    <w:rsid w:val="00660997"/>
    <w:rsid w:val="0066523E"/>
    <w:rsid w:val="006656C5"/>
    <w:rsid w:val="00665942"/>
    <w:rsid w:val="00667357"/>
    <w:rsid w:val="00667844"/>
    <w:rsid w:val="00667B1F"/>
    <w:rsid w:val="00671011"/>
    <w:rsid w:val="00672DF8"/>
    <w:rsid w:val="00673229"/>
    <w:rsid w:val="006762B4"/>
    <w:rsid w:val="00677066"/>
    <w:rsid w:val="00677D3B"/>
    <w:rsid w:val="00680055"/>
    <w:rsid w:val="00680CCF"/>
    <w:rsid w:val="006811B6"/>
    <w:rsid w:val="00681222"/>
    <w:rsid w:val="006814E7"/>
    <w:rsid w:val="00683120"/>
    <w:rsid w:val="0068353F"/>
    <w:rsid w:val="00683DD9"/>
    <w:rsid w:val="00684654"/>
    <w:rsid w:val="00684A31"/>
    <w:rsid w:val="00690908"/>
    <w:rsid w:val="00690C12"/>
    <w:rsid w:val="00691CE6"/>
    <w:rsid w:val="00691DF2"/>
    <w:rsid w:val="00692E94"/>
    <w:rsid w:val="006940E8"/>
    <w:rsid w:val="00694FD3"/>
    <w:rsid w:val="006961A6"/>
    <w:rsid w:val="006A25D2"/>
    <w:rsid w:val="006A4395"/>
    <w:rsid w:val="006A4606"/>
    <w:rsid w:val="006A5200"/>
    <w:rsid w:val="006A62DE"/>
    <w:rsid w:val="006A778D"/>
    <w:rsid w:val="006A7803"/>
    <w:rsid w:val="006B1176"/>
    <w:rsid w:val="006B1206"/>
    <w:rsid w:val="006B226A"/>
    <w:rsid w:val="006B5A6C"/>
    <w:rsid w:val="006B5AEF"/>
    <w:rsid w:val="006B6E2D"/>
    <w:rsid w:val="006B7AE2"/>
    <w:rsid w:val="006C0B85"/>
    <w:rsid w:val="006C20ED"/>
    <w:rsid w:val="006C3E99"/>
    <w:rsid w:val="006C46D0"/>
    <w:rsid w:val="006C4CE3"/>
    <w:rsid w:val="006C552B"/>
    <w:rsid w:val="006C6553"/>
    <w:rsid w:val="006C70C8"/>
    <w:rsid w:val="006C77C7"/>
    <w:rsid w:val="006D165C"/>
    <w:rsid w:val="006D24CC"/>
    <w:rsid w:val="006D27CC"/>
    <w:rsid w:val="006D3AD4"/>
    <w:rsid w:val="006D4754"/>
    <w:rsid w:val="006D6A23"/>
    <w:rsid w:val="006E04D5"/>
    <w:rsid w:val="006E279C"/>
    <w:rsid w:val="006E3810"/>
    <w:rsid w:val="006E3D1E"/>
    <w:rsid w:val="006E428A"/>
    <w:rsid w:val="006E742B"/>
    <w:rsid w:val="006E788B"/>
    <w:rsid w:val="006F0D23"/>
    <w:rsid w:val="006F0F02"/>
    <w:rsid w:val="006F18DA"/>
    <w:rsid w:val="006F3278"/>
    <w:rsid w:val="006F3549"/>
    <w:rsid w:val="006F4F8A"/>
    <w:rsid w:val="006F5082"/>
    <w:rsid w:val="006F588B"/>
    <w:rsid w:val="00700D48"/>
    <w:rsid w:val="00700F78"/>
    <w:rsid w:val="00701C44"/>
    <w:rsid w:val="00701D82"/>
    <w:rsid w:val="007027B8"/>
    <w:rsid w:val="00703DE4"/>
    <w:rsid w:val="007043F3"/>
    <w:rsid w:val="00704946"/>
    <w:rsid w:val="00704D36"/>
    <w:rsid w:val="007069EF"/>
    <w:rsid w:val="00712A69"/>
    <w:rsid w:val="00712E5E"/>
    <w:rsid w:val="00713027"/>
    <w:rsid w:val="0071402E"/>
    <w:rsid w:val="0071452B"/>
    <w:rsid w:val="00714833"/>
    <w:rsid w:val="007151A5"/>
    <w:rsid w:val="00715CE5"/>
    <w:rsid w:val="00715E36"/>
    <w:rsid w:val="007178FC"/>
    <w:rsid w:val="007211C2"/>
    <w:rsid w:val="007230BC"/>
    <w:rsid w:val="00726ACA"/>
    <w:rsid w:val="00726FA1"/>
    <w:rsid w:val="00731EAD"/>
    <w:rsid w:val="00733120"/>
    <w:rsid w:val="00734433"/>
    <w:rsid w:val="00734A0C"/>
    <w:rsid w:val="007351EA"/>
    <w:rsid w:val="00736713"/>
    <w:rsid w:val="007367B6"/>
    <w:rsid w:val="00740B16"/>
    <w:rsid w:val="00744A90"/>
    <w:rsid w:val="007506F8"/>
    <w:rsid w:val="00751C96"/>
    <w:rsid w:val="00752141"/>
    <w:rsid w:val="00752B7E"/>
    <w:rsid w:val="0075621F"/>
    <w:rsid w:val="00757656"/>
    <w:rsid w:val="007619F2"/>
    <w:rsid w:val="00761D80"/>
    <w:rsid w:val="00761D85"/>
    <w:rsid w:val="0076279E"/>
    <w:rsid w:val="00763853"/>
    <w:rsid w:val="00763DD0"/>
    <w:rsid w:val="00764C26"/>
    <w:rsid w:val="00767596"/>
    <w:rsid w:val="00771621"/>
    <w:rsid w:val="00771728"/>
    <w:rsid w:val="00775529"/>
    <w:rsid w:val="007759A2"/>
    <w:rsid w:val="007760BF"/>
    <w:rsid w:val="00776F3C"/>
    <w:rsid w:val="0077766C"/>
    <w:rsid w:val="00777DA3"/>
    <w:rsid w:val="00780259"/>
    <w:rsid w:val="007803A1"/>
    <w:rsid w:val="00780A3F"/>
    <w:rsid w:val="007855C9"/>
    <w:rsid w:val="00787848"/>
    <w:rsid w:val="00791099"/>
    <w:rsid w:val="00791751"/>
    <w:rsid w:val="0079439B"/>
    <w:rsid w:val="00794930"/>
    <w:rsid w:val="00794AFB"/>
    <w:rsid w:val="00795A82"/>
    <w:rsid w:val="00795E61"/>
    <w:rsid w:val="00796917"/>
    <w:rsid w:val="007972C2"/>
    <w:rsid w:val="00797FA2"/>
    <w:rsid w:val="007A0D49"/>
    <w:rsid w:val="007A10CA"/>
    <w:rsid w:val="007A1C19"/>
    <w:rsid w:val="007A1F60"/>
    <w:rsid w:val="007A21E5"/>
    <w:rsid w:val="007A3E7D"/>
    <w:rsid w:val="007A5143"/>
    <w:rsid w:val="007A544F"/>
    <w:rsid w:val="007A70F8"/>
    <w:rsid w:val="007B26FF"/>
    <w:rsid w:val="007B4371"/>
    <w:rsid w:val="007B5C83"/>
    <w:rsid w:val="007B5D5B"/>
    <w:rsid w:val="007B6151"/>
    <w:rsid w:val="007B72E0"/>
    <w:rsid w:val="007C0674"/>
    <w:rsid w:val="007C1FA7"/>
    <w:rsid w:val="007C2B1C"/>
    <w:rsid w:val="007C5016"/>
    <w:rsid w:val="007D0487"/>
    <w:rsid w:val="007D09F1"/>
    <w:rsid w:val="007D2033"/>
    <w:rsid w:val="007D292A"/>
    <w:rsid w:val="007D3399"/>
    <w:rsid w:val="007D3E84"/>
    <w:rsid w:val="007D41BF"/>
    <w:rsid w:val="007D437E"/>
    <w:rsid w:val="007D4887"/>
    <w:rsid w:val="007D5C27"/>
    <w:rsid w:val="007D6061"/>
    <w:rsid w:val="007D7D17"/>
    <w:rsid w:val="007D7DB8"/>
    <w:rsid w:val="007E0639"/>
    <w:rsid w:val="007E0AC9"/>
    <w:rsid w:val="007E0CBF"/>
    <w:rsid w:val="007E0DC1"/>
    <w:rsid w:val="007E14DC"/>
    <w:rsid w:val="007E1D6B"/>
    <w:rsid w:val="007E41E1"/>
    <w:rsid w:val="007E4B0D"/>
    <w:rsid w:val="007E4BA2"/>
    <w:rsid w:val="007E5143"/>
    <w:rsid w:val="007E5235"/>
    <w:rsid w:val="007E72C0"/>
    <w:rsid w:val="007F091D"/>
    <w:rsid w:val="007F3355"/>
    <w:rsid w:val="007F4447"/>
    <w:rsid w:val="007F4613"/>
    <w:rsid w:val="007F5301"/>
    <w:rsid w:val="007F5F07"/>
    <w:rsid w:val="007F6125"/>
    <w:rsid w:val="007F7685"/>
    <w:rsid w:val="008004CF"/>
    <w:rsid w:val="00802226"/>
    <w:rsid w:val="008028A4"/>
    <w:rsid w:val="00804857"/>
    <w:rsid w:val="0080631B"/>
    <w:rsid w:val="0081028D"/>
    <w:rsid w:val="00810B5B"/>
    <w:rsid w:val="0081544D"/>
    <w:rsid w:val="00815464"/>
    <w:rsid w:val="00817442"/>
    <w:rsid w:val="00817C51"/>
    <w:rsid w:val="00817DBD"/>
    <w:rsid w:val="00820D58"/>
    <w:rsid w:val="00822316"/>
    <w:rsid w:val="00822CFA"/>
    <w:rsid w:val="00823020"/>
    <w:rsid w:val="008243B3"/>
    <w:rsid w:val="00825BBC"/>
    <w:rsid w:val="0082699F"/>
    <w:rsid w:val="00826B66"/>
    <w:rsid w:val="00826BD1"/>
    <w:rsid w:val="00830085"/>
    <w:rsid w:val="00830883"/>
    <w:rsid w:val="00830CCA"/>
    <w:rsid w:val="0083351F"/>
    <w:rsid w:val="00835613"/>
    <w:rsid w:val="0083676E"/>
    <w:rsid w:val="008408F7"/>
    <w:rsid w:val="008418B7"/>
    <w:rsid w:val="00841A51"/>
    <w:rsid w:val="00843757"/>
    <w:rsid w:val="00844BD8"/>
    <w:rsid w:val="008475F8"/>
    <w:rsid w:val="008509FF"/>
    <w:rsid w:val="0085185A"/>
    <w:rsid w:val="008519AC"/>
    <w:rsid w:val="00852A8A"/>
    <w:rsid w:val="008536BF"/>
    <w:rsid w:val="00853CBA"/>
    <w:rsid w:val="00854398"/>
    <w:rsid w:val="008543E3"/>
    <w:rsid w:val="00855BA8"/>
    <w:rsid w:val="00856691"/>
    <w:rsid w:val="008570DA"/>
    <w:rsid w:val="0086002F"/>
    <w:rsid w:val="0086021D"/>
    <w:rsid w:val="00861019"/>
    <w:rsid w:val="00861C5E"/>
    <w:rsid w:val="00861F1A"/>
    <w:rsid w:val="00862AF4"/>
    <w:rsid w:val="00871F0F"/>
    <w:rsid w:val="00873A02"/>
    <w:rsid w:val="00875AF3"/>
    <w:rsid w:val="008766C7"/>
    <w:rsid w:val="00876CE8"/>
    <w:rsid w:val="00876D0E"/>
    <w:rsid w:val="00877D29"/>
    <w:rsid w:val="00880A74"/>
    <w:rsid w:val="0088139E"/>
    <w:rsid w:val="0088211A"/>
    <w:rsid w:val="00883875"/>
    <w:rsid w:val="008844BF"/>
    <w:rsid w:val="00884B1F"/>
    <w:rsid w:val="008909E2"/>
    <w:rsid w:val="00893623"/>
    <w:rsid w:val="008967A8"/>
    <w:rsid w:val="0089771E"/>
    <w:rsid w:val="00897F7A"/>
    <w:rsid w:val="008A46EA"/>
    <w:rsid w:val="008A4AA9"/>
    <w:rsid w:val="008A6CA4"/>
    <w:rsid w:val="008A76FE"/>
    <w:rsid w:val="008B13E2"/>
    <w:rsid w:val="008B2003"/>
    <w:rsid w:val="008B24E9"/>
    <w:rsid w:val="008B3812"/>
    <w:rsid w:val="008B4A12"/>
    <w:rsid w:val="008B587C"/>
    <w:rsid w:val="008B6E96"/>
    <w:rsid w:val="008B6FE5"/>
    <w:rsid w:val="008B73B2"/>
    <w:rsid w:val="008B7E2E"/>
    <w:rsid w:val="008C1253"/>
    <w:rsid w:val="008C1C2E"/>
    <w:rsid w:val="008C21E8"/>
    <w:rsid w:val="008C47A4"/>
    <w:rsid w:val="008C505A"/>
    <w:rsid w:val="008C73EE"/>
    <w:rsid w:val="008D0B01"/>
    <w:rsid w:val="008D2804"/>
    <w:rsid w:val="008D4A93"/>
    <w:rsid w:val="008D4DA6"/>
    <w:rsid w:val="008D6B8B"/>
    <w:rsid w:val="008D6B9B"/>
    <w:rsid w:val="008D739E"/>
    <w:rsid w:val="008D7D1B"/>
    <w:rsid w:val="008E06E5"/>
    <w:rsid w:val="008E0DD9"/>
    <w:rsid w:val="008E10A1"/>
    <w:rsid w:val="008E2AD9"/>
    <w:rsid w:val="008E2C62"/>
    <w:rsid w:val="008E3D3C"/>
    <w:rsid w:val="008E3F68"/>
    <w:rsid w:val="008E455E"/>
    <w:rsid w:val="008E725E"/>
    <w:rsid w:val="008E7665"/>
    <w:rsid w:val="008F0330"/>
    <w:rsid w:val="008F1860"/>
    <w:rsid w:val="008F25FF"/>
    <w:rsid w:val="008F2610"/>
    <w:rsid w:val="00900D34"/>
    <w:rsid w:val="009027D4"/>
    <w:rsid w:val="00902DED"/>
    <w:rsid w:val="0090347A"/>
    <w:rsid w:val="009038F7"/>
    <w:rsid w:val="00904ADE"/>
    <w:rsid w:val="009050FF"/>
    <w:rsid w:val="009064A5"/>
    <w:rsid w:val="009068AC"/>
    <w:rsid w:val="009124DA"/>
    <w:rsid w:val="00912CC4"/>
    <w:rsid w:val="00914855"/>
    <w:rsid w:val="00915B12"/>
    <w:rsid w:val="009173A3"/>
    <w:rsid w:val="00920692"/>
    <w:rsid w:val="0092112B"/>
    <w:rsid w:val="009232BD"/>
    <w:rsid w:val="00923B0D"/>
    <w:rsid w:val="00925662"/>
    <w:rsid w:val="009303CB"/>
    <w:rsid w:val="0093080C"/>
    <w:rsid w:val="00933C70"/>
    <w:rsid w:val="00934118"/>
    <w:rsid w:val="00934C26"/>
    <w:rsid w:val="00935767"/>
    <w:rsid w:val="00935902"/>
    <w:rsid w:val="0093616A"/>
    <w:rsid w:val="00936B01"/>
    <w:rsid w:val="00937036"/>
    <w:rsid w:val="0093757A"/>
    <w:rsid w:val="00937653"/>
    <w:rsid w:val="00937C51"/>
    <w:rsid w:val="00937DF4"/>
    <w:rsid w:val="009427B3"/>
    <w:rsid w:val="0094357F"/>
    <w:rsid w:val="0094528E"/>
    <w:rsid w:val="00945B76"/>
    <w:rsid w:val="009470F6"/>
    <w:rsid w:val="0095027E"/>
    <w:rsid w:val="0095183C"/>
    <w:rsid w:val="00951BFC"/>
    <w:rsid w:val="0095207D"/>
    <w:rsid w:val="0095225C"/>
    <w:rsid w:val="00953E98"/>
    <w:rsid w:val="009540BC"/>
    <w:rsid w:val="0095456A"/>
    <w:rsid w:val="00954A5D"/>
    <w:rsid w:val="00955F21"/>
    <w:rsid w:val="00957436"/>
    <w:rsid w:val="00962DAA"/>
    <w:rsid w:val="00962E26"/>
    <w:rsid w:val="00963203"/>
    <w:rsid w:val="009636EC"/>
    <w:rsid w:val="0096422A"/>
    <w:rsid w:val="00964287"/>
    <w:rsid w:val="0096655A"/>
    <w:rsid w:val="00966B21"/>
    <w:rsid w:val="00967219"/>
    <w:rsid w:val="00967333"/>
    <w:rsid w:val="00972233"/>
    <w:rsid w:val="009731AC"/>
    <w:rsid w:val="0097415B"/>
    <w:rsid w:val="009753C4"/>
    <w:rsid w:val="00975741"/>
    <w:rsid w:val="00975A09"/>
    <w:rsid w:val="0097658D"/>
    <w:rsid w:val="00976C8B"/>
    <w:rsid w:val="00976CA0"/>
    <w:rsid w:val="00976F94"/>
    <w:rsid w:val="00981996"/>
    <w:rsid w:val="009828B2"/>
    <w:rsid w:val="00982F1B"/>
    <w:rsid w:val="0098420E"/>
    <w:rsid w:val="00986760"/>
    <w:rsid w:val="009910CE"/>
    <w:rsid w:val="00993865"/>
    <w:rsid w:val="0099555D"/>
    <w:rsid w:val="009961E8"/>
    <w:rsid w:val="00996545"/>
    <w:rsid w:val="00996F5C"/>
    <w:rsid w:val="00997A5B"/>
    <w:rsid w:val="009A0DDF"/>
    <w:rsid w:val="009A0EC5"/>
    <w:rsid w:val="009A223E"/>
    <w:rsid w:val="009A28B5"/>
    <w:rsid w:val="009A2E34"/>
    <w:rsid w:val="009A446D"/>
    <w:rsid w:val="009A5EC3"/>
    <w:rsid w:val="009B1150"/>
    <w:rsid w:val="009B122A"/>
    <w:rsid w:val="009B1280"/>
    <w:rsid w:val="009B24EE"/>
    <w:rsid w:val="009B40D5"/>
    <w:rsid w:val="009B4B1A"/>
    <w:rsid w:val="009B56B5"/>
    <w:rsid w:val="009B5832"/>
    <w:rsid w:val="009B5C2B"/>
    <w:rsid w:val="009B72AC"/>
    <w:rsid w:val="009C0416"/>
    <w:rsid w:val="009C23FE"/>
    <w:rsid w:val="009C26C6"/>
    <w:rsid w:val="009C2849"/>
    <w:rsid w:val="009C352A"/>
    <w:rsid w:val="009C3B71"/>
    <w:rsid w:val="009C6A6E"/>
    <w:rsid w:val="009D2FAB"/>
    <w:rsid w:val="009D4F50"/>
    <w:rsid w:val="009D57FC"/>
    <w:rsid w:val="009D6D90"/>
    <w:rsid w:val="009D7FC0"/>
    <w:rsid w:val="009E1D9E"/>
    <w:rsid w:val="009E214E"/>
    <w:rsid w:val="009E2663"/>
    <w:rsid w:val="009E2754"/>
    <w:rsid w:val="009E3EC8"/>
    <w:rsid w:val="009E3FBE"/>
    <w:rsid w:val="009E4996"/>
    <w:rsid w:val="009E5272"/>
    <w:rsid w:val="009E5EF2"/>
    <w:rsid w:val="009E62AE"/>
    <w:rsid w:val="009F0824"/>
    <w:rsid w:val="009F0B93"/>
    <w:rsid w:val="009F0BB0"/>
    <w:rsid w:val="009F1E27"/>
    <w:rsid w:val="009F35ED"/>
    <w:rsid w:val="009F5604"/>
    <w:rsid w:val="009F7356"/>
    <w:rsid w:val="00A01DD2"/>
    <w:rsid w:val="00A026E8"/>
    <w:rsid w:val="00A02F27"/>
    <w:rsid w:val="00A04B4E"/>
    <w:rsid w:val="00A050F1"/>
    <w:rsid w:val="00A072D8"/>
    <w:rsid w:val="00A108BE"/>
    <w:rsid w:val="00A122B2"/>
    <w:rsid w:val="00A125C4"/>
    <w:rsid w:val="00A12AF9"/>
    <w:rsid w:val="00A15C5C"/>
    <w:rsid w:val="00A17247"/>
    <w:rsid w:val="00A20590"/>
    <w:rsid w:val="00A20B5B"/>
    <w:rsid w:val="00A23888"/>
    <w:rsid w:val="00A23EA5"/>
    <w:rsid w:val="00A2418F"/>
    <w:rsid w:val="00A241E3"/>
    <w:rsid w:val="00A24EDF"/>
    <w:rsid w:val="00A2589E"/>
    <w:rsid w:val="00A26FA1"/>
    <w:rsid w:val="00A27454"/>
    <w:rsid w:val="00A27FF3"/>
    <w:rsid w:val="00A3030B"/>
    <w:rsid w:val="00A34B66"/>
    <w:rsid w:val="00A362F6"/>
    <w:rsid w:val="00A36515"/>
    <w:rsid w:val="00A40428"/>
    <w:rsid w:val="00A4045B"/>
    <w:rsid w:val="00A4129A"/>
    <w:rsid w:val="00A417CC"/>
    <w:rsid w:val="00A42301"/>
    <w:rsid w:val="00A42860"/>
    <w:rsid w:val="00A42FA0"/>
    <w:rsid w:val="00A432D7"/>
    <w:rsid w:val="00A43D7E"/>
    <w:rsid w:val="00A446EA"/>
    <w:rsid w:val="00A44911"/>
    <w:rsid w:val="00A457BE"/>
    <w:rsid w:val="00A50168"/>
    <w:rsid w:val="00A50A49"/>
    <w:rsid w:val="00A512D2"/>
    <w:rsid w:val="00A51D96"/>
    <w:rsid w:val="00A523A8"/>
    <w:rsid w:val="00A5347C"/>
    <w:rsid w:val="00A53D03"/>
    <w:rsid w:val="00A540D7"/>
    <w:rsid w:val="00A62488"/>
    <w:rsid w:val="00A633E6"/>
    <w:rsid w:val="00A635E2"/>
    <w:rsid w:val="00A63A55"/>
    <w:rsid w:val="00A63B34"/>
    <w:rsid w:val="00A643C5"/>
    <w:rsid w:val="00A64C00"/>
    <w:rsid w:val="00A65158"/>
    <w:rsid w:val="00A660B0"/>
    <w:rsid w:val="00A67449"/>
    <w:rsid w:val="00A67B08"/>
    <w:rsid w:val="00A72852"/>
    <w:rsid w:val="00A72BA2"/>
    <w:rsid w:val="00A733BA"/>
    <w:rsid w:val="00A73E75"/>
    <w:rsid w:val="00A7703B"/>
    <w:rsid w:val="00A80E8E"/>
    <w:rsid w:val="00A810DD"/>
    <w:rsid w:val="00A81637"/>
    <w:rsid w:val="00A82823"/>
    <w:rsid w:val="00A83F42"/>
    <w:rsid w:val="00A84E87"/>
    <w:rsid w:val="00A871D5"/>
    <w:rsid w:val="00A90CF0"/>
    <w:rsid w:val="00A9164D"/>
    <w:rsid w:val="00A921D2"/>
    <w:rsid w:val="00A95904"/>
    <w:rsid w:val="00A95CCB"/>
    <w:rsid w:val="00AA21DF"/>
    <w:rsid w:val="00AA77FF"/>
    <w:rsid w:val="00AB1CEB"/>
    <w:rsid w:val="00AB27CF"/>
    <w:rsid w:val="00AB5BCB"/>
    <w:rsid w:val="00AB7094"/>
    <w:rsid w:val="00AC32A4"/>
    <w:rsid w:val="00AC357D"/>
    <w:rsid w:val="00AC3C3D"/>
    <w:rsid w:val="00AC3F5A"/>
    <w:rsid w:val="00AC45D0"/>
    <w:rsid w:val="00AC48D1"/>
    <w:rsid w:val="00AC6442"/>
    <w:rsid w:val="00AC721E"/>
    <w:rsid w:val="00AD059C"/>
    <w:rsid w:val="00AD3AE6"/>
    <w:rsid w:val="00AD4834"/>
    <w:rsid w:val="00AD648E"/>
    <w:rsid w:val="00AD6ADC"/>
    <w:rsid w:val="00AD6DB7"/>
    <w:rsid w:val="00AD7A98"/>
    <w:rsid w:val="00AD7EC0"/>
    <w:rsid w:val="00AE1EC2"/>
    <w:rsid w:val="00AE1F14"/>
    <w:rsid w:val="00AE2658"/>
    <w:rsid w:val="00AE298A"/>
    <w:rsid w:val="00AE2E70"/>
    <w:rsid w:val="00AE2F2C"/>
    <w:rsid w:val="00AE3AE0"/>
    <w:rsid w:val="00AE48B4"/>
    <w:rsid w:val="00AE5957"/>
    <w:rsid w:val="00AE5D0B"/>
    <w:rsid w:val="00AE7A0A"/>
    <w:rsid w:val="00AF0573"/>
    <w:rsid w:val="00AF12E1"/>
    <w:rsid w:val="00AF25DD"/>
    <w:rsid w:val="00AF27FB"/>
    <w:rsid w:val="00AF2D95"/>
    <w:rsid w:val="00AF2F73"/>
    <w:rsid w:val="00AF3415"/>
    <w:rsid w:val="00AF3BAD"/>
    <w:rsid w:val="00AF6195"/>
    <w:rsid w:val="00AF776C"/>
    <w:rsid w:val="00B027C9"/>
    <w:rsid w:val="00B05114"/>
    <w:rsid w:val="00B0559D"/>
    <w:rsid w:val="00B06820"/>
    <w:rsid w:val="00B077A3"/>
    <w:rsid w:val="00B07C43"/>
    <w:rsid w:val="00B103FD"/>
    <w:rsid w:val="00B1336F"/>
    <w:rsid w:val="00B1361C"/>
    <w:rsid w:val="00B13776"/>
    <w:rsid w:val="00B1473A"/>
    <w:rsid w:val="00B20DBF"/>
    <w:rsid w:val="00B21153"/>
    <w:rsid w:val="00B21D57"/>
    <w:rsid w:val="00B22DA4"/>
    <w:rsid w:val="00B22F68"/>
    <w:rsid w:val="00B236BE"/>
    <w:rsid w:val="00B24A34"/>
    <w:rsid w:val="00B24B32"/>
    <w:rsid w:val="00B24DE4"/>
    <w:rsid w:val="00B254C5"/>
    <w:rsid w:val="00B26800"/>
    <w:rsid w:val="00B3101E"/>
    <w:rsid w:val="00B314F9"/>
    <w:rsid w:val="00B32EEC"/>
    <w:rsid w:val="00B338D7"/>
    <w:rsid w:val="00B35B64"/>
    <w:rsid w:val="00B35E61"/>
    <w:rsid w:val="00B375F5"/>
    <w:rsid w:val="00B4092F"/>
    <w:rsid w:val="00B40BB6"/>
    <w:rsid w:val="00B40CFE"/>
    <w:rsid w:val="00B44362"/>
    <w:rsid w:val="00B4586B"/>
    <w:rsid w:val="00B45C52"/>
    <w:rsid w:val="00B472C1"/>
    <w:rsid w:val="00B47C7E"/>
    <w:rsid w:val="00B502AA"/>
    <w:rsid w:val="00B50580"/>
    <w:rsid w:val="00B51963"/>
    <w:rsid w:val="00B527C1"/>
    <w:rsid w:val="00B52D41"/>
    <w:rsid w:val="00B5430C"/>
    <w:rsid w:val="00B55B5C"/>
    <w:rsid w:val="00B56440"/>
    <w:rsid w:val="00B566D9"/>
    <w:rsid w:val="00B56FC0"/>
    <w:rsid w:val="00B57174"/>
    <w:rsid w:val="00B573A4"/>
    <w:rsid w:val="00B65049"/>
    <w:rsid w:val="00B65A6B"/>
    <w:rsid w:val="00B65AF6"/>
    <w:rsid w:val="00B65BEE"/>
    <w:rsid w:val="00B70EF5"/>
    <w:rsid w:val="00B725FC"/>
    <w:rsid w:val="00B72B16"/>
    <w:rsid w:val="00B730F2"/>
    <w:rsid w:val="00B742F1"/>
    <w:rsid w:val="00B775E3"/>
    <w:rsid w:val="00B77CD1"/>
    <w:rsid w:val="00B8186F"/>
    <w:rsid w:val="00B851A8"/>
    <w:rsid w:val="00B86D7F"/>
    <w:rsid w:val="00B9033D"/>
    <w:rsid w:val="00B9036F"/>
    <w:rsid w:val="00B90B05"/>
    <w:rsid w:val="00B96F08"/>
    <w:rsid w:val="00B973D0"/>
    <w:rsid w:val="00BA371E"/>
    <w:rsid w:val="00BA49DD"/>
    <w:rsid w:val="00BA645F"/>
    <w:rsid w:val="00BB0F4E"/>
    <w:rsid w:val="00BB1F04"/>
    <w:rsid w:val="00BB3E62"/>
    <w:rsid w:val="00BB4006"/>
    <w:rsid w:val="00BB5650"/>
    <w:rsid w:val="00BB7949"/>
    <w:rsid w:val="00BC015F"/>
    <w:rsid w:val="00BC0789"/>
    <w:rsid w:val="00BC0B05"/>
    <w:rsid w:val="00BC1364"/>
    <w:rsid w:val="00BC1453"/>
    <w:rsid w:val="00BC1556"/>
    <w:rsid w:val="00BC15B8"/>
    <w:rsid w:val="00BC4686"/>
    <w:rsid w:val="00BC6A8B"/>
    <w:rsid w:val="00BC74B5"/>
    <w:rsid w:val="00BD0D60"/>
    <w:rsid w:val="00BD0F54"/>
    <w:rsid w:val="00BD2A7D"/>
    <w:rsid w:val="00BD3218"/>
    <w:rsid w:val="00BD3B34"/>
    <w:rsid w:val="00BD3EFD"/>
    <w:rsid w:val="00BD4BCB"/>
    <w:rsid w:val="00BD5D70"/>
    <w:rsid w:val="00BD65F5"/>
    <w:rsid w:val="00BE15F3"/>
    <w:rsid w:val="00BE3BF4"/>
    <w:rsid w:val="00BE5E92"/>
    <w:rsid w:val="00BE67C3"/>
    <w:rsid w:val="00BE75D7"/>
    <w:rsid w:val="00BE7867"/>
    <w:rsid w:val="00BF0F02"/>
    <w:rsid w:val="00BF1092"/>
    <w:rsid w:val="00BF13BF"/>
    <w:rsid w:val="00BF3295"/>
    <w:rsid w:val="00BF349C"/>
    <w:rsid w:val="00BF42B8"/>
    <w:rsid w:val="00C008D8"/>
    <w:rsid w:val="00C011C7"/>
    <w:rsid w:val="00C03A69"/>
    <w:rsid w:val="00C0429B"/>
    <w:rsid w:val="00C063CD"/>
    <w:rsid w:val="00C07F03"/>
    <w:rsid w:val="00C10425"/>
    <w:rsid w:val="00C11A40"/>
    <w:rsid w:val="00C12E81"/>
    <w:rsid w:val="00C1362E"/>
    <w:rsid w:val="00C13AE6"/>
    <w:rsid w:val="00C13FFE"/>
    <w:rsid w:val="00C15338"/>
    <w:rsid w:val="00C1571C"/>
    <w:rsid w:val="00C15D2B"/>
    <w:rsid w:val="00C16614"/>
    <w:rsid w:val="00C179FD"/>
    <w:rsid w:val="00C2009B"/>
    <w:rsid w:val="00C2376E"/>
    <w:rsid w:val="00C23813"/>
    <w:rsid w:val="00C25493"/>
    <w:rsid w:val="00C257F7"/>
    <w:rsid w:val="00C2762D"/>
    <w:rsid w:val="00C30B23"/>
    <w:rsid w:val="00C30D92"/>
    <w:rsid w:val="00C320A4"/>
    <w:rsid w:val="00C331FF"/>
    <w:rsid w:val="00C33EDC"/>
    <w:rsid w:val="00C36B37"/>
    <w:rsid w:val="00C36CB9"/>
    <w:rsid w:val="00C401FF"/>
    <w:rsid w:val="00C41C8B"/>
    <w:rsid w:val="00C42388"/>
    <w:rsid w:val="00C428E5"/>
    <w:rsid w:val="00C42DCF"/>
    <w:rsid w:val="00C45BC1"/>
    <w:rsid w:val="00C45D74"/>
    <w:rsid w:val="00C478EE"/>
    <w:rsid w:val="00C50A28"/>
    <w:rsid w:val="00C5405A"/>
    <w:rsid w:val="00C554F0"/>
    <w:rsid w:val="00C5571D"/>
    <w:rsid w:val="00C56AFC"/>
    <w:rsid w:val="00C57F0B"/>
    <w:rsid w:val="00C60C7A"/>
    <w:rsid w:val="00C60CB9"/>
    <w:rsid w:val="00C61AAD"/>
    <w:rsid w:val="00C61FFA"/>
    <w:rsid w:val="00C6257E"/>
    <w:rsid w:val="00C62975"/>
    <w:rsid w:val="00C65C8D"/>
    <w:rsid w:val="00C67540"/>
    <w:rsid w:val="00C71E44"/>
    <w:rsid w:val="00C71E8D"/>
    <w:rsid w:val="00C7232C"/>
    <w:rsid w:val="00C72625"/>
    <w:rsid w:val="00C72D03"/>
    <w:rsid w:val="00C75E2D"/>
    <w:rsid w:val="00C76751"/>
    <w:rsid w:val="00C77922"/>
    <w:rsid w:val="00C80367"/>
    <w:rsid w:val="00C80463"/>
    <w:rsid w:val="00C80820"/>
    <w:rsid w:val="00C81AED"/>
    <w:rsid w:val="00C81C45"/>
    <w:rsid w:val="00C82E80"/>
    <w:rsid w:val="00C845E5"/>
    <w:rsid w:val="00C864F7"/>
    <w:rsid w:val="00C871EC"/>
    <w:rsid w:val="00C87206"/>
    <w:rsid w:val="00C87D96"/>
    <w:rsid w:val="00C91C37"/>
    <w:rsid w:val="00C9251D"/>
    <w:rsid w:val="00C94186"/>
    <w:rsid w:val="00C9451C"/>
    <w:rsid w:val="00C94651"/>
    <w:rsid w:val="00C9628C"/>
    <w:rsid w:val="00C96661"/>
    <w:rsid w:val="00C97AC1"/>
    <w:rsid w:val="00CA2D9A"/>
    <w:rsid w:val="00CA3057"/>
    <w:rsid w:val="00CA39AB"/>
    <w:rsid w:val="00CA49FE"/>
    <w:rsid w:val="00CA5FED"/>
    <w:rsid w:val="00CA70C3"/>
    <w:rsid w:val="00CB1AD2"/>
    <w:rsid w:val="00CB269E"/>
    <w:rsid w:val="00CB2CB9"/>
    <w:rsid w:val="00CB4ED9"/>
    <w:rsid w:val="00CB6880"/>
    <w:rsid w:val="00CB7166"/>
    <w:rsid w:val="00CC0383"/>
    <w:rsid w:val="00CC046F"/>
    <w:rsid w:val="00CC0974"/>
    <w:rsid w:val="00CC2221"/>
    <w:rsid w:val="00CC2BEF"/>
    <w:rsid w:val="00CC34BE"/>
    <w:rsid w:val="00CC3F82"/>
    <w:rsid w:val="00CC44AD"/>
    <w:rsid w:val="00CD44CE"/>
    <w:rsid w:val="00CD7F2F"/>
    <w:rsid w:val="00CE03E1"/>
    <w:rsid w:val="00CE1F28"/>
    <w:rsid w:val="00CE41B2"/>
    <w:rsid w:val="00CE4CFE"/>
    <w:rsid w:val="00CE5B08"/>
    <w:rsid w:val="00CE632E"/>
    <w:rsid w:val="00CE6C17"/>
    <w:rsid w:val="00CE6C31"/>
    <w:rsid w:val="00CE7035"/>
    <w:rsid w:val="00CF0D43"/>
    <w:rsid w:val="00CF1689"/>
    <w:rsid w:val="00CF1767"/>
    <w:rsid w:val="00CF26F9"/>
    <w:rsid w:val="00CF2AD9"/>
    <w:rsid w:val="00CF2B67"/>
    <w:rsid w:val="00CF36EE"/>
    <w:rsid w:val="00CF62A7"/>
    <w:rsid w:val="00CF6446"/>
    <w:rsid w:val="00D00827"/>
    <w:rsid w:val="00D01230"/>
    <w:rsid w:val="00D01FFC"/>
    <w:rsid w:val="00D025C4"/>
    <w:rsid w:val="00D027F6"/>
    <w:rsid w:val="00D044AE"/>
    <w:rsid w:val="00D0537D"/>
    <w:rsid w:val="00D05907"/>
    <w:rsid w:val="00D06365"/>
    <w:rsid w:val="00D07555"/>
    <w:rsid w:val="00D078D2"/>
    <w:rsid w:val="00D10111"/>
    <w:rsid w:val="00D10C13"/>
    <w:rsid w:val="00D11FAA"/>
    <w:rsid w:val="00D142CC"/>
    <w:rsid w:val="00D142D1"/>
    <w:rsid w:val="00D16AAC"/>
    <w:rsid w:val="00D211E7"/>
    <w:rsid w:val="00D2345D"/>
    <w:rsid w:val="00D25D4C"/>
    <w:rsid w:val="00D25F24"/>
    <w:rsid w:val="00D3100E"/>
    <w:rsid w:val="00D32DDB"/>
    <w:rsid w:val="00D3617D"/>
    <w:rsid w:val="00D36DE8"/>
    <w:rsid w:val="00D376A9"/>
    <w:rsid w:val="00D37BC5"/>
    <w:rsid w:val="00D41EAF"/>
    <w:rsid w:val="00D42B1B"/>
    <w:rsid w:val="00D462ED"/>
    <w:rsid w:val="00D46532"/>
    <w:rsid w:val="00D50EC1"/>
    <w:rsid w:val="00D512C5"/>
    <w:rsid w:val="00D51315"/>
    <w:rsid w:val="00D51456"/>
    <w:rsid w:val="00D5219C"/>
    <w:rsid w:val="00D52376"/>
    <w:rsid w:val="00D52595"/>
    <w:rsid w:val="00D54378"/>
    <w:rsid w:val="00D55F69"/>
    <w:rsid w:val="00D56E29"/>
    <w:rsid w:val="00D611AB"/>
    <w:rsid w:val="00D6162F"/>
    <w:rsid w:val="00D6180F"/>
    <w:rsid w:val="00D625DF"/>
    <w:rsid w:val="00D63B4A"/>
    <w:rsid w:val="00D63B62"/>
    <w:rsid w:val="00D64D28"/>
    <w:rsid w:val="00D66108"/>
    <w:rsid w:val="00D66243"/>
    <w:rsid w:val="00D706DF"/>
    <w:rsid w:val="00D71DFC"/>
    <w:rsid w:val="00D72DAF"/>
    <w:rsid w:val="00D736EE"/>
    <w:rsid w:val="00D7644D"/>
    <w:rsid w:val="00D777D9"/>
    <w:rsid w:val="00D80D56"/>
    <w:rsid w:val="00D8391C"/>
    <w:rsid w:val="00D83C60"/>
    <w:rsid w:val="00D83EFF"/>
    <w:rsid w:val="00D851C5"/>
    <w:rsid w:val="00D87487"/>
    <w:rsid w:val="00D91F95"/>
    <w:rsid w:val="00D93C09"/>
    <w:rsid w:val="00D94190"/>
    <w:rsid w:val="00D94448"/>
    <w:rsid w:val="00D95F91"/>
    <w:rsid w:val="00D97089"/>
    <w:rsid w:val="00D97BA4"/>
    <w:rsid w:val="00D97EB0"/>
    <w:rsid w:val="00DA0523"/>
    <w:rsid w:val="00DA0665"/>
    <w:rsid w:val="00DA0E52"/>
    <w:rsid w:val="00DA1120"/>
    <w:rsid w:val="00DA211B"/>
    <w:rsid w:val="00DA2B65"/>
    <w:rsid w:val="00DA2BC7"/>
    <w:rsid w:val="00DA2E0C"/>
    <w:rsid w:val="00DA306D"/>
    <w:rsid w:val="00DA5B94"/>
    <w:rsid w:val="00DA698E"/>
    <w:rsid w:val="00DA7F6F"/>
    <w:rsid w:val="00DB131D"/>
    <w:rsid w:val="00DB221E"/>
    <w:rsid w:val="00DB2267"/>
    <w:rsid w:val="00DB4FC5"/>
    <w:rsid w:val="00DB5202"/>
    <w:rsid w:val="00DB685D"/>
    <w:rsid w:val="00DB6BED"/>
    <w:rsid w:val="00DB6D44"/>
    <w:rsid w:val="00DB7405"/>
    <w:rsid w:val="00DB78BF"/>
    <w:rsid w:val="00DC0B27"/>
    <w:rsid w:val="00DC3D8A"/>
    <w:rsid w:val="00DC3F91"/>
    <w:rsid w:val="00DC50CC"/>
    <w:rsid w:val="00DC6435"/>
    <w:rsid w:val="00DD2114"/>
    <w:rsid w:val="00DD39CA"/>
    <w:rsid w:val="00DD4A61"/>
    <w:rsid w:val="00DD563D"/>
    <w:rsid w:val="00DD5F16"/>
    <w:rsid w:val="00DD7592"/>
    <w:rsid w:val="00DD7D7D"/>
    <w:rsid w:val="00DE07DF"/>
    <w:rsid w:val="00DE0A43"/>
    <w:rsid w:val="00DE1A28"/>
    <w:rsid w:val="00DE2EC2"/>
    <w:rsid w:val="00DE3832"/>
    <w:rsid w:val="00DE420A"/>
    <w:rsid w:val="00DE60C9"/>
    <w:rsid w:val="00DE7675"/>
    <w:rsid w:val="00DE7CA5"/>
    <w:rsid w:val="00DF07AB"/>
    <w:rsid w:val="00DF1FC2"/>
    <w:rsid w:val="00DF2366"/>
    <w:rsid w:val="00DF4222"/>
    <w:rsid w:val="00DF45C5"/>
    <w:rsid w:val="00DF551E"/>
    <w:rsid w:val="00E00A16"/>
    <w:rsid w:val="00E0270A"/>
    <w:rsid w:val="00E038A6"/>
    <w:rsid w:val="00E03A23"/>
    <w:rsid w:val="00E04DAC"/>
    <w:rsid w:val="00E07B89"/>
    <w:rsid w:val="00E10878"/>
    <w:rsid w:val="00E10FDB"/>
    <w:rsid w:val="00E1388F"/>
    <w:rsid w:val="00E1578B"/>
    <w:rsid w:val="00E16424"/>
    <w:rsid w:val="00E20EFE"/>
    <w:rsid w:val="00E21310"/>
    <w:rsid w:val="00E21F71"/>
    <w:rsid w:val="00E224EF"/>
    <w:rsid w:val="00E23D91"/>
    <w:rsid w:val="00E26C79"/>
    <w:rsid w:val="00E306BA"/>
    <w:rsid w:val="00E312B3"/>
    <w:rsid w:val="00E32443"/>
    <w:rsid w:val="00E33041"/>
    <w:rsid w:val="00E33FA8"/>
    <w:rsid w:val="00E34FCF"/>
    <w:rsid w:val="00E36332"/>
    <w:rsid w:val="00E3650A"/>
    <w:rsid w:val="00E36B9C"/>
    <w:rsid w:val="00E434EB"/>
    <w:rsid w:val="00E441FE"/>
    <w:rsid w:val="00E44882"/>
    <w:rsid w:val="00E53096"/>
    <w:rsid w:val="00E54113"/>
    <w:rsid w:val="00E552A2"/>
    <w:rsid w:val="00E55F12"/>
    <w:rsid w:val="00E57645"/>
    <w:rsid w:val="00E6154E"/>
    <w:rsid w:val="00E62151"/>
    <w:rsid w:val="00E6335D"/>
    <w:rsid w:val="00E66052"/>
    <w:rsid w:val="00E66FDF"/>
    <w:rsid w:val="00E710E8"/>
    <w:rsid w:val="00E73075"/>
    <w:rsid w:val="00E73BD0"/>
    <w:rsid w:val="00E74AF4"/>
    <w:rsid w:val="00E76004"/>
    <w:rsid w:val="00E7765C"/>
    <w:rsid w:val="00E8155F"/>
    <w:rsid w:val="00E8264B"/>
    <w:rsid w:val="00E84D6D"/>
    <w:rsid w:val="00E84F72"/>
    <w:rsid w:val="00E91CFD"/>
    <w:rsid w:val="00E9373D"/>
    <w:rsid w:val="00E93D13"/>
    <w:rsid w:val="00E96821"/>
    <w:rsid w:val="00E97412"/>
    <w:rsid w:val="00E97424"/>
    <w:rsid w:val="00EA0562"/>
    <w:rsid w:val="00EA2429"/>
    <w:rsid w:val="00EA2435"/>
    <w:rsid w:val="00EA2F95"/>
    <w:rsid w:val="00EA3E9B"/>
    <w:rsid w:val="00EA4B9F"/>
    <w:rsid w:val="00EA7BCA"/>
    <w:rsid w:val="00EB00C9"/>
    <w:rsid w:val="00EB40A9"/>
    <w:rsid w:val="00EB63FE"/>
    <w:rsid w:val="00EC0740"/>
    <w:rsid w:val="00EC0839"/>
    <w:rsid w:val="00EC0DAF"/>
    <w:rsid w:val="00EC3BE0"/>
    <w:rsid w:val="00EC40B4"/>
    <w:rsid w:val="00EC4C65"/>
    <w:rsid w:val="00EC51F7"/>
    <w:rsid w:val="00EC55A9"/>
    <w:rsid w:val="00EE01D8"/>
    <w:rsid w:val="00EE1BDD"/>
    <w:rsid w:val="00EE1C38"/>
    <w:rsid w:val="00EE61EA"/>
    <w:rsid w:val="00EE63CB"/>
    <w:rsid w:val="00EE6E63"/>
    <w:rsid w:val="00EE7CE1"/>
    <w:rsid w:val="00EF12AB"/>
    <w:rsid w:val="00EF1EEB"/>
    <w:rsid w:val="00EF202A"/>
    <w:rsid w:val="00EF34B2"/>
    <w:rsid w:val="00EF43C6"/>
    <w:rsid w:val="00EF4B97"/>
    <w:rsid w:val="00EF5E9F"/>
    <w:rsid w:val="00F058E5"/>
    <w:rsid w:val="00F07CB0"/>
    <w:rsid w:val="00F118B0"/>
    <w:rsid w:val="00F12B1B"/>
    <w:rsid w:val="00F138B3"/>
    <w:rsid w:val="00F14142"/>
    <w:rsid w:val="00F152D8"/>
    <w:rsid w:val="00F159E5"/>
    <w:rsid w:val="00F16A9E"/>
    <w:rsid w:val="00F16C1C"/>
    <w:rsid w:val="00F176F6"/>
    <w:rsid w:val="00F24105"/>
    <w:rsid w:val="00F2425E"/>
    <w:rsid w:val="00F24A12"/>
    <w:rsid w:val="00F264D6"/>
    <w:rsid w:val="00F2668C"/>
    <w:rsid w:val="00F26C4C"/>
    <w:rsid w:val="00F273E5"/>
    <w:rsid w:val="00F2776F"/>
    <w:rsid w:val="00F2792D"/>
    <w:rsid w:val="00F31D4B"/>
    <w:rsid w:val="00F31D55"/>
    <w:rsid w:val="00F32829"/>
    <w:rsid w:val="00F33FC6"/>
    <w:rsid w:val="00F35DC5"/>
    <w:rsid w:val="00F37114"/>
    <w:rsid w:val="00F403CF"/>
    <w:rsid w:val="00F4053C"/>
    <w:rsid w:val="00F41BE0"/>
    <w:rsid w:val="00F42BD8"/>
    <w:rsid w:val="00F438BD"/>
    <w:rsid w:val="00F5094C"/>
    <w:rsid w:val="00F600B5"/>
    <w:rsid w:val="00F613E0"/>
    <w:rsid w:val="00F61B4F"/>
    <w:rsid w:val="00F63A9F"/>
    <w:rsid w:val="00F648BC"/>
    <w:rsid w:val="00F67AA2"/>
    <w:rsid w:val="00F7109B"/>
    <w:rsid w:val="00F73994"/>
    <w:rsid w:val="00F739E5"/>
    <w:rsid w:val="00F73B33"/>
    <w:rsid w:val="00F7468B"/>
    <w:rsid w:val="00F75B8C"/>
    <w:rsid w:val="00F76C99"/>
    <w:rsid w:val="00F8008D"/>
    <w:rsid w:val="00F80C02"/>
    <w:rsid w:val="00F834B1"/>
    <w:rsid w:val="00F83EBE"/>
    <w:rsid w:val="00F852CB"/>
    <w:rsid w:val="00F85833"/>
    <w:rsid w:val="00F86F82"/>
    <w:rsid w:val="00F87DA1"/>
    <w:rsid w:val="00F90B9C"/>
    <w:rsid w:val="00F90E09"/>
    <w:rsid w:val="00F91371"/>
    <w:rsid w:val="00F9153B"/>
    <w:rsid w:val="00F92347"/>
    <w:rsid w:val="00F93D27"/>
    <w:rsid w:val="00F94672"/>
    <w:rsid w:val="00F94FBC"/>
    <w:rsid w:val="00F95BEB"/>
    <w:rsid w:val="00F96163"/>
    <w:rsid w:val="00F973BE"/>
    <w:rsid w:val="00FA0385"/>
    <w:rsid w:val="00FA0A99"/>
    <w:rsid w:val="00FA11F1"/>
    <w:rsid w:val="00FA17DD"/>
    <w:rsid w:val="00FA198A"/>
    <w:rsid w:val="00FA3303"/>
    <w:rsid w:val="00FA3420"/>
    <w:rsid w:val="00FA3A50"/>
    <w:rsid w:val="00FA4525"/>
    <w:rsid w:val="00FA59CA"/>
    <w:rsid w:val="00FB0267"/>
    <w:rsid w:val="00FB3938"/>
    <w:rsid w:val="00FB4A65"/>
    <w:rsid w:val="00FB56F3"/>
    <w:rsid w:val="00FB6509"/>
    <w:rsid w:val="00FB750C"/>
    <w:rsid w:val="00FC11D3"/>
    <w:rsid w:val="00FC301E"/>
    <w:rsid w:val="00FC38DF"/>
    <w:rsid w:val="00FC3B36"/>
    <w:rsid w:val="00FC4251"/>
    <w:rsid w:val="00FC43A7"/>
    <w:rsid w:val="00FC6F94"/>
    <w:rsid w:val="00FD1088"/>
    <w:rsid w:val="00FD1369"/>
    <w:rsid w:val="00FD15E9"/>
    <w:rsid w:val="00FD1CC4"/>
    <w:rsid w:val="00FD2A24"/>
    <w:rsid w:val="00FD3259"/>
    <w:rsid w:val="00FD3979"/>
    <w:rsid w:val="00FD4D92"/>
    <w:rsid w:val="00FD7812"/>
    <w:rsid w:val="00FE26B5"/>
    <w:rsid w:val="00FE342A"/>
    <w:rsid w:val="00FE4CF3"/>
    <w:rsid w:val="00FE56C3"/>
    <w:rsid w:val="00FE5CE4"/>
    <w:rsid w:val="00FE6C2A"/>
    <w:rsid w:val="00FF195F"/>
    <w:rsid w:val="00FF298F"/>
    <w:rsid w:val="00FF3211"/>
    <w:rsid w:val="00FF483F"/>
    <w:rsid w:val="00FF54E4"/>
    <w:rsid w:val="00FF606E"/>
    <w:rsid w:val="00FF6E51"/>
    <w:rsid w:val="00FF6E9E"/>
    <w:rsid w:val="00FF7677"/>
    <w:rsid w:val="00FF7728"/>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103"/>
  </w:style>
  <w:style w:type="paragraph" w:styleId="Heading1">
    <w:name w:val="heading 1"/>
    <w:basedOn w:val="Normal"/>
    <w:next w:val="Normal"/>
    <w:link w:val="Heading1Char"/>
    <w:uiPriority w:val="9"/>
    <w:qFormat/>
    <w:rsid w:val="000F07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table" w:customStyle="1" w:styleId="GridTable4-Accent11">
    <w:name w:val="Grid Table 4 - Accent 11"/>
    <w:basedOn w:val="TableNormal"/>
    <w:uiPriority w:val="49"/>
    <w:rsid w:val="00CF2B67"/>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Caption">
    <w:name w:val="caption"/>
    <w:basedOn w:val="Normal"/>
    <w:next w:val="Normal"/>
    <w:uiPriority w:val="35"/>
    <w:unhideWhenUsed/>
    <w:qFormat/>
    <w:rsid w:val="00F7468B"/>
    <w:pPr>
      <w:spacing w:after="200" w:line="240" w:lineRule="auto"/>
    </w:pPr>
    <w:rPr>
      <w:i/>
      <w:iCs/>
      <w:color w:val="44546A" w:themeColor="text2"/>
      <w:sz w:val="18"/>
      <w:szCs w:val="18"/>
    </w:rPr>
  </w:style>
  <w:style w:type="paragraph" w:styleId="Footer">
    <w:name w:val="footer"/>
    <w:basedOn w:val="Normal"/>
    <w:link w:val="FooterChar"/>
    <w:uiPriority w:val="99"/>
    <w:unhideWhenUsed/>
    <w:rsid w:val="00127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F5"/>
  </w:style>
  <w:style w:type="character" w:styleId="Hyperlink">
    <w:name w:val="Hyperlink"/>
    <w:basedOn w:val="DefaultParagraphFont"/>
    <w:uiPriority w:val="99"/>
    <w:unhideWhenUsed/>
    <w:rsid w:val="00D10C13"/>
    <w:rPr>
      <w:color w:val="0563C1" w:themeColor="hyperlink"/>
      <w:u w:val="single"/>
    </w:rPr>
  </w:style>
  <w:style w:type="character" w:customStyle="1" w:styleId="UnresolvedMention">
    <w:name w:val="Unresolved Mention"/>
    <w:basedOn w:val="DefaultParagraphFont"/>
    <w:uiPriority w:val="99"/>
    <w:semiHidden/>
    <w:unhideWhenUsed/>
    <w:rsid w:val="00D10C13"/>
    <w:rPr>
      <w:color w:val="605E5C"/>
      <w:shd w:val="clear" w:color="auto" w:fill="E1DFDD"/>
    </w:rPr>
  </w:style>
  <w:style w:type="paragraph" w:styleId="EndnoteText">
    <w:name w:val="endnote text"/>
    <w:basedOn w:val="Normal"/>
    <w:link w:val="EndnoteTextChar"/>
    <w:uiPriority w:val="99"/>
    <w:semiHidden/>
    <w:unhideWhenUsed/>
    <w:rsid w:val="001925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2500"/>
    <w:rPr>
      <w:sz w:val="20"/>
      <w:szCs w:val="20"/>
    </w:rPr>
  </w:style>
  <w:style w:type="character" w:styleId="EndnoteReference">
    <w:name w:val="endnote reference"/>
    <w:basedOn w:val="DefaultParagraphFont"/>
    <w:uiPriority w:val="99"/>
    <w:semiHidden/>
    <w:unhideWhenUsed/>
    <w:rsid w:val="00192500"/>
    <w:rPr>
      <w:vertAlign w:val="superscript"/>
    </w:rPr>
  </w:style>
  <w:style w:type="character" w:customStyle="1" w:styleId="Heading1Char">
    <w:name w:val="Heading 1 Char"/>
    <w:basedOn w:val="DefaultParagraphFont"/>
    <w:link w:val="Heading1"/>
    <w:uiPriority w:val="9"/>
    <w:rsid w:val="000F0728"/>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59"/>
    <w:rsid w:val="0064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03A69"/>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C03A69"/>
    <w:rPr>
      <w:rFonts w:ascii="Calibri" w:hAnsi="Calibri" w:cs="Calibri"/>
    </w:rPr>
  </w:style>
  <w:style w:type="paragraph" w:styleId="BodyText">
    <w:name w:val="Body Text"/>
    <w:basedOn w:val="Normal"/>
    <w:link w:val="BodyTextChar"/>
    <w:uiPriority w:val="1"/>
    <w:qFormat/>
    <w:rsid w:val="006A778D"/>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6A778D"/>
    <w:rPr>
      <w:rFonts w:ascii="Arial" w:eastAsia="Arial" w:hAnsi="Arial" w:cs="Arial"/>
      <w:lang w:bidi="en-US"/>
    </w:rPr>
  </w:style>
  <w:style w:type="paragraph" w:styleId="NormalWeb">
    <w:name w:val="Normal (Web)"/>
    <w:basedOn w:val="Normal"/>
    <w:uiPriority w:val="99"/>
    <w:semiHidden/>
    <w:unhideWhenUsed/>
    <w:rsid w:val="0038415A"/>
    <w:rPr>
      <w:rFonts w:ascii="Times New Roman" w:hAnsi="Times New Roman" w:cs="Times New Roman"/>
      <w:sz w:val="24"/>
      <w:szCs w:val="24"/>
    </w:rPr>
  </w:style>
  <w:style w:type="paragraph" w:styleId="Revision">
    <w:name w:val="Revision"/>
    <w:hidden/>
    <w:uiPriority w:val="99"/>
    <w:semiHidden/>
    <w:rsid w:val="007C0674"/>
    <w:pPr>
      <w:spacing w:after="0" w:line="240" w:lineRule="auto"/>
    </w:pPr>
  </w:style>
  <w:style w:type="character" w:styleId="FollowedHyperlink">
    <w:name w:val="FollowedHyperlink"/>
    <w:basedOn w:val="DefaultParagraphFont"/>
    <w:uiPriority w:val="99"/>
    <w:semiHidden/>
    <w:unhideWhenUsed/>
    <w:rsid w:val="009E52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2358">
      <w:bodyDiv w:val="1"/>
      <w:marLeft w:val="0"/>
      <w:marRight w:val="0"/>
      <w:marTop w:val="0"/>
      <w:marBottom w:val="0"/>
      <w:divBdr>
        <w:top w:val="none" w:sz="0" w:space="0" w:color="auto"/>
        <w:left w:val="none" w:sz="0" w:space="0" w:color="auto"/>
        <w:bottom w:val="none" w:sz="0" w:space="0" w:color="auto"/>
        <w:right w:val="none" w:sz="0" w:space="0" w:color="auto"/>
      </w:divBdr>
      <w:divsChild>
        <w:div w:id="435173763">
          <w:marLeft w:val="0"/>
          <w:marRight w:val="0"/>
          <w:marTop w:val="0"/>
          <w:marBottom w:val="0"/>
          <w:divBdr>
            <w:top w:val="none" w:sz="0" w:space="0" w:color="auto"/>
            <w:left w:val="none" w:sz="0" w:space="0" w:color="auto"/>
            <w:bottom w:val="none" w:sz="0" w:space="0" w:color="auto"/>
            <w:right w:val="none" w:sz="0" w:space="0" w:color="auto"/>
          </w:divBdr>
        </w:div>
        <w:div w:id="1871333219">
          <w:marLeft w:val="0"/>
          <w:marRight w:val="0"/>
          <w:marTop w:val="75"/>
          <w:marBottom w:val="0"/>
          <w:divBdr>
            <w:top w:val="none" w:sz="0" w:space="0" w:color="auto"/>
            <w:left w:val="none" w:sz="0" w:space="0" w:color="auto"/>
            <w:bottom w:val="none" w:sz="0" w:space="0" w:color="auto"/>
            <w:right w:val="none" w:sz="0" w:space="0" w:color="auto"/>
          </w:divBdr>
        </w:div>
        <w:div w:id="1009864946">
          <w:marLeft w:val="0"/>
          <w:marRight w:val="0"/>
          <w:marTop w:val="75"/>
          <w:marBottom w:val="0"/>
          <w:divBdr>
            <w:top w:val="none" w:sz="0" w:space="0" w:color="auto"/>
            <w:left w:val="none" w:sz="0" w:space="0" w:color="auto"/>
            <w:bottom w:val="none" w:sz="0" w:space="0" w:color="auto"/>
            <w:right w:val="none" w:sz="0" w:space="0" w:color="auto"/>
          </w:divBdr>
        </w:div>
      </w:divsChild>
    </w:div>
    <w:div w:id="352222936">
      <w:bodyDiv w:val="1"/>
      <w:marLeft w:val="0"/>
      <w:marRight w:val="0"/>
      <w:marTop w:val="0"/>
      <w:marBottom w:val="0"/>
      <w:divBdr>
        <w:top w:val="none" w:sz="0" w:space="0" w:color="auto"/>
        <w:left w:val="none" w:sz="0" w:space="0" w:color="auto"/>
        <w:bottom w:val="none" w:sz="0" w:space="0" w:color="auto"/>
        <w:right w:val="none" w:sz="0" w:space="0" w:color="auto"/>
      </w:divBdr>
    </w:div>
    <w:div w:id="371686307">
      <w:bodyDiv w:val="1"/>
      <w:marLeft w:val="0"/>
      <w:marRight w:val="0"/>
      <w:marTop w:val="0"/>
      <w:marBottom w:val="0"/>
      <w:divBdr>
        <w:top w:val="none" w:sz="0" w:space="0" w:color="auto"/>
        <w:left w:val="none" w:sz="0" w:space="0" w:color="auto"/>
        <w:bottom w:val="none" w:sz="0" w:space="0" w:color="auto"/>
        <w:right w:val="none" w:sz="0" w:space="0" w:color="auto"/>
      </w:divBdr>
    </w:div>
    <w:div w:id="388237302">
      <w:bodyDiv w:val="1"/>
      <w:marLeft w:val="0"/>
      <w:marRight w:val="0"/>
      <w:marTop w:val="0"/>
      <w:marBottom w:val="0"/>
      <w:divBdr>
        <w:top w:val="none" w:sz="0" w:space="0" w:color="auto"/>
        <w:left w:val="none" w:sz="0" w:space="0" w:color="auto"/>
        <w:bottom w:val="none" w:sz="0" w:space="0" w:color="auto"/>
        <w:right w:val="none" w:sz="0" w:space="0" w:color="auto"/>
      </w:divBdr>
    </w:div>
    <w:div w:id="429010682">
      <w:bodyDiv w:val="1"/>
      <w:marLeft w:val="0"/>
      <w:marRight w:val="0"/>
      <w:marTop w:val="0"/>
      <w:marBottom w:val="0"/>
      <w:divBdr>
        <w:top w:val="none" w:sz="0" w:space="0" w:color="auto"/>
        <w:left w:val="none" w:sz="0" w:space="0" w:color="auto"/>
        <w:bottom w:val="none" w:sz="0" w:space="0" w:color="auto"/>
        <w:right w:val="none" w:sz="0" w:space="0" w:color="auto"/>
      </w:divBdr>
    </w:div>
    <w:div w:id="1380401142">
      <w:bodyDiv w:val="1"/>
      <w:marLeft w:val="0"/>
      <w:marRight w:val="0"/>
      <w:marTop w:val="0"/>
      <w:marBottom w:val="0"/>
      <w:divBdr>
        <w:top w:val="none" w:sz="0" w:space="0" w:color="auto"/>
        <w:left w:val="none" w:sz="0" w:space="0" w:color="auto"/>
        <w:bottom w:val="none" w:sz="0" w:space="0" w:color="auto"/>
        <w:right w:val="none" w:sz="0" w:space="0" w:color="auto"/>
      </w:divBdr>
      <w:divsChild>
        <w:div w:id="2043624412">
          <w:marLeft w:val="0"/>
          <w:marRight w:val="0"/>
          <w:marTop w:val="0"/>
          <w:marBottom w:val="0"/>
          <w:divBdr>
            <w:top w:val="none" w:sz="0" w:space="0" w:color="auto"/>
            <w:left w:val="none" w:sz="0" w:space="0" w:color="auto"/>
            <w:bottom w:val="none" w:sz="0" w:space="0" w:color="auto"/>
            <w:right w:val="none" w:sz="0" w:space="0" w:color="auto"/>
          </w:divBdr>
        </w:div>
        <w:div w:id="1879272329">
          <w:marLeft w:val="0"/>
          <w:marRight w:val="0"/>
          <w:marTop w:val="75"/>
          <w:marBottom w:val="0"/>
          <w:divBdr>
            <w:top w:val="none" w:sz="0" w:space="0" w:color="auto"/>
            <w:left w:val="none" w:sz="0" w:space="0" w:color="auto"/>
            <w:bottom w:val="none" w:sz="0" w:space="0" w:color="auto"/>
            <w:right w:val="none" w:sz="0" w:space="0" w:color="auto"/>
          </w:divBdr>
        </w:div>
        <w:div w:id="479074304">
          <w:marLeft w:val="0"/>
          <w:marRight w:val="0"/>
          <w:marTop w:val="75"/>
          <w:marBottom w:val="0"/>
          <w:divBdr>
            <w:top w:val="none" w:sz="0" w:space="0" w:color="auto"/>
            <w:left w:val="none" w:sz="0" w:space="0" w:color="auto"/>
            <w:bottom w:val="none" w:sz="0" w:space="0" w:color="auto"/>
            <w:right w:val="none" w:sz="0" w:space="0" w:color="auto"/>
          </w:divBdr>
        </w:div>
      </w:divsChild>
    </w:div>
    <w:div w:id="1562866493">
      <w:bodyDiv w:val="1"/>
      <w:marLeft w:val="0"/>
      <w:marRight w:val="0"/>
      <w:marTop w:val="0"/>
      <w:marBottom w:val="0"/>
      <w:divBdr>
        <w:top w:val="none" w:sz="0" w:space="0" w:color="auto"/>
        <w:left w:val="none" w:sz="0" w:space="0" w:color="auto"/>
        <w:bottom w:val="none" w:sz="0" w:space="0" w:color="auto"/>
        <w:right w:val="none" w:sz="0" w:space="0" w:color="auto"/>
      </w:divBdr>
    </w:div>
    <w:div w:id="1575774079">
      <w:bodyDiv w:val="1"/>
      <w:marLeft w:val="0"/>
      <w:marRight w:val="0"/>
      <w:marTop w:val="0"/>
      <w:marBottom w:val="0"/>
      <w:divBdr>
        <w:top w:val="none" w:sz="0" w:space="0" w:color="auto"/>
        <w:left w:val="none" w:sz="0" w:space="0" w:color="auto"/>
        <w:bottom w:val="none" w:sz="0" w:space="0" w:color="auto"/>
        <w:right w:val="none" w:sz="0" w:space="0" w:color="auto"/>
      </w:divBdr>
    </w:div>
    <w:div w:id="2007974242">
      <w:bodyDiv w:val="1"/>
      <w:marLeft w:val="0"/>
      <w:marRight w:val="0"/>
      <w:marTop w:val="0"/>
      <w:marBottom w:val="0"/>
      <w:divBdr>
        <w:top w:val="none" w:sz="0" w:space="0" w:color="auto"/>
        <w:left w:val="none" w:sz="0" w:space="0" w:color="auto"/>
        <w:bottom w:val="none" w:sz="0" w:space="0" w:color="auto"/>
        <w:right w:val="none" w:sz="0" w:space="0" w:color="auto"/>
      </w:divBdr>
    </w:div>
    <w:div w:id="205647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oosingwisely.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radiologytoday.net/archive/rt1215p12.shtml" TargetMode="External"/><Relationship Id="rId13" Type="http://schemas.openxmlformats.org/officeDocument/2006/relationships/hyperlink" Target="https://www.healthit.gov/topic/health-it-and-health-information-exchange-basics/improved-diagnostics-patient-outcomes" TargetMode="External"/><Relationship Id="rId3" Type="http://schemas.openxmlformats.org/officeDocument/2006/relationships/hyperlink" Target="https://www.aappublications.org/news/2020/10/26/neuroimaging102620" TargetMode="External"/><Relationship Id="rId7" Type="http://schemas.openxmlformats.org/officeDocument/2006/relationships/hyperlink" Target="https://www.cancer.gov/types/prostate" TargetMode="External"/><Relationship Id="rId12" Type="http://schemas.openxmlformats.org/officeDocument/2006/relationships/hyperlink" Target="https://lowninstitute.org/news/blog/when-one-unnecessary-procedure-leads-to-many/" TargetMode="External"/><Relationship Id="rId2" Type="http://schemas.openxmlformats.org/officeDocument/2006/relationships/hyperlink" Target="https://4rai.com/blog/why-the-3-tesla-mri-is-the-best-scanner-for-diagnostic-imaging" TargetMode="External"/><Relationship Id="rId1" Type="http://schemas.openxmlformats.org/officeDocument/2006/relationships/hyperlink" Target="https://www.ncbi.nlm.nih.gov/books/NBK555916/" TargetMode="External"/><Relationship Id="rId6" Type="http://schemas.openxmlformats.org/officeDocument/2006/relationships/hyperlink" Target="https://www.cancer.org/cancer/prostate-cancer/about/key-statistics.html" TargetMode="External"/><Relationship Id="rId11" Type="http://schemas.openxmlformats.org/officeDocument/2006/relationships/hyperlink" Target="https://www.mass.gov/doc/2018-health-care-cost-trends-report/download" TargetMode="External"/><Relationship Id="rId5" Type="http://schemas.openxmlformats.org/officeDocument/2006/relationships/hyperlink" Target="https://www.cancer.org/treatment/understanding-your-diagnosis/tests/mri-for-cancer.html" TargetMode="External"/><Relationship Id="rId15" Type="http://schemas.openxmlformats.org/officeDocument/2006/relationships/hyperlink" Target="https://doi.org/10.1007/s00261-020-02657-6" TargetMode="External"/><Relationship Id="rId10" Type="http://schemas.openxmlformats.org/officeDocument/2006/relationships/hyperlink" Target="https://www.choosingwisely.org/societies/american-college-of-radiology/" TargetMode="External"/><Relationship Id="rId4" Type="http://schemas.openxmlformats.org/officeDocument/2006/relationships/hyperlink" Target="https://www.southshorehealth.org/services-care/neonatal-intensive-care/nicu-tests-treatments" TargetMode="External"/><Relationship Id="rId9" Type="http://schemas.openxmlformats.org/officeDocument/2006/relationships/hyperlink" Target="https://www.cancer.org/cancer/breast-cancer/screening-tests-and-early-detection/breast-mri-scans.html" TargetMode="External"/><Relationship Id="rId14" Type="http://schemas.openxmlformats.org/officeDocument/2006/relationships/hyperlink" Target="https://www.who.int/news-room/detail/03-02-2017-early-cancer-diagnosis-saves-lives-cuts-treatment-cos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cinnovationgroup.com/population-health-management/remote-patient-monitoring-rpm/news/21217217/south-shore-hospital-launches-snfathome-program" TargetMode="External"/><Relationship Id="rId2" Type="http://schemas.openxmlformats.org/officeDocument/2006/relationships/hyperlink" Target="https://www.medicaid.gov/medicaid/section-1115-demonstrations/downloads/ma-masshealth-appvd-flex-services-protocol-05112020.pdf" TargetMode="External"/><Relationship Id="rId1" Type="http://schemas.openxmlformats.org/officeDocument/2006/relationships/hyperlink" Target="https://www.mass.gov/lists/don-south-shore-health-system-inc-21040109-hs" TargetMode="External"/><Relationship Id="rId4" Type="http://schemas.openxmlformats.org/officeDocument/2006/relationships/hyperlink" Target="https://www.mass.gov/files/documents/2018/12/31/jud-lib-105cmr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20BE-A0A1-470C-9FCC-515D39BF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10522</Words>
  <Characters>58086</Characters>
  <Application>Microsoft Office Word</Application>
  <DocSecurity>0</DocSecurity>
  <Lines>1489</Lines>
  <Paragraphs>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Cioffari-Macphee, Diana (DPH)</cp:lastModifiedBy>
  <cp:revision>2</cp:revision>
  <cp:lastPrinted>2021-09-24T14:13:00Z</cp:lastPrinted>
  <dcterms:created xsi:type="dcterms:W3CDTF">2021-09-24T19:14:00Z</dcterms:created>
  <dcterms:modified xsi:type="dcterms:W3CDTF">2021-09-24T19:14:00Z</dcterms:modified>
</cp:coreProperties>
</file>