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44EF7" w14:textId="77777777" w:rsidR="009D62EA" w:rsidRDefault="0099672C" w:rsidP="00E02903">
      <w:pPr>
        <w:tabs>
          <w:tab w:val="center" w:pos="4680"/>
        </w:tabs>
        <w:jc w:val="both"/>
        <w:rPr>
          <w:color w:val="000000"/>
          <w:sz w:val="36"/>
          <w:szCs w:val="36"/>
        </w:rPr>
      </w:pPr>
      <w:bookmarkStart w:id="0" w:name="_GoBack"/>
      <w:bookmarkEnd w:id="0"/>
      <w:r w:rsidRPr="007601A4">
        <w:rPr>
          <w:color w:val="000000"/>
          <w:sz w:val="36"/>
          <w:szCs w:val="36"/>
        </w:rPr>
        <w:tab/>
      </w:r>
    </w:p>
    <w:p w14:paraId="72E626AE" w14:textId="77777777" w:rsidR="009D62EA" w:rsidRDefault="009D62EA" w:rsidP="00E02903">
      <w:pPr>
        <w:tabs>
          <w:tab w:val="center" w:pos="4680"/>
        </w:tabs>
        <w:jc w:val="both"/>
        <w:rPr>
          <w:color w:val="000000"/>
          <w:sz w:val="36"/>
          <w:szCs w:val="36"/>
        </w:rPr>
      </w:pPr>
    </w:p>
    <w:p w14:paraId="0266CFF6" w14:textId="77777777" w:rsidR="0099672C" w:rsidRPr="00161EC6" w:rsidRDefault="0099672C" w:rsidP="00BD5C61">
      <w:pPr>
        <w:tabs>
          <w:tab w:val="center" w:pos="4680"/>
        </w:tabs>
        <w:jc w:val="center"/>
        <w:rPr>
          <w:b/>
          <w:bCs/>
          <w:color w:val="000000"/>
          <w:sz w:val="36"/>
          <w:szCs w:val="36"/>
        </w:rPr>
      </w:pPr>
      <w:r w:rsidRPr="00161EC6">
        <w:rPr>
          <w:b/>
          <w:bCs/>
          <w:color w:val="000000"/>
          <w:sz w:val="36"/>
          <w:szCs w:val="36"/>
        </w:rPr>
        <w:t>PUBLIC DISCLOSURE</w:t>
      </w:r>
    </w:p>
    <w:p w14:paraId="3D44AF77" w14:textId="77777777" w:rsidR="0099672C" w:rsidRPr="00161EC6" w:rsidRDefault="0099672C" w:rsidP="00E02903">
      <w:pPr>
        <w:jc w:val="both"/>
        <w:rPr>
          <w:color w:val="000000"/>
        </w:rPr>
      </w:pPr>
    </w:p>
    <w:p w14:paraId="0F0C2A53" w14:textId="77777777" w:rsidR="0099672C" w:rsidRPr="00161EC6" w:rsidRDefault="0099672C" w:rsidP="00E02903">
      <w:pPr>
        <w:jc w:val="both"/>
        <w:rPr>
          <w:color w:val="000000"/>
        </w:rPr>
      </w:pPr>
    </w:p>
    <w:p w14:paraId="60C05E35" w14:textId="77777777" w:rsidR="0099672C" w:rsidRPr="00161EC6" w:rsidRDefault="0099672C" w:rsidP="00E02903">
      <w:pPr>
        <w:jc w:val="both"/>
        <w:rPr>
          <w:color w:val="000000"/>
        </w:rPr>
      </w:pPr>
    </w:p>
    <w:p w14:paraId="4EEB0FF6" w14:textId="77777777" w:rsidR="0099672C" w:rsidRPr="00161EC6" w:rsidRDefault="0099672C" w:rsidP="00E02903">
      <w:pPr>
        <w:jc w:val="both"/>
        <w:rPr>
          <w:color w:val="000000"/>
        </w:rPr>
      </w:pPr>
    </w:p>
    <w:p w14:paraId="2AD0421C" w14:textId="77777777" w:rsidR="0099672C" w:rsidRPr="00A41998" w:rsidRDefault="0099672C" w:rsidP="00E02903">
      <w:pPr>
        <w:tabs>
          <w:tab w:val="center" w:pos="4680"/>
        </w:tabs>
        <w:jc w:val="both"/>
      </w:pPr>
      <w:r w:rsidRPr="00161EC6">
        <w:rPr>
          <w:color w:val="000000"/>
          <w:sz w:val="36"/>
          <w:szCs w:val="36"/>
        </w:rPr>
        <w:tab/>
      </w:r>
      <w:r w:rsidR="00590DCD">
        <w:t xml:space="preserve">February 1, 2021 </w:t>
      </w:r>
    </w:p>
    <w:p w14:paraId="1284FBAD" w14:textId="77777777" w:rsidR="0099672C" w:rsidRPr="00161EC6" w:rsidRDefault="0099672C" w:rsidP="00E02903">
      <w:pPr>
        <w:jc w:val="both"/>
        <w:rPr>
          <w:color w:val="000000"/>
        </w:rPr>
      </w:pPr>
    </w:p>
    <w:p w14:paraId="12B7C49D" w14:textId="77777777" w:rsidR="0099672C" w:rsidRPr="00161EC6" w:rsidRDefault="0099672C" w:rsidP="00E02903">
      <w:pPr>
        <w:jc w:val="both"/>
        <w:rPr>
          <w:color w:val="000000"/>
        </w:rPr>
      </w:pPr>
    </w:p>
    <w:p w14:paraId="2EFE6752" w14:textId="77777777" w:rsidR="0099672C" w:rsidRPr="00161EC6" w:rsidRDefault="0099672C" w:rsidP="00E02903">
      <w:pPr>
        <w:jc w:val="both"/>
        <w:rPr>
          <w:color w:val="000000"/>
        </w:rPr>
      </w:pPr>
    </w:p>
    <w:p w14:paraId="70CE75AD" w14:textId="77777777" w:rsidR="0099672C" w:rsidRPr="00161EC6" w:rsidRDefault="0099672C" w:rsidP="00E02903">
      <w:pPr>
        <w:jc w:val="both"/>
        <w:rPr>
          <w:color w:val="000000"/>
        </w:rPr>
      </w:pPr>
    </w:p>
    <w:p w14:paraId="3B85533A" w14:textId="77777777" w:rsidR="0099672C" w:rsidRPr="00161EC6" w:rsidRDefault="0099672C" w:rsidP="00E02903">
      <w:pPr>
        <w:tabs>
          <w:tab w:val="center" w:pos="4680"/>
        </w:tabs>
        <w:jc w:val="both"/>
        <w:rPr>
          <w:b/>
          <w:bCs/>
          <w:color w:val="000000"/>
          <w:sz w:val="36"/>
          <w:szCs w:val="36"/>
        </w:rPr>
      </w:pPr>
      <w:r w:rsidRPr="00161EC6">
        <w:rPr>
          <w:color w:val="000000"/>
        </w:rPr>
        <w:tab/>
      </w:r>
      <w:r w:rsidRPr="00161EC6">
        <w:rPr>
          <w:b/>
          <w:bCs/>
          <w:color w:val="000000"/>
          <w:sz w:val="36"/>
          <w:szCs w:val="36"/>
        </w:rPr>
        <w:t>COMMUNITY REINVESTMENT ACT</w:t>
      </w:r>
    </w:p>
    <w:p w14:paraId="04D6A8C6" w14:textId="77777777" w:rsidR="0099672C" w:rsidRPr="00161EC6" w:rsidRDefault="0099672C" w:rsidP="00E02903">
      <w:pPr>
        <w:tabs>
          <w:tab w:val="center" w:pos="4680"/>
        </w:tabs>
        <w:jc w:val="both"/>
        <w:rPr>
          <w:color w:val="000000"/>
          <w:sz w:val="36"/>
          <w:szCs w:val="36"/>
        </w:rPr>
      </w:pPr>
      <w:r w:rsidRPr="00161EC6">
        <w:rPr>
          <w:b/>
          <w:bCs/>
          <w:color w:val="000000"/>
          <w:sz w:val="36"/>
          <w:szCs w:val="36"/>
        </w:rPr>
        <w:tab/>
        <w:t>PERFORMANCE EVALUATION</w:t>
      </w:r>
    </w:p>
    <w:p w14:paraId="3A155918" w14:textId="77777777" w:rsidR="0099672C" w:rsidRPr="00161EC6" w:rsidRDefault="0099672C" w:rsidP="00E02903">
      <w:pPr>
        <w:rPr>
          <w:color w:val="000000"/>
        </w:rPr>
      </w:pPr>
    </w:p>
    <w:p w14:paraId="6007CB27" w14:textId="77777777" w:rsidR="0099672C" w:rsidRDefault="0099672C" w:rsidP="00E02903">
      <w:pPr>
        <w:tabs>
          <w:tab w:val="center" w:pos="4680"/>
        </w:tabs>
        <w:rPr>
          <w:color w:val="000000"/>
        </w:rPr>
      </w:pPr>
    </w:p>
    <w:p w14:paraId="2609846A" w14:textId="77777777" w:rsidR="00575435" w:rsidRDefault="00575435" w:rsidP="00E02903">
      <w:pPr>
        <w:tabs>
          <w:tab w:val="center" w:pos="4680"/>
        </w:tabs>
        <w:rPr>
          <w:color w:val="000000"/>
        </w:rPr>
      </w:pPr>
    </w:p>
    <w:p w14:paraId="5629A9E7" w14:textId="77777777" w:rsidR="00575435" w:rsidRPr="00161EC6" w:rsidRDefault="00575435" w:rsidP="00E02903">
      <w:pPr>
        <w:tabs>
          <w:tab w:val="center" w:pos="4680"/>
        </w:tabs>
        <w:rPr>
          <w:color w:val="000000"/>
        </w:rPr>
      </w:pPr>
    </w:p>
    <w:p w14:paraId="1767E321" w14:textId="77777777" w:rsidR="0099672C" w:rsidRPr="00161EC6" w:rsidRDefault="0099672C" w:rsidP="00E02903">
      <w:pPr>
        <w:rPr>
          <w:color w:val="000000"/>
        </w:rPr>
      </w:pPr>
    </w:p>
    <w:p w14:paraId="07812529" w14:textId="77777777" w:rsidR="0099672C" w:rsidRPr="00047BCA" w:rsidRDefault="0099672C" w:rsidP="00E02903">
      <w:pPr>
        <w:tabs>
          <w:tab w:val="center" w:pos="4680"/>
        </w:tabs>
        <w:jc w:val="both"/>
        <w:rPr>
          <w:b/>
          <w:color w:val="000000"/>
        </w:rPr>
      </w:pPr>
      <w:r w:rsidRPr="00161EC6">
        <w:rPr>
          <w:b/>
          <w:bCs/>
          <w:color w:val="000000"/>
        </w:rPr>
        <w:tab/>
      </w:r>
      <w:r w:rsidR="00A41998" w:rsidRPr="00047BCA">
        <w:rPr>
          <w:b/>
          <w:color w:val="000000"/>
        </w:rPr>
        <w:t>Southbridge</w:t>
      </w:r>
      <w:r w:rsidR="002905E6" w:rsidRPr="00047BCA">
        <w:rPr>
          <w:b/>
          <w:color w:val="000000"/>
        </w:rPr>
        <w:t xml:space="preserve"> Credit Union</w:t>
      </w:r>
    </w:p>
    <w:p w14:paraId="007B43E8" w14:textId="77777777" w:rsidR="0099672C" w:rsidRPr="00590DCD" w:rsidRDefault="0099672C" w:rsidP="002905E6">
      <w:pPr>
        <w:tabs>
          <w:tab w:val="center" w:pos="4680"/>
        </w:tabs>
        <w:jc w:val="both"/>
        <w:rPr>
          <w:color w:val="000000"/>
        </w:rPr>
      </w:pPr>
      <w:r w:rsidRPr="00161EC6">
        <w:rPr>
          <w:color w:val="000000"/>
        </w:rPr>
        <w:tab/>
      </w:r>
      <w:r w:rsidRPr="00590DCD">
        <w:rPr>
          <w:color w:val="000000"/>
        </w:rPr>
        <w:t xml:space="preserve">Certificate Number:  </w:t>
      </w:r>
      <w:r w:rsidR="00590DCD">
        <w:rPr>
          <w:color w:val="000000"/>
        </w:rPr>
        <w:t>66374</w:t>
      </w:r>
    </w:p>
    <w:p w14:paraId="13E8BCA1" w14:textId="77777777" w:rsidR="002905E6" w:rsidRPr="00590DCD" w:rsidRDefault="00590DCD" w:rsidP="00E02903">
      <w:pPr>
        <w:tabs>
          <w:tab w:val="center" w:pos="4680"/>
        </w:tabs>
        <w:jc w:val="center"/>
      </w:pPr>
      <w:r>
        <w:t>179 Main Street</w:t>
      </w:r>
      <w:r w:rsidR="002905E6" w:rsidRPr="00590DCD">
        <w:t xml:space="preserve"> </w:t>
      </w:r>
    </w:p>
    <w:p w14:paraId="62991972" w14:textId="77777777" w:rsidR="0099672C" w:rsidRPr="009E2E14" w:rsidRDefault="00590DCD" w:rsidP="00E02903">
      <w:pPr>
        <w:tabs>
          <w:tab w:val="center" w:pos="4680"/>
        </w:tabs>
        <w:jc w:val="center"/>
      </w:pPr>
      <w:r>
        <w:t>Southbridge</w:t>
      </w:r>
      <w:r w:rsidR="002905E6" w:rsidRPr="00590DCD">
        <w:t xml:space="preserve">, </w:t>
      </w:r>
      <w:r>
        <w:t>Massachusetts 01550</w:t>
      </w:r>
    </w:p>
    <w:p w14:paraId="26720F28" w14:textId="77777777" w:rsidR="0099672C" w:rsidRPr="00161EC6" w:rsidRDefault="0099672C" w:rsidP="00E02903">
      <w:pPr>
        <w:tabs>
          <w:tab w:val="center" w:pos="4680"/>
        </w:tabs>
        <w:rPr>
          <w:color w:val="000000"/>
        </w:rPr>
      </w:pPr>
    </w:p>
    <w:p w14:paraId="00BC4083" w14:textId="77777777" w:rsidR="0099672C" w:rsidRPr="00161EC6" w:rsidRDefault="0099672C" w:rsidP="00E02903">
      <w:pPr>
        <w:tabs>
          <w:tab w:val="center" w:pos="4680"/>
        </w:tabs>
        <w:rPr>
          <w:color w:val="000000"/>
        </w:rPr>
      </w:pPr>
    </w:p>
    <w:p w14:paraId="51037FEF" w14:textId="77777777" w:rsidR="0099672C" w:rsidRPr="00161EC6" w:rsidRDefault="0099672C" w:rsidP="00E02903">
      <w:pPr>
        <w:tabs>
          <w:tab w:val="center" w:pos="4680"/>
        </w:tabs>
        <w:rPr>
          <w:color w:val="000000"/>
        </w:rPr>
      </w:pPr>
    </w:p>
    <w:p w14:paraId="0E4FE352" w14:textId="77777777" w:rsidR="0099672C" w:rsidRPr="00161EC6" w:rsidRDefault="0099672C" w:rsidP="00E02903">
      <w:pPr>
        <w:rPr>
          <w:color w:val="000000"/>
        </w:rPr>
      </w:pPr>
    </w:p>
    <w:p w14:paraId="29D08A85" w14:textId="77777777" w:rsidR="0099672C" w:rsidRPr="00161EC6" w:rsidRDefault="002905E6" w:rsidP="00E02903">
      <w:pPr>
        <w:pStyle w:val="PlainText"/>
        <w:jc w:val="center"/>
        <w:rPr>
          <w:rFonts w:ascii="Times New Roman" w:hAnsi="Times New Roman"/>
          <w:color w:val="000000"/>
          <w:sz w:val="24"/>
          <w:szCs w:val="24"/>
        </w:rPr>
      </w:pPr>
      <w:r>
        <w:rPr>
          <w:rFonts w:ascii="Times New Roman" w:hAnsi="Times New Roman"/>
          <w:color w:val="000000"/>
          <w:sz w:val="24"/>
          <w:szCs w:val="24"/>
        </w:rPr>
        <w:t>Division of Banks</w:t>
      </w:r>
    </w:p>
    <w:p w14:paraId="405EDFF7" w14:textId="77777777" w:rsidR="00B15592" w:rsidRDefault="002905E6" w:rsidP="002905E6">
      <w:pPr>
        <w:tabs>
          <w:tab w:val="center" w:pos="4680"/>
        </w:tabs>
        <w:jc w:val="center"/>
      </w:pPr>
      <w:r>
        <w:t>1000 Washington Street, 10</w:t>
      </w:r>
      <w:r w:rsidRPr="002905E6">
        <w:rPr>
          <w:vertAlign w:val="superscript"/>
        </w:rPr>
        <w:t>th</w:t>
      </w:r>
      <w:r>
        <w:t xml:space="preserve"> Floor </w:t>
      </w:r>
    </w:p>
    <w:p w14:paraId="12C2E3CB" w14:textId="77777777" w:rsidR="002905E6" w:rsidRPr="009E2E14" w:rsidRDefault="002905E6" w:rsidP="002905E6">
      <w:pPr>
        <w:tabs>
          <w:tab w:val="center" w:pos="4680"/>
        </w:tabs>
        <w:jc w:val="center"/>
      </w:pPr>
      <w:r>
        <w:t>Boston, Massachusetts 02118</w:t>
      </w:r>
    </w:p>
    <w:p w14:paraId="59A9AD26" w14:textId="77777777" w:rsidR="0099672C" w:rsidRPr="00161EC6" w:rsidRDefault="00F63830" w:rsidP="00F63830">
      <w:pPr>
        <w:tabs>
          <w:tab w:val="left" w:pos="-1440"/>
          <w:tab w:val="left" w:pos="3920"/>
        </w:tabs>
        <w:ind w:left="1440" w:hanging="1440"/>
        <w:rPr>
          <w:color w:val="000000"/>
        </w:rPr>
      </w:pPr>
      <w:r>
        <w:rPr>
          <w:color w:val="000000"/>
        </w:rPr>
        <w:tab/>
      </w:r>
      <w:r>
        <w:rPr>
          <w:color w:val="000000"/>
        </w:rPr>
        <w:tab/>
      </w:r>
    </w:p>
    <w:p w14:paraId="5D6472CE" w14:textId="77777777" w:rsidR="0099672C" w:rsidRPr="00161EC6" w:rsidRDefault="0099672C" w:rsidP="00E02903">
      <w:pPr>
        <w:tabs>
          <w:tab w:val="left" w:pos="-1440"/>
        </w:tabs>
        <w:ind w:left="1440" w:hanging="1440"/>
        <w:rPr>
          <w:color w:val="000000"/>
        </w:rPr>
      </w:pPr>
    </w:p>
    <w:p w14:paraId="7195272B" w14:textId="77777777" w:rsidR="0099672C" w:rsidRPr="00161EC6" w:rsidRDefault="0099672C" w:rsidP="00E02903">
      <w:pPr>
        <w:tabs>
          <w:tab w:val="left" w:pos="-1440"/>
        </w:tabs>
        <w:ind w:left="1440" w:hanging="1440"/>
        <w:rPr>
          <w:color w:val="000000"/>
        </w:rPr>
      </w:pPr>
    </w:p>
    <w:p w14:paraId="020C90C4" w14:textId="77777777" w:rsidR="0099672C" w:rsidRPr="00161EC6" w:rsidRDefault="0099672C" w:rsidP="00E02903">
      <w:pPr>
        <w:tabs>
          <w:tab w:val="left" w:pos="-1440"/>
        </w:tabs>
        <w:ind w:left="1440" w:hanging="1440"/>
        <w:rPr>
          <w:color w:val="000000"/>
        </w:rPr>
      </w:pPr>
    </w:p>
    <w:p w14:paraId="371A514C" w14:textId="77777777" w:rsidR="00575435" w:rsidRDefault="00575435" w:rsidP="00C67064">
      <w:pPr>
        <w:jc w:val="both"/>
        <w:rPr>
          <w:color w:val="000000"/>
        </w:rPr>
      </w:pPr>
    </w:p>
    <w:p w14:paraId="07AD9CE4" w14:textId="77777777" w:rsidR="00575435" w:rsidRDefault="00575435" w:rsidP="00C67064">
      <w:pPr>
        <w:jc w:val="both"/>
        <w:rPr>
          <w:color w:val="000000"/>
        </w:rPr>
      </w:pPr>
    </w:p>
    <w:p w14:paraId="2A689DDD" w14:textId="77777777" w:rsidR="00575435" w:rsidRDefault="00575435" w:rsidP="00C67064">
      <w:pPr>
        <w:jc w:val="both"/>
        <w:rPr>
          <w:color w:val="000000"/>
        </w:rPr>
      </w:pPr>
    </w:p>
    <w:p w14:paraId="0A7CE242" w14:textId="77777777" w:rsidR="00B15592" w:rsidRDefault="0099672C" w:rsidP="00C67064">
      <w:pPr>
        <w:jc w:val="both"/>
        <w:rPr>
          <w:b/>
          <w:bCs/>
          <w:sz w:val="28"/>
          <w:szCs w:val="28"/>
        </w:rPr>
      </w:pPr>
      <w:r w:rsidRPr="00161EC6">
        <w:rPr>
          <w:color w:val="000000"/>
        </w:rPr>
        <w:t>This document is an evaluation of this institution’s record of meeting the credit needs of its entire community, including low- and moderate-income neighborhoods, consistent with safe and sound operation of the institution</w:t>
      </w:r>
      <w:proofErr w:type="gramStart"/>
      <w:r w:rsidRPr="00161EC6">
        <w:rPr>
          <w:color w:val="000000"/>
        </w:rPr>
        <w:t>.</w:t>
      </w:r>
      <w:r w:rsidRPr="00161EC6">
        <w:rPr>
          <w:i/>
          <w:iCs/>
          <w:color w:val="000000"/>
        </w:rPr>
        <w:t xml:space="preserve">  </w:t>
      </w:r>
      <w:proofErr w:type="gramEnd"/>
      <w:r w:rsidRPr="00161EC6">
        <w:rPr>
          <w:color w:val="000000"/>
        </w:rPr>
        <w:t>This evaluation is not, nor should it be construed as, an assessment of the financial condition of this institution</w:t>
      </w:r>
      <w:proofErr w:type="gramStart"/>
      <w:r w:rsidRPr="00161EC6">
        <w:rPr>
          <w:color w:val="000000"/>
        </w:rPr>
        <w:t xml:space="preserve">.  </w:t>
      </w:r>
      <w:proofErr w:type="gramEnd"/>
      <w:r w:rsidRPr="00161EC6">
        <w:rPr>
          <w:color w:val="000000"/>
        </w:rPr>
        <w:t>The rating assigned to this institution does not represent an analysis, conclusion, or opinion of the financial supervisory agency concerning the safety and soundness of this financial institution.</w:t>
      </w:r>
      <w:r w:rsidR="00B15592">
        <w:rPr>
          <w:b/>
          <w:bCs/>
          <w:sz w:val="28"/>
          <w:szCs w:val="28"/>
        </w:rPr>
        <w:br w:type="page"/>
      </w:r>
    </w:p>
    <w:sdt>
      <w:sdtPr>
        <w:rPr>
          <w:rFonts w:ascii="Times New Roman" w:eastAsia="Times New Roman" w:hAnsi="Times New Roman" w:cs="Times New Roman"/>
          <w:b w:val="0"/>
          <w:bCs w:val="0"/>
          <w:color w:val="auto"/>
          <w:sz w:val="24"/>
          <w:szCs w:val="24"/>
          <w:lang w:eastAsia="en-US"/>
        </w:rPr>
        <w:id w:val="1888448591"/>
        <w:docPartObj>
          <w:docPartGallery w:val="Table of Contents"/>
          <w:docPartUnique/>
        </w:docPartObj>
      </w:sdtPr>
      <w:sdtEndPr>
        <w:rPr>
          <w:noProof/>
        </w:rPr>
      </w:sdtEndPr>
      <w:sdtContent>
        <w:p w14:paraId="7400AF94" w14:textId="77777777" w:rsidR="000927D4" w:rsidRPr="00067441" w:rsidRDefault="000927D4" w:rsidP="00C67064">
          <w:pPr>
            <w:pStyle w:val="TOCHeading"/>
            <w:jc w:val="center"/>
            <w:rPr>
              <w:rFonts w:ascii="Times New Roman" w:hAnsi="Times New Roman" w:cs="Times New Roman"/>
              <w:color w:val="auto"/>
            </w:rPr>
          </w:pPr>
          <w:r w:rsidRPr="00067441">
            <w:rPr>
              <w:rFonts w:ascii="Times New Roman" w:hAnsi="Times New Roman" w:cs="Times New Roman"/>
              <w:color w:val="auto"/>
            </w:rPr>
            <w:t>T</w:t>
          </w:r>
          <w:r w:rsidR="00C67064">
            <w:rPr>
              <w:rFonts w:ascii="Times New Roman" w:hAnsi="Times New Roman" w:cs="Times New Roman"/>
              <w:color w:val="auto"/>
            </w:rPr>
            <w:t>ABLE OF CONTENTS</w:t>
          </w:r>
        </w:p>
        <w:p w14:paraId="595CA40B" w14:textId="77777777" w:rsidR="000927D4" w:rsidRPr="000927D4" w:rsidRDefault="000927D4" w:rsidP="000927D4">
          <w:pPr>
            <w:rPr>
              <w:lang w:eastAsia="ja-JP"/>
            </w:rPr>
          </w:pPr>
        </w:p>
        <w:p w14:paraId="520E2DC2" w14:textId="595006EB" w:rsidR="00E13677" w:rsidRDefault="00AA64CE">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418959" w:history="1">
            <w:r w:rsidR="00E13677" w:rsidRPr="00CA26C3">
              <w:rPr>
                <w:rStyle w:val="Hyperlink"/>
                <w:noProof/>
              </w:rPr>
              <w:t>INSTITUTION RATING</w:t>
            </w:r>
            <w:r w:rsidR="00E13677">
              <w:rPr>
                <w:noProof/>
                <w:webHidden/>
              </w:rPr>
              <w:tab/>
            </w:r>
            <w:r w:rsidR="00E13677">
              <w:rPr>
                <w:noProof/>
                <w:webHidden/>
              </w:rPr>
              <w:fldChar w:fldCharType="begin"/>
            </w:r>
            <w:r w:rsidR="00E13677">
              <w:rPr>
                <w:noProof/>
                <w:webHidden/>
              </w:rPr>
              <w:instrText xml:space="preserve"> PAGEREF _Toc18418959 \h </w:instrText>
            </w:r>
            <w:r w:rsidR="00E13677">
              <w:rPr>
                <w:noProof/>
                <w:webHidden/>
              </w:rPr>
            </w:r>
            <w:r w:rsidR="00E13677">
              <w:rPr>
                <w:noProof/>
                <w:webHidden/>
              </w:rPr>
              <w:fldChar w:fldCharType="separate"/>
            </w:r>
            <w:r w:rsidR="003723EF">
              <w:rPr>
                <w:noProof/>
                <w:webHidden/>
              </w:rPr>
              <w:t>1</w:t>
            </w:r>
            <w:r w:rsidR="00E13677">
              <w:rPr>
                <w:noProof/>
                <w:webHidden/>
              </w:rPr>
              <w:fldChar w:fldCharType="end"/>
            </w:r>
          </w:hyperlink>
        </w:p>
        <w:p w14:paraId="04FE5DAC" w14:textId="1071DEEB" w:rsidR="00E13677" w:rsidRDefault="003723EF">
          <w:pPr>
            <w:pStyle w:val="TOC1"/>
            <w:tabs>
              <w:tab w:val="right" w:leader="dot" w:pos="9350"/>
            </w:tabs>
            <w:rPr>
              <w:rFonts w:asciiTheme="minorHAnsi" w:eastAsiaTheme="minorEastAsia" w:hAnsiTheme="minorHAnsi" w:cstheme="minorBidi"/>
              <w:noProof/>
              <w:sz w:val="22"/>
              <w:szCs w:val="22"/>
            </w:rPr>
          </w:pPr>
          <w:hyperlink w:anchor="_Toc18418960" w:history="1">
            <w:r w:rsidR="00E13677" w:rsidRPr="00CA26C3">
              <w:rPr>
                <w:rStyle w:val="Hyperlink"/>
                <w:noProof/>
              </w:rPr>
              <w:t>DESCRIPTION OF INSTITUTION</w:t>
            </w:r>
            <w:r w:rsidR="00E13677">
              <w:rPr>
                <w:noProof/>
                <w:webHidden/>
              </w:rPr>
              <w:tab/>
            </w:r>
            <w:r w:rsidR="00E13677">
              <w:rPr>
                <w:noProof/>
                <w:webHidden/>
              </w:rPr>
              <w:fldChar w:fldCharType="begin"/>
            </w:r>
            <w:r w:rsidR="00E13677">
              <w:rPr>
                <w:noProof/>
                <w:webHidden/>
              </w:rPr>
              <w:instrText xml:space="preserve"> PAGEREF _Toc18418960 \h </w:instrText>
            </w:r>
            <w:r w:rsidR="00E13677">
              <w:rPr>
                <w:noProof/>
                <w:webHidden/>
              </w:rPr>
            </w:r>
            <w:r w:rsidR="00E13677">
              <w:rPr>
                <w:noProof/>
                <w:webHidden/>
              </w:rPr>
              <w:fldChar w:fldCharType="separate"/>
            </w:r>
            <w:r>
              <w:rPr>
                <w:noProof/>
                <w:webHidden/>
              </w:rPr>
              <w:t>1</w:t>
            </w:r>
            <w:r w:rsidR="00E13677">
              <w:rPr>
                <w:noProof/>
                <w:webHidden/>
              </w:rPr>
              <w:fldChar w:fldCharType="end"/>
            </w:r>
          </w:hyperlink>
        </w:p>
        <w:p w14:paraId="2D5C3C11" w14:textId="77777777" w:rsidR="00E13677" w:rsidRDefault="003723EF">
          <w:pPr>
            <w:pStyle w:val="TOC1"/>
            <w:tabs>
              <w:tab w:val="right" w:leader="dot" w:pos="9350"/>
            </w:tabs>
            <w:rPr>
              <w:rFonts w:asciiTheme="minorHAnsi" w:eastAsiaTheme="minorEastAsia" w:hAnsiTheme="minorHAnsi" w:cstheme="minorBidi"/>
              <w:noProof/>
              <w:sz w:val="22"/>
              <w:szCs w:val="22"/>
            </w:rPr>
          </w:pPr>
          <w:hyperlink w:anchor="_Toc18418961" w:history="1">
            <w:r w:rsidR="00E13677" w:rsidRPr="00CA26C3">
              <w:rPr>
                <w:rStyle w:val="Hyperlink"/>
                <w:noProof/>
              </w:rPr>
              <w:t>DESCRIPTION OF ASSESSMENT AREAS</w:t>
            </w:r>
            <w:r w:rsidR="00E13677">
              <w:rPr>
                <w:noProof/>
                <w:webHidden/>
              </w:rPr>
              <w:tab/>
            </w:r>
            <w:r w:rsidR="00047BCA">
              <w:rPr>
                <w:noProof/>
                <w:webHidden/>
              </w:rPr>
              <w:t>2</w:t>
            </w:r>
          </w:hyperlink>
        </w:p>
        <w:p w14:paraId="467934F0" w14:textId="77777777" w:rsidR="00E13677" w:rsidRDefault="003723EF">
          <w:pPr>
            <w:pStyle w:val="TOC1"/>
            <w:tabs>
              <w:tab w:val="right" w:leader="dot" w:pos="9350"/>
            </w:tabs>
            <w:rPr>
              <w:rFonts w:asciiTheme="minorHAnsi" w:eastAsiaTheme="minorEastAsia" w:hAnsiTheme="minorHAnsi" w:cstheme="minorBidi"/>
              <w:noProof/>
              <w:sz w:val="22"/>
              <w:szCs w:val="22"/>
            </w:rPr>
          </w:pPr>
          <w:hyperlink w:anchor="_Toc18418962" w:history="1">
            <w:r w:rsidR="00E13677" w:rsidRPr="00CA26C3">
              <w:rPr>
                <w:rStyle w:val="Hyperlink"/>
                <w:noProof/>
              </w:rPr>
              <w:t>SCOPE OF EVALUATION</w:t>
            </w:r>
            <w:r w:rsidR="00E13677">
              <w:rPr>
                <w:noProof/>
                <w:webHidden/>
              </w:rPr>
              <w:tab/>
            </w:r>
            <w:r w:rsidR="00047BCA">
              <w:rPr>
                <w:noProof/>
                <w:webHidden/>
              </w:rPr>
              <w:t>4</w:t>
            </w:r>
          </w:hyperlink>
        </w:p>
        <w:p w14:paraId="32F0B015" w14:textId="77777777" w:rsidR="00E13677" w:rsidRDefault="003723EF">
          <w:pPr>
            <w:pStyle w:val="TOC1"/>
            <w:tabs>
              <w:tab w:val="right" w:leader="dot" w:pos="9350"/>
            </w:tabs>
            <w:rPr>
              <w:rFonts w:asciiTheme="minorHAnsi" w:eastAsiaTheme="minorEastAsia" w:hAnsiTheme="minorHAnsi" w:cstheme="minorBidi"/>
              <w:noProof/>
              <w:sz w:val="22"/>
              <w:szCs w:val="22"/>
            </w:rPr>
          </w:pPr>
          <w:hyperlink w:anchor="_Toc18418963" w:history="1">
            <w:r w:rsidR="00E13677" w:rsidRPr="00CA26C3">
              <w:rPr>
                <w:rStyle w:val="Hyperlink"/>
                <w:noProof/>
              </w:rPr>
              <w:t>CONCLUSIONS ON PERFORMANCE CRITERIA</w:t>
            </w:r>
            <w:r w:rsidR="00E13677">
              <w:rPr>
                <w:noProof/>
                <w:webHidden/>
              </w:rPr>
              <w:tab/>
            </w:r>
            <w:r w:rsidR="00047BCA">
              <w:rPr>
                <w:noProof/>
                <w:webHidden/>
              </w:rPr>
              <w:t>6</w:t>
            </w:r>
          </w:hyperlink>
        </w:p>
        <w:p w14:paraId="569FE7C0" w14:textId="77777777" w:rsidR="00E13677" w:rsidRDefault="003723EF" w:rsidP="000F56BF">
          <w:pPr>
            <w:pStyle w:val="TOC2"/>
            <w:tabs>
              <w:tab w:val="right" w:leader="dot" w:pos="9350"/>
            </w:tabs>
            <w:ind w:left="0"/>
            <w:rPr>
              <w:rFonts w:asciiTheme="minorHAnsi" w:eastAsiaTheme="minorEastAsia" w:hAnsiTheme="minorHAnsi" w:cstheme="minorBidi"/>
              <w:noProof/>
              <w:sz w:val="22"/>
              <w:szCs w:val="22"/>
            </w:rPr>
          </w:pPr>
          <w:hyperlink w:anchor="_Toc18418969" w:history="1">
            <w:r w:rsidR="00E13677" w:rsidRPr="00CA26C3">
              <w:rPr>
                <w:rStyle w:val="Hyperlink"/>
                <w:noProof/>
              </w:rPr>
              <w:t>GLOSSARY</w:t>
            </w:r>
            <w:r w:rsidR="00E13677">
              <w:rPr>
                <w:noProof/>
                <w:webHidden/>
              </w:rPr>
              <w:tab/>
            </w:r>
            <w:r w:rsidR="00047BCA">
              <w:rPr>
                <w:noProof/>
                <w:webHidden/>
              </w:rPr>
              <w:t>11</w:t>
            </w:r>
          </w:hyperlink>
        </w:p>
        <w:p w14:paraId="4F8A8D96" w14:textId="77777777" w:rsidR="000927D4" w:rsidRDefault="00AA64CE">
          <w:r>
            <w:fldChar w:fldCharType="end"/>
          </w:r>
        </w:p>
      </w:sdtContent>
    </w:sdt>
    <w:p w14:paraId="11668F5C" w14:textId="77777777" w:rsidR="0099672C" w:rsidRPr="00161EC6" w:rsidRDefault="0099672C">
      <w:pPr>
        <w:sectPr w:rsidR="0099672C" w:rsidRPr="00161EC6" w:rsidSect="00047BCA">
          <w:footerReference w:type="default" r:id="rId11"/>
          <w:pgSz w:w="12240" w:h="15840"/>
          <w:pgMar w:top="1440" w:right="1440" w:bottom="1440" w:left="1440" w:header="720" w:footer="720" w:gutter="0"/>
          <w:pgNumType w:start="0"/>
          <w:cols w:space="720"/>
          <w:docGrid w:linePitch="360"/>
        </w:sectPr>
      </w:pPr>
    </w:p>
    <w:p w14:paraId="26966410" w14:textId="77777777" w:rsidR="0099672C" w:rsidRPr="00161EC6" w:rsidRDefault="0099672C" w:rsidP="000927D4">
      <w:pPr>
        <w:pStyle w:val="Heading1"/>
      </w:pPr>
      <w:bookmarkStart w:id="1" w:name="_Toc18418959"/>
      <w:r w:rsidRPr="00161EC6">
        <w:lastRenderedPageBreak/>
        <w:t>INSTITUTION RATING</w:t>
      </w:r>
      <w:bookmarkEnd w:id="1"/>
    </w:p>
    <w:p w14:paraId="728970A8" w14:textId="77777777" w:rsidR="0099672C" w:rsidRPr="00FB7E5F" w:rsidRDefault="0099672C" w:rsidP="00820FE2">
      <w:pPr>
        <w:rPr>
          <w:iCs/>
        </w:rPr>
      </w:pPr>
    </w:p>
    <w:p w14:paraId="1DB3DBBD" w14:textId="77777777" w:rsidR="00423B9D" w:rsidRPr="003B772E" w:rsidRDefault="00423B9D" w:rsidP="00423B9D">
      <w:pPr>
        <w:pStyle w:val="Default"/>
        <w:jc w:val="both"/>
        <w:rPr>
          <w:color w:val="auto"/>
        </w:rPr>
      </w:pPr>
      <w:r w:rsidRPr="003B772E">
        <w:rPr>
          <w:color w:val="auto"/>
        </w:rPr>
        <w:t xml:space="preserve">This document is an evaluation of the CRA performance of </w:t>
      </w:r>
      <w:r w:rsidR="0047440B">
        <w:rPr>
          <w:b/>
          <w:bCs/>
          <w:color w:val="auto"/>
        </w:rPr>
        <w:t>Southbridge</w:t>
      </w:r>
      <w:r>
        <w:rPr>
          <w:b/>
          <w:bCs/>
          <w:color w:val="auto"/>
        </w:rPr>
        <w:t xml:space="preserve"> Credit Union (credit u</w:t>
      </w:r>
      <w:r w:rsidRPr="003B772E">
        <w:rPr>
          <w:b/>
          <w:bCs/>
          <w:color w:val="auto"/>
        </w:rPr>
        <w:t xml:space="preserve">nion) </w:t>
      </w:r>
      <w:r w:rsidRPr="003B772E">
        <w:rPr>
          <w:color w:val="auto"/>
        </w:rPr>
        <w:t>prepared by the</w:t>
      </w:r>
      <w:r w:rsidR="001B5BA6">
        <w:rPr>
          <w:color w:val="auto"/>
        </w:rPr>
        <w:t xml:space="preserve"> Massachusetts</w:t>
      </w:r>
      <w:r w:rsidRPr="003B772E">
        <w:rPr>
          <w:color w:val="auto"/>
        </w:rPr>
        <w:t xml:space="preserve"> Division</w:t>
      </w:r>
      <w:r w:rsidR="001B5BA6">
        <w:rPr>
          <w:color w:val="auto"/>
        </w:rPr>
        <w:t xml:space="preserve"> of Banks (Division)</w:t>
      </w:r>
      <w:r w:rsidRPr="003B772E">
        <w:rPr>
          <w:color w:val="auto"/>
        </w:rPr>
        <w:t xml:space="preserve">, the institution’s supervisory agency as of </w:t>
      </w:r>
      <w:r w:rsidR="0047440B">
        <w:rPr>
          <w:b/>
          <w:color w:val="auto"/>
        </w:rPr>
        <w:t>February 1</w:t>
      </w:r>
      <w:r w:rsidRPr="00E63269">
        <w:rPr>
          <w:b/>
          <w:bCs/>
          <w:color w:val="auto"/>
        </w:rPr>
        <w:t>,</w:t>
      </w:r>
      <w:r w:rsidRPr="003B772E">
        <w:rPr>
          <w:b/>
          <w:bCs/>
          <w:color w:val="auto"/>
        </w:rPr>
        <w:t xml:space="preserve"> 20</w:t>
      </w:r>
      <w:r w:rsidR="0047440B">
        <w:rPr>
          <w:b/>
          <w:bCs/>
          <w:color w:val="auto"/>
        </w:rPr>
        <w:t>21</w:t>
      </w:r>
      <w:r w:rsidRPr="003B772E">
        <w:rPr>
          <w:color w:val="auto"/>
        </w:rPr>
        <w:t xml:space="preserve">. The Division rates the CRA performance of an institution consistent with the provisions set forth in Massachusetts Regulation 209 </w:t>
      </w:r>
      <w:proofErr w:type="spellStart"/>
      <w:r w:rsidRPr="003B772E">
        <w:rPr>
          <w:color w:val="auto"/>
        </w:rPr>
        <w:t>CMR</w:t>
      </w:r>
      <w:proofErr w:type="spellEnd"/>
      <w:r w:rsidRPr="003B772E">
        <w:rPr>
          <w:color w:val="auto"/>
        </w:rPr>
        <w:t xml:space="preserve"> 46.00. </w:t>
      </w:r>
    </w:p>
    <w:p w14:paraId="18019B22" w14:textId="77777777" w:rsidR="00423B9D" w:rsidRPr="00236D42" w:rsidRDefault="00423B9D" w:rsidP="00423B9D">
      <w:pPr>
        <w:pStyle w:val="Default"/>
        <w:jc w:val="both"/>
        <w:rPr>
          <w:b/>
          <w:bCs/>
          <w:color w:val="auto"/>
        </w:rPr>
      </w:pPr>
    </w:p>
    <w:p w14:paraId="10A9270B" w14:textId="77777777" w:rsidR="00423B9D" w:rsidRPr="00DD5B91" w:rsidRDefault="00423B9D" w:rsidP="00423B9D">
      <w:pPr>
        <w:pStyle w:val="Default"/>
        <w:jc w:val="both"/>
        <w:rPr>
          <w:b/>
          <w:bCs/>
        </w:rPr>
      </w:pPr>
      <w:r w:rsidRPr="00DD5B91">
        <w:rPr>
          <w:b/>
          <w:bCs/>
        </w:rPr>
        <w:t xml:space="preserve">INSTITUTION'S CRA RATING: </w:t>
      </w:r>
      <w:r w:rsidRPr="00DD5B91">
        <w:t xml:space="preserve">This institution is rated </w:t>
      </w:r>
      <w:r w:rsidRPr="00DD5B91">
        <w:rPr>
          <w:b/>
          <w:bCs/>
        </w:rPr>
        <w:t>"</w:t>
      </w:r>
      <w:r w:rsidR="009A7EEA">
        <w:rPr>
          <w:b/>
          <w:bCs/>
        </w:rPr>
        <w:t xml:space="preserve">High </w:t>
      </w:r>
      <w:r w:rsidR="00F2570A" w:rsidRPr="00DD5B91">
        <w:rPr>
          <w:b/>
          <w:bCs/>
        </w:rPr>
        <w:t>Satisfactory</w:t>
      </w:r>
      <w:r w:rsidRPr="00DD5B91">
        <w:rPr>
          <w:b/>
          <w:bCs/>
        </w:rPr>
        <w:t>.</w:t>
      </w:r>
      <w:proofErr w:type="gramStart"/>
      <w:r w:rsidRPr="00DD5B91">
        <w:rPr>
          <w:b/>
          <w:bCs/>
        </w:rPr>
        <w:t xml:space="preserve">”  </w:t>
      </w:r>
      <w:proofErr w:type="gramEnd"/>
      <w:r w:rsidRPr="00DD5B91">
        <w:t xml:space="preserve">An institution in this group has a </w:t>
      </w:r>
      <w:r w:rsidR="009A7EEA">
        <w:t xml:space="preserve">highly </w:t>
      </w:r>
      <w:r w:rsidRPr="00DD5B91">
        <w:t>satisfactory record of helping to meet the credit needs of its assessment area (AA), including low- and moderate-income neighborhoods, in a manner consistent with its resources and capabilities</w:t>
      </w:r>
      <w:proofErr w:type="gramStart"/>
      <w:r w:rsidRPr="00DD5B91">
        <w:t xml:space="preserve">.  </w:t>
      </w:r>
      <w:proofErr w:type="gramEnd"/>
      <w:r w:rsidR="009A7EEA">
        <w:t>Southbridge</w:t>
      </w:r>
      <w:r w:rsidRPr="00DD5B91">
        <w:t xml:space="preserve"> Credit Union’s performance under this test </w:t>
      </w:r>
      <w:proofErr w:type="gramStart"/>
      <w:r w:rsidRPr="00DD5B91">
        <w:t>is summarized</w:t>
      </w:r>
      <w:proofErr w:type="gramEnd"/>
      <w:r w:rsidRPr="00DD5B91">
        <w:t xml:space="preserve"> below: </w:t>
      </w:r>
    </w:p>
    <w:p w14:paraId="444B939B" w14:textId="77777777" w:rsidR="00423B9D" w:rsidRPr="00A41998" w:rsidRDefault="00423B9D" w:rsidP="00423B9D">
      <w:pPr>
        <w:pStyle w:val="Default"/>
        <w:jc w:val="both"/>
        <w:rPr>
          <w:highlight w:val="yellow"/>
        </w:rPr>
      </w:pPr>
    </w:p>
    <w:p w14:paraId="226A8D82" w14:textId="77777777" w:rsidR="00423B9D" w:rsidRPr="009275C2" w:rsidRDefault="00DD5B91" w:rsidP="00575435">
      <w:pPr>
        <w:pStyle w:val="Default"/>
        <w:numPr>
          <w:ilvl w:val="0"/>
          <w:numId w:val="13"/>
        </w:numPr>
        <w:tabs>
          <w:tab w:val="clear" w:pos="360"/>
        </w:tabs>
        <w:spacing w:after="47"/>
        <w:ind w:left="720"/>
        <w:jc w:val="both"/>
      </w:pPr>
      <w:r w:rsidRPr="009275C2">
        <w:t>Southbridge</w:t>
      </w:r>
      <w:r w:rsidR="00423B9D" w:rsidRPr="009275C2">
        <w:t xml:space="preserve"> Credit Union’s average net loan-to-share ratio is </w:t>
      </w:r>
      <w:r w:rsidR="0090186C">
        <w:t xml:space="preserve">excellent </w:t>
      </w:r>
      <w:r w:rsidR="00423B9D" w:rsidRPr="009275C2">
        <w:t xml:space="preserve">given the institution’s size, financial condition, and credit needs of its AA. </w:t>
      </w:r>
    </w:p>
    <w:p w14:paraId="6CC372CA" w14:textId="77777777" w:rsidR="00423B9D" w:rsidRPr="00DD5B91" w:rsidRDefault="004615DC" w:rsidP="00575435">
      <w:pPr>
        <w:pStyle w:val="Default"/>
        <w:numPr>
          <w:ilvl w:val="0"/>
          <w:numId w:val="13"/>
        </w:numPr>
        <w:tabs>
          <w:tab w:val="clear" w:pos="360"/>
        </w:tabs>
        <w:spacing w:after="47"/>
        <w:ind w:left="720"/>
        <w:jc w:val="both"/>
      </w:pPr>
      <w:r w:rsidRPr="00DD5B91">
        <w:t>A majority</w:t>
      </w:r>
      <w:r w:rsidR="00423B9D" w:rsidRPr="00DD5B91">
        <w:t xml:space="preserve"> of the credit union’s residential loans are inside the AA. </w:t>
      </w:r>
    </w:p>
    <w:p w14:paraId="2117A2ED" w14:textId="77777777" w:rsidR="00423B9D" w:rsidRPr="00DD5B91" w:rsidRDefault="00423B9D" w:rsidP="00575435">
      <w:pPr>
        <w:pStyle w:val="Default"/>
        <w:numPr>
          <w:ilvl w:val="0"/>
          <w:numId w:val="13"/>
        </w:numPr>
        <w:tabs>
          <w:tab w:val="clear" w:pos="360"/>
        </w:tabs>
        <w:spacing w:after="47"/>
        <w:ind w:left="720"/>
        <w:jc w:val="both"/>
      </w:pPr>
      <w:r w:rsidRPr="00DD5B91">
        <w:t>The geographic</w:t>
      </w:r>
      <w:r w:rsidR="00F2570A" w:rsidRPr="00DD5B91">
        <w:t xml:space="preserve"> distribut</w:t>
      </w:r>
      <w:r w:rsidR="00DD5B91" w:rsidRPr="00DD5B91">
        <w:t>ion of loans reflects excellent</w:t>
      </w:r>
      <w:r w:rsidRPr="00DD5B91">
        <w:t xml:space="preserve"> dispersion throughout the AA. </w:t>
      </w:r>
    </w:p>
    <w:p w14:paraId="22D2152C" w14:textId="77777777" w:rsidR="00423B9D" w:rsidRPr="00DD5B91" w:rsidRDefault="00423B9D" w:rsidP="00575435">
      <w:pPr>
        <w:pStyle w:val="Default"/>
        <w:numPr>
          <w:ilvl w:val="0"/>
          <w:numId w:val="13"/>
        </w:numPr>
        <w:tabs>
          <w:tab w:val="clear" w:pos="360"/>
        </w:tabs>
        <w:spacing w:after="47"/>
        <w:ind w:left="720"/>
        <w:jc w:val="both"/>
      </w:pPr>
      <w:r w:rsidRPr="00DD5B91">
        <w:t>The distribution of borrowers reflects, gi</w:t>
      </w:r>
      <w:r w:rsidR="00F2570A" w:rsidRPr="00DD5B91">
        <w:t xml:space="preserve">ven the demographics of the AA, </w:t>
      </w:r>
      <w:r w:rsidR="008B058D">
        <w:t>good</w:t>
      </w:r>
      <w:r w:rsidR="00F2570A" w:rsidRPr="00DD5B91">
        <w:t xml:space="preserve"> penetration</w:t>
      </w:r>
      <w:r w:rsidRPr="00DD5B91">
        <w:t xml:space="preserve"> among individuals of different income levels (including low- and moderate-income). </w:t>
      </w:r>
    </w:p>
    <w:p w14:paraId="7082FFDD" w14:textId="77777777" w:rsidR="00423B9D" w:rsidRPr="00DD5B91" w:rsidRDefault="00423B9D" w:rsidP="00575435">
      <w:pPr>
        <w:pStyle w:val="Default"/>
        <w:numPr>
          <w:ilvl w:val="0"/>
          <w:numId w:val="13"/>
        </w:numPr>
        <w:tabs>
          <w:tab w:val="clear" w:pos="360"/>
        </w:tabs>
        <w:ind w:left="720"/>
        <w:jc w:val="both"/>
      </w:pPr>
      <w:r w:rsidRPr="00DD5B91">
        <w:t xml:space="preserve">The credit union has not received any CRA-related complaints since the last CRA evaluation. </w:t>
      </w:r>
    </w:p>
    <w:p w14:paraId="6C9EBB0B" w14:textId="77777777" w:rsidR="00200994" w:rsidRDefault="00200994" w:rsidP="00575435">
      <w:pPr>
        <w:contextualSpacing/>
        <w:jc w:val="both"/>
      </w:pPr>
    </w:p>
    <w:p w14:paraId="207A7548" w14:textId="77777777" w:rsidR="00E951F8" w:rsidRPr="00161EC6" w:rsidRDefault="00E951F8" w:rsidP="00E951F8">
      <w:pPr>
        <w:pStyle w:val="Heading1"/>
      </w:pPr>
      <w:bookmarkStart w:id="2" w:name="_Toc18418962"/>
      <w:r w:rsidRPr="00161EC6">
        <w:t>SCOPE OF EVALUATION</w:t>
      </w:r>
      <w:bookmarkEnd w:id="2"/>
    </w:p>
    <w:p w14:paraId="14F20E5F" w14:textId="77777777" w:rsidR="00E951F8" w:rsidRPr="00F82DA4" w:rsidRDefault="00E951F8" w:rsidP="00E951F8">
      <w:pPr>
        <w:pStyle w:val="Heading1"/>
        <w:jc w:val="left"/>
        <w:rPr>
          <w:b w:val="0"/>
          <w:sz w:val="24"/>
          <w:szCs w:val="24"/>
        </w:rPr>
      </w:pPr>
    </w:p>
    <w:p w14:paraId="251E035E" w14:textId="77777777" w:rsidR="006519EF" w:rsidRDefault="006519EF" w:rsidP="00575435">
      <w:pPr>
        <w:jc w:val="both"/>
        <w:rPr>
          <w:b/>
          <w:u w:val="single"/>
        </w:rPr>
      </w:pPr>
      <w:bookmarkStart w:id="3" w:name="_Toc18418960"/>
      <w:r w:rsidRPr="002D332F">
        <w:rPr>
          <w:b/>
          <w:u w:val="single"/>
        </w:rPr>
        <w:t xml:space="preserve">General Information </w:t>
      </w:r>
    </w:p>
    <w:p w14:paraId="0B73F11D" w14:textId="77777777" w:rsidR="001B5BA6" w:rsidRPr="002D332F" w:rsidRDefault="001B5BA6" w:rsidP="00575435">
      <w:pPr>
        <w:jc w:val="both"/>
        <w:rPr>
          <w:b/>
          <w:u w:val="single"/>
        </w:rPr>
      </w:pPr>
    </w:p>
    <w:p w14:paraId="79F58F58" w14:textId="3C0EF915" w:rsidR="006519EF" w:rsidRDefault="006519EF" w:rsidP="00575435">
      <w:pPr>
        <w:jc w:val="both"/>
      </w:pPr>
      <w:r w:rsidRPr="00E01D95">
        <w:t>The Community Reinvestment Act (CRA) requires the Massachusett</w:t>
      </w:r>
      <w:r w:rsidR="001B5BA6">
        <w:t>s Division of Banks</w:t>
      </w:r>
      <w:r w:rsidRPr="00E01D95">
        <w:t xml:space="preserve"> to use </w:t>
      </w:r>
      <w:r w:rsidR="0006403F">
        <w:t>its</w:t>
      </w:r>
      <w:r w:rsidRPr="00E01D95">
        <w:t xml:space="preserve"> authority when examining financial institutions subject to </w:t>
      </w:r>
      <w:r w:rsidR="0006403F">
        <w:t>its</w:t>
      </w:r>
      <w:r w:rsidRPr="00E01D95">
        <w:t xml:space="preserve"> supervision, to assess the institution's record of meeting the needs of its entire </w:t>
      </w:r>
      <w:r w:rsidR="009D62EA">
        <w:t>AA</w:t>
      </w:r>
      <w:r w:rsidRPr="00E01D95">
        <w:t>, including low- and moderate-income neighborhoods, consistent with safe and sound operation of the institution</w:t>
      </w:r>
      <w:proofErr w:type="gramStart"/>
      <w:r w:rsidRPr="00E01D95">
        <w:t xml:space="preserve">. </w:t>
      </w:r>
      <w:r>
        <w:t xml:space="preserve"> </w:t>
      </w:r>
      <w:proofErr w:type="gramEnd"/>
      <w:r w:rsidRPr="00E01D95">
        <w:t xml:space="preserve">Upon conclusion of such examination, the Division must prepare a written evaluation of the institution's record of meeting the credit needs of its membership. </w:t>
      </w:r>
    </w:p>
    <w:p w14:paraId="5C890A71" w14:textId="77777777" w:rsidR="006519EF" w:rsidRDefault="006519EF" w:rsidP="00575435">
      <w:pPr>
        <w:jc w:val="both"/>
      </w:pPr>
    </w:p>
    <w:p w14:paraId="10628B69" w14:textId="77777777" w:rsidR="006519EF" w:rsidRDefault="006519EF" w:rsidP="00575435">
      <w:pPr>
        <w:jc w:val="both"/>
      </w:pPr>
      <w:r w:rsidRPr="002D332F">
        <w:t xml:space="preserve">This evaluation covers the period from </w:t>
      </w:r>
      <w:r w:rsidRPr="00065169">
        <w:t>January 1, 2017,</w:t>
      </w:r>
      <w:r w:rsidRPr="002D332F">
        <w:t xml:space="preserve"> to the c</w:t>
      </w:r>
      <w:r>
        <w:t>urrent evaluation dated February 1, 2021</w:t>
      </w:r>
      <w:proofErr w:type="gramStart"/>
      <w:r w:rsidRPr="002D332F">
        <w:t>.</w:t>
      </w:r>
      <w:r>
        <w:t xml:space="preserve"> </w:t>
      </w:r>
      <w:r w:rsidRPr="002D332F">
        <w:t xml:space="preserve"> </w:t>
      </w:r>
      <w:proofErr w:type="gramEnd"/>
      <w:r w:rsidRPr="002D332F">
        <w:t>E</w:t>
      </w:r>
      <w:r>
        <w:t xml:space="preserve">xaminers used the Interagency Small Institution </w:t>
      </w:r>
      <w:r w:rsidRPr="002D332F">
        <w:t>Examination P</w:t>
      </w:r>
      <w:r>
        <w:t>rocedures to evaluate Southbridge</w:t>
      </w:r>
      <w:r w:rsidRPr="002D332F">
        <w:t xml:space="preserve"> Credit Union’s performance</w:t>
      </w:r>
      <w:proofErr w:type="gramStart"/>
      <w:r w:rsidRPr="002D332F">
        <w:t xml:space="preserve">.  </w:t>
      </w:r>
      <w:proofErr w:type="gramEnd"/>
      <w:r w:rsidRPr="0014492C">
        <w:t xml:space="preserve">The following criteria </w:t>
      </w:r>
      <w:proofErr w:type="gramStart"/>
      <w:r w:rsidRPr="0014492C">
        <w:t>were considered</w:t>
      </w:r>
      <w:proofErr w:type="gramEnd"/>
      <w:r w:rsidRPr="0014492C">
        <w:t>: Loan-to-Share Analysis, Lending Inside and Outside of the Assessment Area, Geog</w:t>
      </w:r>
      <w:r w:rsidR="007A26CE">
        <w:t xml:space="preserve">raphic Distribution, Borrower Profile </w:t>
      </w:r>
      <w:r w:rsidRPr="0014492C">
        <w:t>and Response to CRA Complaints.</w:t>
      </w:r>
    </w:p>
    <w:p w14:paraId="2F8B0660" w14:textId="77777777" w:rsidR="006519EF" w:rsidRDefault="006519EF" w:rsidP="00575435">
      <w:pPr>
        <w:jc w:val="both"/>
      </w:pPr>
    </w:p>
    <w:p w14:paraId="03805271" w14:textId="77777777" w:rsidR="006519EF" w:rsidRPr="002D332F" w:rsidRDefault="006519EF" w:rsidP="00575435">
      <w:pPr>
        <w:jc w:val="both"/>
      </w:pPr>
      <w:r w:rsidRPr="002D332F">
        <w:t>The evaluation references demographic and economic information from the 2015 American Community Survey (ACS) and the U.S. Bureau of Labor Statistics (BLS)</w:t>
      </w:r>
      <w:proofErr w:type="gramStart"/>
      <w:r w:rsidRPr="002D332F">
        <w:t xml:space="preserve">. </w:t>
      </w:r>
      <w:r>
        <w:t xml:space="preserve"> </w:t>
      </w:r>
      <w:proofErr w:type="gramEnd"/>
      <w:r w:rsidRPr="002D332F">
        <w:t>Credit Union financial dat</w:t>
      </w:r>
      <w:r w:rsidR="00481B78">
        <w:t>a reflects the December 31</w:t>
      </w:r>
      <w:r>
        <w:t>, 2020</w:t>
      </w:r>
      <w:r w:rsidRPr="002D332F">
        <w:t xml:space="preserve"> Call Report.</w:t>
      </w:r>
    </w:p>
    <w:p w14:paraId="6CE76A0D" w14:textId="77777777" w:rsidR="006519EF" w:rsidRDefault="006519EF" w:rsidP="00575435">
      <w:pPr>
        <w:jc w:val="both"/>
      </w:pPr>
    </w:p>
    <w:p w14:paraId="04DC6CFD" w14:textId="77777777" w:rsidR="006519EF" w:rsidRDefault="006519EF" w:rsidP="00575435">
      <w:pPr>
        <w:jc w:val="both"/>
        <w:rPr>
          <w:b/>
          <w:u w:val="single"/>
        </w:rPr>
      </w:pPr>
    </w:p>
    <w:p w14:paraId="174DC78E" w14:textId="77777777" w:rsidR="006519EF" w:rsidRDefault="006519EF" w:rsidP="00575435">
      <w:pPr>
        <w:jc w:val="both"/>
        <w:rPr>
          <w:b/>
          <w:u w:val="single"/>
        </w:rPr>
      </w:pPr>
    </w:p>
    <w:p w14:paraId="1DED5B6B" w14:textId="77777777" w:rsidR="006519EF" w:rsidRPr="0035191D" w:rsidRDefault="006519EF" w:rsidP="00575435">
      <w:pPr>
        <w:jc w:val="both"/>
        <w:rPr>
          <w:b/>
          <w:u w:val="single"/>
        </w:rPr>
      </w:pPr>
      <w:r w:rsidRPr="0035191D">
        <w:rPr>
          <w:b/>
          <w:u w:val="single"/>
        </w:rPr>
        <w:lastRenderedPageBreak/>
        <w:t>Activities Reviewed</w:t>
      </w:r>
    </w:p>
    <w:p w14:paraId="35D8E0A1" w14:textId="77777777" w:rsidR="006519EF" w:rsidRDefault="006519EF" w:rsidP="00575435">
      <w:pPr>
        <w:jc w:val="both"/>
      </w:pPr>
    </w:p>
    <w:p w14:paraId="5C2E4246" w14:textId="77777777" w:rsidR="006519EF" w:rsidRDefault="006519EF" w:rsidP="00575435">
      <w:pPr>
        <w:jc w:val="both"/>
      </w:pPr>
      <w:r w:rsidRPr="0035191D">
        <w:t xml:space="preserve">Examiners determined the credit union’s major product line is home mortgage loans. This conclusion considered the credit union’s business strategy and the number and dollar volume of loans originated during the evaluation period.  </w:t>
      </w:r>
    </w:p>
    <w:p w14:paraId="75B163B3" w14:textId="77777777" w:rsidR="0090186C" w:rsidRPr="0035191D" w:rsidRDefault="0090186C" w:rsidP="00575435">
      <w:pPr>
        <w:jc w:val="both"/>
      </w:pPr>
    </w:p>
    <w:p w14:paraId="314AB5ED" w14:textId="25766C61" w:rsidR="006519EF" w:rsidRPr="00E01D95" w:rsidRDefault="006519EF" w:rsidP="00575435">
      <w:pPr>
        <w:jc w:val="both"/>
        <w:rPr>
          <w:highlight w:val="yellow"/>
        </w:rPr>
      </w:pPr>
      <w:r w:rsidRPr="00DC48C1">
        <w:t>The evaluation considered all home mortgage loans reported on the credit union’s 2018 and 2019 Home Mortgage Disclosure Act (HMDA) Loan Application Registers</w:t>
      </w:r>
      <w:r w:rsidR="0006403F">
        <w:t xml:space="preserve"> (LAR)</w:t>
      </w:r>
      <w:proofErr w:type="gramStart"/>
      <w:r w:rsidRPr="00167B81">
        <w:t xml:space="preserve">.  </w:t>
      </w:r>
      <w:proofErr w:type="gramEnd"/>
      <w:r w:rsidRPr="00167B81">
        <w:t>In 2018,</w:t>
      </w:r>
      <w:r w:rsidR="00167B81" w:rsidRPr="00167B81">
        <w:t xml:space="preserve"> the credit union originated 122 loans totaling $19.5</w:t>
      </w:r>
      <w:r w:rsidRPr="00167B81">
        <w:t xml:space="preserve"> million and in 2019,</w:t>
      </w:r>
      <w:r w:rsidR="00167B81" w:rsidRPr="00167B81">
        <w:t xml:space="preserve"> the credit union originated 11</w:t>
      </w:r>
      <w:r w:rsidRPr="00167B81">
        <w:t>4 loans totali</w:t>
      </w:r>
      <w:r w:rsidR="00167B81" w:rsidRPr="00167B81">
        <w:t>ng $17.7</w:t>
      </w:r>
      <w:r w:rsidRPr="00167B81">
        <w:t xml:space="preserve"> million</w:t>
      </w:r>
      <w:proofErr w:type="gramStart"/>
      <w:r w:rsidRPr="00167B81">
        <w:t xml:space="preserve">.  </w:t>
      </w:r>
      <w:proofErr w:type="gramEnd"/>
      <w:r w:rsidRPr="00DC48C1">
        <w:t xml:space="preserve">For comparison purposes, examiners reviewed 2018 and 2019 HMDA aggregate data and 2015 ACS data.  </w:t>
      </w:r>
    </w:p>
    <w:p w14:paraId="1A320E28" w14:textId="77777777" w:rsidR="006519EF" w:rsidRDefault="006519EF" w:rsidP="00575435">
      <w:pPr>
        <w:pStyle w:val="QuickFormat1"/>
        <w:jc w:val="both"/>
        <w:rPr>
          <w:b w:val="0"/>
          <w:sz w:val="24"/>
          <w:szCs w:val="24"/>
          <w:lang w:val="en-US" w:eastAsia="en-US"/>
        </w:rPr>
      </w:pPr>
    </w:p>
    <w:p w14:paraId="0D55CBD5" w14:textId="77777777" w:rsidR="006519EF" w:rsidRDefault="006519EF" w:rsidP="00575435">
      <w:pPr>
        <w:pStyle w:val="QuickFormat1"/>
        <w:jc w:val="both"/>
        <w:rPr>
          <w:b w:val="0"/>
          <w:sz w:val="24"/>
          <w:szCs w:val="24"/>
          <w:lang w:val="en-US" w:eastAsia="en-US"/>
        </w:rPr>
      </w:pPr>
      <w:r w:rsidRPr="0035191D">
        <w:rPr>
          <w:b w:val="0"/>
          <w:sz w:val="24"/>
          <w:szCs w:val="24"/>
          <w:lang w:val="en-US" w:eastAsia="en-US"/>
        </w:rPr>
        <w:t>Examiners reviewed the number and dollar volume of home mortgage loans</w:t>
      </w:r>
      <w:proofErr w:type="gramStart"/>
      <w:r w:rsidRPr="0035191D">
        <w:rPr>
          <w:b w:val="0"/>
          <w:sz w:val="24"/>
          <w:szCs w:val="24"/>
          <w:lang w:val="en-US" w:eastAsia="en-US"/>
        </w:rPr>
        <w:t xml:space="preserve">.  </w:t>
      </w:r>
      <w:proofErr w:type="gramEnd"/>
      <w:r w:rsidRPr="0035191D">
        <w:rPr>
          <w:b w:val="0"/>
          <w:sz w:val="24"/>
          <w:szCs w:val="24"/>
          <w:lang w:val="en-US" w:eastAsia="en-US"/>
        </w:rPr>
        <w:t xml:space="preserve">While the number and dollar volume of loans </w:t>
      </w:r>
      <w:proofErr w:type="gramStart"/>
      <w:r w:rsidRPr="0035191D">
        <w:rPr>
          <w:b w:val="0"/>
          <w:sz w:val="24"/>
          <w:szCs w:val="24"/>
          <w:lang w:val="en-US" w:eastAsia="en-US"/>
        </w:rPr>
        <w:t>are presented</w:t>
      </w:r>
      <w:proofErr w:type="gramEnd"/>
      <w:r w:rsidRPr="0035191D">
        <w:rPr>
          <w:b w:val="0"/>
          <w:sz w:val="24"/>
          <w:szCs w:val="24"/>
          <w:lang w:val="en-US" w:eastAsia="en-US"/>
        </w:rPr>
        <w:t>, examiners emphasized performance by the number of loans because the number of loans is a better indicator of the number of individuals served.</w:t>
      </w:r>
    </w:p>
    <w:p w14:paraId="2F795FCE" w14:textId="77777777" w:rsidR="00575435" w:rsidRPr="00D37DE9" w:rsidRDefault="00575435" w:rsidP="00575435">
      <w:pPr>
        <w:pStyle w:val="QuickFormat1"/>
        <w:jc w:val="both"/>
        <w:rPr>
          <w:color w:val="auto"/>
          <w:sz w:val="24"/>
          <w:szCs w:val="24"/>
        </w:rPr>
      </w:pPr>
    </w:p>
    <w:p w14:paraId="5E5D28DE" w14:textId="77777777" w:rsidR="00E951F8" w:rsidRDefault="00E951F8" w:rsidP="000927D4">
      <w:pPr>
        <w:pStyle w:val="Heading1"/>
      </w:pPr>
    </w:p>
    <w:p w14:paraId="36F5ADFB" w14:textId="77777777" w:rsidR="0099672C" w:rsidRDefault="0099672C" w:rsidP="000927D4">
      <w:pPr>
        <w:pStyle w:val="Heading1"/>
      </w:pPr>
      <w:r w:rsidRPr="00161EC6">
        <w:t>DESCRIPTION OF INSTITUTION</w:t>
      </w:r>
      <w:bookmarkEnd w:id="3"/>
    </w:p>
    <w:p w14:paraId="0A204E27" w14:textId="77777777" w:rsidR="00E951F8" w:rsidRDefault="00E951F8" w:rsidP="00575435">
      <w:pPr>
        <w:jc w:val="both"/>
        <w:rPr>
          <w:b/>
          <w:u w:val="single"/>
        </w:rPr>
      </w:pPr>
      <w:r>
        <w:rPr>
          <w:b/>
          <w:u w:val="single"/>
        </w:rPr>
        <w:t>Background</w:t>
      </w:r>
    </w:p>
    <w:p w14:paraId="1462EB16" w14:textId="77777777" w:rsidR="006519EF" w:rsidRPr="00294B36" w:rsidRDefault="006519EF" w:rsidP="00575435">
      <w:pPr>
        <w:jc w:val="both"/>
        <w:rPr>
          <w:b/>
          <w:u w:val="single"/>
        </w:rPr>
      </w:pPr>
    </w:p>
    <w:p w14:paraId="31E17852" w14:textId="489CD748" w:rsidR="006519EF" w:rsidRPr="005905DC" w:rsidRDefault="006519EF" w:rsidP="00575435">
      <w:pPr>
        <w:shd w:val="clear" w:color="auto" w:fill="FFFFFF"/>
        <w:jc w:val="both"/>
        <w:rPr>
          <w:szCs w:val="21"/>
        </w:rPr>
      </w:pPr>
      <w:r w:rsidRPr="00AE66EF">
        <w:t>Chartered by the Commo</w:t>
      </w:r>
      <w:r>
        <w:t>nwealth of Massachusetts in 1938</w:t>
      </w:r>
      <w:r w:rsidRPr="00AE66EF">
        <w:t xml:space="preserve">, </w:t>
      </w:r>
      <w:r>
        <w:t xml:space="preserve">Southbridge </w:t>
      </w:r>
      <w:r w:rsidRPr="00AE66EF">
        <w:t xml:space="preserve">Credit Union is a member-owned, not-for-profit organization established </w:t>
      </w:r>
      <w:r>
        <w:t>in Southbridge</w:t>
      </w:r>
      <w:r w:rsidRPr="00AE66EF">
        <w:t>, Massachusetts</w:t>
      </w:r>
      <w:proofErr w:type="gramStart"/>
      <w:r w:rsidRPr="00AE66EF">
        <w:t xml:space="preserve">.  </w:t>
      </w:r>
      <w:proofErr w:type="gramEnd"/>
      <w:r>
        <w:t>Southbridge Credit Union</w:t>
      </w:r>
      <w:r w:rsidRPr="008F7BDA">
        <w:t xml:space="preserve"> received a “low-income c</w:t>
      </w:r>
      <w:r>
        <w:t xml:space="preserve">redit union” designation </w:t>
      </w:r>
      <w:r w:rsidRPr="008F7BDA">
        <w:t xml:space="preserve">from the </w:t>
      </w:r>
      <w:proofErr w:type="spellStart"/>
      <w:r w:rsidRPr="008F7BDA">
        <w:t>NCUA</w:t>
      </w:r>
      <w:proofErr w:type="spellEnd"/>
      <w:r w:rsidRPr="008F7BDA">
        <w:t xml:space="preserve"> and Division of Banks.</w:t>
      </w:r>
      <w:r>
        <w:rPr>
          <w:szCs w:val="21"/>
        </w:rPr>
        <w:t xml:space="preserve"> </w:t>
      </w:r>
      <w:r w:rsidRPr="005905DC">
        <w:rPr>
          <w:szCs w:val="21"/>
        </w:rPr>
        <w:t xml:space="preserve">Membership at </w:t>
      </w:r>
      <w:r w:rsidR="00575435">
        <w:rPr>
          <w:szCs w:val="21"/>
        </w:rPr>
        <w:t>the credit union</w:t>
      </w:r>
      <w:r w:rsidRPr="005905DC">
        <w:rPr>
          <w:szCs w:val="21"/>
        </w:rPr>
        <w:t xml:space="preserve"> is available to persons, businesses</w:t>
      </w:r>
      <w:r>
        <w:rPr>
          <w:szCs w:val="21"/>
        </w:rPr>
        <w:t>,</w:t>
      </w:r>
      <w:r w:rsidRPr="005905DC">
        <w:rPr>
          <w:szCs w:val="21"/>
        </w:rPr>
        <w:t xml:space="preserve"> and organizations that are either residing, working or operatin</w:t>
      </w:r>
      <w:r>
        <w:rPr>
          <w:szCs w:val="21"/>
        </w:rPr>
        <w:t>g within the</w:t>
      </w:r>
      <w:r w:rsidR="00D67DA9">
        <w:rPr>
          <w:szCs w:val="21"/>
        </w:rPr>
        <w:t xml:space="preserve"> </w:t>
      </w:r>
      <w:r w:rsidR="009D7EF0">
        <w:rPr>
          <w:szCs w:val="21"/>
        </w:rPr>
        <w:t xml:space="preserve">Massachusetts </w:t>
      </w:r>
      <w:r w:rsidRPr="005905DC">
        <w:rPr>
          <w:szCs w:val="21"/>
        </w:rPr>
        <w:t>counties of Worcester, Bristol, Franklin, Hampshire, Norfolk, Hampden</w:t>
      </w:r>
      <w:r>
        <w:rPr>
          <w:szCs w:val="21"/>
        </w:rPr>
        <w:t>,</w:t>
      </w:r>
      <w:r w:rsidRPr="005905DC">
        <w:rPr>
          <w:szCs w:val="21"/>
        </w:rPr>
        <w:t xml:space="preserve"> and Middlesex</w:t>
      </w:r>
      <w:proofErr w:type="gramStart"/>
      <w:r w:rsidRPr="005905DC">
        <w:rPr>
          <w:szCs w:val="21"/>
        </w:rPr>
        <w:t xml:space="preserve">. </w:t>
      </w:r>
      <w:r>
        <w:rPr>
          <w:szCs w:val="21"/>
        </w:rPr>
        <w:t xml:space="preserve"> </w:t>
      </w:r>
      <w:proofErr w:type="gramEnd"/>
      <w:r w:rsidR="0006403F">
        <w:rPr>
          <w:szCs w:val="21"/>
        </w:rPr>
        <w:t>The field of membership</w:t>
      </w:r>
      <w:r w:rsidRPr="005905DC">
        <w:rPr>
          <w:szCs w:val="21"/>
        </w:rPr>
        <w:t xml:space="preserve"> also includes Wyndham County in Connecticut.</w:t>
      </w:r>
    </w:p>
    <w:p w14:paraId="31D1A6A6" w14:textId="77777777" w:rsidR="006519EF" w:rsidRDefault="006519EF" w:rsidP="00575435">
      <w:pPr>
        <w:jc w:val="both"/>
      </w:pPr>
    </w:p>
    <w:p w14:paraId="52F3055F" w14:textId="77777777" w:rsidR="006519EF" w:rsidRPr="00AE66EF" w:rsidRDefault="006519EF" w:rsidP="00575435">
      <w:pPr>
        <w:jc w:val="both"/>
      </w:pPr>
      <w:r w:rsidRPr="00AE66EF">
        <w:t>The credit union ha</w:t>
      </w:r>
      <w:r>
        <w:t>s 12,925 members as of September 30, 2020</w:t>
      </w:r>
      <w:proofErr w:type="gramStart"/>
      <w:r w:rsidRPr="00AE66EF">
        <w:t>.</w:t>
      </w:r>
      <w:r>
        <w:t xml:space="preserve"> </w:t>
      </w:r>
      <w:r w:rsidRPr="00AE66EF">
        <w:t xml:space="preserve"> </w:t>
      </w:r>
      <w:proofErr w:type="gramEnd"/>
      <w:r>
        <w:t>Southbridge</w:t>
      </w:r>
      <w:r w:rsidRPr="00AE66EF">
        <w:t xml:space="preserve"> Credit Union received a Satisfactory rating from the Massachusetts Division of Banks during it</w:t>
      </w:r>
      <w:r>
        <w:t>s prior evaluation using the Interagency Small Institution</w:t>
      </w:r>
      <w:r w:rsidRPr="00AE66EF">
        <w:t xml:space="preserve"> Examination Procedures. </w:t>
      </w:r>
    </w:p>
    <w:p w14:paraId="5021E9E6" w14:textId="77777777" w:rsidR="006519EF" w:rsidRDefault="006519EF" w:rsidP="00575435">
      <w:pPr>
        <w:jc w:val="both"/>
        <w:rPr>
          <w:b/>
          <w:u w:val="single"/>
        </w:rPr>
      </w:pPr>
    </w:p>
    <w:p w14:paraId="4016F4F8" w14:textId="77777777" w:rsidR="00E951F8" w:rsidRDefault="00E951F8" w:rsidP="00575435">
      <w:pPr>
        <w:jc w:val="both"/>
        <w:rPr>
          <w:b/>
          <w:u w:val="single"/>
        </w:rPr>
      </w:pPr>
      <w:r>
        <w:rPr>
          <w:b/>
          <w:u w:val="single"/>
        </w:rPr>
        <w:t>Operations</w:t>
      </w:r>
    </w:p>
    <w:p w14:paraId="4BC0B4D2" w14:textId="77777777" w:rsidR="006519EF" w:rsidRDefault="006519EF" w:rsidP="00575435">
      <w:pPr>
        <w:jc w:val="both"/>
        <w:rPr>
          <w:b/>
          <w:u w:val="single"/>
        </w:rPr>
      </w:pPr>
    </w:p>
    <w:p w14:paraId="3AE5B741" w14:textId="408A2FED" w:rsidR="006519EF" w:rsidRDefault="006519EF" w:rsidP="00575435">
      <w:pPr>
        <w:jc w:val="both"/>
      </w:pPr>
      <w:r w:rsidRPr="00953EE9">
        <w:t xml:space="preserve">The credit union is headquartered </w:t>
      </w:r>
      <w:r>
        <w:t>at 179 Main Street, Southbridge,</w:t>
      </w:r>
      <w:r w:rsidRPr="00953EE9">
        <w:t xml:space="preserve"> MA</w:t>
      </w:r>
      <w:r>
        <w:t>, which is located in a low</w:t>
      </w:r>
      <w:r w:rsidRPr="00953EE9">
        <w:t>-income census tract</w:t>
      </w:r>
      <w:proofErr w:type="gramStart"/>
      <w:r w:rsidRPr="00953EE9">
        <w:t>.</w:t>
      </w:r>
      <w:r>
        <w:t xml:space="preserve">  </w:t>
      </w:r>
      <w:proofErr w:type="gramEnd"/>
      <w:r>
        <w:t>Southbridge Credit Union operates three other full-service branches</w:t>
      </w:r>
      <w:r w:rsidRPr="00DB6FDA">
        <w:t xml:space="preserve"> located at </w:t>
      </w:r>
      <w:r>
        <w:t xml:space="preserve">732 Southbridge Street, Auburn (upper-income), 514 Main Street, </w:t>
      </w:r>
      <w:proofErr w:type="spellStart"/>
      <w:r>
        <w:t>Fiskdale</w:t>
      </w:r>
      <w:proofErr w:type="spellEnd"/>
      <w:r>
        <w:t xml:space="preserve"> (upper-income), and 120 Charlton Road,</w:t>
      </w:r>
      <w:r w:rsidRPr="00DB6FDA">
        <w:t xml:space="preserve"> in Sturbridge</w:t>
      </w:r>
      <w:r>
        <w:t xml:space="preserve"> (upper-income)</w:t>
      </w:r>
      <w:proofErr w:type="gramStart"/>
      <w:r>
        <w:t>.</w:t>
      </w:r>
      <w:r w:rsidRPr="00DB6FDA">
        <w:rPr>
          <w:sz w:val="28"/>
        </w:rPr>
        <w:t xml:space="preserve">  </w:t>
      </w:r>
      <w:proofErr w:type="gramEnd"/>
      <w:r>
        <w:t xml:space="preserve">The credit union also operates a branch at Bay Path Regional Vocational Technical High School, which is open to </w:t>
      </w:r>
      <w:r w:rsidR="008C19F4">
        <w:t>s</w:t>
      </w:r>
      <w:r>
        <w:t xml:space="preserve">tudents and </w:t>
      </w:r>
      <w:r w:rsidR="008C19F4">
        <w:t>s</w:t>
      </w:r>
      <w:r>
        <w:t xml:space="preserve">chool </w:t>
      </w:r>
      <w:r w:rsidR="008C19F4">
        <w:t>e</w:t>
      </w:r>
      <w:r>
        <w:t>mployees</w:t>
      </w:r>
      <w:proofErr w:type="gramStart"/>
      <w:r>
        <w:t xml:space="preserve">.  </w:t>
      </w:r>
      <w:proofErr w:type="gramEnd"/>
      <w:r>
        <w:t>A</w:t>
      </w:r>
      <w:r w:rsidRPr="00DB6FDA">
        <w:t xml:space="preserve"> </w:t>
      </w:r>
      <w:r>
        <w:t xml:space="preserve">loan center </w:t>
      </w:r>
      <w:proofErr w:type="gramStart"/>
      <w:r>
        <w:t>is operated</w:t>
      </w:r>
      <w:proofErr w:type="gramEnd"/>
      <w:r>
        <w:t xml:space="preserve"> by the credit union at 155 Main St. Southbridge, MA. </w:t>
      </w:r>
    </w:p>
    <w:p w14:paraId="19B3FFB9" w14:textId="77777777" w:rsidR="006519EF" w:rsidRDefault="006519EF" w:rsidP="00575435">
      <w:pPr>
        <w:jc w:val="both"/>
      </w:pPr>
    </w:p>
    <w:p w14:paraId="29661E25" w14:textId="77777777" w:rsidR="006519EF" w:rsidRDefault="006519EF" w:rsidP="00575435">
      <w:pPr>
        <w:jc w:val="both"/>
      </w:pPr>
      <w:r w:rsidRPr="006B45E2">
        <w:t>Since the last e</w:t>
      </w:r>
      <w:r w:rsidR="0085209D">
        <w:t>xam, the credit u</w:t>
      </w:r>
      <w:r>
        <w:t>nion has relocated one branch</w:t>
      </w:r>
      <w:proofErr w:type="gramStart"/>
      <w:r>
        <w:t xml:space="preserve">.  </w:t>
      </w:r>
      <w:proofErr w:type="gramEnd"/>
      <w:r>
        <w:t>In 2018</w:t>
      </w:r>
      <w:r w:rsidRPr="006B45E2">
        <w:t>, t</w:t>
      </w:r>
      <w:r w:rsidR="0085209D">
        <w:t>he credit u</w:t>
      </w:r>
      <w:r>
        <w:t>nion relocated its headquarters from 205 Main Street, Southbridge, MA to 179 Main Street, Southbridge, a low-income census tract.</w:t>
      </w:r>
    </w:p>
    <w:p w14:paraId="4D9F4549" w14:textId="77777777" w:rsidR="006519EF" w:rsidRDefault="006519EF" w:rsidP="00575435">
      <w:pPr>
        <w:jc w:val="both"/>
      </w:pPr>
    </w:p>
    <w:p w14:paraId="7231E52C" w14:textId="77777777" w:rsidR="006519EF" w:rsidRPr="00406AD5" w:rsidRDefault="0085209D" w:rsidP="00575435">
      <w:pPr>
        <w:jc w:val="both"/>
        <w:rPr>
          <w:sz w:val="32"/>
        </w:rPr>
      </w:pPr>
      <w:r>
        <w:lastRenderedPageBreak/>
        <w:t>The credit u</w:t>
      </w:r>
      <w:r w:rsidR="006519EF" w:rsidRPr="00406AD5">
        <w:t>nion’s business hours are readily accessible to all members, with extended hours on Thursda</w:t>
      </w:r>
      <w:r w:rsidR="006519EF">
        <w:t>y and Friday</w:t>
      </w:r>
      <w:proofErr w:type="gramStart"/>
      <w:r w:rsidR="006519EF">
        <w:t xml:space="preserve">.  </w:t>
      </w:r>
      <w:proofErr w:type="gramEnd"/>
      <w:r w:rsidR="006519EF">
        <w:t>Saturday hours are limited at two branches (Southbridge and Sturbridge), while the remaining branches are closed</w:t>
      </w:r>
      <w:proofErr w:type="gramStart"/>
      <w:r w:rsidR="006519EF">
        <w:t>.</w:t>
      </w:r>
      <w:r w:rsidR="006519EF" w:rsidRPr="00406AD5">
        <w:t xml:space="preserve"> </w:t>
      </w:r>
      <w:r w:rsidR="006519EF">
        <w:t xml:space="preserve"> </w:t>
      </w:r>
      <w:proofErr w:type="gramEnd"/>
      <w:r>
        <w:t>The credit u</w:t>
      </w:r>
      <w:r w:rsidR="006519EF" w:rsidRPr="00406AD5">
        <w:t>nion offers automated teller machines (ATMs) at each of the four branches as well as two stand-alone ATMs located in Southbridge and Webster</w:t>
      </w:r>
      <w:proofErr w:type="gramStart"/>
      <w:r w:rsidR="006519EF" w:rsidRPr="00406AD5">
        <w:t xml:space="preserve">. </w:t>
      </w:r>
      <w:r w:rsidR="006519EF">
        <w:t xml:space="preserve"> </w:t>
      </w:r>
      <w:proofErr w:type="gramEnd"/>
      <w:r>
        <w:t>The credit u</w:t>
      </w:r>
      <w:r w:rsidR="006519EF" w:rsidRPr="00406AD5">
        <w:t xml:space="preserve">nion is a member of the SUM and </w:t>
      </w:r>
      <w:proofErr w:type="spellStart"/>
      <w:r w:rsidR="006519EF" w:rsidRPr="00406AD5">
        <w:t>Allpoint</w:t>
      </w:r>
      <w:proofErr w:type="spellEnd"/>
      <w:r w:rsidR="006519EF" w:rsidRPr="00406AD5">
        <w:t xml:space="preserve"> networks.</w:t>
      </w:r>
      <w:r w:rsidR="006519EF" w:rsidRPr="00406AD5">
        <w:rPr>
          <w:sz w:val="28"/>
        </w:rPr>
        <w:t xml:space="preserve"> </w:t>
      </w:r>
    </w:p>
    <w:p w14:paraId="7F31B926" w14:textId="77777777" w:rsidR="006519EF" w:rsidRDefault="006519EF" w:rsidP="00575435">
      <w:pPr>
        <w:jc w:val="both"/>
      </w:pPr>
    </w:p>
    <w:p w14:paraId="3198E3DC" w14:textId="77777777" w:rsidR="006519EF" w:rsidRPr="00444D27" w:rsidRDefault="0085209D" w:rsidP="00575435">
      <w:pPr>
        <w:jc w:val="both"/>
        <w:rPr>
          <w:b/>
          <w:sz w:val="28"/>
          <w:highlight w:val="yellow"/>
          <w:u w:val="single"/>
        </w:rPr>
      </w:pPr>
      <w:r>
        <w:t>The credit u</w:t>
      </w:r>
      <w:r w:rsidR="006519EF" w:rsidRPr="00444D27">
        <w:t>nion offers a variety of loan products to its members</w:t>
      </w:r>
      <w:proofErr w:type="gramStart"/>
      <w:r w:rsidR="006519EF" w:rsidRPr="00444D27">
        <w:t xml:space="preserve">. </w:t>
      </w:r>
      <w:r w:rsidR="006519EF">
        <w:t xml:space="preserve"> </w:t>
      </w:r>
      <w:proofErr w:type="gramEnd"/>
      <w:r w:rsidR="006519EF" w:rsidRPr="00444D27">
        <w:t>These inclu</w:t>
      </w:r>
      <w:r w:rsidR="006519EF">
        <w:t>de auto loans, motorcycle loans,</w:t>
      </w:r>
      <w:r w:rsidR="006519EF" w:rsidRPr="00444D27">
        <w:t xml:space="preserve"> mobile home loans</w:t>
      </w:r>
      <w:r w:rsidR="006519EF">
        <w:t>,</w:t>
      </w:r>
      <w:r w:rsidR="006519EF" w:rsidRPr="00444D27">
        <w:t xml:space="preserve"> RV loans,</w:t>
      </w:r>
      <w:r w:rsidR="006519EF">
        <w:t xml:space="preserve"> Student loans</w:t>
      </w:r>
      <w:r w:rsidR="006519EF" w:rsidRPr="00444D27">
        <w:t>, unsecured personal loans, home equities, and fixed and adjustable rate mortgages</w:t>
      </w:r>
      <w:proofErr w:type="gramStart"/>
      <w:r w:rsidR="006519EF" w:rsidRPr="00444D27">
        <w:t>.</w:t>
      </w:r>
      <w:r w:rsidR="006519EF">
        <w:t xml:space="preserve"> </w:t>
      </w:r>
      <w:r w:rsidR="006519EF" w:rsidRPr="00444D27">
        <w:t xml:space="preserve"> </w:t>
      </w:r>
      <w:proofErr w:type="gramEnd"/>
      <w:r w:rsidR="006519EF" w:rsidRPr="00444D27">
        <w:t xml:space="preserve">Deposit products offered include checking and savings accounts, </w:t>
      </w:r>
      <w:r w:rsidR="006519EF">
        <w:t xml:space="preserve">Christmas and all-purpose club accounts, Money Market, </w:t>
      </w:r>
      <w:r w:rsidR="006519EF" w:rsidRPr="00444D27">
        <w:t>certificates of deposit,</w:t>
      </w:r>
      <w:r w:rsidR="006519EF">
        <w:t xml:space="preserve"> </w:t>
      </w:r>
      <w:r w:rsidR="006519EF" w:rsidRPr="00444D27">
        <w:t>and individual retirement accounts</w:t>
      </w:r>
      <w:proofErr w:type="gramStart"/>
      <w:r w:rsidR="006519EF" w:rsidRPr="00444D27">
        <w:t xml:space="preserve">. </w:t>
      </w:r>
      <w:r w:rsidR="006519EF">
        <w:t xml:space="preserve"> </w:t>
      </w:r>
      <w:proofErr w:type="gramEnd"/>
      <w:r w:rsidR="006519EF" w:rsidRPr="00444D27">
        <w:t xml:space="preserve">Other services include online banking with </w:t>
      </w:r>
      <w:proofErr w:type="spellStart"/>
      <w:r w:rsidR="006519EF" w:rsidRPr="00444D27">
        <w:t>eStatements</w:t>
      </w:r>
      <w:proofErr w:type="spellEnd"/>
      <w:r w:rsidR="006519EF" w:rsidRPr="00444D27">
        <w:t xml:space="preserve"> and bill pay, mobile banking, wire transfers, telephone banking, and credit and debit cards.</w:t>
      </w:r>
    </w:p>
    <w:p w14:paraId="516A4EE7" w14:textId="77777777" w:rsidR="00E951F8" w:rsidRPr="00E951F8" w:rsidRDefault="00E951F8" w:rsidP="00575435">
      <w:pPr>
        <w:jc w:val="both"/>
        <w:rPr>
          <w:b/>
          <w:u w:val="single"/>
        </w:rPr>
      </w:pPr>
    </w:p>
    <w:p w14:paraId="7661E7E7" w14:textId="77777777" w:rsidR="008E7ED4" w:rsidRDefault="008E7ED4" w:rsidP="00575435">
      <w:pPr>
        <w:jc w:val="both"/>
        <w:rPr>
          <w:b/>
          <w:u w:val="single"/>
        </w:rPr>
      </w:pPr>
      <w:r w:rsidRPr="008E7ED4">
        <w:rPr>
          <w:b/>
          <w:u w:val="single"/>
        </w:rPr>
        <w:t>Ability and Capacity</w:t>
      </w:r>
    </w:p>
    <w:p w14:paraId="250A9004" w14:textId="77777777" w:rsidR="008E7ED4" w:rsidRPr="008E7ED4" w:rsidRDefault="008E7ED4" w:rsidP="00575435">
      <w:pPr>
        <w:jc w:val="both"/>
        <w:rPr>
          <w:b/>
          <w:u w:val="single"/>
        </w:rPr>
      </w:pPr>
    </w:p>
    <w:p w14:paraId="2143B01D" w14:textId="77777777" w:rsidR="006519EF" w:rsidRPr="00E01D95" w:rsidRDefault="00055206" w:rsidP="00575435">
      <w:pPr>
        <w:jc w:val="both"/>
        <w:rPr>
          <w:highlight w:val="yellow"/>
        </w:rPr>
      </w:pPr>
      <w:r>
        <w:t>As of December 31</w:t>
      </w:r>
      <w:r w:rsidR="006519EF" w:rsidRPr="00C6312D">
        <w:t>, 2020, a</w:t>
      </w:r>
      <w:r>
        <w:t>ssets totaled approximately $199.1</w:t>
      </w:r>
      <w:r w:rsidR="004D790C">
        <w:t xml:space="preserve"> million and shares totaled </w:t>
      </w:r>
      <w:r w:rsidR="00C31283">
        <w:t>$</w:t>
      </w:r>
      <w:r w:rsidR="004D790C">
        <w:t>164.9</w:t>
      </w:r>
      <w:r w:rsidR="006519EF" w:rsidRPr="00C6312D">
        <w:t xml:space="preserve"> m</w:t>
      </w:r>
      <w:r>
        <w:t>illion</w:t>
      </w:r>
      <w:proofErr w:type="gramStart"/>
      <w:r>
        <w:t xml:space="preserve">.  </w:t>
      </w:r>
      <w:proofErr w:type="gramEnd"/>
      <w:r>
        <w:t>Total loans were $149.4</w:t>
      </w:r>
      <w:r w:rsidR="006519EF" w:rsidRPr="00C6312D">
        <w:t xml:space="preserve"> million, </w:t>
      </w:r>
      <w:r>
        <w:t xml:space="preserve">representing approximately 75.0 </w:t>
      </w:r>
      <w:r w:rsidR="006519EF" w:rsidRPr="00C6312D">
        <w:t>percent of total assets</w:t>
      </w:r>
      <w:proofErr w:type="gramStart"/>
      <w:r w:rsidR="006519EF" w:rsidRPr="00C6312D">
        <w:t>.</w:t>
      </w:r>
      <w:r w:rsidR="006519EF" w:rsidRPr="00055206">
        <w:t xml:space="preserve">  </w:t>
      </w:r>
      <w:proofErr w:type="gramEnd"/>
      <w:r w:rsidR="006519EF" w:rsidRPr="00C6312D">
        <w:t>Since the previous CRA e</w:t>
      </w:r>
      <w:r>
        <w:t>valuation, assets increased 18.1</w:t>
      </w:r>
      <w:r w:rsidR="006519EF" w:rsidRPr="00C6312D">
        <w:t xml:space="preserve"> percent and the </w:t>
      </w:r>
      <w:r>
        <w:t>lending portfolio increased 22.2</w:t>
      </w:r>
      <w:r w:rsidR="006519EF" w:rsidRPr="00C6312D">
        <w:t xml:space="preserve"> percent</w:t>
      </w:r>
      <w:proofErr w:type="gramStart"/>
      <w:r w:rsidR="006519EF" w:rsidRPr="00C6312D">
        <w:t>.</w:t>
      </w:r>
      <w:r w:rsidR="006519EF" w:rsidRPr="00BC6C04">
        <w:t xml:space="preserve">  </w:t>
      </w:r>
      <w:proofErr w:type="gramEnd"/>
      <w:r w:rsidR="006519EF" w:rsidRPr="00BC6C04">
        <w:t>The following table illustrates the credit union’s loan portfolio.</w:t>
      </w:r>
    </w:p>
    <w:p w14:paraId="3CC80707" w14:textId="77777777" w:rsidR="006E4989" w:rsidRDefault="006E4989" w:rsidP="006E4989"/>
    <w:tbl>
      <w:tblPr>
        <w:tblpPr w:leftFromText="180" w:rightFromText="180" w:vertAnchor="text" w:horzAnchor="margin" w:tblpY="-40"/>
        <w:tblW w:w="9307" w:type="dxa"/>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000" w:firstRow="0" w:lastRow="0" w:firstColumn="0" w:lastColumn="0" w:noHBand="0" w:noVBand="0"/>
        <w:tblDescription w:val="Table X - Loan Portfolio Distribution as of XX/XX/XX"/>
      </w:tblPr>
      <w:tblGrid>
        <w:gridCol w:w="6524"/>
        <w:gridCol w:w="1626"/>
        <w:gridCol w:w="1157"/>
      </w:tblGrid>
      <w:tr w:rsidR="006519EF" w:rsidRPr="00E01D95" w14:paraId="1B937029" w14:textId="77777777" w:rsidTr="00431493">
        <w:trPr>
          <w:trHeight w:hRule="exact" w:val="365"/>
          <w:tblHeader/>
        </w:trPr>
        <w:tc>
          <w:tcPr>
            <w:tcW w:w="9307" w:type="dxa"/>
            <w:gridSpan w:val="3"/>
            <w:tcBorders>
              <w:top w:val="single" w:sz="4" w:space="0" w:color="auto"/>
              <w:bottom w:val="single" w:sz="8" w:space="0" w:color="auto"/>
            </w:tcBorders>
            <w:shd w:val="clear" w:color="auto" w:fill="auto"/>
            <w:vAlign w:val="center"/>
          </w:tcPr>
          <w:p w14:paraId="60C25DC0" w14:textId="77777777" w:rsidR="006519EF" w:rsidRPr="00080C2D" w:rsidRDefault="006519EF" w:rsidP="00E4648B">
            <w:pPr>
              <w:jc w:val="center"/>
              <w:rPr>
                <w:b/>
                <w:sz w:val="20"/>
                <w:szCs w:val="20"/>
              </w:rPr>
            </w:pPr>
            <w:r w:rsidRPr="00080C2D">
              <w:rPr>
                <w:sz w:val="20"/>
                <w:szCs w:val="20"/>
              </w:rPr>
              <w:br w:type="page"/>
            </w:r>
            <w:r w:rsidRPr="00080C2D">
              <w:rPr>
                <w:sz w:val="20"/>
                <w:szCs w:val="20"/>
              </w:rPr>
              <w:br w:type="page"/>
            </w:r>
            <w:r w:rsidRPr="00080C2D">
              <w:rPr>
                <w:sz w:val="20"/>
                <w:szCs w:val="20"/>
              </w:rPr>
              <w:br w:type="page"/>
            </w:r>
            <w:r w:rsidRPr="00080C2D">
              <w:rPr>
                <w:b/>
                <w:sz w:val="20"/>
                <w:szCs w:val="20"/>
              </w:rPr>
              <w:br w:type="page"/>
              <w:t>Loa</w:t>
            </w:r>
            <w:r w:rsidR="00055206">
              <w:rPr>
                <w:b/>
                <w:sz w:val="20"/>
                <w:szCs w:val="20"/>
              </w:rPr>
              <w:t>n Portfolio Distribution as of 12/31</w:t>
            </w:r>
            <w:r w:rsidRPr="00080C2D">
              <w:rPr>
                <w:b/>
                <w:sz w:val="20"/>
                <w:szCs w:val="20"/>
              </w:rPr>
              <w:t>/2020</w:t>
            </w:r>
          </w:p>
        </w:tc>
      </w:tr>
      <w:tr w:rsidR="006519EF" w:rsidRPr="00E01D95" w14:paraId="16968240" w14:textId="77777777" w:rsidTr="00431493">
        <w:trPr>
          <w:trHeight w:hRule="exact" w:val="292"/>
        </w:trPr>
        <w:tc>
          <w:tcPr>
            <w:tcW w:w="6524" w:type="dxa"/>
            <w:tcBorders>
              <w:top w:val="single" w:sz="8" w:space="0" w:color="auto"/>
            </w:tcBorders>
            <w:vAlign w:val="center"/>
          </w:tcPr>
          <w:p w14:paraId="02428D78" w14:textId="77777777" w:rsidR="006519EF" w:rsidRPr="00080C2D" w:rsidRDefault="006519EF" w:rsidP="00E4648B">
            <w:pPr>
              <w:rPr>
                <w:b/>
                <w:sz w:val="20"/>
              </w:rPr>
            </w:pPr>
            <w:r w:rsidRPr="00080C2D">
              <w:rPr>
                <w:b/>
                <w:sz w:val="20"/>
              </w:rPr>
              <w:t>Loan Category</w:t>
            </w:r>
          </w:p>
        </w:tc>
        <w:tc>
          <w:tcPr>
            <w:tcW w:w="1626" w:type="dxa"/>
            <w:tcBorders>
              <w:top w:val="single" w:sz="8" w:space="0" w:color="auto"/>
            </w:tcBorders>
            <w:vAlign w:val="center"/>
          </w:tcPr>
          <w:p w14:paraId="4E39ED64" w14:textId="77777777" w:rsidR="006519EF" w:rsidRPr="00080C2D" w:rsidRDefault="006519EF" w:rsidP="00E4648B">
            <w:pPr>
              <w:jc w:val="center"/>
              <w:rPr>
                <w:b/>
                <w:sz w:val="20"/>
              </w:rPr>
            </w:pPr>
            <w:r w:rsidRPr="00080C2D">
              <w:rPr>
                <w:b/>
                <w:sz w:val="20"/>
              </w:rPr>
              <w:t>$</w:t>
            </w:r>
          </w:p>
        </w:tc>
        <w:tc>
          <w:tcPr>
            <w:tcW w:w="1156" w:type="dxa"/>
            <w:tcBorders>
              <w:top w:val="single" w:sz="8" w:space="0" w:color="auto"/>
            </w:tcBorders>
            <w:vAlign w:val="center"/>
          </w:tcPr>
          <w:p w14:paraId="1F54E309" w14:textId="77777777" w:rsidR="006519EF" w:rsidRPr="00080C2D" w:rsidRDefault="006519EF" w:rsidP="00E4648B">
            <w:pPr>
              <w:jc w:val="center"/>
              <w:rPr>
                <w:b/>
                <w:sz w:val="20"/>
              </w:rPr>
            </w:pPr>
            <w:r w:rsidRPr="00080C2D">
              <w:rPr>
                <w:b/>
                <w:sz w:val="20"/>
              </w:rPr>
              <w:t xml:space="preserve"> %</w:t>
            </w:r>
          </w:p>
        </w:tc>
      </w:tr>
      <w:tr w:rsidR="006519EF" w:rsidRPr="00E01D95" w14:paraId="5B06E340" w14:textId="77777777" w:rsidTr="00431493">
        <w:trPr>
          <w:trHeight w:hRule="exact" w:val="292"/>
        </w:trPr>
        <w:tc>
          <w:tcPr>
            <w:tcW w:w="6524" w:type="dxa"/>
            <w:vAlign w:val="center"/>
          </w:tcPr>
          <w:p w14:paraId="270F8AA6" w14:textId="77777777" w:rsidR="006519EF" w:rsidRPr="00080C2D" w:rsidRDefault="006519EF" w:rsidP="00E4648B">
            <w:pPr>
              <w:rPr>
                <w:sz w:val="20"/>
              </w:rPr>
            </w:pPr>
            <w:r w:rsidRPr="00080C2D">
              <w:rPr>
                <w:sz w:val="20"/>
              </w:rPr>
              <w:t>Unsecured Credit Card Loans</w:t>
            </w:r>
          </w:p>
        </w:tc>
        <w:tc>
          <w:tcPr>
            <w:tcW w:w="1626" w:type="dxa"/>
            <w:vAlign w:val="center"/>
          </w:tcPr>
          <w:p w14:paraId="1A46BB07" w14:textId="77777777" w:rsidR="006519EF" w:rsidRPr="00080C2D" w:rsidRDefault="006519EF" w:rsidP="00E4648B">
            <w:pPr>
              <w:jc w:val="center"/>
              <w:rPr>
                <w:sz w:val="20"/>
              </w:rPr>
            </w:pPr>
            <w:r>
              <w:rPr>
                <w:sz w:val="20"/>
              </w:rPr>
              <w:t>0</w:t>
            </w:r>
          </w:p>
        </w:tc>
        <w:tc>
          <w:tcPr>
            <w:tcW w:w="1156" w:type="dxa"/>
            <w:vAlign w:val="center"/>
          </w:tcPr>
          <w:p w14:paraId="2681C247" w14:textId="77777777" w:rsidR="006519EF" w:rsidRPr="00080C2D" w:rsidRDefault="006519EF" w:rsidP="00E4648B">
            <w:pPr>
              <w:jc w:val="center"/>
              <w:rPr>
                <w:sz w:val="20"/>
              </w:rPr>
            </w:pPr>
            <w:r>
              <w:rPr>
                <w:sz w:val="20"/>
              </w:rPr>
              <w:t>0.0</w:t>
            </w:r>
          </w:p>
        </w:tc>
      </w:tr>
      <w:tr w:rsidR="006519EF" w:rsidRPr="00E01D95" w14:paraId="2901D397" w14:textId="77777777" w:rsidTr="00431493">
        <w:trPr>
          <w:trHeight w:hRule="exact" w:val="292"/>
        </w:trPr>
        <w:tc>
          <w:tcPr>
            <w:tcW w:w="6524" w:type="dxa"/>
            <w:vAlign w:val="center"/>
          </w:tcPr>
          <w:p w14:paraId="3248F6B4" w14:textId="77777777" w:rsidR="006519EF" w:rsidRPr="00080C2D" w:rsidRDefault="006519EF" w:rsidP="00E4648B">
            <w:pPr>
              <w:rPr>
                <w:sz w:val="20"/>
              </w:rPr>
            </w:pPr>
            <w:r w:rsidRPr="00080C2D">
              <w:rPr>
                <w:sz w:val="20"/>
              </w:rPr>
              <w:t>Non-Federally Guaranteed Student Loans</w:t>
            </w:r>
          </w:p>
        </w:tc>
        <w:tc>
          <w:tcPr>
            <w:tcW w:w="1626" w:type="dxa"/>
            <w:vAlign w:val="center"/>
          </w:tcPr>
          <w:p w14:paraId="342D12CF" w14:textId="77777777" w:rsidR="006519EF" w:rsidRPr="00080C2D" w:rsidRDefault="004D790C" w:rsidP="00E4648B">
            <w:pPr>
              <w:jc w:val="center"/>
              <w:rPr>
                <w:sz w:val="20"/>
              </w:rPr>
            </w:pPr>
            <w:r>
              <w:rPr>
                <w:sz w:val="20"/>
              </w:rPr>
              <w:t>7,224,197</w:t>
            </w:r>
          </w:p>
        </w:tc>
        <w:tc>
          <w:tcPr>
            <w:tcW w:w="1156" w:type="dxa"/>
            <w:vAlign w:val="center"/>
          </w:tcPr>
          <w:p w14:paraId="40376A9D" w14:textId="77777777" w:rsidR="006519EF" w:rsidRPr="00080C2D" w:rsidRDefault="004D790C" w:rsidP="00E4648B">
            <w:pPr>
              <w:jc w:val="center"/>
              <w:rPr>
                <w:sz w:val="20"/>
              </w:rPr>
            </w:pPr>
            <w:r>
              <w:rPr>
                <w:sz w:val="20"/>
              </w:rPr>
              <w:t>4.8</w:t>
            </w:r>
          </w:p>
        </w:tc>
      </w:tr>
      <w:tr w:rsidR="006519EF" w:rsidRPr="00E01D95" w14:paraId="60FB084C" w14:textId="77777777" w:rsidTr="00431493">
        <w:trPr>
          <w:trHeight w:hRule="exact" w:val="292"/>
        </w:trPr>
        <w:tc>
          <w:tcPr>
            <w:tcW w:w="6524" w:type="dxa"/>
            <w:vAlign w:val="center"/>
          </w:tcPr>
          <w:p w14:paraId="461F176E" w14:textId="77777777" w:rsidR="006519EF" w:rsidRPr="00080C2D" w:rsidRDefault="006519EF" w:rsidP="00E4648B">
            <w:pPr>
              <w:rPr>
                <w:sz w:val="20"/>
              </w:rPr>
            </w:pPr>
            <w:r w:rsidRPr="00080C2D">
              <w:rPr>
                <w:sz w:val="20"/>
              </w:rPr>
              <w:t>Unsecured Loans/Lines of Credit</w:t>
            </w:r>
          </w:p>
        </w:tc>
        <w:tc>
          <w:tcPr>
            <w:tcW w:w="1626" w:type="dxa"/>
            <w:vAlign w:val="center"/>
          </w:tcPr>
          <w:p w14:paraId="31D2AD0E" w14:textId="77777777" w:rsidR="006519EF" w:rsidRPr="00080C2D" w:rsidRDefault="004D790C" w:rsidP="00E4648B">
            <w:pPr>
              <w:jc w:val="center"/>
              <w:rPr>
                <w:sz w:val="20"/>
              </w:rPr>
            </w:pPr>
            <w:r>
              <w:rPr>
                <w:sz w:val="20"/>
              </w:rPr>
              <w:t>6,041,667</w:t>
            </w:r>
          </w:p>
        </w:tc>
        <w:tc>
          <w:tcPr>
            <w:tcW w:w="1156" w:type="dxa"/>
            <w:vAlign w:val="center"/>
          </w:tcPr>
          <w:p w14:paraId="7A45C09C" w14:textId="77777777" w:rsidR="006519EF" w:rsidRPr="00080C2D" w:rsidRDefault="004D790C" w:rsidP="00E4648B">
            <w:pPr>
              <w:jc w:val="center"/>
              <w:rPr>
                <w:sz w:val="20"/>
              </w:rPr>
            </w:pPr>
            <w:r>
              <w:rPr>
                <w:sz w:val="20"/>
              </w:rPr>
              <w:t>4.0</w:t>
            </w:r>
          </w:p>
        </w:tc>
      </w:tr>
      <w:tr w:rsidR="006519EF" w:rsidRPr="00E01D95" w14:paraId="68CCA4D1" w14:textId="77777777" w:rsidTr="00431493">
        <w:trPr>
          <w:trHeight w:hRule="exact" w:val="292"/>
        </w:trPr>
        <w:tc>
          <w:tcPr>
            <w:tcW w:w="6524" w:type="dxa"/>
            <w:vAlign w:val="center"/>
          </w:tcPr>
          <w:p w14:paraId="197A2D8B" w14:textId="77777777" w:rsidR="006519EF" w:rsidRPr="00080C2D" w:rsidRDefault="006519EF" w:rsidP="00E4648B">
            <w:pPr>
              <w:rPr>
                <w:sz w:val="20"/>
              </w:rPr>
            </w:pPr>
            <w:r w:rsidRPr="00080C2D">
              <w:rPr>
                <w:sz w:val="20"/>
              </w:rPr>
              <w:t>New Vehicle Loans</w:t>
            </w:r>
          </w:p>
        </w:tc>
        <w:tc>
          <w:tcPr>
            <w:tcW w:w="1626" w:type="dxa"/>
            <w:vAlign w:val="center"/>
          </w:tcPr>
          <w:p w14:paraId="7F31F07A" w14:textId="77777777" w:rsidR="006519EF" w:rsidRPr="00080C2D" w:rsidRDefault="004D790C" w:rsidP="00E4648B">
            <w:pPr>
              <w:jc w:val="center"/>
              <w:rPr>
                <w:sz w:val="20"/>
              </w:rPr>
            </w:pPr>
            <w:r>
              <w:rPr>
                <w:sz w:val="20"/>
              </w:rPr>
              <w:t>3,846,837</w:t>
            </w:r>
          </w:p>
        </w:tc>
        <w:tc>
          <w:tcPr>
            <w:tcW w:w="1156" w:type="dxa"/>
            <w:vAlign w:val="center"/>
          </w:tcPr>
          <w:p w14:paraId="39E3875C" w14:textId="77777777" w:rsidR="006519EF" w:rsidRPr="00080C2D" w:rsidRDefault="004D790C" w:rsidP="00E4648B">
            <w:pPr>
              <w:jc w:val="center"/>
              <w:rPr>
                <w:sz w:val="20"/>
              </w:rPr>
            </w:pPr>
            <w:r>
              <w:rPr>
                <w:sz w:val="20"/>
              </w:rPr>
              <w:t>2.6</w:t>
            </w:r>
          </w:p>
        </w:tc>
      </w:tr>
      <w:tr w:rsidR="006519EF" w:rsidRPr="00E01D95" w14:paraId="784187E7" w14:textId="77777777" w:rsidTr="00431493">
        <w:trPr>
          <w:trHeight w:hRule="exact" w:val="292"/>
        </w:trPr>
        <w:tc>
          <w:tcPr>
            <w:tcW w:w="6524" w:type="dxa"/>
            <w:vAlign w:val="center"/>
          </w:tcPr>
          <w:p w14:paraId="0DDBE24F" w14:textId="77777777" w:rsidR="006519EF" w:rsidRPr="00080C2D" w:rsidRDefault="006519EF" w:rsidP="00E4648B">
            <w:pPr>
              <w:rPr>
                <w:sz w:val="20"/>
              </w:rPr>
            </w:pPr>
            <w:r w:rsidRPr="00080C2D">
              <w:rPr>
                <w:sz w:val="20"/>
              </w:rPr>
              <w:t>Used Vehicle Loans</w:t>
            </w:r>
          </w:p>
        </w:tc>
        <w:tc>
          <w:tcPr>
            <w:tcW w:w="1626" w:type="dxa"/>
            <w:vAlign w:val="center"/>
          </w:tcPr>
          <w:p w14:paraId="4785B841" w14:textId="77777777" w:rsidR="006519EF" w:rsidRPr="00080C2D" w:rsidRDefault="004D790C" w:rsidP="00E4648B">
            <w:pPr>
              <w:jc w:val="center"/>
              <w:rPr>
                <w:sz w:val="20"/>
              </w:rPr>
            </w:pPr>
            <w:r>
              <w:rPr>
                <w:sz w:val="20"/>
              </w:rPr>
              <w:t>8,996,269</w:t>
            </w:r>
          </w:p>
        </w:tc>
        <w:tc>
          <w:tcPr>
            <w:tcW w:w="1156" w:type="dxa"/>
            <w:vAlign w:val="center"/>
          </w:tcPr>
          <w:p w14:paraId="6FFA815C" w14:textId="77777777" w:rsidR="006519EF" w:rsidRPr="00080C2D" w:rsidRDefault="004D790C" w:rsidP="00E4648B">
            <w:pPr>
              <w:jc w:val="center"/>
              <w:rPr>
                <w:sz w:val="20"/>
              </w:rPr>
            </w:pPr>
            <w:r>
              <w:rPr>
                <w:sz w:val="20"/>
              </w:rPr>
              <w:t>6.0</w:t>
            </w:r>
          </w:p>
        </w:tc>
      </w:tr>
      <w:tr w:rsidR="006519EF" w:rsidRPr="00E01D95" w14:paraId="2FF18421" w14:textId="77777777" w:rsidTr="00431493">
        <w:trPr>
          <w:trHeight w:hRule="exact" w:val="292"/>
        </w:trPr>
        <w:tc>
          <w:tcPr>
            <w:tcW w:w="6524" w:type="dxa"/>
            <w:vAlign w:val="center"/>
          </w:tcPr>
          <w:p w14:paraId="05078EE6" w14:textId="77777777" w:rsidR="006519EF" w:rsidRPr="00080C2D" w:rsidRDefault="006519EF" w:rsidP="00E4648B">
            <w:pPr>
              <w:rPr>
                <w:sz w:val="20"/>
              </w:rPr>
            </w:pPr>
            <w:r w:rsidRPr="00080C2D">
              <w:rPr>
                <w:sz w:val="20"/>
              </w:rPr>
              <w:t>Secured Non-Real Estate Loans/Lines of Credit</w:t>
            </w:r>
          </w:p>
        </w:tc>
        <w:tc>
          <w:tcPr>
            <w:tcW w:w="1626" w:type="dxa"/>
            <w:vAlign w:val="center"/>
          </w:tcPr>
          <w:p w14:paraId="0E01C947" w14:textId="77777777" w:rsidR="006519EF" w:rsidRPr="00080C2D" w:rsidRDefault="004D790C" w:rsidP="00E4648B">
            <w:pPr>
              <w:jc w:val="center"/>
              <w:rPr>
                <w:sz w:val="20"/>
              </w:rPr>
            </w:pPr>
            <w:r>
              <w:rPr>
                <w:sz w:val="20"/>
              </w:rPr>
              <w:t>1,689,709</w:t>
            </w:r>
          </w:p>
        </w:tc>
        <w:tc>
          <w:tcPr>
            <w:tcW w:w="1156" w:type="dxa"/>
            <w:vAlign w:val="center"/>
          </w:tcPr>
          <w:p w14:paraId="75935359" w14:textId="77777777" w:rsidR="006519EF" w:rsidRPr="00080C2D" w:rsidRDefault="006519EF" w:rsidP="00E4648B">
            <w:pPr>
              <w:jc w:val="center"/>
              <w:rPr>
                <w:sz w:val="20"/>
              </w:rPr>
            </w:pPr>
            <w:r>
              <w:rPr>
                <w:sz w:val="20"/>
              </w:rPr>
              <w:t>1</w:t>
            </w:r>
            <w:r w:rsidR="004D790C">
              <w:rPr>
                <w:sz w:val="20"/>
              </w:rPr>
              <w:t>.1</w:t>
            </w:r>
          </w:p>
        </w:tc>
      </w:tr>
      <w:tr w:rsidR="006519EF" w:rsidRPr="00E01D95" w14:paraId="0634433A" w14:textId="77777777" w:rsidTr="00431493">
        <w:trPr>
          <w:trHeight w:hRule="exact" w:val="292"/>
        </w:trPr>
        <w:tc>
          <w:tcPr>
            <w:tcW w:w="6524" w:type="dxa"/>
            <w:vAlign w:val="center"/>
          </w:tcPr>
          <w:p w14:paraId="5F66B722" w14:textId="77777777" w:rsidR="006519EF" w:rsidRPr="00080C2D" w:rsidRDefault="006519EF" w:rsidP="00E4648B">
            <w:pPr>
              <w:rPr>
                <w:sz w:val="20"/>
              </w:rPr>
            </w:pPr>
            <w:r w:rsidRPr="00080C2D">
              <w:rPr>
                <w:sz w:val="20"/>
              </w:rPr>
              <w:t>Total Loans/Lines of Credit Secured by 1</w:t>
            </w:r>
            <w:r w:rsidRPr="00080C2D">
              <w:rPr>
                <w:sz w:val="20"/>
                <w:vertAlign w:val="superscript"/>
              </w:rPr>
              <w:t>st</w:t>
            </w:r>
            <w:r w:rsidRPr="00080C2D">
              <w:rPr>
                <w:sz w:val="20"/>
              </w:rPr>
              <w:t xml:space="preserve"> Lien 1-4 Family Residential Properties</w:t>
            </w:r>
          </w:p>
        </w:tc>
        <w:tc>
          <w:tcPr>
            <w:tcW w:w="1626" w:type="dxa"/>
            <w:vAlign w:val="center"/>
          </w:tcPr>
          <w:p w14:paraId="028C88B1" w14:textId="77777777" w:rsidR="006519EF" w:rsidRPr="00080C2D" w:rsidRDefault="004D790C" w:rsidP="00E4648B">
            <w:pPr>
              <w:jc w:val="center"/>
              <w:rPr>
                <w:sz w:val="20"/>
              </w:rPr>
            </w:pPr>
            <w:r>
              <w:rPr>
                <w:sz w:val="20"/>
              </w:rPr>
              <w:t>85,271,482</w:t>
            </w:r>
          </w:p>
        </w:tc>
        <w:tc>
          <w:tcPr>
            <w:tcW w:w="1156" w:type="dxa"/>
            <w:vAlign w:val="center"/>
          </w:tcPr>
          <w:p w14:paraId="6464B302" w14:textId="77777777" w:rsidR="006519EF" w:rsidRPr="00080C2D" w:rsidRDefault="004D790C" w:rsidP="00E4648B">
            <w:pPr>
              <w:jc w:val="center"/>
              <w:rPr>
                <w:sz w:val="20"/>
              </w:rPr>
            </w:pPr>
            <w:r>
              <w:rPr>
                <w:sz w:val="20"/>
              </w:rPr>
              <w:t>57.1</w:t>
            </w:r>
          </w:p>
        </w:tc>
      </w:tr>
      <w:tr w:rsidR="006519EF" w:rsidRPr="00E01D95" w14:paraId="31FA28F8" w14:textId="77777777" w:rsidTr="00431493">
        <w:trPr>
          <w:trHeight w:hRule="exact" w:val="292"/>
        </w:trPr>
        <w:tc>
          <w:tcPr>
            <w:tcW w:w="6524" w:type="dxa"/>
            <w:vAlign w:val="center"/>
          </w:tcPr>
          <w:p w14:paraId="1E03B6FA" w14:textId="77777777" w:rsidR="006519EF" w:rsidRPr="00080C2D" w:rsidRDefault="006519EF" w:rsidP="00E4648B">
            <w:pPr>
              <w:rPr>
                <w:sz w:val="20"/>
              </w:rPr>
            </w:pPr>
            <w:r w:rsidRPr="00080C2D">
              <w:rPr>
                <w:sz w:val="20"/>
              </w:rPr>
              <w:t>Total Lo</w:t>
            </w:r>
            <w:r>
              <w:rPr>
                <w:sz w:val="20"/>
              </w:rPr>
              <w:t>ans/Lines of Credit Secured by Junior</w:t>
            </w:r>
            <w:r w:rsidRPr="00080C2D">
              <w:rPr>
                <w:sz w:val="20"/>
              </w:rPr>
              <w:t xml:space="preserve"> Lien 1-4 Family Residential Properties</w:t>
            </w:r>
          </w:p>
        </w:tc>
        <w:tc>
          <w:tcPr>
            <w:tcW w:w="1626" w:type="dxa"/>
            <w:vAlign w:val="center"/>
          </w:tcPr>
          <w:p w14:paraId="0F8F636C" w14:textId="77777777" w:rsidR="006519EF" w:rsidRDefault="004D790C" w:rsidP="00E4648B">
            <w:pPr>
              <w:jc w:val="center"/>
              <w:rPr>
                <w:sz w:val="20"/>
              </w:rPr>
            </w:pPr>
            <w:r>
              <w:rPr>
                <w:sz w:val="20"/>
              </w:rPr>
              <w:t>10,869,273</w:t>
            </w:r>
          </w:p>
        </w:tc>
        <w:tc>
          <w:tcPr>
            <w:tcW w:w="1156" w:type="dxa"/>
            <w:vAlign w:val="center"/>
          </w:tcPr>
          <w:p w14:paraId="0AE5EE78" w14:textId="77777777" w:rsidR="006519EF" w:rsidRPr="00080C2D" w:rsidRDefault="004D790C" w:rsidP="00E4648B">
            <w:pPr>
              <w:jc w:val="center"/>
              <w:rPr>
                <w:sz w:val="20"/>
              </w:rPr>
            </w:pPr>
            <w:r>
              <w:rPr>
                <w:sz w:val="20"/>
              </w:rPr>
              <w:t>7.3</w:t>
            </w:r>
          </w:p>
        </w:tc>
      </w:tr>
      <w:tr w:rsidR="006519EF" w:rsidRPr="00E01D95" w14:paraId="46628F95" w14:textId="77777777" w:rsidTr="00431493">
        <w:trPr>
          <w:trHeight w:hRule="exact" w:val="550"/>
        </w:trPr>
        <w:tc>
          <w:tcPr>
            <w:tcW w:w="6524" w:type="dxa"/>
            <w:vAlign w:val="center"/>
          </w:tcPr>
          <w:p w14:paraId="65026E7C" w14:textId="77777777" w:rsidR="006519EF" w:rsidRPr="00080C2D" w:rsidRDefault="006519EF" w:rsidP="00E4648B">
            <w:pPr>
              <w:rPr>
                <w:sz w:val="20"/>
              </w:rPr>
            </w:pPr>
            <w:r w:rsidRPr="00080C2D">
              <w:rPr>
                <w:sz w:val="20"/>
              </w:rPr>
              <w:t>All Other Real Estate Loans/Lines of Credit</w:t>
            </w:r>
          </w:p>
        </w:tc>
        <w:tc>
          <w:tcPr>
            <w:tcW w:w="1626" w:type="dxa"/>
            <w:vAlign w:val="center"/>
          </w:tcPr>
          <w:p w14:paraId="29557453" w14:textId="77777777" w:rsidR="006519EF" w:rsidRPr="00080C2D" w:rsidRDefault="004D790C" w:rsidP="00E4648B">
            <w:pPr>
              <w:jc w:val="center"/>
              <w:rPr>
                <w:sz w:val="20"/>
              </w:rPr>
            </w:pPr>
            <w:r>
              <w:rPr>
                <w:sz w:val="20"/>
              </w:rPr>
              <w:t>168,891</w:t>
            </w:r>
          </w:p>
        </w:tc>
        <w:tc>
          <w:tcPr>
            <w:tcW w:w="1156" w:type="dxa"/>
            <w:vAlign w:val="center"/>
          </w:tcPr>
          <w:p w14:paraId="4E5C4F7F" w14:textId="77777777" w:rsidR="006519EF" w:rsidRPr="00080C2D" w:rsidRDefault="006519EF" w:rsidP="00E4648B">
            <w:pPr>
              <w:jc w:val="center"/>
              <w:rPr>
                <w:sz w:val="20"/>
              </w:rPr>
            </w:pPr>
            <w:r>
              <w:rPr>
                <w:sz w:val="20"/>
              </w:rPr>
              <w:t>0.1</w:t>
            </w:r>
          </w:p>
        </w:tc>
      </w:tr>
      <w:tr w:rsidR="006519EF" w:rsidRPr="00E01D95" w14:paraId="6FC3F23B" w14:textId="77777777" w:rsidTr="00431493">
        <w:trPr>
          <w:trHeight w:hRule="exact" w:val="292"/>
        </w:trPr>
        <w:tc>
          <w:tcPr>
            <w:tcW w:w="6524" w:type="dxa"/>
            <w:vAlign w:val="center"/>
          </w:tcPr>
          <w:p w14:paraId="4E2B15CE" w14:textId="77777777" w:rsidR="006519EF" w:rsidRPr="00080C2D" w:rsidRDefault="006519EF" w:rsidP="00E4648B">
            <w:pPr>
              <w:rPr>
                <w:sz w:val="20"/>
              </w:rPr>
            </w:pPr>
            <w:r w:rsidRPr="00080C2D">
              <w:rPr>
                <w:sz w:val="20"/>
              </w:rPr>
              <w:t>Commercial Loans/Lines of Credit Real Estate Secured</w:t>
            </w:r>
          </w:p>
        </w:tc>
        <w:tc>
          <w:tcPr>
            <w:tcW w:w="1626" w:type="dxa"/>
            <w:vAlign w:val="center"/>
          </w:tcPr>
          <w:p w14:paraId="65F04F08" w14:textId="77777777" w:rsidR="006519EF" w:rsidRPr="00080C2D" w:rsidRDefault="004D790C" w:rsidP="00E4648B">
            <w:pPr>
              <w:jc w:val="center"/>
              <w:rPr>
                <w:sz w:val="20"/>
              </w:rPr>
            </w:pPr>
            <w:r>
              <w:rPr>
                <w:sz w:val="20"/>
              </w:rPr>
              <w:t>22,055,755</w:t>
            </w:r>
          </w:p>
        </w:tc>
        <w:tc>
          <w:tcPr>
            <w:tcW w:w="1156" w:type="dxa"/>
            <w:vAlign w:val="center"/>
          </w:tcPr>
          <w:p w14:paraId="4F14E5E2" w14:textId="77777777" w:rsidR="006519EF" w:rsidRPr="00080C2D" w:rsidRDefault="006519EF" w:rsidP="00E4648B">
            <w:pPr>
              <w:jc w:val="center"/>
              <w:rPr>
                <w:sz w:val="20"/>
              </w:rPr>
            </w:pPr>
            <w:r>
              <w:rPr>
                <w:sz w:val="20"/>
              </w:rPr>
              <w:t>14.8</w:t>
            </w:r>
          </w:p>
        </w:tc>
      </w:tr>
      <w:tr w:rsidR="006519EF" w:rsidRPr="00E01D95" w14:paraId="731397FC" w14:textId="77777777" w:rsidTr="00431493">
        <w:trPr>
          <w:trHeight w:hRule="exact" w:val="292"/>
        </w:trPr>
        <w:tc>
          <w:tcPr>
            <w:tcW w:w="6524" w:type="dxa"/>
            <w:vAlign w:val="center"/>
          </w:tcPr>
          <w:p w14:paraId="4B30A730" w14:textId="77777777" w:rsidR="006519EF" w:rsidRPr="00080C2D" w:rsidRDefault="006519EF" w:rsidP="00E4648B">
            <w:pPr>
              <w:rPr>
                <w:sz w:val="20"/>
              </w:rPr>
            </w:pPr>
            <w:r>
              <w:rPr>
                <w:sz w:val="20"/>
              </w:rPr>
              <w:t>Commercial Loans/Lines of Credit Not Real Estate Secured</w:t>
            </w:r>
          </w:p>
        </w:tc>
        <w:tc>
          <w:tcPr>
            <w:tcW w:w="1626" w:type="dxa"/>
            <w:vAlign w:val="center"/>
          </w:tcPr>
          <w:p w14:paraId="248AA9B1" w14:textId="77777777" w:rsidR="006519EF" w:rsidRDefault="004D790C" w:rsidP="00E4648B">
            <w:pPr>
              <w:jc w:val="center"/>
              <w:rPr>
                <w:sz w:val="20"/>
              </w:rPr>
            </w:pPr>
            <w:r>
              <w:rPr>
                <w:sz w:val="20"/>
              </w:rPr>
              <w:t>3,235,849</w:t>
            </w:r>
          </w:p>
        </w:tc>
        <w:tc>
          <w:tcPr>
            <w:tcW w:w="1156" w:type="dxa"/>
            <w:vAlign w:val="center"/>
          </w:tcPr>
          <w:p w14:paraId="769CA930" w14:textId="77777777" w:rsidR="006519EF" w:rsidRPr="00080C2D" w:rsidRDefault="004D790C" w:rsidP="00E4648B">
            <w:pPr>
              <w:jc w:val="center"/>
              <w:rPr>
                <w:sz w:val="20"/>
              </w:rPr>
            </w:pPr>
            <w:r>
              <w:rPr>
                <w:sz w:val="20"/>
              </w:rPr>
              <w:t>2.2</w:t>
            </w:r>
          </w:p>
        </w:tc>
      </w:tr>
      <w:tr w:rsidR="006519EF" w:rsidRPr="00E01D95" w14:paraId="64502552" w14:textId="77777777" w:rsidTr="00431493">
        <w:trPr>
          <w:trHeight w:hRule="exact" w:val="292"/>
        </w:trPr>
        <w:tc>
          <w:tcPr>
            <w:tcW w:w="6524" w:type="dxa"/>
            <w:vAlign w:val="center"/>
          </w:tcPr>
          <w:p w14:paraId="51BAA0FF" w14:textId="77777777" w:rsidR="006519EF" w:rsidRPr="00080C2D" w:rsidRDefault="006519EF" w:rsidP="00E4648B">
            <w:pPr>
              <w:rPr>
                <w:b/>
                <w:sz w:val="20"/>
              </w:rPr>
            </w:pPr>
            <w:r w:rsidRPr="00080C2D">
              <w:rPr>
                <w:b/>
                <w:sz w:val="20"/>
              </w:rPr>
              <w:t>Total Loans</w:t>
            </w:r>
          </w:p>
        </w:tc>
        <w:tc>
          <w:tcPr>
            <w:tcW w:w="1626" w:type="dxa"/>
            <w:vAlign w:val="center"/>
          </w:tcPr>
          <w:p w14:paraId="7FBF399D" w14:textId="77777777" w:rsidR="006519EF" w:rsidRPr="00080C2D" w:rsidRDefault="004D790C" w:rsidP="00E4648B">
            <w:pPr>
              <w:jc w:val="center"/>
              <w:rPr>
                <w:b/>
                <w:sz w:val="20"/>
              </w:rPr>
            </w:pPr>
            <w:r>
              <w:rPr>
                <w:b/>
                <w:sz w:val="20"/>
              </w:rPr>
              <w:t>149,398,929</w:t>
            </w:r>
          </w:p>
        </w:tc>
        <w:tc>
          <w:tcPr>
            <w:tcW w:w="1156" w:type="dxa"/>
            <w:vAlign w:val="center"/>
          </w:tcPr>
          <w:p w14:paraId="66123A36" w14:textId="77777777" w:rsidR="006519EF" w:rsidRPr="00080C2D" w:rsidRDefault="006519EF" w:rsidP="00E4648B">
            <w:pPr>
              <w:jc w:val="center"/>
              <w:rPr>
                <w:b/>
                <w:sz w:val="20"/>
              </w:rPr>
            </w:pPr>
            <w:r w:rsidRPr="00080C2D">
              <w:rPr>
                <w:b/>
                <w:sz w:val="20"/>
              </w:rPr>
              <w:t>100.0</w:t>
            </w:r>
          </w:p>
        </w:tc>
      </w:tr>
      <w:tr w:rsidR="006519EF" w:rsidRPr="00E01D95" w14:paraId="769D509C" w14:textId="77777777" w:rsidTr="00431493">
        <w:trPr>
          <w:trHeight w:hRule="exact" w:val="292"/>
        </w:trPr>
        <w:tc>
          <w:tcPr>
            <w:tcW w:w="9307" w:type="dxa"/>
            <w:gridSpan w:val="3"/>
            <w:vAlign w:val="center"/>
          </w:tcPr>
          <w:p w14:paraId="71B4B6B8" w14:textId="77777777" w:rsidR="006519EF" w:rsidRPr="00080C2D" w:rsidRDefault="006519EF" w:rsidP="00E4648B">
            <w:pPr>
              <w:rPr>
                <w:i/>
                <w:sz w:val="16"/>
                <w:szCs w:val="16"/>
              </w:rPr>
            </w:pPr>
            <w:r w:rsidRPr="00080C2D">
              <w:rPr>
                <w:i/>
                <w:sz w:val="16"/>
                <w:szCs w:val="16"/>
              </w:rPr>
              <w:t>Source: Reports of Income and Condition</w:t>
            </w:r>
          </w:p>
          <w:p w14:paraId="3CD29B51" w14:textId="77777777" w:rsidR="006519EF" w:rsidRPr="00080C2D" w:rsidRDefault="006519EF" w:rsidP="00E4648B">
            <w:pPr>
              <w:jc w:val="center"/>
              <w:rPr>
                <w:sz w:val="20"/>
              </w:rPr>
            </w:pPr>
          </w:p>
        </w:tc>
      </w:tr>
    </w:tbl>
    <w:p w14:paraId="0C2A56E1" w14:textId="105D6B65" w:rsidR="006519EF" w:rsidRPr="00953EE9" w:rsidRDefault="006519EF" w:rsidP="00575435">
      <w:pPr>
        <w:jc w:val="both"/>
      </w:pPr>
      <w:r w:rsidRPr="00953EE9">
        <w:t xml:space="preserve">Examiners did not identify any financial, legal, or other impediments that affect the credit union’s ability to meet </w:t>
      </w:r>
      <w:r w:rsidR="009D62EA">
        <w:t>AA</w:t>
      </w:r>
      <w:r w:rsidRPr="00953EE9">
        <w:t xml:space="preserve"> credit needs.</w:t>
      </w:r>
    </w:p>
    <w:p w14:paraId="4F539FEC" w14:textId="77777777" w:rsidR="006E4989" w:rsidRPr="006E4989" w:rsidRDefault="006E4989" w:rsidP="00575435">
      <w:pPr>
        <w:jc w:val="both"/>
      </w:pPr>
    </w:p>
    <w:p w14:paraId="562B04B0" w14:textId="77777777" w:rsidR="00D75C34" w:rsidRDefault="00D75C34" w:rsidP="00575435">
      <w:pPr>
        <w:jc w:val="both"/>
        <w:rPr>
          <w:bCs/>
          <w:iCs/>
          <w:color w:val="000000"/>
        </w:rPr>
      </w:pPr>
    </w:p>
    <w:p w14:paraId="4B5FB99D" w14:textId="77777777" w:rsidR="00FB7E5F" w:rsidRDefault="00FB7E5F" w:rsidP="009A16EB">
      <w:pPr>
        <w:rPr>
          <w:bCs/>
          <w:iCs/>
          <w:color w:val="000000"/>
        </w:rPr>
      </w:pPr>
    </w:p>
    <w:p w14:paraId="3260A888" w14:textId="77777777" w:rsidR="00FB7E5F" w:rsidRDefault="00FB7E5F" w:rsidP="009A16EB">
      <w:pPr>
        <w:rPr>
          <w:bCs/>
          <w:iCs/>
          <w:color w:val="000000"/>
        </w:rPr>
      </w:pPr>
    </w:p>
    <w:p w14:paraId="412E43D8" w14:textId="77777777" w:rsidR="00F2570A" w:rsidRDefault="00F2570A" w:rsidP="00F2570A">
      <w:bookmarkStart w:id="4" w:name="_Toc18418961"/>
    </w:p>
    <w:p w14:paraId="26ED9887" w14:textId="77777777" w:rsidR="00D325A1" w:rsidRPr="00F2570A" w:rsidRDefault="00D325A1" w:rsidP="00F2570A"/>
    <w:p w14:paraId="04012B78" w14:textId="77777777" w:rsidR="0099672C" w:rsidRPr="00D325A1" w:rsidRDefault="0099672C" w:rsidP="000927D4">
      <w:pPr>
        <w:pStyle w:val="Heading1"/>
      </w:pPr>
      <w:r w:rsidRPr="00D325A1">
        <w:lastRenderedPageBreak/>
        <w:t>DESCRIPTION OF ASSESSMENT AREA</w:t>
      </w:r>
      <w:bookmarkEnd w:id="4"/>
    </w:p>
    <w:p w14:paraId="3BED4574" w14:textId="6AEDC26D" w:rsidR="006206F5" w:rsidRPr="00D325A1" w:rsidRDefault="000C4749" w:rsidP="00575435">
      <w:pPr>
        <w:jc w:val="both"/>
      </w:pPr>
      <w:r w:rsidRPr="00D325A1">
        <w:br/>
        <w:t>The CRA requires each financial institution to define one or more AAs within which its CRA performance will be evaluated</w:t>
      </w:r>
      <w:proofErr w:type="gramStart"/>
      <w:r w:rsidRPr="00D325A1">
        <w:t xml:space="preserve">. </w:t>
      </w:r>
      <w:r w:rsidR="00C65AD0" w:rsidRPr="00D325A1">
        <w:t xml:space="preserve"> </w:t>
      </w:r>
      <w:proofErr w:type="gramEnd"/>
      <w:r w:rsidR="00D325A1">
        <w:t>Southbridge</w:t>
      </w:r>
      <w:r w:rsidR="00C0653E">
        <w:t xml:space="preserve"> Credit U</w:t>
      </w:r>
      <w:r w:rsidRPr="00D325A1">
        <w:t xml:space="preserve">nion has designated its AA to include the following cities and towns located in the Worcester MA-CT </w:t>
      </w:r>
      <w:proofErr w:type="spellStart"/>
      <w:r w:rsidRPr="00D325A1">
        <w:t>MSA</w:t>
      </w:r>
      <w:proofErr w:type="spellEnd"/>
      <w:r w:rsidRPr="00D325A1">
        <w:t xml:space="preserve">: </w:t>
      </w:r>
      <w:r w:rsidR="00D325A1">
        <w:t>Auburn, Charlton, and Dudley, Oxford, Southbridge, and Sturbridge</w:t>
      </w:r>
      <w:proofErr w:type="gramStart"/>
      <w:r w:rsidR="00D325A1">
        <w:t>.</w:t>
      </w:r>
      <w:r w:rsidRPr="00D325A1">
        <w:t xml:space="preserve"> </w:t>
      </w:r>
      <w:r w:rsidR="00D325A1">
        <w:t xml:space="preserve"> </w:t>
      </w:r>
      <w:proofErr w:type="gramEnd"/>
      <w:r w:rsidR="00C0653E">
        <w:t>The credit u</w:t>
      </w:r>
      <w:r w:rsidRPr="00D325A1">
        <w:t xml:space="preserve">nion’s </w:t>
      </w:r>
      <w:r w:rsidR="009D62EA">
        <w:t>AA</w:t>
      </w:r>
      <w:r w:rsidRPr="00D325A1">
        <w:t xml:space="preserve"> has not changed since the previous CRA examination</w:t>
      </w:r>
      <w:proofErr w:type="gramStart"/>
      <w:r w:rsidRPr="00D325A1">
        <w:t xml:space="preserve">.  </w:t>
      </w:r>
      <w:proofErr w:type="gramEnd"/>
      <w:r w:rsidRPr="00D325A1">
        <w:t>The following sections discuss demographic and economic information for the AA.</w:t>
      </w:r>
    </w:p>
    <w:p w14:paraId="188E4916" w14:textId="77777777" w:rsidR="006206F5" w:rsidRPr="00D325A1" w:rsidRDefault="006206F5" w:rsidP="00575435">
      <w:pPr>
        <w:jc w:val="both"/>
        <w:rPr>
          <w:b/>
          <w:u w:val="single"/>
        </w:rPr>
      </w:pPr>
    </w:p>
    <w:p w14:paraId="25969195" w14:textId="77777777" w:rsidR="006206F5" w:rsidRPr="00D325A1" w:rsidRDefault="006206F5" w:rsidP="00575435">
      <w:pPr>
        <w:jc w:val="both"/>
        <w:rPr>
          <w:b/>
          <w:u w:val="single"/>
        </w:rPr>
      </w:pPr>
      <w:r w:rsidRPr="00D325A1">
        <w:rPr>
          <w:b/>
          <w:u w:val="single"/>
        </w:rPr>
        <w:t>Economic and Demographic Data</w:t>
      </w:r>
    </w:p>
    <w:p w14:paraId="1C5BCAA3" w14:textId="77777777" w:rsidR="006206F5" w:rsidRPr="00E37C04" w:rsidRDefault="006206F5" w:rsidP="00575435">
      <w:pPr>
        <w:jc w:val="both"/>
        <w:rPr>
          <w:b/>
          <w:highlight w:val="yellow"/>
          <w:u w:val="single"/>
        </w:rPr>
      </w:pPr>
    </w:p>
    <w:p w14:paraId="087989F6" w14:textId="77777777" w:rsidR="006206F5" w:rsidRPr="00305EF2" w:rsidRDefault="00305EF2" w:rsidP="00575435">
      <w:pPr>
        <w:jc w:val="both"/>
      </w:pPr>
      <w:r>
        <w:t>The AA includes 18</w:t>
      </w:r>
      <w:r w:rsidR="006206F5" w:rsidRPr="00305EF2">
        <w:t xml:space="preserve"> census tracts. These tracts reflect the following income designations according to the 2015 ACS U.S. Census: </w:t>
      </w:r>
    </w:p>
    <w:p w14:paraId="39AE656E" w14:textId="77777777" w:rsidR="006206F5" w:rsidRPr="00305EF2" w:rsidRDefault="006206F5" w:rsidP="00575435">
      <w:pPr>
        <w:jc w:val="both"/>
      </w:pPr>
    </w:p>
    <w:p w14:paraId="7275F63D" w14:textId="77777777" w:rsidR="006206F5" w:rsidRPr="00305EF2" w:rsidRDefault="006206F5" w:rsidP="00575435">
      <w:pPr>
        <w:jc w:val="both"/>
      </w:pPr>
      <w:r w:rsidRPr="00305EF2">
        <w:sym w:font="Symbol" w:char="F0B7"/>
      </w:r>
      <w:r w:rsidR="00305EF2">
        <w:t xml:space="preserve"> </w:t>
      </w:r>
      <w:proofErr w:type="gramStart"/>
      <w:r w:rsidR="00305EF2">
        <w:t>2</w:t>
      </w:r>
      <w:proofErr w:type="gramEnd"/>
      <w:r w:rsidRPr="00305EF2">
        <w:t xml:space="preserve"> low-income tracts, </w:t>
      </w:r>
    </w:p>
    <w:p w14:paraId="327474BA" w14:textId="77777777" w:rsidR="006206F5" w:rsidRPr="00305EF2" w:rsidRDefault="006206F5" w:rsidP="00575435">
      <w:pPr>
        <w:jc w:val="both"/>
      </w:pPr>
      <w:r w:rsidRPr="00305EF2">
        <w:sym w:font="Symbol" w:char="F0B7"/>
      </w:r>
      <w:r w:rsidR="00305EF2">
        <w:t xml:space="preserve"> </w:t>
      </w:r>
      <w:proofErr w:type="gramStart"/>
      <w:r w:rsidR="00305EF2">
        <w:t>2</w:t>
      </w:r>
      <w:proofErr w:type="gramEnd"/>
      <w:r w:rsidRPr="00305EF2">
        <w:t xml:space="preserve"> moderate-income tracts, </w:t>
      </w:r>
    </w:p>
    <w:p w14:paraId="38AED312" w14:textId="77777777" w:rsidR="006206F5" w:rsidRPr="00305EF2" w:rsidRDefault="006206F5" w:rsidP="00575435">
      <w:pPr>
        <w:jc w:val="both"/>
      </w:pPr>
      <w:r w:rsidRPr="00305EF2">
        <w:sym w:font="Symbol" w:char="F0B7"/>
      </w:r>
      <w:r w:rsidR="00305EF2">
        <w:t xml:space="preserve"> </w:t>
      </w:r>
      <w:proofErr w:type="gramStart"/>
      <w:r w:rsidR="00305EF2">
        <w:t>10</w:t>
      </w:r>
      <w:proofErr w:type="gramEnd"/>
      <w:r w:rsidRPr="00305EF2">
        <w:t xml:space="preserve"> middle-income tracts, </w:t>
      </w:r>
    </w:p>
    <w:p w14:paraId="25E428AA" w14:textId="77777777" w:rsidR="006206F5" w:rsidRPr="00305EF2" w:rsidRDefault="006206F5" w:rsidP="00575435">
      <w:pPr>
        <w:jc w:val="both"/>
      </w:pPr>
      <w:r w:rsidRPr="00305EF2">
        <w:sym w:font="Symbol" w:char="F0B7"/>
      </w:r>
      <w:r w:rsidR="00305EF2">
        <w:t xml:space="preserve"> 4</w:t>
      </w:r>
      <w:r w:rsidRPr="00305EF2">
        <w:t xml:space="preserve"> upper income tracts, and </w:t>
      </w:r>
    </w:p>
    <w:p w14:paraId="3CF8D467" w14:textId="77777777" w:rsidR="00933B1D" w:rsidRPr="00305EF2" w:rsidRDefault="006206F5" w:rsidP="00575435">
      <w:pPr>
        <w:jc w:val="both"/>
      </w:pPr>
      <w:r w:rsidRPr="00305EF2">
        <w:sym w:font="Symbol" w:char="F0B7"/>
      </w:r>
      <w:r w:rsidR="00305EF2">
        <w:t xml:space="preserve"> </w:t>
      </w:r>
      <w:proofErr w:type="gramStart"/>
      <w:r w:rsidR="00305EF2">
        <w:t>0</w:t>
      </w:r>
      <w:proofErr w:type="gramEnd"/>
      <w:r w:rsidRPr="00305EF2">
        <w:t xml:space="preserve"> tract</w:t>
      </w:r>
      <w:r w:rsidR="008C19F4">
        <w:t>s</w:t>
      </w:r>
      <w:r w:rsidRPr="00305EF2">
        <w:t xml:space="preserve"> without an income designation. </w:t>
      </w:r>
    </w:p>
    <w:p w14:paraId="30F95AAC" w14:textId="77777777" w:rsidR="006206F5" w:rsidRPr="00E37C04" w:rsidRDefault="006206F5" w:rsidP="00575435">
      <w:pPr>
        <w:jc w:val="both"/>
        <w:rPr>
          <w:highlight w:val="yellow"/>
        </w:rPr>
      </w:pPr>
    </w:p>
    <w:p w14:paraId="6918377F" w14:textId="77777777" w:rsidR="00534520" w:rsidRPr="00305EF2" w:rsidRDefault="00534520" w:rsidP="00575435">
      <w:pPr>
        <w:jc w:val="both"/>
      </w:pPr>
      <w:r w:rsidRPr="00305EF2">
        <w:t>The following table illustrates select demographic characteristics of the AA.</w:t>
      </w:r>
    </w:p>
    <w:p w14:paraId="6115FA1F" w14:textId="77777777" w:rsidR="00534520" w:rsidRPr="00E37C04" w:rsidRDefault="00534520" w:rsidP="00575435">
      <w:pPr>
        <w:jc w:val="both"/>
        <w:rPr>
          <w:highlight w:val="yellow"/>
        </w:rPr>
      </w:pPr>
    </w:p>
    <w:tbl>
      <w:tblPr>
        <w:tblW w:w="9221" w:type="dxa"/>
        <w:tblCellMar>
          <w:left w:w="0" w:type="dxa"/>
          <w:right w:w="0" w:type="dxa"/>
        </w:tblCellMar>
        <w:tblLook w:val="0000" w:firstRow="0" w:lastRow="0" w:firstColumn="0" w:lastColumn="0" w:noHBand="0" w:noVBand="0"/>
      </w:tblPr>
      <w:tblGrid>
        <w:gridCol w:w="3180"/>
        <w:gridCol w:w="958"/>
        <w:gridCol w:w="943"/>
        <w:gridCol w:w="1086"/>
        <w:gridCol w:w="1005"/>
        <w:gridCol w:w="982"/>
        <w:gridCol w:w="1067"/>
      </w:tblGrid>
      <w:tr w:rsidR="00933B1D" w:rsidRPr="00E37C04" w14:paraId="05A886A2" w14:textId="77777777" w:rsidTr="00BD5C61">
        <w:trPr>
          <w:trHeight w:val="166"/>
        </w:trPr>
        <w:tc>
          <w:tcPr>
            <w:tcW w:w="9221"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14:paraId="23296230" w14:textId="77777777" w:rsidR="00933B1D" w:rsidRPr="00305EF2" w:rsidRDefault="00933B1D" w:rsidP="004615DC">
            <w:pPr>
              <w:jc w:val="center"/>
            </w:pPr>
            <w:r w:rsidRPr="00305EF2">
              <w:rPr>
                <w:b/>
                <w:color w:val="000000"/>
                <w:sz w:val="20"/>
              </w:rPr>
              <w:t>Demographic Information of the Assessment Area</w:t>
            </w:r>
          </w:p>
        </w:tc>
      </w:tr>
      <w:tr w:rsidR="00933B1D" w:rsidRPr="00E37C04" w14:paraId="5FB1850F" w14:textId="77777777" w:rsidTr="00BD5C61">
        <w:trPr>
          <w:trHeight w:val="251"/>
        </w:trPr>
        <w:tc>
          <w:tcPr>
            <w:tcW w:w="3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41BB5C" w14:textId="77777777" w:rsidR="00933B1D" w:rsidRPr="00305EF2" w:rsidRDefault="00933B1D" w:rsidP="004615DC">
            <w:r w:rsidRPr="00305EF2">
              <w:rPr>
                <w:b/>
                <w:color w:val="000000"/>
                <w:sz w:val="20"/>
              </w:rPr>
              <w:t>Demographic Characteristics</w:t>
            </w:r>
          </w:p>
        </w:tc>
        <w:tc>
          <w:tcPr>
            <w:tcW w:w="9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BD8F57" w14:textId="77777777" w:rsidR="00933B1D" w:rsidRPr="00305EF2" w:rsidRDefault="00933B1D" w:rsidP="004615DC">
            <w:pPr>
              <w:jc w:val="center"/>
            </w:pPr>
            <w:r w:rsidRPr="00305EF2">
              <w:rPr>
                <w:b/>
                <w:color w:val="000000"/>
                <w:sz w:val="20"/>
              </w:rPr>
              <w:t>#</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C30CB0D" w14:textId="77777777" w:rsidR="00933B1D" w:rsidRPr="00305EF2" w:rsidRDefault="00933B1D" w:rsidP="004615DC">
            <w:pPr>
              <w:jc w:val="center"/>
            </w:pPr>
            <w:r w:rsidRPr="00305EF2">
              <w:rPr>
                <w:b/>
                <w:color w:val="000000"/>
                <w:sz w:val="20"/>
              </w:rPr>
              <w:t>Low</w:t>
            </w:r>
            <w:r w:rsidRPr="00305EF2">
              <w:rPr>
                <w:b/>
                <w:color w:val="000000"/>
                <w:sz w:val="20"/>
              </w:rPr>
              <w:br/>
              <w:t xml:space="preserve"> % of #</w:t>
            </w:r>
          </w:p>
        </w:tc>
        <w:tc>
          <w:tcPr>
            <w:tcW w:w="10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6EAB8BE" w14:textId="77777777" w:rsidR="00933B1D" w:rsidRPr="00305EF2" w:rsidRDefault="00933B1D" w:rsidP="004615DC">
            <w:pPr>
              <w:jc w:val="center"/>
            </w:pPr>
            <w:r w:rsidRPr="00305EF2">
              <w:rPr>
                <w:b/>
                <w:color w:val="000000"/>
                <w:sz w:val="20"/>
              </w:rPr>
              <w:t>Moderate</w:t>
            </w:r>
            <w:r w:rsidRPr="00305EF2">
              <w:rPr>
                <w:b/>
                <w:color w:val="000000"/>
                <w:sz w:val="20"/>
              </w:rPr>
              <w:br/>
              <w:t xml:space="preserve"> % of #</w:t>
            </w:r>
          </w:p>
        </w:tc>
        <w:tc>
          <w:tcPr>
            <w:tcW w:w="10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5BE3727" w14:textId="77777777" w:rsidR="00933B1D" w:rsidRPr="00305EF2" w:rsidRDefault="00933B1D" w:rsidP="004615DC">
            <w:pPr>
              <w:jc w:val="center"/>
            </w:pPr>
            <w:r w:rsidRPr="00305EF2">
              <w:rPr>
                <w:b/>
                <w:color w:val="000000"/>
                <w:sz w:val="20"/>
              </w:rPr>
              <w:t>Middle</w:t>
            </w:r>
            <w:r w:rsidRPr="00305EF2">
              <w:rPr>
                <w:b/>
                <w:color w:val="000000"/>
                <w:sz w:val="20"/>
              </w:rPr>
              <w:br/>
              <w:t xml:space="preserve"> % of #</w:t>
            </w:r>
          </w:p>
        </w:tc>
        <w:tc>
          <w:tcPr>
            <w:tcW w:w="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569CD3" w14:textId="77777777" w:rsidR="00933B1D" w:rsidRPr="00305EF2" w:rsidRDefault="00933B1D" w:rsidP="004615DC">
            <w:pPr>
              <w:jc w:val="center"/>
            </w:pPr>
            <w:r w:rsidRPr="00305EF2">
              <w:rPr>
                <w:b/>
                <w:color w:val="000000"/>
                <w:sz w:val="20"/>
              </w:rPr>
              <w:t>Upper</w:t>
            </w:r>
            <w:r w:rsidRPr="00305EF2">
              <w:rPr>
                <w:b/>
                <w:color w:val="000000"/>
                <w:sz w:val="20"/>
              </w:rPr>
              <w:br/>
              <w:t>% of #</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ECB1355" w14:textId="77777777" w:rsidR="00933B1D" w:rsidRPr="00305EF2" w:rsidRDefault="00933B1D" w:rsidP="004615DC">
            <w:pPr>
              <w:jc w:val="center"/>
            </w:pPr>
            <w:r w:rsidRPr="00305EF2">
              <w:rPr>
                <w:b/>
                <w:color w:val="000000"/>
                <w:sz w:val="20"/>
              </w:rPr>
              <w:t xml:space="preserve">NA* </w:t>
            </w:r>
            <w:r w:rsidRPr="00305EF2">
              <w:rPr>
                <w:b/>
                <w:color w:val="000000"/>
                <w:sz w:val="20"/>
              </w:rPr>
              <w:br/>
              <w:t>% of #</w:t>
            </w:r>
          </w:p>
        </w:tc>
      </w:tr>
      <w:tr w:rsidR="00305EF2" w:rsidRPr="00E37C04" w14:paraId="2F460D55" w14:textId="77777777" w:rsidTr="00BD5C61">
        <w:trPr>
          <w:trHeight w:val="110"/>
        </w:trPr>
        <w:tc>
          <w:tcPr>
            <w:tcW w:w="318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384A80D8" w14:textId="77777777" w:rsidR="00305EF2" w:rsidRPr="00305EF2" w:rsidRDefault="00305EF2" w:rsidP="00305EF2">
            <w:r w:rsidRPr="00305EF2">
              <w:rPr>
                <w:color w:val="000000"/>
                <w:sz w:val="20"/>
              </w:rPr>
              <w:t>Geographies (Census Tracts)</w:t>
            </w:r>
          </w:p>
        </w:tc>
        <w:tc>
          <w:tcPr>
            <w:tcW w:w="9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DA3A1" w14:textId="77777777" w:rsidR="00305EF2" w:rsidRPr="00305EF2" w:rsidRDefault="00305EF2" w:rsidP="00305EF2">
            <w:pPr>
              <w:jc w:val="right"/>
            </w:pPr>
            <w:r>
              <w:rPr>
                <w:color w:val="000000"/>
                <w:sz w:val="20"/>
              </w:rPr>
              <w:t>18</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B2410" w14:textId="77777777" w:rsidR="00305EF2" w:rsidRPr="00305EF2" w:rsidRDefault="00305EF2" w:rsidP="00305EF2">
            <w:pPr>
              <w:jc w:val="right"/>
            </w:pPr>
            <w:r>
              <w:rPr>
                <w:color w:val="000000"/>
                <w:sz w:val="20"/>
              </w:rPr>
              <w:t>11.1</w:t>
            </w:r>
          </w:p>
        </w:tc>
        <w:tc>
          <w:tcPr>
            <w:tcW w:w="10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36C15" w14:textId="77777777" w:rsidR="00305EF2" w:rsidRPr="00305EF2" w:rsidRDefault="00305EF2" w:rsidP="00305EF2">
            <w:pPr>
              <w:jc w:val="right"/>
            </w:pPr>
            <w:r>
              <w:rPr>
                <w:color w:val="000000"/>
                <w:sz w:val="20"/>
              </w:rPr>
              <w:t>11.1</w:t>
            </w:r>
          </w:p>
        </w:tc>
        <w:tc>
          <w:tcPr>
            <w:tcW w:w="10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6152E" w14:textId="77777777" w:rsidR="00305EF2" w:rsidRPr="00305EF2" w:rsidRDefault="00305EF2" w:rsidP="00305EF2">
            <w:pPr>
              <w:jc w:val="right"/>
            </w:pPr>
            <w:r>
              <w:rPr>
                <w:color w:val="000000"/>
                <w:sz w:val="20"/>
              </w:rPr>
              <w:t>55.6</w:t>
            </w:r>
          </w:p>
        </w:tc>
        <w:tc>
          <w:tcPr>
            <w:tcW w:w="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75E5A" w14:textId="77777777" w:rsidR="00305EF2" w:rsidRPr="00305EF2" w:rsidRDefault="00305EF2" w:rsidP="00305EF2">
            <w:pPr>
              <w:jc w:val="right"/>
            </w:pPr>
            <w:r>
              <w:rPr>
                <w:color w:val="000000"/>
                <w:sz w:val="20"/>
              </w:rPr>
              <w:t>22.2</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B77F8" w14:textId="77777777" w:rsidR="00305EF2" w:rsidRPr="00305EF2" w:rsidRDefault="00305EF2" w:rsidP="00305EF2">
            <w:pPr>
              <w:jc w:val="right"/>
            </w:pPr>
            <w:r>
              <w:rPr>
                <w:color w:val="000000"/>
                <w:sz w:val="20"/>
              </w:rPr>
              <w:t>0.0</w:t>
            </w:r>
          </w:p>
        </w:tc>
      </w:tr>
      <w:tr w:rsidR="00305EF2" w:rsidRPr="00E37C04" w14:paraId="4031A271" w14:textId="77777777" w:rsidTr="00BD5C61">
        <w:trPr>
          <w:trHeight w:val="110"/>
        </w:trPr>
        <w:tc>
          <w:tcPr>
            <w:tcW w:w="318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2D7A3E1C" w14:textId="77777777" w:rsidR="00305EF2" w:rsidRPr="00305EF2" w:rsidRDefault="00305EF2" w:rsidP="00305EF2">
            <w:r w:rsidRPr="00305EF2">
              <w:rPr>
                <w:color w:val="000000"/>
                <w:sz w:val="20"/>
              </w:rPr>
              <w:t>Population by Geography</w:t>
            </w:r>
          </w:p>
        </w:tc>
        <w:tc>
          <w:tcPr>
            <w:tcW w:w="9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D95E8" w14:textId="77777777" w:rsidR="00305EF2" w:rsidRPr="00305EF2" w:rsidRDefault="00305EF2" w:rsidP="00305EF2">
            <w:pPr>
              <w:jc w:val="right"/>
            </w:pPr>
            <w:r>
              <w:rPr>
                <w:color w:val="000000"/>
                <w:sz w:val="20"/>
              </w:rPr>
              <w:t>81,133</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CC80A" w14:textId="77777777" w:rsidR="00305EF2" w:rsidRPr="00305EF2" w:rsidRDefault="00305EF2" w:rsidP="00305EF2">
            <w:pPr>
              <w:jc w:val="right"/>
            </w:pPr>
            <w:r>
              <w:rPr>
                <w:color w:val="000000"/>
                <w:sz w:val="20"/>
              </w:rPr>
              <w:t>6.1</w:t>
            </w:r>
          </w:p>
        </w:tc>
        <w:tc>
          <w:tcPr>
            <w:tcW w:w="10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72EA8C" w14:textId="77777777" w:rsidR="00305EF2" w:rsidRPr="00305EF2" w:rsidRDefault="00305EF2" w:rsidP="00305EF2">
            <w:pPr>
              <w:jc w:val="right"/>
            </w:pPr>
            <w:r>
              <w:rPr>
                <w:color w:val="000000"/>
                <w:sz w:val="20"/>
              </w:rPr>
              <w:t>9.8</w:t>
            </w:r>
          </w:p>
        </w:tc>
        <w:tc>
          <w:tcPr>
            <w:tcW w:w="10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CB833" w14:textId="77777777" w:rsidR="00305EF2" w:rsidRPr="00305EF2" w:rsidRDefault="00305EF2" w:rsidP="00305EF2">
            <w:pPr>
              <w:jc w:val="right"/>
            </w:pPr>
            <w:r>
              <w:rPr>
                <w:color w:val="000000"/>
                <w:sz w:val="20"/>
              </w:rPr>
              <w:t>56.0</w:t>
            </w:r>
          </w:p>
        </w:tc>
        <w:tc>
          <w:tcPr>
            <w:tcW w:w="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37756" w14:textId="77777777" w:rsidR="00305EF2" w:rsidRPr="00305EF2" w:rsidRDefault="00305EF2" w:rsidP="00305EF2">
            <w:pPr>
              <w:jc w:val="right"/>
            </w:pPr>
            <w:r>
              <w:rPr>
                <w:color w:val="000000"/>
                <w:sz w:val="20"/>
              </w:rPr>
              <w:t>28.0</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5ECFF" w14:textId="77777777" w:rsidR="00305EF2" w:rsidRPr="00305EF2" w:rsidRDefault="00305EF2" w:rsidP="00305EF2">
            <w:pPr>
              <w:jc w:val="right"/>
            </w:pPr>
            <w:r>
              <w:rPr>
                <w:color w:val="000000"/>
                <w:sz w:val="20"/>
              </w:rPr>
              <w:t>0.0</w:t>
            </w:r>
          </w:p>
        </w:tc>
      </w:tr>
      <w:tr w:rsidR="00305EF2" w:rsidRPr="00E37C04" w14:paraId="4AB9B892" w14:textId="77777777" w:rsidTr="00BD5C61">
        <w:trPr>
          <w:trHeight w:val="110"/>
        </w:trPr>
        <w:tc>
          <w:tcPr>
            <w:tcW w:w="318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B319E8B" w14:textId="77777777" w:rsidR="00305EF2" w:rsidRPr="00305EF2" w:rsidRDefault="00305EF2" w:rsidP="00305EF2">
            <w:r w:rsidRPr="00305EF2">
              <w:rPr>
                <w:color w:val="000000"/>
                <w:sz w:val="20"/>
              </w:rPr>
              <w:t>Owner-Occupied Units by Geography</w:t>
            </w:r>
          </w:p>
        </w:tc>
        <w:tc>
          <w:tcPr>
            <w:tcW w:w="9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C1E00" w14:textId="77777777" w:rsidR="00305EF2" w:rsidRPr="00305EF2" w:rsidRDefault="00305EF2" w:rsidP="00305EF2">
            <w:pPr>
              <w:jc w:val="right"/>
            </w:pPr>
            <w:r>
              <w:rPr>
                <w:color w:val="000000"/>
                <w:sz w:val="20"/>
              </w:rPr>
              <w:t>21,907</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7C83C" w14:textId="77777777" w:rsidR="00305EF2" w:rsidRPr="00305EF2" w:rsidRDefault="00305EF2" w:rsidP="00305EF2">
            <w:pPr>
              <w:jc w:val="right"/>
            </w:pPr>
            <w:r>
              <w:rPr>
                <w:color w:val="000000"/>
                <w:sz w:val="20"/>
              </w:rPr>
              <w:t>1.4</w:t>
            </w:r>
          </w:p>
        </w:tc>
        <w:tc>
          <w:tcPr>
            <w:tcW w:w="10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95E4B" w14:textId="77777777" w:rsidR="00305EF2" w:rsidRPr="00305EF2" w:rsidRDefault="00305EF2" w:rsidP="00305EF2">
            <w:pPr>
              <w:jc w:val="right"/>
            </w:pPr>
            <w:r>
              <w:rPr>
                <w:color w:val="000000"/>
                <w:sz w:val="20"/>
              </w:rPr>
              <w:t>7.1</w:t>
            </w:r>
          </w:p>
        </w:tc>
        <w:tc>
          <w:tcPr>
            <w:tcW w:w="10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33B70" w14:textId="77777777" w:rsidR="00305EF2" w:rsidRPr="00305EF2" w:rsidRDefault="00305EF2" w:rsidP="00305EF2">
            <w:pPr>
              <w:jc w:val="right"/>
            </w:pPr>
            <w:r>
              <w:rPr>
                <w:color w:val="000000"/>
                <w:sz w:val="20"/>
              </w:rPr>
              <w:t>59.9</w:t>
            </w:r>
          </w:p>
        </w:tc>
        <w:tc>
          <w:tcPr>
            <w:tcW w:w="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BC0983" w14:textId="77777777" w:rsidR="00305EF2" w:rsidRPr="00305EF2" w:rsidRDefault="00305EF2" w:rsidP="00305EF2">
            <w:pPr>
              <w:jc w:val="right"/>
            </w:pPr>
            <w:r>
              <w:rPr>
                <w:color w:val="000000"/>
                <w:sz w:val="20"/>
              </w:rPr>
              <w:t>31.5</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5A78D" w14:textId="77777777" w:rsidR="00305EF2" w:rsidRPr="00305EF2" w:rsidRDefault="00305EF2" w:rsidP="00305EF2">
            <w:pPr>
              <w:jc w:val="right"/>
            </w:pPr>
            <w:r>
              <w:rPr>
                <w:color w:val="000000"/>
                <w:sz w:val="20"/>
              </w:rPr>
              <w:t>0.0</w:t>
            </w:r>
          </w:p>
        </w:tc>
      </w:tr>
      <w:tr w:rsidR="00305EF2" w:rsidRPr="00E37C04" w14:paraId="418DE4D9" w14:textId="77777777" w:rsidTr="00BD5C61">
        <w:trPr>
          <w:trHeight w:val="110"/>
        </w:trPr>
        <w:tc>
          <w:tcPr>
            <w:tcW w:w="318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1EA858A" w14:textId="77777777" w:rsidR="00305EF2" w:rsidRPr="00305EF2" w:rsidRDefault="00305EF2" w:rsidP="00305EF2">
            <w:r w:rsidRPr="00305EF2">
              <w:rPr>
                <w:color w:val="000000"/>
                <w:sz w:val="20"/>
              </w:rPr>
              <w:t>Family Distribution by Income Level</w:t>
            </w:r>
          </w:p>
        </w:tc>
        <w:tc>
          <w:tcPr>
            <w:tcW w:w="9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1EA6E" w14:textId="77777777" w:rsidR="00305EF2" w:rsidRPr="00305EF2" w:rsidRDefault="00305EF2" w:rsidP="00305EF2">
            <w:pPr>
              <w:jc w:val="right"/>
            </w:pPr>
            <w:r>
              <w:rPr>
                <w:color w:val="000000"/>
                <w:sz w:val="20"/>
              </w:rPr>
              <w:t>20,957</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5B5BFF" w14:textId="77777777" w:rsidR="00305EF2" w:rsidRPr="00305EF2" w:rsidRDefault="00305EF2" w:rsidP="00305EF2">
            <w:pPr>
              <w:jc w:val="right"/>
            </w:pPr>
            <w:r>
              <w:rPr>
                <w:color w:val="000000"/>
                <w:sz w:val="20"/>
              </w:rPr>
              <w:t>22.1</w:t>
            </w:r>
          </w:p>
        </w:tc>
        <w:tc>
          <w:tcPr>
            <w:tcW w:w="10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E51DE8" w14:textId="77777777" w:rsidR="00305EF2" w:rsidRPr="00305EF2" w:rsidRDefault="00305EF2" w:rsidP="00305EF2">
            <w:pPr>
              <w:jc w:val="right"/>
            </w:pPr>
            <w:r>
              <w:rPr>
                <w:color w:val="000000"/>
                <w:sz w:val="20"/>
              </w:rPr>
              <w:t>15.9</w:t>
            </w:r>
          </w:p>
        </w:tc>
        <w:tc>
          <w:tcPr>
            <w:tcW w:w="10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8FFB6" w14:textId="77777777" w:rsidR="00305EF2" w:rsidRPr="00305EF2" w:rsidRDefault="00305EF2" w:rsidP="00305EF2">
            <w:pPr>
              <w:jc w:val="right"/>
            </w:pPr>
            <w:r>
              <w:rPr>
                <w:color w:val="000000"/>
                <w:sz w:val="20"/>
              </w:rPr>
              <w:t>21.7</w:t>
            </w:r>
          </w:p>
        </w:tc>
        <w:tc>
          <w:tcPr>
            <w:tcW w:w="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6A5F7" w14:textId="77777777" w:rsidR="00305EF2" w:rsidRPr="00305EF2" w:rsidRDefault="00305EF2" w:rsidP="00305EF2">
            <w:pPr>
              <w:jc w:val="right"/>
            </w:pPr>
            <w:r>
              <w:rPr>
                <w:color w:val="000000"/>
                <w:sz w:val="20"/>
              </w:rPr>
              <w:t>40.4</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9ABBA" w14:textId="77777777" w:rsidR="00305EF2" w:rsidRPr="00305EF2" w:rsidRDefault="00305EF2" w:rsidP="00305EF2">
            <w:pPr>
              <w:jc w:val="right"/>
            </w:pPr>
            <w:r>
              <w:rPr>
                <w:color w:val="000000"/>
                <w:sz w:val="20"/>
              </w:rPr>
              <w:t>0.0</w:t>
            </w:r>
          </w:p>
        </w:tc>
      </w:tr>
      <w:tr w:rsidR="00305EF2" w:rsidRPr="00E37C04" w14:paraId="3FD06458" w14:textId="77777777" w:rsidTr="00BD5C61">
        <w:trPr>
          <w:trHeight w:val="110"/>
        </w:trPr>
        <w:tc>
          <w:tcPr>
            <w:tcW w:w="3180" w:type="dxa"/>
            <w:tcBorders>
              <w:top w:val="single" w:sz="7" w:space="0" w:color="000000"/>
              <w:left w:val="single" w:sz="7" w:space="0" w:color="000000"/>
              <w:bottom w:val="single" w:sz="7" w:space="0" w:color="000000"/>
            </w:tcBorders>
            <w:tcMar>
              <w:top w:w="39" w:type="dxa"/>
              <w:left w:w="239" w:type="dxa"/>
              <w:bottom w:w="39" w:type="dxa"/>
              <w:right w:w="39" w:type="dxa"/>
            </w:tcMar>
          </w:tcPr>
          <w:p w14:paraId="7B913058" w14:textId="77777777" w:rsidR="00305EF2" w:rsidRPr="00305EF2" w:rsidRDefault="00305EF2" w:rsidP="00305EF2">
            <w:r w:rsidRPr="00305EF2">
              <w:rPr>
                <w:color w:val="000000"/>
                <w:sz w:val="20"/>
              </w:rPr>
              <w:t xml:space="preserve">Median Family Income </w:t>
            </w:r>
            <w:proofErr w:type="spellStart"/>
            <w:r w:rsidRPr="00305EF2">
              <w:rPr>
                <w:color w:val="000000"/>
                <w:sz w:val="20"/>
              </w:rPr>
              <w:t>MSA</w:t>
            </w:r>
            <w:proofErr w:type="spellEnd"/>
            <w:r w:rsidRPr="00305EF2">
              <w:rPr>
                <w:color w:val="000000"/>
                <w:sz w:val="20"/>
              </w:rPr>
              <w:t xml:space="preserve"> - 49340 Worcester, MA-CT </w:t>
            </w:r>
            <w:proofErr w:type="spellStart"/>
            <w:r w:rsidRPr="00305EF2">
              <w:rPr>
                <w:color w:val="000000"/>
                <w:sz w:val="20"/>
              </w:rPr>
              <w:t>MSA</w:t>
            </w:r>
            <w:proofErr w:type="spellEnd"/>
          </w:p>
        </w:tc>
        <w:tc>
          <w:tcPr>
            <w:tcW w:w="958" w:type="dxa"/>
            <w:tcBorders>
              <w:top w:val="single" w:sz="7" w:space="0" w:color="000000"/>
              <w:bottom w:val="single" w:sz="7" w:space="0" w:color="000000"/>
            </w:tcBorders>
            <w:tcMar>
              <w:top w:w="39" w:type="dxa"/>
              <w:left w:w="239" w:type="dxa"/>
              <w:bottom w:w="39" w:type="dxa"/>
              <w:right w:w="39" w:type="dxa"/>
            </w:tcMar>
          </w:tcPr>
          <w:p w14:paraId="0BF8A62B" w14:textId="77777777" w:rsidR="00305EF2" w:rsidRPr="00305EF2" w:rsidRDefault="00305EF2" w:rsidP="00305EF2"/>
        </w:tc>
        <w:tc>
          <w:tcPr>
            <w:tcW w:w="943" w:type="dxa"/>
            <w:tcBorders>
              <w:top w:val="single" w:sz="7" w:space="0" w:color="000000"/>
              <w:left w:val="single" w:sz="7" w:space="0" w:color="000000"/>
              <w:bottom w:val="single" w:sz="7" w:space="0" w:color="000000"/>
            </w:tcBorders>
            <w:tcMar>
              <w:top w:w="39" w:type="dxa"/>
              <w:left w:w="39" w:type="dxa"/>
              <w:bottom w:w="39" w:type="dxa"/>
              <w:right w:w="39" w:type="dxa"/>
            </w:tcMar>
          </w:tcPr>
          <w:p w14:paraId="5D0B7F62" w14:textId="77777777" w:rsidR="00305EF2" w:rsidRPr="00305EF2" w:rsidRDefault="00305EF2" w:rsidP="00305EF2">
            <w:pPr>
              <w:jc w:val="right"/>
            </w:pPr>
            <w:r>
              <w:rPr>
                <w:color w:val="000000"/>
                <w:sz w:val="20"/>
              </w:rPr>
              <w:t>$81,137</w:t>
            </w:r>
          </w:p>
        </w:tc>
        <w:tc>
          <w:tcPr>
            <w:tcW w:w="307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2C28C" w14:textId="77777777" w:rsidR="00305EF2" w:rsidRPr="00305EF2" w:rsidRDefault="00305EF2" w:rsidP="00305EF2">
            <w:r w:rsidRPr="00305EF2">
              <w:rPr>
                <w:color w:val="000000"/>
                <w:sz w:val="20"/>
              </w:rPr>
              <w:t>Median Housing Value</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E3692" w14:textId="77777777" w:rsidR="00305EF2" w:rsidRPr="00305EF2" w:rsidRDefault="00305EF2" w:rsidP="00305EF2">
            <w:pPr>
              <w:jc w:val="right"/>
            </w:pPr>
            <w:r>
              <w:rPr>
                <w:color w:val="000000"/>
                <w:sz w:val="20"/>
              </w:rPr>
              <w:t>$236,434</w:t>
            </w:r>
          </w:p>
        </w:tc>
      </w:tr>
      <w:tr w:rsidR="00305EF2" w:rsidRPr="00E37C04" w14:paraId="37AE5DDA" w14:textId="77777777" w:rsidTr="00BD5C61">
        <w:trPr>
          <w:trHeight w:val="110"/>
        </w:trPr>
        <w:tc>
          <w:tcPr>
            <w:tcW w:w="3180" w:type="dxa"/>
            <w:tcBorders>
              <w:left w:val="single" w:sz="7" w:space="0" w:color="000000"/>
            </w:tcBorders>
            <w:tcMar>
              <w:top w:w="39" w:type="dxa"/>
              <w:left w:w="239" w:type="dxa"/>
              <w:bottom w:w="39" w:type="dxa"/>
              <w:right w:w="39" w:type="dxa"/>
            </w:tcMar>
          </w:tcPr>
          <w:p w14:paraId="38A64DA0" w14:textId="77777777" w:rsidR="00305EF2" w:rsidRPr="00305EF2" w:rsidRDefault="00305EF2" w:rsidP="00305EF2"/>
        </w:tc>
        <w:tc>
          <w:tcPr>
            <w:tcW w:w="958" w:type="dxa"/>
            <w:tcMar>
              <w:top w:w="39" w:type="dxa"/>
              <w:left w:w="239" w:type="dxa"/>
              <w:bottom w:w="39" w:type="dxa"/>
              <w:right w:w="39" w:type="dxa"/>
            </w:tcMar>
          </w:tcPr>
          <w:p w14:paraId="5EFCBBCE" w14:textId="77777777" w:rsidR="00305EF2" w:rsidRPr="00305EF2" w:rsidRDefault="00305EF2" w:rsidP="00305EF2"/>
        </w:tc>
        <w:tc>
          <w:tcPr>
            <w:tcW w:w="943" w:type="dxa"/>
            <w:tcMar>
              <w:top w:w="39" w:type="dxa"/>
              <w:left w:w="39" w:type="dxa"/>
              <w:bottom w:w="39" w:type="dxa"/>
              <w:right w:w="39" w:type="dxa"/>
            </w:tcMar>
          </w:tcPr>
          <w:p w14:paraId="20BDAF05" w14:textId="77777777" w:rsidR="00305EF2" w:rsidRPr="00305EF2" w:rsidRDefault="00305EF2" w:rsidP="00305EF2"/>
        </w:tc>
        <w:tc>
          <w:tcPr>
            <w:tcW w:w="307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01CD9" w14:textId="77777777" w:rsidR="00305EF2" w:rsidRPr="00305EF2" w:rsidRDefault="00305EF2" w:rsidP="00305EF2">
            <w:r w:rsidRPr="00305EF2">
              <w:rPr>
                <w:color w:val="000000"/>
                <w:sz w:val="20"/>
              </w:rPr>
              <w:t>Median Gross Rent</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F75FE" w14:textId="77777777" w:rsidR="00305EF2" w:rsidRPr="00305EF2" w:rsidRDefault="00305EF2" w:rsidP="00305EF2">
            <w:pPr>
              <w:jc w:val="right"/>
            </w:pPr>
            <w:r>
              <w:rPr>
                <w:color w:val="000000"/>
                <w:sz w:val="20"/>
              </w:rPr>
              <w:t>$834</w:t>
            </w:r>
          </w:p>
        </w:tc>
      </w:tr>
      <w:tr w:rsidR="00305EF2" w:rsidRPr="00E37C04" w14:paraId="7B9B32BC" w14:textId="77777777" w:rsidTr="00BD5C61">
        <w:trPr>
          <w:trHeight w:val="110"/>
        </w:trPr>
        <w:tc>
          <w:tcPr>
            <w:tcW w:w="3180" w:type="dxa"/>
            <w:tcBorders>
              <w:left w:val="single" w:sz="7" w:space="0" w:color="000000"/>
              <w:bottom w:val="single" w:sz="7" w:space="0" w:color="000000"/>
            </w:tcBorders>
            <w:tcMar>
              <w:top w:w="39" w:type="dxa"/>
              <w:left w:w="239" w:type="dxa"/>
              <w:bottom w:w="39" w:type="dxa"/>
              <w:right w:w="39" w:type="dxa"/>
            </w:tcMar>
          </w:tcPr>
          <w:p w14:paraId="37534019" w14:textId="77777777" w:rsidR="00305EF2" w:rsidRPr="00305EF2" w:rsidRDefault="00305EF2" w:rsidP="00305EF2"/>
        </w:tc>
        <w:tc>
          <w:tcPr>
            <w:tcW w:w="958" w:type="dxa"/>
            <w:tcBorders>
              <w:bottom w:val="single" w:sz="7" w:space="0" w:color="000000"/>
            </w:tcBorders>
            <w:tcMar>
              <w:top w:w="39" w:type="dxa"/>
              <w:left w:w="239" w:type="dxa"/>
              <w:bottom w:w="39" w:type="dxa"/>
              <w:right w:w="39" w:type="dxa"/>
            </w:tcMar>
          </w:tcPr>
          <w:p w14:paraId="0FCED900" w14:textId="77777777" w:rsidR="00305EF2" w:rsidRPr="00305EF2" w:rsidRDefault="00305EF2" w:rsidP="00305EF2"/>
        </w:tc>
        <w:tc>
          <w:tcPr>
            <w:tcW w:w="943" w:type="dxa"/>
            <w:tcBorders>
              <w:bottom w:val="single" w:sz="7" w:space="0" w:color="000000"/>
            </w:tcBorders>
            <w:tcMar>
              <w:top w:w="39" w:type="dxa"/>
              <w:left w:w="39" w:type="dxa"/>
              <w:bottom w:w="39" w:type="dxa"/>
              <w:right w:w="39" w:type="dxa"/>
            </w:tcMar>
          </w:tcPr>
          <w:p w14:paraId="0D678748" w14:textId="77777777" w:rsidR="00305EF2" w:rsidRPr="00305EF2" w:rsidRDefault="00305EF2" w:rsidP="00305EF2"/>
        </w:tc>
        <w:tc>
          <w:tcPr>
            <w:tcW w:w="307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D840F" w14:textId="77777777" w:rsidR="00305EF2" w:rsidRPr="00305EF2" w:rsidRDefault="00305EF2" w:rsidP="00305EF2">
            <w:r w:rsidRPr="00305EF2">
              <w:rPr>
                <w:color w:val="000000"/>
                <w:sz w:val="20"/>
              </w:rPr>
              <w:t>Families Below Poverty Level</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0286A" w14:textId="77777777" w:rsidR="00305EF2" w:rsidRPr="00305EF2" w:rsidRDefault="00305EF2" w:rsidP="00305EF2">
            <w:pPr>
              <w:jc w:val="right"/>
            </w:pPr>
            <w:r>
              <w:rPr>
                <w:color w:val="000000"/>
                <w:sz w:val="20"/>
              </w:rPr>
              <w:t>6.8%</w:t>
            </w:r>
          </w:p>
        </w:tc>
      </w:tr>
      <w:tr w:rsidR="00933B1D" w:rsidRPr="00E37C04" w14:paraId="6AD7A088" w14:textId="77777777" w:rsidTr="00BD5C61">
        <w:trPr>
          <w:trHeight w:val="409"/>
        </w:trPr>
        <w:tc>
          <w:tcPr>
            <w:tcW w:w="9221"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14:paraId="0BF65A66" w14:textId="77777777" w:rsidR="00933B1D" w:rsidRPr="00D9363B" w:rsidRDefault="00C140BE" w:rsidP="004615DC">
            <w:r>
              <w:rPr>
                <w:i/>
                <w:color w:val="000000"/>
                <w:sz w:val="16"/>
              </w:rPr>
              <w:t xml:space="preserve">Source: 2015 ACS Census </w:t>
            </w:r>
          </w:p>
          <w:p w14:paraId="04F6B787" w14:textId="77777777" w:rsidR="00933B1D" w:rsidRPr="00D9363B" w:rsidRDefault="00933B1D" w:rsidP="004615DC">
            <w:r w:rsidRPr="00D9363B">
              <w:rPr>
                <w:i/>
                <w:color w:val="000000"/>
                <w:sz w:val="16"/>
              </w:rPr>
              <w:t>Due to rounding, totals may not equal 100.0</w:t>
            </w:r>
          </w:p>
          <w:p w14:paraId="07EB5990" w14:textId="77777777" w:rsidR="00933B1D" w:rsidRPr="00E37C04" w:rsidRDefault="00933B1D" w:rsidP="004615DC">
            <w:pPr>
              <w:rPr>
                <w:highlight w:val="yellow"/>
              </w:rPr>
            </w:pPr>
            <w:r w:rsidRPr="00D9363B">
              <w:rPr>
                <w:i/>
                <w:color w:val="000000"/>
                <w:sz w:val="16"/>
              </w:rPr>
              <w:t xml:space="preserve">(*) The NA category consists of geographies that </w:t>
            </w:r>
            <w:proofErr w:type="gramStart"/>
            <w:r w:rsidRPr="00D9363B">
              <w:rPr>
                <w:i/>
                <w:color w:val="000000"/>
                <w:sz w:val="16"/>
              </w:rPr>
              <w:t>have not been assigned</w:t>
            </w:r>
            <w:proofErr w:type="gramEnd"/>
            <w:r w:rsidRPr="00D9363B">
              <w:rPr>
                <w:i/>
                <w:color w:val="000000"/>
                <w:sz w:val="16"/>
              </w:rPr>
              <w:t xml:space="preserve"> an income classification.</w:t>
            </w:r>
          </w:p>
        </w:tc>
      </w:tr>
    </w:tbl>
    <w:p w14:paraId="6D367C96" w14:textId="77777777" w:rsidR="00933B1D" w:rsidRPr="00E37C04" w:rsidRDefault="00933B1D" w:rsidP="00933B1D">
      <w:pPr>
        <w:rPr>
          <w:highlight w:val="yellow"/>
        </w:rPr>
      </w:pPr>
    </w:p>
    <w:p w14:paraId="5E567802" w14:textId="77777777" w:rsidR="00575435" w:rsidRDefault="00575435">
      <w:r>
        <w:br w:type="page"/>
      </w:r>
    </w:p>
    <w:p w14:paraId="3646C5C2" w14:textId="77777777" w:rsidR="00882123" w:rsidRPr="00B40705" w:rsidRDefault="00882123" w:rsidP="00575435">
      <w:pPr>
        <w:jc w:val="both"/>
      </w:pPr>
      <w:r w:rsidRPr="00B40705">
        <w:lastRenderedPageBreak/>
        <w:t>The Federal Financial Institutions Examination Council (</w:t>
      </w:r>
      <w:proofErr w:type="spellStart"/>
      <w:r w:rsidRPr="00B40705">
        <w:t>FFIEC</w:t>
      </w:r>
      <w:proofErr w:type="spellEnd"/>
      <w:r w:rsidRPr="00B40705">
        <w:t>) updated median family income level is used to analyze home mortgage loans under the Borrower Profile criterion</w:t>
      </w:r>
      <w:proofErr w:type="gramStart"/>
      <w:r w:rsidRPr="00B40705">
        <w:t xml:space="preserve">.  </w:t>
      </w:r>
      <w:proofErr w:type="gramEnd"/>
      <w:r w:rsidRPr="00B40705">
        <w:t xml:space="preserve">The low-, moderate-, middle-, and upper-income categories </w:t>
      </w:r>
      <w:proofErr w:type="gramStart"/>
      <w:r w:rsidRPr="00B40705">
        <w:t>are presented</w:t>
      </w:r>
      <w:proofErr w:type="gramEnd"/>
      <w:r w:rsidRPr="00B40705">
        <w:t xml:space="preserve"> in the following table.</w:t>
      </w:r>
    </w:p>
    <w:p w14:paraId="541D85EE" w14:textId="77777777" w:rsidR="00575435" w:rsidRPr="00B40705" w:rsidRDefault="00575435" w:rsidP="00575435">
      <w:pPr>
        <w:tabs>
          <w:tab w:val="center" w:pos="4680"/>
        </w:tabs>
        <w:jc w:val="both"/>
      </w:pPr>
    </w:p>
    <w:tbl>
      <w:tblPr>
        <w:tblW w:w="9477" w:type="dxa"/>
        <w:tblCellMar>
          <w:left w:w="0" w:type="dxa"/>
          <w:right w:w="0" w:type="dxa"/>
        </w:tblCellMar>
        <w:tblLook w:val="0000" w:firstRow="0" w:lastRow="0" w:firstColumn="0" w:lastColumn="0" w:noHBand="0" w:noVBand="0"/>
      </w:tblPr>
      <w:tblGrid>
        <w:gridCol w:w="2539"/>
        <w:gridCol w:w="1347"/>
        <w:gridCol w:w="2066"/>
        <w:gridCol w:w="2158"/>
        <w:gridCol w:w="1367"/>
      </w:tblGrid>
      <w:tr w:rsidR="00487A26" w:rsidRPr="00B40705" w14:paraId="44914FE6" w14:textId="77777777" w:rsidTr="00575435">
        <w:trPr>
          <w:trHeight w:val="200"/>
        </w:trPr>
        <w:tc>
          <w:tcPr>
            <w:tcW w:w="9477" w:type="dxa"/>
            <w:gridSpan w:val="5"/>
            <w:tcBorders>
              <w:top w:val="single" w:sz="7" w:space="0" w:color="000000"/>
              <w:left w:val="single" w:sz="7" w:space="0" w:color="000000"/>
              <w:right w:val="single" w:sz="7" w:space="0" w:color="000000"/>
            </w:tcBorders>
            <w:tcMar>
              <w:top w:w="39" w:type="dxa"/>
              <w:left w:w="39" w:type="dxa"/>
              <w:bottom w:w="39" w:type="dxa"/>
              <w:right w:w="39" w:type="dxa"/>
            </w:tcMar>
          </w:tcPr>
          <w:p w14:paraId="0BA7EF3B" w14:textId="77777777" w:rsidR="00487A26" w:rsidRPr="00B40705" w:rsidRDefault="00487A26" w:rsidP="00E4648B">
            <w:pPr>
              <w:jc w:val="center"/>
              <w:rPr>
                <w:sz w:val="20"/>
              </w:rPr>
            </w:pPr>
            <w:r w:rsidRPr="00B40705">
              <w:rPr>
                <w:b/>
                <w:color w:val="000000"/>
                <w:sz w:val="20"/>
              </w:rPr>
              <w:t>Median Family Income Ranges</w:t>
            </w:r>
          </w:p>
        </w:tc>
      </w:tr>
      <w:tr w:rsidR="00487A26" w:rsidRPr="00B40705" w14:paraId="0837271F" w14:textId="77777777" w:rsidTr="00575435">
        <w:trPr>
          <w:trHeight w:val="302"/>
        </w:trPr>
        <w:tc>
          <w:tcPr>
            <w:tcW w:w="25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B2FD81" w14:textId="77777777" w:rsidR="00487A26" w:rsidRPr="00B40705" w:rsidRDefault="00487A26" w:rsidP="00E4648B">
            <w:pPr>
              <w:rPr>
                <w:sz w:val="20"/>
              </w:rPr>
            </w:pPr>
            <w:r w:rsidRPr="00B40705">
              <w:rPr>
                <w:b/>
                <w:color w:val="000000"/>
                <w:sz w:val="20"/>
              </w:rPr>
              <w:t>Median Family Incomes</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B3F444" w14:textId="77777777" w:rsidR="00487A26" w:rsidRPr="00B40705" w:rsidRDefault="00487A26" w:rsidP="00E4648B">
            <w:pPr>
              <w:jc w:val="center"/>
              <w:rPr>
                <w:sz w:val="20"/>
              </w:rPr>
            </w:pPr>
            <w:r w:rsidRPr="00B40705">
              <w:rPr>
                <w:b/>
                <w:color w:val="000000"/>
                <w:sz w:val="20"/>
              </w:rPr>
              <w:t>Low</w:t>
            </w:r>
            <w:r w:rsidRPr="00B40705">
              <w:rPr>
                <w:b/>
                <w:color w:val="000000"/>
                <w:sz w:val="20"/>
              </w:rPr>
              <w:br/>
              <w:t xml:space="preserve"> &lt;50% </w:t>
            </w:r>
          </w:p>
        </w:tc>
        <w:tc>
          <w:tcPr>
            <w:tcW w:w="20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AE833C" w14:textId="77777777" w:rsidR="00487A26" w:rsidRPr="00B40705" w:rsidRDefault="00487A26" w:rsidP="00E4648B">
            <w:pPr>
              <w:jc w:val="center"/>
              <w:rPr>
                <w:sz w:val="20"/>
              </w:rPr>
            </w:pPr>
            <w:r w:rsidRPr="00B40705">
              <w:rPr>
                <w:b/>
                <w:color w:val="000000"/>
                <w:sz w:val="20"/>
              </w:rPr>
              <w:t>Moderate</w:t>
            </w:r>
            <w:r w:rsidRPr="00B40705">
              <w:rPr>
                <w:b/>
                <w:color w:val="000000"/>
                <w:sz w:val="20"/>
              </w:rPr>
              <w:br/>
              <w:t>50% to &lt;80%</w:t>
            </w:r>
          </w:p>
        </w:tc>
        <w:tc>
          <w:tcPr>
            <w:tcW w:w="2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ED66EB" w14:textId="77777777" w:rsidR="00487A26" w:rsidRPr="00B40705" w:rsidRDefault="00487A26" w:rsidP="00E4648B">
            <w:pPr>
              <w:jc w:val="center"/>
              <w:rPr>
                <w:sz w:val="20"/>
              </w:rPr>
            </w:pPr>
            <w:r w:rsidRPr="00B40705">
              <w:rPr>
                <w:b/>
                <w:color w:val="000000"/>
                <w:sz w:val="20"/>
              </w:rPr>
              <w:t>Middle</w:t>
            </w:r>
            <w:r w:rsidRPr="00B40705">
              <w:rPr>
                <w:b/>
                <w:color w:val="000000"/>
                <w:sz w:val="20"/>
              </w:rPr>
              <w:br/>
              <w:t>80% to &lt;120%</w:t>
            </w:r>
          </w:p>
        </w:tc>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3922235" w14:textId="77777777" w:rsidR="00487A26" w:rsidRPr="00B40705" w:rsidRDefault="00487A26" w:rsidP="00E4648B">
            <w:pPr>
              <w:jc w:val="center"/>
              <w:rPr>
                <w:sz w:val="20"/>
              </w:rPr>
            </w:pPr>
            <w:r w:rsidRPr="00B40705">
              <w:rPr>
                <w:b/>
                <w:color w:val="000000"/>
                <w:sz w:val="20"/>
              </w:rPr>
              <w:t>Upper</w:t>
            </w:r>
            <w:r w:rsidRPr="00B40705">
              <w:rPr>
                <w:b/>
                <w:color w:val="000000"/>
                <w:sz w:val="20"/>
              </w:rPr>
              <w:br/>
              <w:t>≥120%</w:t>
            </w:r>
          </w:p>
        </w:tc>
      </w:tr>
      <w:tr w:rsidR="00487A26" w:rsidRPr="00B40705" w14:paraId="45D88FC4" w14:textId="77777777" w:rsidTr="00575435">
        <w:trPr>
          <w:trHeight w:val="128"/>
        </w:trPr>
        <w:tc>
          <w:tcPr>
            <w:tcW w:w="947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E477E6" w14:textId="77777777" w:rsidR="00487A26" w:rsidRPr="00B40705" w:rsidRDefault="00487A26" w:rsidP="00E4648B">
            <w:pPr>
              <w:jc w:val="center"/>
              <w:rPr>
                <w:sz w:val="20"/>
              </w:rPr>
            </w:pPr>
            <w:r w:rsidRPr="00B40705">
              <w:rPr>
                <w:b/>
                <w:color w:val="000000"/>
                <w:sz w:val="20"/>
              </w:rPr>
              <w:t xml:space="preserve">Worcester, MA-CT </w:t>
            </w:r>
            <w:proofErr w:type="spellStart"/>
            <w:r w:rsidRPr="00B40705">
              <w:rPr>
                <w:b/>
                <w:color w:val="000000"/>
                <w:sz w:val="20"/>
              </w:rPr>
              <w:t>MSA</w:t>
            </w:r>
            <w:proofErr w:type="spellEnd"/>
            <w:r w:rsidRPr="00B40705">
              <w:rPr>
                <w:b/>
                <w:color w:val="000000"/>
                <w:sz w:val="20"/>
              </w:rPr>
              <w:t xml:space="preserve"> Median Family Income (49340)</w:t>
            </w:r>
          </w:p>
        </w:tc>
      </w:tr>
      <w:tr w:rsidR="00B40705" w:rsidRPr="00B40705" w14:paraId="7F29950E" w14:textId="77777777" w:rsidTr="00575435">
        <w:trPr>
          <w:trHeight w:val="133"/>
        </w:trPr>
        <w:tc>
          <w:tcPr>
            <w:tcW w:w="25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102A8C" w14:textId="77777777" w:rsidR="00B40705" w:rsidRPr="00B40705" w:rsidRDefault="00B40705" w:rsidP="00B40705">
            <w:pPr>
              <w:rPr>
                <w:sz w:val="20"/>
                <w:szCs w:val="20"/>
              </w:rPr>
            </w:pPr>
            <w:r>
              <w:rPr>
                <w:color w:val="000000"/>
                <w:sz w:val="20"/>
              </w:rPr>
              <w:t>2018 ($86,900)</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CF642" w14:textId="77777777" w:rsidR="00B40705" w:rsidRPr="00B40705" w:rsidRDefault="00B40705" w:rsidP="00B40705">
            <w:pPr>
              <w:jc w:val="center"/>
              <w:rPr>
                <w:sz w:val="20"/>
                <w:szCs w:val="20"/>
              </w:rPr>
            </w:pPr>
            <w:r>
              <w:rPr>
                <w:color w:val="000000"/>
                <w:sz w:val="20"/>
              </w:rPr>
              <w:t>&lt;$43,450</w:t>
            </w:r>
          </w:p>
        </w:tc>
        <w:tc>
          <w:tcPr>
            <w:tcW w:w="20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FFAB2" w14:textId="77777777" w:rsidR="00B40705" w:rsidRPr="00B40705" w:rsidRDefault="00B40705" w:rsidP="00B40705">
            <w:pPr>
              <w:jc w:val="center"/>
              <w:rPr>
                <w:sz w:val="20"/>
                <w:szCs w:val="20"/>
              </w:rPr>
            </w:pPr>
            <w:r>
              <w:rPr>
                <w:color w:val="000000"/>
                <w:sz w:val="20"/>
              </w:rPr>
              <w:t>$43,450 to &lt;$69,520</w:t>
            </w:r>
          </w:p>
        </w:tc>
        <w:tc>
          <w:tcPr>
            <w:tcW w:w="2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16BC3" w14:textId="77777777" w:rsidR="00B40705" w:rsidRPr="00B40705" w:rsidRDefault="00B40705" w:rsidP="00B40705">
            <w:pPr>
              <w:jc w:val="center"/>
              <w:rPr>
                <w:sz w:val="20"/>
                <w:szCs w:val="20"/>
              </w:rPr>
            </w:pPr>
            <w:r>
              <w:rPr>
                <w:color w:val="000000"/>
                <w:sz w:val="20"/>
              </w:rPr>
              <w:t>$69,520 to &lt;$104,280</w:t>
            </w:r>
          </w:p>
        </w:tc>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FDD4C" w14:textId="77777777" w:rsidR="00B40705" w:rsidRPr="00B40705" w:rsidRDefault="00B40705" w:rsidP="00B40705">
            <w:pPr>
              <w:jc w:val="center"/>
              <w:rPr>
                <w:sz w:val="20"/>
                <w:szCs w:val="20"/>
              </w:rPr>
            </w:pPr>
            <w:r>
              <w:rPr>
                <w:color w:val="000000"/>
                <w:sz w:val="20"/>
              </w:rPr>
              <w:t>≥$104,280</w:t>
            </w:r>
          </w:p>
        </w:tc>
      </w:tr>
      <w:tr w:rsidR="00B40705" w:rsidRPr="00B40705" w14:paraId="1C991F3F" w14:textId="77777777" w:rsidTr="00575435">
        <w:trPr>
          <w:trHeight w:val="133"/>
        </w:trPr>
        <w:tc>
          <w:tcPr>
            <w:tcW w:w="25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48423A" w14:textId="77777777" w:rsidR="00B40705" w:rsidRPr="00B40705" w:rsidRDefault="00B40705" w:rsidP="00B40705">
            <w:pPr>
              <w:rPr>
                <w:sz w:val="20"/>
                <w:szCs w:val="20"/>
              </w:rPr>
            </w:pPr>
            <w:r>
              <w:rPr>
                <w:color w:val="000000"/>
                <w:sz w:val="20"/>
              </w:rPr>
              <w:t>2019 ($95,300)</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1ACEB" w14:textId="77777777" w:rsidR="00B40705" w:rsidRPr="00B40705" w:rsidRDefault="00B40705" w:rsidP="00B40705">
            <w:pPr>
              <w:jc w:val="center"/>
              <w:rPr>
                <w:sz w:val="20"/>
                <w:szCs w:val="20"/>
              </w:rPr>
            </w:pPr>
            <w:r>
              <w:rPr>
                <w:color w:val="000000"/>
                <w:sz w:val="20"/>
              </w:rPr>
              <w:t>&lt;$47,650</w:t>
            </w:r>
          </w:p>
        </w:tc>
        <w:tc>
          <w:tcPr>
            <w:tcW w:w="20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3AB54" w14:textId="77777777" w:rsidR="00B40705" w:rsidRPr="00B40705" w:rsidRDefault="00B40705" w:rsidP="00B40705">
            <w:pPr>
              <w:jc w:val="center"/>
              <w:rPr>
                <w:sz w:val="20"/>
                <w:szCs w:val="20"/>
              </w:rPr>
            </w:pPr>
            <w:r>
              <w:rPr>
                <w:color w:val="000000"/>
                <w:sz w:val="20"/>
              </w:rPr>
              <w:t>$47,650 to &lt;$76,240</w:t>
            </w:r>
          </w:p>
        </w:tc>
        <w:tc>
          <w:tcPr>
            <w:tcW w:w="2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0AE4C" w14:textId="77777777" w:rsidR="00B40705" w:rsidRPr="00B40705" w:rsidRDefault="00B40705" w:rsidP="00B40705">
            <w:pPr>
              <w:jc w:val="center"/>
              <w:rPr>
                <w:sz w:val="20"/>
                <w:szCs w:val="20"/>
              </w:rPr>
            </w:pPr>
            <w:r>
              <w:rPr>
                <w:color w:val="000000"/>
                <w:sz w:val="20"/>
              </w:rPr>
              <w:t>$76,240 to &lt;$114,360</w:t>
            </w:r>
          </w:p>
        </w:tc>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B9252" w14:textId="77777777" w:rsidR="00B40705" w:rsidRPr="00B40705" w:rsidRDefault="00B40705" w:rsidP="00B40705">
            <w:pPr>
              <w:jc w:val="center"/>
              <w:rPr>
                <w:sz w:val="20"/>
                <w:szCs w:val="20"/>
              </w:rPr>
            </w:pPr>
            <w:r>
              <w:rPr>
                <w:color w:val="000000"/>
                <w:sz w:val="20"/>
              </w:rPr>
              <w:t>≥$114,360</w:t>
            </w:r>
          </w:p>
        </w:tc>
      </w:tr>
      <w:tr w:rsidR="00487A26" w14:paraId="5C18D246" w14:textId="77777777" w:rsidTr="00575435">
        <w:trPr>
          <w:trHeight w:val="200"/>
        </w:trPr>
        <w:tc>
          <w:tcPr>
            <w:tcW w:w="947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063FE" w14:textId="77777777" w:rsidR="00487A26" w:rsidRPr="00487A26" w:rsidRDefault="00487A26" w:rsidP="00E4648B">
            <w:pPr>
              <w:rPr>
                <w:sz w:val="20"/>
              </w:rPr>
            </w:pPr>
            <w:r w:rsidRPr="00B40705">
              <w:rPr>
                <w:i/>
                <w:color w:val="000000"/>
                <w:sz w:val="20"/>
              </w:rPr>
              <w:t xml:space="preserve">Source </w:t>
            </w:r>
            <w:proofErr w:type="spellStart"/>
            <w:r w:rsidRPr="00B40705">
              <w:rPr>
                <w:i/>
                <w:color w:val="000000"/>
                <w:sz w:val="20"/>
              </w:rPr>
              <w:t>FFIEC</w:t>
            </w:r>
            <w:proofErr w:type="spellEnd"/>
          </w:p>
        </w:tc>
      </w:tr>
    </w:tbl>
    <w:p w14:paraId="3F47C0D0" w14:textId="77777777" w:rsidR="00E951F8" w:rsidRDefault="00E37C04" w:rsidP="00E02903">
      <w:pPr>
        <w:tabs>
          <w:tab w:val="center" w:pos="4680"/>
        </w:tabs>
      </w:pPr>
      <w:r>
        <w:tab/>
      </w:r>
    </w:p>
    <w:p w14:paraId="3EBCCF4B" w14:textId="77777777" w:rsidR="00E951F8" w:rsidRPr="00CC41B5" w:rsidRDefault="00E951F8" w:rsidP="00575435">
      <w:pPr>
        <w:tabs>
          <w:tab w:val="center" w:pos="4680"/>
        </w:tabs>
        <w:jc w:val="both"/>
        <w:rPr>
          <w:b/>
          <w:u w:val="single"/>
        </w:rPr>
      </w:pPr>
      <w:r w:rsidRPr="00CC41B5">
        <w:rPr>
          <w:b/>
          <w:u w:val="single"/>
        </w:rPr>
        <w:t>Competition</w:t>
      </w:r>
    </w:p>
    <w:p w14:paraId="6C694104" w14:textId="77777777" w:rsidR="00A96EA0" w:rsidRPr="00CC41B5" w:rsidRDefault="00A96EA0" w:rsidP="00575435">
      <w:pPr>
        <w:tabs>
          <w:tab w:val="center" w:pos="4680"/>
        </w:tabs>
        <w:jc w:val="both"/>
        <w:rPr>
          <w:b/>
          <w:u w:val="single"/>
        </w:rPr>
      </w:pPr>
    </w:p>
    <w:p w14:paraId="1CF02F51" w14:textId="77777777" w:rsidR="00A96EA0" w:rsidRPr="00CC41B5" w:rsidRDefault="00CC41B5" w:rsidP="00575435">
      <w:pPr>
        <w:jc w:val="both"/>
        <w:rPr>
          <w:iCs/>
        </w:rPr>
      </w:pPr>
      <w:r>
        <w:rPr>
          <w:iCs/>
        </w:rPr>
        <w:t xml:space="preserve">The AA is located in a </w:t>
      </w:r>
      <w:r w:rsidR="00A96EA0" w:rsidRPr="00CC41B5">
        <w:rPr>
          <w:iCs/>
        </w:rPr>
        <w:t>competitive market for home mortgage loans</w:t>
      </w:r>
      <w:proofErr w:type="gramStart"/>
      <w:r w:rsidR="00A96EA0" w:rsidRPr="00CC41B5">
        <w:rPr>
          <w:iCs/>
        </w:rPr>
        <w:t xml:space="preserve">.  </w:t>
      </w:r>
      <w:proofErr w:type="gramEnd"/>
      <w:r w:rsidR="00A96EA0" w:rsidRPr="00CC41B5">
        <w:rPr>
          <w:iCs/>
        </w:rPr>
        <w:t>There is a high level of competition for home mortgage loans among credit unions, banks, and non-depository</w:t>
      </w:r>
      <w:r w:rsidR="003F29A0">
        <w:rPr>
          <w:iCs/>
        </w:rPr>
        <w:t xml:space="preserve"> lenders. In 2019, Southbridge Credit Union ranked 13</w:t>
      </w:r>
      <w:r w:rsidR="003F29A0" w:rsidRPr="003F29A0">
        <w:rPr>
          <w:iCs/>
          <w:vertAlign w:val="superscript"/>
        </w:rPr>
        <w:t>th</w:t>
      </w:r>
      <w:r w:rsidR="003F29A0">
        <w:rPr>
          <w:iCs/>
        </w:rPr>
        <w:t xml:space="preserve"> with a 2.1 percent market share. The largest three lenders by market share included Fairway Independent Mortgage Corporation, Quicken Loans, and Wells Fargo Bank NA.</w:t>
      </w:r>
      <w:r w:rsidR="00B84441" w:rsidRPr="00CC41B5">
        <w:rPr>
          <w:iCs/>
        </w:rPr>
        <w:t xml:space="preserve"> </w:t>
      </w:r>
    </w:p>
    <w:p w14:paraId="4553E974" w14:textId="77777777" w:rsidR="00E951F8" w:rsidRPr="00E37C04" w:rsidRDefault="00E951F8" w:rsidP="00575435">
      <w:pPr>
        <w:tabs>
          <w:tab w:val="center" w:pos="4680"/>
        </w:tabs>
        <w:jc w:val="both"/>
        <w:rPr>
          <w:b/>
          <w:highlight w:val="yellow"/>
          <w:u w:val="single"/>
        </w:rPr>
      </w:pPr>
    </w:p>
    <w:p w14:paraId="3F2FD55E" w14:textId="77777777" w:rsidR="00E951F8" w:rsidRPr="00E951F8" w:rsidRDefault="00E951F8" w:rsidP="00575435">
      <w:pPr>
        <w:tabs>
          <w:tab w:val="center" w:pos="4680"/>
        </w:tabs>
        <w:jc w:val="both"/>
        <w:rPr>
          <w:b/>
          <w:u w:val="single"/>
        </w:rPr>
      </w:pPr>
      <w:r w:rsidRPr="001D4181">
        <w:rPr>
          <w:b/>
          <w:u w:val="single"/>
        </w:rPr>
        <w:t>Community Contact</w:t>
      </w:r>
    </w:p>
    <w:p w14:paraId="291942E7" w14:textId="77777777" w:rsidR="00FB7E5F" w:rsidRPr="00161EC6" w:rsidRDefault="00FB7E5F" w:rsidP="00575435">
      <w:pPr>
        <w:tabs>
          <w:tab w:val="center" w:pos="4680"/>
        </w:tabs>
        <w:jc w:val="both"/>
      </w:pPr>
    </w:p>
    <w:p w14:paraId="492863E5" w14:textId="3E48CD67" w:rsidR="001D4181" w:rsidRPr="00E90337" w:rsidRDefault="00E90337" w:rsidP="00575435">
      <w:pPr>
        <w:jc w:val="both"/>
        <w:rPr>
          <w:bCs/>
          <w:iCs/>
        </w:rPr>
      </w:pPr>
      <w:r>
        <w:rPr>
          <w:bCs/>
          <w:iCs/>
        </w:rPr>
        <w:t xml:space="preserve">As part of the CRA evaluation, examiners contact organizations active in the </w:t>
      </w:r>
      <w:r w:rsidR="009D62EA">
        <w:rPr>
          <w:bCs/>
          <w:iCs/>
        </w:rPr>
        <w:t>AA</w:t>
      </w:r>
      <w:r>
        <w:rPr>
          <w:bCs/>
          <w:iCs/>
        </w:rPr>
        <w:t xml:space="preserve"> to better understand and assess credit and community development needs and opportunities</w:t>
      </w:r>
      <w:proofErr w:type="gramStart"/>
      <w:r>
        <w:rPr>
          <w:bCs/>
          <w:iCs/>
        </w:rPr>
        <w:t xml:space="preserve">.  </w:t>
      </w:r>
      <w:proofErr w:type="gramEnd"/>
      <w:r>
        <w:rPr>
          <w:bCs/>
          <w:iCs/>
        </w:rPr>
        <w:t>Information obtained from the meetings helps determine the responsiveness of local financial institutions to identified needs</w:t>
      </w:r>
      <w:proofErr w:type="gramStart"/>
      <w:r>
        <w:rPr>
          <w:bCs/>
          <w:iCs/>
        </w:rPr>
        <w:t xml:space="preserve">.  </w:t>
      </w:r>
      <w:proofErr w:type="gramEnd"/>
      <w:r w:rsidR="001D4181" w:rsidRPr="001D4181">
        <w:rPr>
          <w:szCs w:val="28"/>
        </w:rPr>
        <w:t>Examiners met with an organization that focuses on regional planning and econo</w:t>
      </w:r>
      <w:r w:rsidR="001D4181">
        <w:rPr>
          <w:szCs w:val="28"/>
        </w:rPr>
        <w:t>mic development in South</w:t>
      </w:r>
      <w:r w:rsidR="0090186C">
        <w:rPr>
          <w:szCs w:val="28"/>
        </w:rPr>
        <w:t xml:space="preserve"> C</w:t>
      </w:r>
      <w:r w:rsidR="001D4181">
        <w:rPr>
          <w:szCs w:val="28"/>
        </w:rPr>
        <w:t xml:space="preserve">entral </w:t>
      </w:r>
      <w:r w:rsidR="001D4181" w:rsidRPr="001D4181">
        <w:rPr>
          <w:szCs w:val="28"/>
        </w:rPr>
        <w:t>Massachusetts</w:t>
      </w:r>
      <w:proofErr w:type="gramStart"/>
      <w:r w:rsidR="001D4181" w:rsidRPr="001D4181">
        <w:rPr>
          <w:szCs w:val="28"/>
        </w:rPr>
        <w:t xml:space="preserve">. </w:t>
      </w:r>
      <w:r w:rsidR="001D4181">
        <w:rPr>
          <w:szCs w:val="28"/>
        </w:rPr>
        <w:t xml:space="preserve"> </w:t>
      </w:r>
      <w:proofErr w:type="gramEnd"/>
      <w:r w:rsidR="001D4181" w:rsidRPr="001D4181">
        <w:rPr>
          <w:szCs w:val="28"/>
        </w:rPr>
        <w:t>The contact stated that primary concerns for the region include affordable housing and small b</w:t>
      </w:r>
      <w:r w:rsidR="001D4181">
        <w:rPr>
          <w:szCs w:val="28"/>
        </w:rPr>
        <w:t>usiness</w:t>
      </w:r>
      <w:r w:rsidR="009859BB" w:rsidRPr="009D7EF0">
        <w:rPr>
          <w:szCs w:val="28"/>
        </w:rPr>
        <w:t>es</w:t>
      </w:r>
      <w:r w:rsidR="001D4181">
        <w:rPr>
          <w:szCs w:val="28"/>
        </w:rPr>
        <w:t xml:space="preserve"> under financial strain due to the </w:t>
      </w:r>
      <w:proofErr w:type="spellStart"/>
      <w:r w:rsidR="001D4181">
        <w:rPr>
          <w:szCs w:val="28"/>
        </w:rPr>
        <w:t>Covid</w:t>
      </w:r>
      <w:proofErr w:type="spellEnd"/>
      <w:r w:rsidR="001D4181">
        <w:rPr>
          <w:szCs w:val="28"/>
        </w:rPr>
        <w:t>-19 pandemic.</w:t>
      </w:r>
    </w:p>
    <w:p w14:paraId="2D8D2913" w14:textId="77777777" w:rsidR="001D4181" w:rsidRDefault="001D4181" w:rsidP="00575435">
      <w:pPr>
        <w:pStyle w:val="QuickFormat1"/>
        <w:jc w:val="both"/>
        <w:rPr>
          <w:b w:val="0"/>
          <w:color w:val="auto"/>
          <w:sz w:val="24"/>
          <w:szCs w:val="28"/>
          <w:lang w:val="en-US"/>
        </w:rPr>
      </w:pPr>
    </w:p>
    <w:p w14:paraId="1B6D926D" w14:textId="77777777" w:rsidR="001D4181" w:rsidRPr="001D4181" w:rsidRDefault="001D4181" w:rsidP="00575435">
      <w:pPr>
        <w:pStyle w:val="QuickFormat1"/>
        <w:jc w:val="both"/>
        <w:rPr>
          <w:color w:val="auto"/>
          <w:sz w:val="24"/>
          <w:szCs w:val="28"/>
          <w:u w:val="single"/>
          <w:lang w:val="en-US"/>
        </w:rPr>
      </w:pPr>
      <w:r w:rsidRPr="001D4181">
        <w:rPr>
          <w:color w:val="auto"/>
          <w:sz w:val="24"/>
          <w:szCs w:val="28"/>
          <w:u w:val="single"/>
          <w:lang w:val="en-US"/>
        </w:rPr>
        <w:t xml:space="preserve">Credit and Community Needs and Opportunities </w:t>
      </w:r>
    </w:p>
    <w:p w14:paraId="55970EE0" w14:textId="77777777" w:rsidR="001D4181" w:rsidRDefault="001D4181" w:rsidP="00575435">
      <w:pPr>
        <w:pStyle w:val="QuickFormat1"/>
        <w:jc w:val="both"/>
        <w:rPr>
          <w:b w:val="0"/>
          <w:color w:val="auto"/>
          <w:sz w:val="24"/>
          <w:szCs w:val="28"/>
          <w:lang w:val="en-US"/>
        </w:rPr>
      </w:pPr>
    </w:p>
    <w:p w14:paraId="1F2298D2" w14:textId="77777777" w:rsidR="00FB7E5F" w:rsidRDefault="001D4181" w:rsidP="00575435">
      <w:pPr>
        <w:pStyle w:val="QuickFormat1"/>
        <w:jc w:val="both"/>
        <w:rPr>
          <w:b w:val="0"/>
          <w:color w:val="auto"/>
          <w:sz w:val="24"/>
          <w:szCs w:val="28"/>
          <w:lang w:val="en-US"/>
        </w:rPr>
      </w:pPr>
      <w:r w:rsidRPr="001D4181">
        <w:rPr>
          <w:b w:val="0"/>
          <w:color w:val="auto"/>
          <w:sz w:val="24"/>
          <w:szCs w:val="28"/>
          <w:lang w:val="en-US"/>
        </w:rPr>
        <w:t>Considering information from the community contract, credit union management, and demographic and economic data, examiners determined that affordable housing represented the primary community development need.</w:t>
      </w:r>
    </w:p>
    <w:p w14:paraId="0D4D63EB" w14:textId="77777777" w:rsidR="00FB7E5F" w:rsidRDefault="00FB7E5F" w:rsidP="00575435">
      <w:pPr>
        <w:pStyle w:val="QuickFormat1"/>
        <w:jc w:val="both"/>
        <w:rPr>
          <w:b w:val="0"/>
          <w:color w:val="auto"/>
          <w:sz w:val="24"/>
          <w:szCs w:val="28"/>
          <w:lang w:val="en-US"/>
        </w:rPr>
      </w:pPr>
    </w:p>
    <w:p w14:paraId="6CFEE79D" w14:textId="77777777" w:rsidR="00DE0B65" w:rsidRDefault="00DE0B65" w:rsidP="00575435">
      <w:pPr>
        <w:pStyle w:val="Heading1"/>
        <w:jc w:val="both"/>
      </w:pPr>
      <w:bookmarkStart w:id="5" w:name="_Toc18418963"/>
    </w:p>
    <w:p w14:paraId="0A08698D" w14:textId="77777777" w:rsidR="00DE0B65" w:rsidRDefault="00DE0B65" w:rsidP="00575435">
      <w:pPr>
        <w:pStyle w:val="Heading1"/>
        <w:jc w:val="both"/>
      </w:pPr>
    </w:p>
    <w:p w14:paraId="7FC5EEE8" w14:textId="77777777" w:rsidR="00DE0B65" w:rsidRDefault="00DE0B65" w:rsidP="00575435">
      <w:pPr>
        <w:pStyle w:val="Heading1"/>
        <w:jc w:val="both"/>
      </w:pPr>
    </w:p>
    <w:p w14:paraId="676B2C52" w14:textId="77777777" w:rsidR="00DE0B65" w:rsidRDefault="00DE0B65" w:rsidP="00575435">
      <w:pPr>
        <w:pStyle w:val="Heading1"/>
        <w:jc w:val="both"/>
      </w:pPr>
    </w:p>
    <w:p w14:paraId="15903150" w14:textId="77777777" w:rsidR="009D7EF0" w:rsidRDefault="009D7EF0" w:rsidP="00575435">
      <w:pPr>
        <w:jc w:val="both"/>
      </w:pPr>
    </w:p>
    <w:p w14:paraId="57C096A3" w14:textId="77777777" w:rsidR="009D7EF0" w:rsidRDefault="009D7EF0" w:rsidP="009D7EF0"/>
    <w:p w14:paraId="125FDD7C" w14:textId="77777777" w:rsidR="009D7EF0" w:rsidRDefault="009D7EF0" w:rsidP="009D7EF0"/>
    <w:p w14:paraId="02C0919A" w14:textId="77777777" w:rsidR="009D7EF0" w:rsidRDefault="009D7EF0" w:rsidP="009D7EF0"/>
    <w:p w14:paraId="309E7339" w14:textId="77777777" w:rsidR="009D7EF0" w:rsidRPr="009D7EF0" w:rsidRDefault="009D7EF0" w:rsidP="009D7EF0"/>
    <w:p w14:paraId="49B726FA" w14:textId="77777777" w:rsidR="00E15DD6" w:rsidRPr="00E15DD6" w:rsidRDefault="00E15DD6" w:rsidP="000927D4">
      <w:pPr>
        <w:pStyle w:val="Heading1"/>
      </w:pPr>
      <w:r w:rsidRPr="00E15DD6">
        <w:lastRenderedPageBreak/>
        <w:t>CONCLUSIONS ON PERFORMANCE CRITERIA</w:t>
      </w:r>
      <w:bookmarkEnd w:id="5"/>
    </w:p>
    <w:p w14:paraId="125F2A6D" w14:textId="77777777" w:rsidR="00FB7E5F" w:rsidRPr="00AD3B1A" w:rsidRDefault="00FB7E5F" w:rsidP="00E15DD6">
      <w:pPr>
        <w:ind w:right="-360"/>
        <w:rPr>
          <w:iCs/>
          <w:color w:val="000000"/>
        </w:rPr>
      </w:pPr>
    </w:p>
    <w:p w14:paraId="67EB56C3" w14:textId="77777777" w:rsidR="00D12B41" w:rsidRPr="00BF51F4" w:rsidRDefault="00883F0A" w:rsidP="00575435">
      <w:pPr>
        <w:jc w:val="both"/>
        <w:rPr>
          <w:b/>
          <w:bCs/>
          <w:spacing w:val="-3"/>
          <w:u w:val="single"/>
        </w:rPr>
      </w:pPr>
      <w:r w:rsidRPr="00BF51F4">
        <w:rPr>
          <w:b/>
          <w:bCs/>
          <w:spacing w:val="-3"/>
          <w:u w:val="single"/>
        </w:rPr>
        <w:t>Loan-to-Share</w:t>
      </w:r>
      <w:r w:rsidR="009D7EF0">
        <w:rPr>
          <w:b/>
          <w:bCs/>
          <w:spacing w:val="-3"/>
          <w:u w:val="single"/>
        </w:rPr>
        <w:t xml:space="preserve"> (</w:t>
      </w:r>
      <w:proofErr w:type="spellStart"/>
      <w:r w:rsidR="009D7EF0">
        <w:rPr>
          <w:b/>
          <w:bCs/>
          <w:spacing w:val="-3"/>
          <w:u w:val="single"/>
        </w:rPr>
        <w:t>LTS</w:t>
      </w:r>
      <w:proofErr w:type="spellEnd"/>
      <w:r w:rsidR="009D7EF0">
        <w:rPr>
          <w:b/>
          <w:bCs/>
          <w:spacing w:val="-3"/>
          <w:u w:val="single"/>
        </w:rPr>
        <w:t>)</w:t>
      </w:r>
      <w:r w:rsidR="00D12B41" w:rsidRPr="00BF51F4">
        <w:rPr>
          <w:b/>
          <w:bCs/>
          <w:spacing w:val="-3"/>
          <w:u w:val="single"/>
        </w:rPr>
        <w:t xml:space="preserve"> Ratio</w:t>
      </w:r>
    </w:p>
    <w:p w14:paraId="4A6C5566" w14:textId="77777777" w:rsidR="00DD35B3" w:rsidRPr="00E37C04" w:rsidRDefault="00DD35B3" w:rsidP="00575435">
      <w:pPr>
        <w:jc w:val="both"/>
        <w:rPr>
          <w:b/>
          <w:bCs/>
          <w:spacing w:val="-3"/>
          <w:highlight w:val="yellow"/>
          <w:u w:val="single"/>
        </w:rPr>
      </w:pPr>
    </w:p>
    <w:p w14:paraId="39150CBC" w14:textId="77777777" w:rsidR="00DD35B3" w:rsidRPr="00BF51F4" w:rsidRDefault="00DD35B3" w:rsidP="00575435">
      <w:pPr>
        <w:jc w:val="both"/>
        <w:rPr>
          <w:bCs/>
          <w:spacing w:val="-3"/>
        </w:rPr>
      </w:pPr>
      <w:r w:rsidRPr="00BF51F4">
        <w:rPr>
          <w:bCs/>
          <w:spacing w:val="-3"/>
        </w:rPr>
        <w:t>This performance criterion determines what percentage of t</w:t>
      </w:r>
      <w:r w:rsidR="00BB56D3" w:rsidRPr="00BF51F4">
        <w:rPr>
          <w:bCs/>
          <w:spacing w:val="-3"/>
        </w:rPr>
        <w:t xml:space="preserve">he credit union’s share base is </w:t>
      </w:r>
      <w:r w:rsidRPr="00BF51F4">
        <w:rPr>
          <w:bCs/>
          <w:spacing w:val="-3"/>
        </w:rPr>
        <w:t>reinvested in the form of loans</w:t>
      </w:r>
      <w:proofErr w:type="gramStart"/>
      <w:r w:rsidRPr="00BF51F4">
        <w:rPr>
          <w:bCs/>
          <w:spacing w:val="-3"/>
        </w:rPr>
        <w:t xml:space="preserve">. </w:t>
      </w:r>
      <w:r w:rsidR="00BB56D3" w:rsidRPr="00BF51F4">
        <w:rPr>
          <w:bCs/>
          <w:spacing w:val="-3"/>
        </w:rPr>
        <w:t xml:space="preserve"> </w:t>
      </w:r>
      <w:proofErr w:type="gramEnd"/>
      <w:r w:rsidRPr="00BF51F4">
        <w:rPr>
          <w:bCs/>
          <w:spacing w:val="-3"/>
        </w:rPr>
        <w:t>The average net loan-to-share ratio for the last eight quarters is</w:t>
      </w:r>
      <w:r w:rsidR="0090186C">
        <w:rPr>
          <w:bCs/>
          <w:spacing w:val="-3"/>
        </w:rPr>
        <w:t xml:space="preserve"> excellent </w:t>
      </w:r>
      <w:r w:rsidRPr="00BF51F4">
        <w:rPr>
          <w:bCs/>
          <w:spacing w:val="-3"/>
        </w:rPr>
        <w:t>given the institution’s size, financial condition, and AA credit needs.</w:t>
      </w:r>
    </w:p>
    <w:p w14:paraId="77966A9A" w14:textId="77777777" w:rsidR="00DD35B3" w:rsidRPr="00E37C04" w:rsidRDefault="00DD35B3" w:rsidP="00575435">
      <w:pPr>
        <w:jc w:val="both"/>
        <w:rPr>
          <w:bCs/>
          <w:spacing w:val="-3"/>
          <w:highlight w:val="yellow"/>
        </w:rPr>
      </w:pPr>
    </w:p>
    <w:p w14:paraId="60847BC5" w14:textId="77777777" w:rsidR="00DD35B3" w:rsidRPr="00BF51F4" w:rsidRDefault="00DD35B3" w:rsidP="00575435">
      <w:pPr>
        <w:jc w:val="both"/>
        <w:rPr>
          <w:bCs/>
          <w:spacing w:val="-3"/>
        </w:rPr>
      </w:pPr>
      <w:r w:rsidRPr="00BF51F4">
        <w:rPr>
          <w:bCs/>
          <w:spacing w:val="-3"/>
        </w:rPr>
        <w:t xml:space="preserve">The credit union’s net </w:t>
      </w:r>
      <w:proofErr w:type="spellStart"/>
      <w:r w:rsidRPr="00BF51F4">
        <w:rPr>
          <w:bCs/>
          <w:spacing w:val="-3"/>
        </w:rPr>
        <w:t>LTS</w:t>
      </w:r>
      <w:proofErr w:type="spellEnd"/>
      <w:r w:rsidRPr="00BF51F4">
        <w:rPr>
          <w:bCs/>
          <w:spacing w:val="-3"/>
        </w:rPr>
        <w:t xml:space="preserve"> ratio, as calculated from the </w:t>
      </w:r>
      <w:proofErr w:type="spellStart"/>
      <w:r w:rsidRPr="00BF51F4">
        <w:rPr>
          <w:bCs/>
          <w:spacing w:val="-3"/>
        </w:rPr>
        <w:t>NCUA</w:t>
      </w:r>
      <w:proofErr w:type="spellEnd"/>
      <w:r w:rsidRPr="00BF51F4">
        <w:rPr>
          <w:bCs/>
          <w:spacing w:val="-3"/>
        </w:rPr>
        <w:t xml:space="preserve"> 5300 Quarter</w:t>
      </w:r>
      <w:r w:rsidR="00BF51F4">
        <w:rPr>
          <w:bCs/>
          <w:spacing w:val="-3"/>
        </w:rPr>
        <w:t xml:space="preserve">ly Call Report data, averaged </w:t>
      </w:r>
      <w:r w:rsidR="00C4015D">
        <w:rPr>
          <w:bCs/>
          <w:spacing w:val="-3"/>
        </w:rPr>
        <w:t xml:space="preserve">106.2 </w:t>
      </w:r>
      <w:r w:rsidRPr="00BF51F4">
        <w:rPr>
          <w:bCs/>
          <w:spacing w:val="-3"/>
        </w:rPr>
        <w:t>percent over the past ei</w:t>
      </w:r>
      <w:r w:rsidR="00317F63" w:rsidRPr="00BF51F4">
        <w:rPr>
          <w:bCs/>
          <w:spacing w:val="-3"/>
        </w:rPr>
        <w:t xml:space="preserve">ght </w:t>
      </w:r>
      <w:r w:rsidR="00BF51F4">
        <w:rPr>
          <w:bCs/>
          <w:spacing w:val="-3"/>
        </w:rPr>
        <w:t>ca</w:t>
      </w:r>
      <w:r w:rsidR="009F1C43">
        <w:rPr>
          <w:bCs/>
          <w:spacing w:val="-3"/>
        </w:rPr>
        <w:t>lendar quarters from March 31, 2019</w:t>
      </w:r>
      <w:r w:rsidRPr="00BF51F4">
        <w:rPr>
          <w:bCs/>
          <w:spacing w:val="-3"/>
        </w:rPr>
        <w:t xml:space="preserve"> through</w:t>
      </w:r>
    </w:p>
    <w:p w14:paraId="558D2F13" w14:textId="77777777" w:rsidR="00DD35B3" w:rsidRPr="00BF51F4" w:rsidRDefault="009F1C43" w:rsidP="00575435">
      <w:pPr>
        <w:jc w:val="both"/>
        <w:rPr>
          <w:bCs/>
          <w:spacing w:val="-3"/>
        </w:rPr>
      </w:pPr>
      <w:r>
        <w:rPr>
          <w:bCs/>
          <w:spacing w:val="-3"/>
        </w:rPr>
        <w:t>December 31</w:t>
      </w:r>
      <w:r w:rsidR="00317F63" w:rsidRPr="00BF51F4">
        <w:rPr>
          <w:bCs/>
          <w:spacing w:val="-3"/>
        </w:rPr>
        <w:t>, 2020</w:t>
      </w:r>
      <w:proofErr w:type="gramStart"/>
      <w:r w:rsidR="00697E73" w:rsidRPr="00BF51F4">
        <w:rPr>
          <w:bCs/>
          <w:spacing w:val="-3"/>
        </w:rPr>
        <w:t xml:space="preserve">.  </w:t>
      </w:r>
      <w:proofErr w:type="gramEnd"/>
      <w:r w:rsidR="00DD35B3" w:rsidRPr="00BF51F4">
        <w:rPr>
          <w:bCs/>
          <w:spacing w:val="-3"/>
        </w:rPr>
        <w:t>T</w:t>
      </w:r>
      <w:r>
        <w:rPr>
          <w:bCs/>
          <w:spacing w:val="-3"/>
        </w:rPr>
        <w:t>he ratio ranged from a low of 90.1</w:t>
      </w:r>
      <w:r w:rsidR="00BF51F4">
        <w:rPr>
          <w:bCs/>
          <w:spacing w:val="-3"/>
        </w:rPr>
        <w:t xml:space="preserve"> percent as </w:t>
      </w:r>
      <w:r>
        <w:rPr>
          <w:bCs/>
          <w:spacing w:val="-3"/>
        </w:rPr>
        <w:t>of December 31</w:t>
      </w:r>
      <w:r w:rsidR="00BF51F4">
        <w:rPr>
          <w:bCs/>
          <w:spacing w:val="-3"/>
        </w:rPr>
        <w:t>, 2020</w:t>
      </w:r>
      <w:r w:rsidR="00317F63" w:rsidRPr="00BF51F4">
        <w:rPr>
          <w:bCs/>
          <w:spacing w:val="-3"/>
        </w:rPr>
        <w:t xml:space="preserve"> to a high </w:t>
      </w:r>
      <w:r w:rsidR="008A09C7">
        <w:rPr>
          <w:bCs/>
          <w:spacing w:val="-3"/>
        </w:rPr>
        <w:t>of 114.6</w:t>
      </w:r>
      <w:r>
        <w:rPr>
          <w:bCs/>
          <w:spacing w:val="-3"/>
        </w:rPr>
        <w:t xml:space="preserve"> percent as of June 30, 2019</w:t>
      </w:r>
      <w:r w:rsidR="00BF51F4">
        <w:rPr>
          <w:bCs/>
          <w:spacing w:val="-3"/>
        </w:rPr>
        <w:t>, showing a decreasing</w:t>
      </w:r>
      <w:r w:rsidR="00DD35B3" w:rsidRPr="00BF51F4">
        <w:rPr>
          <w:bCs/>
          <w:spacing w:val="-3"/>
        </w:rPr>
        <w:t xml:space="preserve"> trend during the evaluation period.</w:t>
      </w:r>
    </w:p>
    <w:p w14:paraId="2453C512" w14:textId="77777777" w:rsidR="00311F0B" w:rsidRDefault="00311F0B" w:rsidP="00575435">
      <w:pPr>
        <w:jc w:val="both"/>
        <w:rPr>
          <w:bCs/>
          <w:spacing w:val="-3"/>
        </w:rPr>
      </w:pPr>
    </w:p>
    <w:p w14:paraId="3CBBFCDC" w14:textId="77777777" w:rsidR="00DD35B3" w:rsidRPr="00BF51F4" w:rsidRDefault="00DD35B3" w:rsidP="00575435">
      <w:pPr>
        <w:jc w:val="both"/>
        <w:rPr>
          <w:bCs/>
          <w:spacing w:val="-3"/>
        </w:rPr>
      </w:pPr>
      <w:r w:rsidRPr="00BF51F4">
        <w:rPr>
          <w:bCs/>
          <w:spacing w:val="-3"/>
        </w:rPr>
        <w:t xml:space="preserve">The credit union’s average </w:t>
      </w:r>
      <w:proofErr w:type="spellStart"/>
      <w:r w:rsidRPr="00BF51F4">
        <w:rPr>
          <w:bCs/>
          <w:spacing w:val="-3"/>
        </w:rPr>
        <w:t>LTS</w:t>
      </w:r>
      <w:proofErr w:type="spellEnd"/>
      <w:r w:rsidRPr="00BF51F4">
        <w:rPr>
          <w:bCs/>
          <w:spacing w:val="-3"/>
        </w:rPr>
        <w:t xml:space="preserve"> ratio over the previous eight quar</w:t>
      </w:r>
      <w:r w:rsidR="009F1C43">
        <w:rPr>
          <w:bCs/>
          <w:spacing w:val="-3"/>
        </w:rPr>
        <w:t>ters was compared to that of three</w:t>
      </w:r>
      <w:r w:rsidR="009D7EF0">
        <w:rPr>
          <w:bCs/>
          <w:spacing w:val="-3"/>
        </w:rPr>
        <w:t xml:space="preserve"> </w:t>
      </w:r>
      <w:r w:rsidRPr="00BF51F4">
        <w:rPr>
          <w:bCs/>
          <w:spacing w:val="-3"/>
        </w:rPr>
        <w:t>similarly situated institutions</w:t>
      </w:r>
      <w:proofErr w:type="gramStart"/>
      <w:r w:rsidR="00697E73" w:rsidRPr="00BF51F4">
        <w:rPr>
          <w:bCs/>
          <w:spacing w:val="-3"/>
        </w:rPr>
        <w:t xml:space="preserve">.  </w:t>
      </w:r>
      <w:proofErr w:type="gramEnd"/>
      <w:r w:rsidRPr="00BF51F4">
        <w:rPr>
          <w:bCs/>
          <w:spacing w:val="-3"/>
        </w:rPr>
        <w:t xml:space="preserve">The institution selection is based on </w:t>
      </w:r>
      <w:r w:rsidR="00317F63" w:rsidRPr="00BF51F4">
        <w:rPr>
          <w:bCs/>
          <w:spacing w:val="-3"/>
        </w:rPr>
        <w:t>geographic location and lending f</w:t>
      </w:r>
      <w:r w:rsidRPr="00BF51F4">
        <w:rPr>
          <w:bCs/>
          <w:spacing w:val="-3"/>
        </w:rPr>
        <w:t>ocus</w:t>
      </w:r>
      <w:proofErr w:type="gramStart"/>
      <w:r w:rsidRPr="00BF51F4">
        <w:rPr>
          <w:bCs/>
          <w:spacing w:val="-3"/>
        </w:rPr>
        <w:t xml:space="preserve">. </w:t>
      </w:r>
      <w:r w:rsidR="00BF51F4">
        <w:rPr>
          <w:bCs/>
          <w:spacing w:val="-3"/>
        </w:rPr>
        <w:t xml:space="preserve"> </w:t>
      </w:r>
      <w:proofErr w:type="gramEnd"/>
      <w:r w:rsidR="00BF51F4">
        <w:rPr>
          <w:bCs/>
          <w:spacing w:val="-3"/>
        </w:rPr>
        <w:t>Southbridge</w:t>
      </w:r>
      <w:r w:rsidRPr="00BF51F4">
        <w:rPr>
          <w:bCs/>
          <w:spacing w:val="-3"/>
        </w:rPr>
        <w:t xml:space="preserve"> Credit Union’s average </w:t>
      </w:r>
      <w:proofErr w:type="spellStart"/>
      <w:r w:rsidRPr="00BF51F4">
        <w:rPr>
          <w:bCs/>
          <w:spacing w:val="-3"/>
        </w:rPr>
        <w:t>LTS</w:t>
      </w:r>
      <w:proofErr w:type="spellEnd"/>
      <w:r w:rsidRPr="00BF51F4">
        <w:rPr>
          <w:bCs/>
          <w:spacing w:val="-3"/>
        </w:rPr>
        <w:t xml:space="preserve"> ratio is </w:t>
      </w:r>
      <w:r w:rsidR="007323DD">
        <w:rPr>
          <w:bCs/>
          <w:spacing w:val="-3"/>
        </w:rPr>
        <w:t>above</w:t>
      </w:r>
      <w:r w:rsidR="009F1C43">
        <w:rPr>
          <w:bCs/>
          <w:spacing w:val="-3"/>
        </w:rPr>
        <w:t xml:space="preserve"> those of the three</w:t>
      </w:r>
      <w:r w:rsidRPr="00BF51F4">
        <w:rPr>
          <w:bCs/>
          <w:spacing w:val="-3"/>
        </w:rPr>
        <w:t xml:space="preserve"> institutions.</w:t>
      </w:r>
    </w:p>
    <w:p w14:paraId="12E05C0A" w14:textId="77777777" w:rsidR="004C3E5E" w:rsidRPr="00E37C04" w:rsidRDefault="004C3E5E" w:rsidP="00575435">
      <w:pPr>
        <w:jc w:val="both"/>
        <w:rPr>
          <w:b/>
          <w:bCs/>
          <w:spacing w:val="-3"/>
          <w:highlight w:val="yellow"/>
          <w:u w:val="single"/>
        </w:rPr>
      </w:pPr>
    </w:p>
    <w:tbl>
      <w:tblPr>
        <w:tblW w:w="8315" w:type="dxa"/>
        <w:jc w:val="center"/>
        <w:tblLook w:val="04A0" w:firstRow="1" w:lastRow="0" w:firstColumn="1" w:lastColumn="0" w:noHBand="0" w:noVBand="1"/>
      </w:tblPr>
      <w:tblGrid>
        <w:gridCol w:w="5210"/>
        <w:gridCol w:w="1725"/>
        <w:gridCol w:w="1380"/>
      </w:tblGrid>
      <w:tr w:rsidR="00883F0A" w:rsidRPr="00E37C04" w14:paraId="28609E7F" w14:textId="77777777" w:rsidTr="00575435">
        <w:trPr>
          <w:trHeight w:val="188"/>
          <w:jc w:val="center"/>
        </w:trPr>
        <w:tc>
          <w:tcPr>
            <w:tcW w:w="831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437B67C" w14:textId="77777777" w:rsidR="00883F0A" w:rsidRPr="00BF51F4" w:rsidRDefault="00883F0A" w:rsidP="004615DC">
            <w:pPr>
              <w:jc w:val="center"/>
              <w:rPr>
                <w:b/>
                <w:bCs/>
                <w:color w:val="000000"/>
              </w:rPr>
            </w:pPr>
            <w:r w:rsidRPr="00BF51F4">
              <w:rPr>
                <w:b/>
                <w:bCs/>
                <w:color w:val="000000"/>
              </w:rPr>
              <w:t>Loan-to-Share Ratio Comparison</w:t>
            </w:r>
          </w:p>
        </w:tc>
      </w:tr>
      <w:tr w:rsidR="00883F0A" w:rsidRPr="00E37C04" w14:paraId="015E822D" w14:textId="77777777" w:rsidTr="00431493">
        <w:trPr>
          <w:trHeight w:val="346"/>
          <w:jc w:val="center"/>
        </w:trPr>
        <w:tc>
          <w:tcPr>
            <w:tcW w:w="5210" w:type="dxa"/>
            <w:tcBorders>
              <w:top w:val="nil"/>
              <w:left w:val="single" w:sz="8" w:space="0" w:color="auto"/>
              <w:bottom w:val="single" w:sz="4" w:space="0" w:color="auto"/>
              <w:right w:val="single" w:sz="4" w:space="0" w:color="auto"/>
            </w:tcBorders>
            <w:shd w:val="clear" w:color="auto" w:fill="auto"/>
            <w:noWrap/>
            <w:vAlign w:val="bottom"/>
            <w:hideMark/>
          </w:tcPr>
          <w:p w14:paraId="1DAD33BF" w14:textId="77777777" w:rsidR="00883F0A" w:rsidRPr="00AD6433" w:rsidRDefault="00AD6433" w:rsidP="004615DC">
            <w:pPr>
              <w:rPr>
                <w:b/>
                <w:color w:val="000000"/>
                <w:sz w:val="20"/>
                <w:szCs w:val="20"/>
              </w:rPr>
            </w:pPr>
            <w:r>
              <w:rPr>
                <w:b/>
                <w:color w:val="000000"/>
                <w:sz w:val="20"/>
                <w:szCs w:val="20"/>
              </w:rPr>
              <w:t>Credit Union</w:t>
            </w:r>
          </w:p>
        </w:tc>
        <w:tc>
          <w:tcPr>
            <w:tcW w:w="1725" w:type="dxa"/>
            <w:tcBorders>
              <w:top w:val="nil"/>
              <w:left w:val="nil"/>
              <w:bottom w:val="single" w:sz="4" w:space="0" w:color="auto"/>
              <w:right w:val="single" w:sz="4" w:space="0" w:color="auto"/>
            </w:tcBorders>
            <w:shd w:val="clear" w:color="auto" w:fill="auto"/>
            <w:vAlign w:val="center"/>
            <w:hideMark/>
          </w:tcPr>
          <w:p w14:paraId="18A6F66A" w14:textId="77777777" w:rsidR="00431493" w:rsidRDefault="009F1C43" w:rsidP="004615DC">
            <w:pPr>
              <w:jc w:val="center"/>
              <w:rPr>
                <w:b/>
                <w:color w:val="000000"/>
                <w:sz w:val="20"/>
                <w:szCs w:val="20"/>
              </w:rPr>
            </w:pPr>
            <w:r>
              <w:rPr>
                <w:b/>
                <w:color w:val="000000"/>
                <w:sz w:val="20"/>
                <w:szCs w:val="20"/>
              </w:rPr>
              <w:t xml:space="preserve">Total Assets </w:t>
            </w:r>
          </w:p>
          <w:p w14:paraId="5847F3AF" w14:textId="77777777" w:rsidR="00883F0A" w:rsidRPr="00AD6433" w:rsidRDefault="009F1C43" w:rsidP="004615DC">
            <w:pPr>
              <w:jc w:val="center"/>
              <w:rPr>
                <w:b/>
                <w:color w:val="000000"/>
                <w:sz w:val="20"/>
                <w:szCs w:val="20"/>
              </w:rPr>
            </w:pPr>
            <w:r>
              <w:rPr>
                <w:b/>
                <w:color w:val="000000"/>
                <w:sz w:val="20"/>
                <w:szCs w:val="20"/>
              </w:rPr>
              <w:t>as of 12/31</w:t>
            </w:r>
            <w:r w:rsidR="00AD6433" w:rsidRPr="00AD6433">
              <w:rPr>
                <w:b/>
                <w:color w:val="000000"/>
                <w:sz w:val="20"/>
                <w:szCs w:val="20"/>
              </w:rPr>
              <w:t>/2020</w:t>
            </w:r>
            <w:r w:rsidR="00883F0A" w:rsidRPr="00AD6433">
              <w:rPr>
                <w:b/>
                <w:color w:val="000000"/>
                <w:sz w:val="20"/>
                <w:szCs w:val="20"/>
              </w:rPr>
              <w:t xml:space="preserve"> </w:t>
            </w:r>
            <w:r w:rsidR="00AD6433">
              <w:rPr>
                <w:b/>
                <w:color w:val="000000"/>
                <w:sz w:val="20"/>
                <w:szCs w:val="20"/>
              </w:rPr>
              <w:t>($</w:t>
            </w:r>
            <w:proofErr w:type="spellStart"/>
            <w:r w:rsidR="00AD6433">
              <w:rPr>
                <w:b/>
                <w:color w:val="000000"/>
                <w:sz w:val="20"/>
                <w:szCs w:val="20"/>
              </w:rPr>
              <w:t>000s</w:t>
            </w:r>
            <w:proofErr w:type="spellEnd"/>
            <w:r w:rsidR="00AD6433">
              <w:rPr>
                <w:b/>
                <w:color w:val="000000"/>
                <w:sz w:val="20"/>
                <w:szCs w:val="20"/>
              </w:rPr>
              <w:t>)</w:t>
            </w:r>
          </w:p>
        </w:tc>
        <w:tc>
          <w:tcPr>
            <w:tcW w:w="1380" w:type="dxa"/>
            <w:tcBorders>
              <w:top w:val="nil"/>
              <w:left w:val="nil"/>
              <w:bottom w:val="single" w:sz="4" w:space="0" w:color="auto"/>
              <w:right w:val="single" w:sz="8" w:space="0" w:color="auto"/>
            </w:tcBorders>
            <w:shd w:val="clear" w:color="auto" w:fill="auto"/>
            <w:vAlign w:val="center"/>
            <w:hideMark/>
          </w:tcPr>
          <w:p w14:paraId="5B5C5CBC" w14:textId="77777777" w:rsidR="00883F0A" w:rsidRPr="00AD6433" w:rsidRDefault="00883F0A" w:rsidP="004615DC">
            <w:pPr>
              <w:jc w:val="center"/>
              <w:rPr>
                <w:b/>
                <w:color w:val="000000"/>
                <w:sz w:val="20"/>
                <w:szCs w:val="20"/>
              </w:rPr>
            </w:pPr>
            <w:r w:rsidRPr="00AD6433">
              <w:rPr>
                <w:b/>
                <w:color w:val="000000"/>
                <w:sz w:val="20"/>
                <w:szCs w:val="20"/>
              </w:rPr>
              <w:t>Average</w:t>
            </w:r>
            <w:r w:rsidR="00AD6433">
              <w:rPr>
                <w:b/>
                <w:color w:val="000000"/>
                <w:sz w:val="20"/>
                <w:szCs w:val="20"/>
              </w:rPr>
              <w:t xml:space="preserve"> Net</w:t>
            </w:r>
            <w:r w:rsidRPr="00AD6433">
              <w:rPr>
                <w:b/>
                <w:color w:val="000000"/>
                <w:sz w:val="20"/>
                <w:szCs w:val="20"/>
              </w:rPr>
              <w:t xml:space="preserve"> </w:t>
            </w:r>
            <w:proofErr w:type="spellStart"/>
            <w:r w:rsidRPr="00AD6433">
              <w:rPr>
                <w:b/>
                <w:color w:val="000000"/>
                <w:sz w:val="20"/>
                <w:szCs w:val="20"/>
              </w:rPr>
              <w:t>LTS</w:t>
            </w:r>
            <w:proofErr w:type="spellEnd"/>
            <w:r w:rsidRPr="00AD6433">
              <w:rPr>
                <w:b/>
                <w:color w:val="000000"/>
                <w:sz w:val="20"/>
                <w:szCs w:val="20"/>
              </w:rPr>
              <w:t xml:space="preserve"> Ratio (%)</w:t>
            </w:r>
          </w:p>
        </w:tc>
      </w:tr>
      <w:tr w:rsidR="00883F0A" w:rsidRPr="00E37C04" w14:paraId="6868D762" w14:textId="77777777" w:rsidTr="00431493">
        <w:trPr>
          <w:trHeight w:val="188"/>
          <w:jc w:val="center"/>
        </w:trPr>
        <w:tc>
          <w:tcPr>
            <w:tcW w:w="5210" w:type="dxa"/>
            <w:tcBorders>
              <w:top w:val="nil"/>
              <w:left w:val="single" w:sz="8" w:space="0" w:color="auto"/>
              <w:bottom w:val="single" w:sz="4" w:space="0" w:color="auto"/>
              <w:right w:val="single" w:sz="4" w:space="0" w:color="auto"/>
            </w:tcBorders>
            <w:shd w:val="clear" w:color="auto" w:fill="auto"/>
            <w:noWrap/>
            <w:vAlign w:val="bottom"/>
            <w:hideMark/>
          </w:tcPr>
          <w:p w14:paraId="21B49EB7" w14:textId="77777777" w:rsidR="00883F0A" w:rsidRPr="00BF51F4" w:rsidRDefault="00BF51F4" w:rsidP="004615DC">
            <w:pPr>
              <w:rPr>
                <w:color w:val="000000"/>
                <w:sz w:val="20"/>
                <w:szCs w:val="20"/>
              </w:rPr>
            </w:pPr>
            <w:r w:rsidRPr="00BF51F4">
              <w:rPr>
                <w:color w:val="000000"/>
                <w:sz w:val="20"/>
                <w:szCs w:val="20"/>
              </w:rPr>
              <w:t>Southbridge</w:t>
            </w:r>
            <w:r w:rsidR="00883F0A" w:rsidRPr="00BF51F4">
              <w:rPr>
                <w:color w:val="000000"/>
                <w:sz w:val="20"/>
                <w:szCs w:val="20"/>
              </w:rPr>
              <w:t xml:space="preserve"> Credit Union</w:t>
            </w:r>
          </w:p>
        </w:tc>
        <w:tc>
          <w:tcPr>
            <w:tcW w:w="1725" w:type="dxa"/>
            <w:tcBorders>
              <w:top w:val="nil"/>
              <w:left w:val="nil"/>
              <w:bottom w:val="single" w:sz="4" w:space="0" w:color="auto"/>
              <w:right w:val="single" w:sz="4" w:space="0" w:color="auto"/>
            </w:tcBorders>
            <w:shd w:val="clear" w:color="auto" w:fill="auto"/>
            <w:noWrap/>
            <w:vAlign w:val="bottom"/>
            <w:hideMark/>
          </w:tcPr>
          <w:p w14:paraId="293985F6" w14:textId="77777777" w:rsidR="00883F0A" w:rsidRPr="00BF51F4" w:rsidRDefault="00DB4BAD" w:rsidP="004615DC">
            <w:pPr>
              <w:jc w:val="right"/>
              <w:rPr>
                <w:color w:val="000000"/>
                <w:sz w:val="20"/>
                <w:szCs w:val="20"/>
              </w:rPr>
            </w:pPr>
            <w:r>
              <w:rPr>
                <w:color w:val="000000"/>
                <w:sz w:val="20"/>
                <w:szCs w:val="20"/>
              </w:rPr>
              <w:t>199,069,271</w:t>
            </w:r>
          </w:p>
        </w:tc>
        <w:tc>
          <w:tcPr>
            <w:tcW w:w="1380" w:type="dxa"/>
            <w:tcBorders>
              <w:top w:val="nil"/>
              <w:left w:val="nil"/>
              <w:bottom w:val="single" w:sz="4" w:space="0" w:color="auto"/>
              <w:right w:val="single" w:sz="8" w:space="0" w:color="auto"/>
            </w:tcBorders>
            <w:shd w:val="clear" w:color="auto" w:fill="auto"/>
            <w:noWrap/>
            <w:vAlign w:val="bottom"/>
            <w:hideMark/>
          </w:tcPr>
          <w:p w14:paraId="1ED4E52E" w14:textId="77777777" w:rsidR="00883F0A" w:rsidRPr="009D7EF0" w:rsidRDefault="00DB4BAD" w:rsidP="004615DC">
            <w:pPr>
              <w:jc w:val="right"/>
              <w:rPr>
                <w:color w:val="000000"/>
                <w:sz w:val="20"/>
                <w:szCs w:val="20"/>
              </w:rPr>
            </w:pPr>
            <w:r w:rsidRPr="009D7EF0">
              <w:rPr>
                <w:color w:val="000000"/>
                <w:sz w:val="20"/>
                <w:szCs w:val="20"/>
              </w:rPr>
              <w:t>106.2</w:t>
            </w:r>
          </w:p>
        </w:tc>
      </w:tr>
      <w:tr w:rsidR="00883F0A" w:rsidRPr="00E37C04" w14:paraId="75BF165D" w14:textId="77777777" w:rsidTr="00431493">
        <w:trPr>
          <w:trHeight w:val="188"/>
          <w:jc w:val="center"/>
        </w:trPr>
        <w:tc>
          <w:tcPr>
            <w:tcW w:w="5210" w:type="dxa"/>
            <w:tcBorders>
              <w:top w:val="nil"/>
              <w:left w:val="single" w:sz="8" w:space="0" w:color="auto"/>
              <w:bottom w:val="single" w:sz="4" w:space="0" w:color="auto"/>
              <w:right w:val="single" w:sz="4" w:space="0" w:color="auto"/>
            </w:tcBorders>
            <w:shd w:val="clear" w:color="auto" w:fill="auto"/>
            <w:noWrap/>
            <w:vAlign w:val="bottom"/>
            <w:hideMark/>
          </w:tcPr>
          <w:p w14:paraId="191BBF9B" w14:textId="77777777" w:rsidR="00883F0A" w:rsidRPr="00392E61" w:rsidRDefault="00392E61" w:rsidP="004615DC">
            <w:pPr>
              <w:rPr>
                <w:color w:val="000000"/>
                <w:sz w:val="20"/>
                <w:szCs w:val="20"/>
              </w:rPr>
            </w:pPr>
            <w:r>
              <w:rPr>
                <w:color w:val="000000"/>
                <w:sz w:val="20"/>
                <w:szCs w:val="20"/>
              </w:rPr>
              <w:t>Holyoke</w:t>
            </w:r>
            <w:r w:rsidR="00883F0A" w:rsidRPr="00392E61">
              <w:rPr>
                <w:color w:val="000000"/>
                <w:sz w:val="20"/>
                <w:szCs w:val="20"/>
              </w:rPr>
              <w:t xml:space="preserve"> Credit Union</w:t>
            </w:r>
          </w:p>
        </w:tc>
        <w:tc>
          <w:tcPr>
            <w:tcW w:w="1725" w:type="dxa"/>
            <w:tcBorders>
              <w:top w:val="nil"/>
              <w:left w:val="nil"/>
              <w:bottom w:val="single" w:sz="4" w:space="0" w:color="auto"/>
              <w:right w:val="single" w:sz="4" w:space="0" w:color="auto"/>
            </w:tcBorders>
            <w:shd w:val="clear" w:color="auto" w:fill="auto"/>
            <w:noWrap/>
            <w:vAlign w:val="bottom"/>
            <w:hideMark/>
          </w:tcPr>
          <w:p w14:paraId="589255CE" w14:textId="77777777" w:rsidR="00883F0A" w:rsidRPr="00392E61" w:rsidRDefault="007F6A44" w:rsidP="004615DC">
            <w:pPr>
              <w:jc w:val="right"/>
              <w:rPr>
                <w:color w:val="000000"/>
                <w:sz w:val="20"/>
                <w:szCs w:val="20"/>
              </w:rPr>
            </w:pPr>
            <w:r>
              <w:rPr>
                <w:color w:val="000000"/>
                <w:sz w:val="20"/>
                <w:szCs w:val="20"/>
              </w:rPr>
              <w:t>227,134,014</w:t>
            </w:r>
          </w:p>
        </w:tc>
        <w:tc>
          <w:tcPr>
            <w:tcW w:w="1380" w:type="dxa"/>
            <w:tcBorders>
              <w:top w:val="nil"/>
              <w:left w:val="nil"/>
              <w:bottom w:val="single" w:sz="4" w:space="0" w:color="auto"/>
              <w:right w:val="single" w:sz="8" w:space="0" w:color="auto"/>
            </w:tcBorders>
            <w:shd w:val="clear" w:color="auto" w:fill="auto"/>
            <w:noWrap/>
            <w:vAlign w:val="bottom"/>
            <w:hideMark/>
          </w:tcPr>
          <w:p w14:paraId="00F29808" w14:textId="77777777" w:rsidR="00883F0A" w:rsidRPr="00392E61" w:rsidRDefault="007F6A44" w:rsidP="004615DC">
            <w:pPr>
              <w:jc w:val="right"/>
              <w:rPr>
                <w:color w:val="000000"/>
                <w:sz w:val="20"/>
                <w:szCs w:val="20"/>
              </w:rPr>
            </w:pPr>
            <w:r>
              <w:rPr>
                <w:color w:val="000000"/>
                <w:sz w:val="20"/>
                <w:szCs w:val="20"/>
              </w:rPr>
              <w:t>83.1</w:t>
            </w:r>
          </w:p>
        </w:tc>
      </w:tr>
      <w:tr w:rsidR="00883F0A" w:rsidRPr="00E37C04" w14:paraId="533DA346" w14:textId="77777777" w:rsidTr="00431493">
        <w:trPr>
          <w:trHeight w:val="206"/>
          <w:jc w:val="center"/>
        </w:trPr>
        <w:tc>
          <w:tcPr>
            <w:tcW w:w="5210" w:type="dxa"/>
            <w:tcBorders>
              <w:top w:val="nil"/>
              <w:left w:val="single" w:sz="8" w:space="0" w:color="auto"/>
              <w:bottom w:val="single" w:sz="4" w:space="0" w:color="auto"/>
              <w:right w:val="single" w:sz="4" w:space="0" w:color="auto"/>
            </w:tcBorders>
            <w:shd w:val="clear" w:color="auto" w:fill="auto"/>
            <w:noWrap/>
            <w:vAlign w:val="bottom"/>
            <w:hideMark/>
          </w:tcPr>
          <w:p w14:paraId="3EC9D51D" w14:textId="77777777" w:rsidR="00883F0A" w:rsidRPr="007323DD" w:rsidRDefault="007323DD" w:rsidP="004615DC">
            <w:pPr>
              <w:rPr>
                <w:color w:val="000000"/>
                <w:sz w:val="20"/>
                <w:szCs w:val="20"/>
              </w:rPr>
            </w:pPr>
            <w:r w:rsidRPr="007323DD">
              <w:rPr>
                <w:color w:val="000000"/>
                <w:sz w:val="20"/>
                <w:szCs w:val="20"/>
              </w:rPr>
              <w:t>Greater Springfield Credit Union</w:t>
            </w:r>
          </w:p>
        </w:tc>
        <w:tc>
          <w:tcPr>
            <w:tcW w:w="1725" w:type="dxa"/>
            <w:tcBorders>
              <w:top w:val="nil"/>
              <w:left w:val="nil"/>
              <w:bottom w:val="single" w:sz="8" w:space="0" w:color="auto"/>
              <w:right w:val="nil"/>
            </w:tcBorders>
            <w:shd w:val="clear" w:color="auto" w:fill="auto"/>
            <w:noWrap/>
            <w:vAlign w:val="bottom"/>
            <w:hideMark/>
          </w:tcPr>
          <w:p w14:paraId="60018B21" w14:textId="77777777" w:rsidR="00883F0A" w:rsidRPr="007323DD" w:rsidRDefault="008223ED" w:rsidP="004615DC">
            <w:pPr>
              <w:jc w:val="right"/>
              <w:rPr>
                <w:color w:val="000000"/>
                <w:sz w:val="20"/>
              </w:rPr>
            </w:pPr>
            <w:r>
              <w:rPr>
                <w:color w:val="000000"/>
                <w:sz w:val="20"/>
              </w:rPr>
              <w:t>221,372,659</w:t>
            </w:r>
            <w:r w:rsidR="00883F0A" w:rsidRPr="007323DD">
              <w:rPr>
                <w:color w:val="000000"/>
                <w:sz w:val="20"/>
              </w:rPr>
              <w:t xml:space="preserve"> </w:t>
            </w:r>
          </w:p>
        </w:tc>
        <w:tc>
          <w:tcPr>
            <w:tcW w:w="1380" w:type="dxa"/>
            <w:tcBorders>
              <w:top w:val="nil"/>
              <w:left w:val="single" w:sz="4" w:space="0" w:color="auto"/>
              <w:bottom w:val="single" w:sz="4" w:space="0" w:color="auto"/>
              <w:right w:val="single" w:sz="8" w:space="0" w:color="auto"/>
            </w:tcBorders>
            <w:shd w:val="clear" w:color="auto" w:fill="auto"/>
            <w:noWrap/>
            <w:vAlign w:val="bottom"/>
            <w:hideMark/>
          </w:tcPr>
          <w:p w14:paraId="364369C6" w14:textId="77777777" w:rsidR="00883F0A" w:rsidRPr="007323DD" w:rsidRDefault="008223ED" w:rsidP="004615DC">
            <w:pPr>
              <w:jc w:val="right"/>
              <w:rPr>
                <w:color w:val="000000"/>
                <w:sz w:val="20"/>
                <w:szCs w:val="20"/>
              </w:rPr>
            </w:pPr>
            <w:r>
              <w:rPr>
                <w:color w:val="000000"/>
                <w:sz w:val="20"/>
                <w:szCs w:val="20"/>
              </w:rPr>
              <w:t>57.0</w:t>
            </w:r>
          </w:p>
        </w:tc>
      </w:tr>
      <w:tr w:rsidR="004A50CF" w:rsidRPr="00E37C04" w14:paraId="01B0BB81" w14:textId="77777777" w:rsidTr="00431493">
        <w:trPr>
          <w:trHeight w:val="206"/>
          <w:jc w:val="center"/>
        </w:trPr>
        <w:tc>
          <w:tcPr>
            <w:tcW w:w="5210" w:type="dxa"/>
            <w:tcBorders>
              <w:top w:val="nil"/>
              <w:left w:val="single" w:sz="8" w:space="0" w:color="auto"/>
              <w:bottom w:val="single" w:sz="4" w:space="0" w:color="auto"/>
              <w:right w:val="single" w:sz="4" w:space="0" w:color="auto"/>
            </w:tcBorders>
            <w:shd w:val="clear" w:color="auto" w:fill="auto"/>
            <w:noWrap/>
            <w:vAlign w:val="bottom"/>
          </w:tcPr>
          <w:p w14:paraId="7EADA62B" w14:textId="77777777" w:rsidR="004A50CF" w:rsidRPr="007323DD" w:rsidRDefault="004A50CF" w:rsidP="004615DC">
            <w:pPr>
              <w:rPr>
                <w:color w:val="000000"/>
                <w:sz w:val="20"/>
                <w:szCs w:val="20"/>
              </w:rPr>
            </w:pPr>
            <w:r>
              <w:rPr>
                <w:color w:val="000000"/>
                <w:sz w:val="20"/>
                <w:szCs w:val="20"/>
              </w:rPr>
              <w:t>Alden Credit Union</w:t>
            </w:r>
          </w:p>
        </w:tc>
        <w:tc>
          <w:tcPr>
            <w:tcW w:w="1725" w:type="dxa"/>
            <w:tcBorders>
              <w:top w:val="nil"/>
              <w:left w:val="nil"/>
              <w:bottom w:val="single" w:sz="8" w:space="0" w:color="auto"/>
              <w:right w:val="nil"/>
            </w:tcBorders>
            <w:shd w:val="clear" w:color="auto" w:fill="auto"/>
            <w:noWrap/>
            <w:vAlign w:val="bottom"/>
          </w:tcPr>
          <w:p w14:paraId="66CCB57B" w14:textId="77777777" w:rsidR="004A50CF" w:rsidRDefault="006C0DF4" w:rsidP="004615DC">
            <w:pPr>
              <w:jc w:val="right"/>
              <w:rPr>
                <w:color w:val="000000"/>
                <w:sz w:val="20"/>
              </w:rPr>
            </w:pPr>
            <w:r>
              <w:rPr>
                <w:color w:val="000000"/>
                <w:sz w:val="20"/>
              </w:rPr>
              <w:t>174,535,442</w:t>
            </w:r>
          </w:p>
        </w:tc>
        <w:tc>
          <w:tcPr>
            <w:tcW w:w="1380" w:type="dxa"/>
            <w:tcBorders>
              <w:top w:val="nil"/>
              <w:left w:val="single" w:sz="4" w:space="0" w:color="auto"/>
              <w:bottom w:val="single" w:sz="4" w:space="0" w:color="auto"/>
              <w:right w:val="single" w:sz="8" w:space="0" w:color="auto"/>
            </w:tcBorders>
            <w:shd w:val="clear" w:color="auto" w:fill="auto"/>
            <w:noWrap/>
            <w:vAlign w:val="bottom"/>
          </w:tcPr>
          <w:p w14:paraId="565B253F" w14:textId="77777777" w:rsidR="004A50CF" w:rsidRDefault="006C0DF4" w:rsidP="004615DC">
            <w:pPr>
              <w:jc w:val="right"/>
              <w:rPr>
                <w:color w:val="000000"/>
                <w:sz w:val="20"/>
                <w:szCs w:val="20"/>
              </w:rPr>
            </w:pPr>
            <w:r>
              <w:rPr>
                <w:color w:val="000000"/>
                <w:sz w:val="20"/>
                <w:szCs w:val="20"/>
              </w:rPr>
              <w:t>76.5</w:t>
            </w:r>
          </w:p>
        </w:tc>
      </w:tr>
      <w:tr w:rsidR="00883F0A" w:rsidRPr="001E2836" w14:paraId="50F8399C" w14:textId="77777777" w:rsidTr="00431493">
        <w:trPr>
          <w:trHeight w:val="196"/>
          <w:jc w:val="center"/>
        </w:trPr>
        <w:tc>
          <w:tcPr>
            <w:tcW w:w="5210" w:type="dxa"/>
            <w:tcBorders>
              <w:top w:val="single" w:sz="8" w:space="0" w:color="auto"/>
              <w:left w:val="single" w:sz="8" w:space="0" w:color="auto"/>
              <w:bottom w:val="single" w:sz="8" w:space="0" w:color="auto"/>
              <w:right w:val="nil"/>
            </w:tcBorders>
            <w:shd w:val="clear" w:color="auto" w:fill="auto"/>
            <w:noWrap/>
            <w:vAlign w:val="bottom"/>
            <w:hideMark/>
          </w:tcPr>
          <w:p w14:paraId="741600A1" w14:textId="77777777" w:rsidR="00883F0A" w:rsidRPr="007323DD" w:rsidRDefault="00883F0A" w:rsidP="004615DC">
            <w:pPr>
              <w:rPr>
                <w:b/>
                <w:bCs/>
                <w:i/>
                <w:iCs/>
                <w:color w:val="000000"/>
                <w:sz w:val="16"/>
                <w:szCs w:val="16"/>
              </w:rPr>
            </w:pPr>
            <w:r w:rsidRPr="009D7EF0">
              <w:rPr>
                <w:b/>
                <w:bCs/>
                <w:i/>
                <w:iCs/>
                <w:color w:val="000000"/>
                <w:sz w:val="16"/>
                <w:szCs w:val="16"/>
              </w:rPr>
              <w:t>Source: Reports of Income a</w:t>
            </w:r>
            <w:r w:rsidR="009D7EF0" w:rsidRPr="009D7EF0">
              <w:rPr>
                <w:b/>
                <w:bCs/>
                <w:i/>
                <w:iCs/>
                <w:color w:val="000000"/>
                <w:sz w:val="16"/>
                <w:szCs w:val="16"/>
              </w:rPr>
              <w:t>nd Condition 3/31</w:t>
            </w:r>
            <w:r w:rsidR="009859BB" w:rsidRPr="009D7EF0">
              <w:rPr>
                <w:b/>
                <w:bCs/>
                <w:i/>
                <w:iCs/>
                <w:color w:val="000000"/>
                <w:sz w:val="16"/>
                <w:szCs w:val="16"/>
              </w:rPr>
              <w:t>/2019 through 12/31</w:t>
            </w:r>
            <w:r w:rsidRPr="009D7EF0">
              <w:rPr>
                <w:b/>
                <w:bCs/>
                <w:i/>
                <w:iCs/>
                <w:color w:val="000000"/>
                <w:sz w:val="16"/>
                <w:szCs w:val="16"/>
              </w:rPr>
              <w:t>/2020</w:t>
            </w:r>
          </w:p>
        </w:tc>
        <w:tc>
          <w:tcPr>
            <w:tcW w:w="1725" w:type="dxa"/>
            <w:tcBorders>
              <w:top w:val="nil"/>
              <w:left w:val="single" w:sz="4" w:space="0" w:color="auto"/>
              <w:bottom w:val="single" w:sz="8" w:space="0" w:color="auto"/>
              <w:right w:val="single" w:sz="4" w:space="0" w:color="auto"/>
            </w:tcBorders>
            <w:shd w:val="clear" w:color="auto" w:fill="auto"/>
            <w:noWrap/>
            <w:vAlign w:val="bottom"/>
            <w:hideMark/>
          </w:tcPr>
          <w:p w14:paraId="0B23063F" w14:textId="77777777" w:rsidR="00883F0A" w:rsidRPr="007323DD" w:rsidRDefault="00883F0A" w:rsidP="004615DC">
            <w:pPr>
              <w:rPr>
                <w:color w:val="000000"/>
              </w:rPr>
            </w:pPr>
            <w:r w:rsidRPr="007323DD">
              <w:rPr>
                <w:color w:val="000000"/>
              </w:rPr>
              <w:t>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14:paraId="59B35CB4" w14:textId="77777777" w:rsidR="00883F0A" w:rsidRPr="007323DD" w:rsidRDefault="00883F0A" w:rsidP="004615DC">
            <w:pPr>
              <w:rPr>
                <w:color w:val="000000"/>
              </w:rPr>
            </w:pPr>
            <w:r w:rsidRPr="007323DD">
              <w:rPr>
                <w:color w:val="000000"/>
              </w:rPr>
              <w:t> </w:t>
            </w:r>
          </w:p>
        </w:tc>
      </w:tr>
    </w:tbl>
    <w:p w14:paraId="5DC6F5CE" w14:textId="77777777" w:rsidR="00F2570A" w:rsidRDefault="00F2570A" w:rsidP="000927D4">
      <w:pPr>
        <w:rPr>
          <w:b/>
          <w:u w:val="single"/>
        </w:rPr>
      </w:pPr>
    </w:p>
    <w:p w14:paraId="34D0BB66" w14:textId="77777777" w:rsidR="00D12B41" w:rsidRPr="000927D4" w:rsidRDefault="00D12B41" w:rsidP="00575435">
      <w:pPr>
        <w:jc w:val="both"/>
        <w:rPr>
          <w:b/>
          <w:u w:val="single"/>
        </w:rPr>
      </w:pPr>
      <w:r w:rsidRPr="000927D4">
        <w:rPr>
          <w:b/>
          <w:u w:val="single"/>
        </w:rPr>
        <w:t>Assessment Area Concentration</w:t>
      </w:r>
    </w:p>
    <w:p w14:paraId="46B2108B" w14:textId="77777777" w:rsidR="00D12B41" w:rsidRDefault="00D12B41" w:rsidP="00575435">
      <w:pPr>
        <w:jc w:val="both"/>
        <w:rPr>
          <w:iCs/>
        </w:rPr>
      </w:pPr>
    </w:p>
    <w:p w14:paraId="38319231" w14:textId="77777777" w:rsidR="004615DC" w:rsidRPr="00F2570A" w:rsidRDefault="004615DC" w:rsidP="00575435">
      <w:pPr>
        <w:jc w:val="both"/>
      </w:pPr>
      <w:r w:rsidRPr="00600456">
        <w:t>The</w:t>
      </w:r>
      <w:r w:rsidR="00167B81">
        <w:t xml:space="preserve"> credit u</w:t>
      </w:r>
      <w:r>
        <w:t>nion made a</w:t>
      </w:r>
      <w:r w:rsidRPr="00600456">
        <w:t xml:space="preserve"> majority </w:t>
      </w:r>
      <w:r w:rsidR="00793F78">
        <w:t xml:space="preserve">of home mortgage loans </w:t>
      </w:r>
      <w:r w:rsidRPr="00600456">
        <w:t xml:space="preserve">within its </w:t>
      </w:r>
      <w:r>
        <w:t>AA</w:t>
      </w:r>
      <w:proofErr w:type="gramStart"/>
      <w:r w:rsidR="00167B81">
        <w:t xml:space="preserve">.  </w:t>
      </w:r>
      <w:proofErr w:type="gramEnd"/>
      <w:r w:rsidRPr="00600456">
        <w:t>Please refer to the following table.</w:t>
      </w:r>
      <w:r w:rsidRPr="00600456" w:rsidDel="00600456">
        <w:t xml:space="preserve"> </w:t>
      </w:r>
    </w:p>
    <w:p w14:paraId="60C238A4" w14:textId="77777777" w:rsidR="004615DC" w:rsidRDefault="004615DC" w:rsidP="00D12B41">
      <w:pPr>
        <w:rPr>
          <w:iCs/>
        </w:rPr>
      </w:pPr>
    </w:p>
    <w:tbl>
      <w:tblPr>
        <w:tblW w:w="0" w:type="auto"/>
        <w:tblCellMar>
          <w:left w:w="0" w:type="dxa"/>
          <w:right w:w="0" w:type="dxa"/>
        </w:tblCellMar>
        <w:tblLook w:val="0000" w:firstRow="0" w:lastRow="0" w:firstColumn="0" w:lastColumn="0" w:noHBand="0" w:noVBand="0"/>
      </w:tblPr>
      <w:tblGrid>
        <w:gridCol w:w="1758"/>
        <w:gridCol w:w="821"/>
        <w:gridCol w:w="590"/>
        <w:gridCol w:w="830"/>
        <w:gridCol w:w="594"/>
        <w:gridCol w:w="861"/>
        <w:gridCol w:w="899"/>
        <w:gridCol w:w="590"/>
        <w:gridCol w:w="899"/>
        <w:gridCol w:w="590"/>
        <w:gridCol w:w="910"/>
      </w:tblGrid>
      <w:tr w:rsidR="004615DC" w14:paraId="2CB8E904" w14:textId="77777777" w:rsidTr="00575435">
        <w:trPr>
          <w:trHeight w:val="218"/>
        </w:trPr>
        <w:tc>
          <w:tcPr>
            <w:tcW w:w="9342" w:type="dxa"/>
            <w:gridSpan w:val="11"/>
            <w:tcBorders>
              <w:top w:val="single" w:sz="7" w:space="0" w:color="000000"/>
              <w:left w:val="single" w:sz="7" w:space="0" w:color="000000"/>
              <w:right w:val="single" w:sz="7" w:space="0" w:color="000000"/>
            </w:tcBorders>
            <w:tcMar>
              <w:top w:w="39" w:type="dxa"/>
              <w:left w:w="39" w:type="dxa"/>
              <w:bottom w:w="39" w:type="dxa"/>
              <w:right w:w="39" w:type="dxa"/>
            </w:tcMar>
          </w:tcPr>
          <w:p w14:paraId="1603D96D" w14:textId="77777777" w:rsidR="004615DC" w:rsidRDefault="004615DC" w:rsidP="004615DC">
            <w:pPr>
              <w:jc w:val="center"/>
            </w:pPr>
            <w:r>
              <w:rPr>
                <w:b/>
                <w:color w:val="000000"/>
                <w:sz w:val="20"/>
              </w:rPr>
              <w:t xml:space="preserve"> Lending Inside and Outside of the Assessment Area</w:t>
            </w:r>
          </w:p>
        </w:tc>
      </w:tr>
      <w:tr w:rsidR="004615DC" w14:paraId="74079E85" w14:textId="77777777" w:rsidTr="00575435">
        <w:trPr>
          <w:trHeight w:val="162"/>
        </w:trPr>
        <w:tc>
          <w:tcPr>
            <w:tcW w:w="1758"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4CCFFDB1" w14:textId="77777777" w:rsidR="004615DC" w:rsidRDefault="004615DC" w:rsidP="004615DC"/>
        </w:tc>
        <w:tc>
          <w:tcPr>
            <w:tcW w:w="283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4454D4" w14:textId="77777777" w:rsidR="004615DC" w:rsidRDefault="004615DC" w:rsidP="004615DC">
            <w:pPr>
              <w:jc w:val="center"/>
            </w:pPr>
            <w:r>
              <w:rPr>
                <w:b/>
                <w:color w:val="000000"/>
                <w:sz w:val="20"/>
              </w:rPr>
              <w:t>Number of Loans</w:t>
            </w:r>
          </w:p>
        </w:tc>
        <w:tc>
          <w:tcPr>
            <w:tcW w:w="861"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72772793" w14:textId="77777777" w:rsidR="004615DC" w:rsidRDefault="004615DC" w:rsidP="004615DC"/>
        </w:tc>
        <w:tc>
          <w:tcPr>
            <w:tcW w:w="2978"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0361515" w14:textId="77777777" w:rsidR="004615DC" w:rsidRDefault="004615DC" w:rsidP="004615DC">
            <w:pPr>
              <w:jc w:val="center"/>
            </w:pPr>
            <w:r>
              <w:rPr>
                <w:b/>
                <w:color w:val="000000"/>
                <w:sz w:val="20"/>
              </w:rPr>
              <w:t>Dollar Amount of Loans $(</w:t>
            </w:r>
            <w:proofErr w:type="spellStart"/>
            <w:r>
              <w:rPr>
                <w:b/>
                <w:color w:val="000000"/>
                <w:sz w:val="20"/>
              </w:rPr>
              <w:t>000s</w:t>
            </w:r>
            <w:proofErr w:type="spellEnd"/>
            <w:r>
              <w:rPr>
                <w:b/>
                <w:color w:val="000000"/>
                <w:sz w:val="20"/>
              </w:rPr>
              <w:t>)</w:t>
            </w:r>
          </w:p>
        </w:tc>
        <w:tc>
          <w:tcPr>
            <w:tcW w:w="910"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15D3A903" w14:textId="77777777" w:rsidR="004615DC" w:rsidRDefault="004615DC" w:rsidP="004615DC"/>
        </w:tc>
      </w:tr>
      <w:tr w:rsidR="004615DC" w14:paraId="751A6C5B" w14:textId="77777777" w:rsidTr="00575435">
        <w:trPr>
          <w:trHeight w:val="162"/>
        </w:trPr>
        <w:tc>
          <w:tcPr>
            <w:tcW w:w="1758" w:type="dxa"/>
            <w:tcBorders>
              <w:left w:val="single" w:sz="7" w:space="0" w:color="000000"/>
              <w:right w:val="single" w:sz="7" w:space="0" w:color="000000"/>
            </w:tcBorders>
            <w:tcMar>
              <w:top w:w="39" w:type="dxa"/>
              <w:left w:w="39" w:type="dxa"/>
              <w:bottom w:w="39" w:type="dxa"/>
              <w:right w:w="39" w:type="dxa"/>
            </w:tcMar>
            <w:vAlign w:val="center"/>
          </w:tcPr>
          <w:p w14:paraId="63594AA0" w14:textId="77777777" w:rsidR="004615DC" w:rsidRDefault="004615DC" w:rsidP="004615DC">
            <w:r>
              <w:rPr>
                <w:b/>
                <w:color w:val="000000"/>
                <w:sz w:val="20"/>
              </w:rPr>
              <w:t>Loan Category</w:t>
            </w:r>
          </w:p>
        </w:tc>
        <w:tc>
          <w:tcPr>
            <w:tcW w:w="1411"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90D522" w14:textId="77777777" w:rsidR="004615DC" w:rsidRDefault="004615DC" w:rsidP="004615DC">
            <w:pPr>
              <w:jc w:val="center"/>
            </w:pPr>
            <w:r>
              <w:rPr>
                <w:b/>
                <w:color w:val="000000"/>
                <w:sz w:val="20"/>
              </w:rPr>
              <w:t>Inside</w:t>
            </w:r>
          </w:p>
        </w:tc>
        <w:tc>
          <w:tcPr>
            <w:tcW w:w="142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64D609B" w14:textId="77777777" w:rsidR="004615DC" w:rsidRDefault="004615DC" w:rsidP="004615DC">
            <w:pPr>
              <w:jc w:val="center"/>
            </w:pPr>
            <w:r>
              <w:rPr>
                <w:b/>
                <w:color w:val="000000"/>
                <w:sz w:val="20"/>
              </w:rPr>
              <w:t>Outside</w:t>
            </w:r>
          </w:p>
        </w:tc>
        <w:tc>
          <w:tcPr>
            <w:tcW w:w="861" w:type="dxa"/>
            <w:tcBorders>
              <w:left w:val="single" w:sz="7" w:space="0" w:color="000000"/>
              <w:right w:val="single" w:sz="7" w:space="0" w:color="000000"/>
            </w:tcBorders>
            <w:tcMar>
              <w:top w:w="0" w:type="dxa"/>
              <w:left w:w="39" w:type="dxa"/>
              <w:bottom w:w="39" w:type="dxa"/>
              <w:right w:w="39" w:type="dxa"/>
            </w:tcMar>
          </w:tcPr>
          <w:p w14:paraId="317FD979" w14:textId="77777777" w:rsidR="004615DC" w:rsidRDefault="004615DC" w:rsidP="004615DC">
            <w:pPr>
              <w:jc w:val="center"/>
            </w:pPr>
            <w:r>
              <w:rPr>
                <w:b/>
                <w:color w:val="000000"/>
                <w:sz w:val="20"/>
              </w:rPr>
              <w:t>Total</w:t>
            </w:r>
          </w:p>
        </w:tc>
        <w:tc>
          <w:tcPr>
            <w:tcW w:w="148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C6D585" w14:textId="77777777" w:rsidR="004615DC" w:rsidRDefault="004615DC" w:rsidP="004615DC">
            <w:pPr>
              <w:jc w:val="center"/>
            </w:pPr>
            <w:r>
              <w:rPr>
                <w:b/>
                <w:color w:val="000000"/>
                <w:sz w:val="20"/>
              </w:rPr>
              <w:t>Inside</w:t>
            </w:r>
          </w:p>
        </w:tc>
        <w:tc>
          <w:tcPr>
            <w:tcW w:w="148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FA0BA2" w14:textId="77777777" w:rsidR="004615DC" w:rsidRDefault="004615DC" w:rsidP="004615DC">
            <w:pPr>
              <w:jc w:val="center"/>
            </w:pPr>
            <w:r>
              <w:rPr>
                <w:b/>
                <w:color w:val="000000"/>
                <w:sz w:val="20"/>
              </w:rPr>
              <w:t>Outside</w:t>
            </w:r>
          </w:p>
        </w:tc>
        <w:tc>
          <w:tcPr>
            <w:tcW w:w="910" w:type="dxa"/>
            <w:tcBorders>
              <w:left w:val="single" w:sz="7" w:space="0" w:color="000000"/>
              <w:right w:val="single" w:sz="7" w:space="0" w:color="000000"/>
            </w:tcBorders>
            <w:tcMar>
              <w:top w:w="0" w:type="dxa"/>
              <w:left w:w="39" w:type="dxa"/>
              <w:bottom w:w="39" w:type="dxa"/>
              <w:right w:w="39" w:type="dxa"/>
            </w:tcMar>
          </w:tcPr>
          <w:p w14:paraId="319D2829" w14:textId="77777777" w:rsidR="004615DC" w:rsidRDefault="004615DC" w:rsidP="004615DC">
            <w:pPr>
              <w:jc w:val="center"/>
            </w:pPr>
            <w:r>
              <w:rPr>
                <w:b/>
                <w:color w:val="000000"/>
                <w:sz w:val="20"/>
              </w:rPr>
              <w:t>Total</w:t>
            </w:r>
          </w:p>
        </w:tc>
      </w:tr>
      <w:tr w:rsidR="004615DC" w14:paraId="0ED6DCB0" w14:textId="77777777" w:rsidTr="00575435">
        <w:trPr>
          <w:trHeight w:val="162"/>
        </w:trPr>
        <w:tc>
          <w:tcPr>
            <w:tcW w:w="1758"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11BBD97F" w14:textId="77777777" w:rsidR="004615DC" w:rsidRDefault="004615DC" w:rsidP="004615DC"/>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93891E" w14:textId="77777777" w:rsidR="004615DC" w:rsidRDefault="004615DC" w:rsidP="004615DC">
            <w:pPr>
              <w:jc w:val="center"/>
            </w:pPr>
            <w:r>
              <w:rPr>
                <w:b/>
                <w:color w:val="000000"/>
                <w:sz w:val="20"/>
              </w:rPr>
              <w:t>#</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0035A4" w14:textId="77777777" w:rsidR="004615DC" w:rsidRDefault="004615DC" w:rsidP="004615DC">
            <w:pPr>
              <w:jc w:val="center"/>
            </w:pPr>
            <w:r>
              <w:rPr>
                <w:b/>
                <w:color w:val="000000"/>
                <w:sz w:val="20"/>
              </w:rPr>
              <w:t>%</w:t>
            </w: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C16A439" w14:textId="77777777" w:rsidR="004615DC" w:rsidRDefault="004615DC" w:rsidP="004615DC">
            <w:pPr>
              <w:jc w:val="center"/>
            </w:pPr>
            <w:r>
              <w:rPr>
                <w:b/>
                <w:color w:val="000000"/>
                <w:sz w:val="20"/>
              </w:rPr>
              <w:t>#</w:t>
            </w:r>
          </w:p>
        </w:tc>
        <w:tc>
          <w:tcPr>
            <w:tcW w:w="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BA72223" w14:textId="77777777" w:rsidR="004615DC" w:rsidRDefault="004615DC" w:rsidP="004615DC">
            <w:pPr>
              <w:jc w:val="center"/>
            </w:pPr>
            <w:r>
              <w:rPr>
                <w:b/>
                <w:color w:val="000000"/>
                <w:sz w:val="20"/>
              </w:rPr>
              <w:t>%</w:t>
            </w:r>
          </w:p>
        </w:tc>
        <w:tc>
          <w:tcPr>
            <w:tcW w:w="861" w:type="dxa"/>
            <w:tcBorders>
              <w:left w:val="single" w:sz="7" w:space="0" w:color="000000"/>
              <w:bottom w:val="single" w:sz="7" w:space="0" w:color="000000"/>
              <w:right w:val="single" w:sz="7" w:space="0" w:color="000000"/>
            </w:tcBorders>
            <w:tcMar>
              <w:top w:w="0" w:type="dxa"/>
              <w:left w:w="39" w:type="dxa"/>
              <w:bottom w:w="39" w:type="dxa"/>
              <w:right w:w="39" w:type="dxa"/>
            </w:tcMar>
          </w:tcPr>
          <w:p w14:paraId="25D53CE8" w14:textId="77777777" w:rsidR="004615DC" w:rsidRDefault="004615DC" w:rsidP="004615DC">
            <w:pPr>
              <w:jc w:val="center"/>
            </w:pPr>
            <w:r>
              <w:rPr>
                <w:b/>
                <w:color w:val="000000"/>
                <w:sz w:val="20"/>
              </w:rPr>
              <w:t>#</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8E5FDC" w14:textId="77777777" w:rsidR="004615DC" w:rsidRDefault="004615DC" w:rsidP="004615DC">
            <w:pPr>
              <w:jc w:val="center"/>
            </w:pPr>
            <w:r>
              <w:rPr>
                <w:b/>
                <w:color w:val="000000"/>
                <w:sz w:val="20"/>
              </w:rPr>
              <w:t>$</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1002AA6" w14:textId="77777777" w:rsidR="004615DC" w:rsidRDefault="004615DC" w:rsidP="004615DC">
            <w:pPr>
              <w:jc w:val="center"/>
            </w:pPr>
            <w:r>
              <w:rPr>
                <w:b/>
                <w:color w:val="000000"/>
                <w:sz w:val="20"/>
              </w:rPr>
              <w:t>%</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711732" w14:textId="77777777" w:rsidR="004615DC" w:rsidRDefault="004615DC" w:rsidP="004615DC">
            <w:pPr>
              <w:jc w:val="center"/>
            </w:pPr>
            <w:r>
              <w:rPr>
                <w:b/>
                <w:color w:val="000000"/>
                <w:sz w:val="20"/>
              </w:rPr>
              <w:t>$</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93A5F7" w14:textId="77777777" w:rsidR="004615DC" w:rsidRDefault="004615DC" w:rsidP="004615DC">
            <w:pPr>
              <w:jc w:val="center"/>
            </w:pPr>
            <w:r>
              <w:rPr>
                <w:b/>
                <w:color w:val="000000"/>
                <w:sz w:val="20"/>
              </w:rPr>
              <w:t>%</w:t>
            </w:r>
          </w:p>
        </w:tc>
        <w:tc>
          <w:tcPr>
            <w:tcW w:w="910" w:type="dxa"/>
            <w:tcBorders>
              <w:left w:val="single" w:sz="7" w:space="0" w:color="000000"/>
              <w:bottom w:val="single" w:sz="7" w:space="0" w:color="000000"/>
              <w:right w:val="single" w:sz="7" w:space="0" w:color="000000"/>
            </w:tcBorders>
            <w:tcMar>
              <w:top w:w="0" w:type="dxa"/>
              <w:left w:w="39" w:type="dxa"/>
              <w:bottom w:w="39" w:type="dxa"/>
              <w:right w:w="39" w:type="dxa"/>
            </w:tcMar>
          </w:tcPr>
          <w:p w14:paraId="1252D58A" w14:textId="77777777" w:rsidR="004615DC" w:rsidRDefault="004615DC" w:rsidP="004615DC">
            <w:pPr>
              <w:jc w:val="center"/>
            </w:pPr>
            <w:r>
              <w:rPr>
                <w:b/>
                <w:color w:val="000000"/>
                <w:sz w:val="20"/>
              </w:rPr>
              <w:t>$(</w:t>
            </w:r>
            <w:proofErr w:type="spellStart"/>
            <w:r>
              <w:rPr>
                <w:b/>
                <w:color w:val="000000"/>
                <w:sz w:val="20"/>
              </w:rPr>
              <w:t>000s</w:t>
            </w:r>
            <w:proofErr w:type="spellEnd"/>
            <w:r>
              <w:rPr>
                <w:b/>
                <w:color w:val="000000"/>
                <w:sz w:val="20"/>
              </w:rPr>
              <w:t>)</w:t>
            </w:r>
          </w:p>
        </w:tc>
      </w:tr>
      <w:tr w:rsidR="004615DC" w14:paraId="1AB9EF36" w14:textId="77777777" w:rsidTr="00575435">
        <w:trPr>
          <w:trHeight w:val="162"/>
        </w:trPr>
        <w:tc>
          <w:tcPr>
            <w:tcW w:w="17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DCFF56" w14:textId="77777777" w:rsidR="004615DC" w:rsidRDefault="004615DC" w:rsidP="004615DC">
            <w:r>
              <w:rPr>
                <w:color w:val="000000"/>
                <w:sz w:val="20"/>
              </w:rPr>
              <w:t>Home Mortgage</w:t>
            </w:r>
          </w:p>
        </w:tc>
        <w:tc>
          <w:tcPr>
            <w:tcW w:w="7584"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C774F" w14:textId="77777777" w:rsidR="004615DC" w:rsidRDefault="004615DC" w:rsidP="004615DC"/>
        </w:tc>
      </w:tr>
      <w:tr w:rsidR="00167B81" w14:paraId="528B843D" w14:textId="77777777" w:rsidTr="00575435">
        <w:trPr>
          <w:trHeight w:val="140"/>
        </w:trPr>
        <w:tc>
          <w:tcPr>
            <w:tcW w:w="175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A1AB877" w14:textId="77777777" w:rsidR="00167B81" w:rsidRDefault="00167B81" w:rsidP="00167B81">
            <w:pPr>
              <w:jc w:val="right"/>
            </w:pPr>
            <w:r>
              <w:rPr>
                <w:color w:val="000000"/>
                <w:sz w:val="20"/>
              </w:rPr>
              <w:t>2018</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3A2DF" w14:textId="77777777" w:rsidR="00167B81" w:rsidRPr="00167B81" w:rsidRDefault="00167B81" w:rsidP="00167B81">
            <w:pPr>
              <w:jc w:val="center"/>
              <w:rPr>
                <w:sz w:val="20"/>
              </w:rPr>
            </w:pPr>
            <w:r w:rsidRPr="00167B81">
              <w:rPr>
                <w:color w:val="000000"/>
                <w:sz w:val="20"/>
              </w:rPr>
              <w:t>67</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BFF3B" w14:textId="77777777" w:rsidR="00167B81" w:rsidRPr="00167B81" w:rsidRDefault="00167B81" w:rsidP="00167B81">
            <w:pPr>
              <w:jc w:val="center"/>
              <w:rPr>
                <w:sz w:val="20"/>
              </w:rPr>
            </w:pPr>
            <w:r w:rsidRPr="00167B81">
              <w:rPr>
                <w:color w:val="000000"/>
                <w:sz w:val="20"/>
              </w:rPr>
              <w:t>54.9</w:t>
            </w: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B5972" w14:textId="77777777" w:rsidR="00167B81" w:rsidRPr="00167B81" w:rsidRDefault="00167B81" w:rsidP="00167B81">
            <w:pPr>
              <w:jc w:val="center"/>
              <w:rPr>
                <w:sz w:val="20"/>
              </w:rPr>
            </w:pPr>
            <w:r w:rsidRPr="00167B81">
              <w:rPr>
                <w:color w:val="000000"/>
                <w:sz w:val="20"/>
              </w:rPr>
              <w:t>55</w:t>
            </w:r>
          </w:p>
        </w:tc>
        <w:tc>
          <w:tcPr>
            <w:tcW w:w="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32A2E" w14:textId="77777777" w:rsidR="00167B81" w:rsidRPr="00167B81" w:rsidRDefault="00167B81" w:rsidP="00167B81">
            <w:pPr>
              <w:jc w:val="center"/>
              <w:rPr>
                <w:sz w:val="20"/>
              </w:rPr>
            </w:pPr>
            <w:r w:rsidRPr="00167B81">
              <w:rPr>
                <w:color w:val="000000"/>
                <w:sz w:val="20"/>
              </w:rPr>
              <w:t>45.1</w:t>
            </w:r>
          </w:p>
        </w:tc>
        <w:tc>
          <w:tcPr>
            <w:tcW w:w="8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5F04B" w14:textId="77777777" w:rsidR="00167B81" w:rsidRPr="00167B81" w:rsidRDefault="00167B81" w:rsidP="00167B81">
            <w:pPr>
              <w:jc w:val="center"/>
              <w:rPr>
                <w:sz w:val="20"/>
              </w:rPr>
            </w:pPr>
            <w:r w:rsidRPr="00167B81">
              <w:rPr>
                <w:color w:val="000000"/>
                <w:sz w:val="20"/>
              </w:rPr>
              <w:t>122</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02EF6" w14:textId="77777777" w:rsidR="00167B81" w:rsidRPr="00167B81" w:rsidRDefault="00167B81" w:rsidP="00167B81">
            <w:pPr>
              <w:jc w:val="center"/>
              <w:rPr>
                <w:sz w:val="20"/>
              </w:rPr>
            </w:pPr>
            <w:r w:rsidRPr="00167B81">
              <w:rPr>
                <w:color w:val="000000"/>
                <w:sz w:val="20"/>
              </w:rPr>
              <w:t>8,755</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6524E" w14:textId="77777777" w:rsidR="00167B81" w:rsidRPr="00167B81" w:rsidRDefault="00167B81" w:rsidP="00167B81">
            <w:pPr>
              <w:jc w:val="center"/>
              <w:rPr>
                <w:sz w:val="20"/>
              </w:rPr>
            </w:pPr>
            <w:r w:rsidRPr="00167B81">
              <w:rPr>
                <w:color w:val="000000"/>
                <w:sz w:val="20"/>
              </w:rPr>
              <w:t>45.0</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06A5A" w14:textId="77777777" w:rsidR="00167B81" w:rsidRPr="00167B81" w:rsidRDefault="00167B81" w:rsidP="00167B81">
            <w:pPr>
              <w:jc w:val="center"/>
              <w:rPr>
                <w:sz w:val="20"/>
              </w:rPr>
            </w:pPr>
            <w:r w:rsidRPr="00167B81">
              <w:rPr>
                <w:color w:val="000000"/>
                <w:sz w:val="20"/>
              </w:rPr>
              <w:t>10,705</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CEDBD" w14:textId="77777777" w:rsidR="00167B81" w:rsidRPr="00167B81" w:rsidRDefault="00167B81" w:rsidP="00167B81">
            <w:pPr>
              <w:jc w:val="center"/>
              <w:rPr>
                <w:sz w:val="20"/>
              </w:rPr>
            </w:pPr>
            <w:r w:rsidRPr="00167B81">
              <w:rPr>
                <w:color w:val="000000"/>
                <w:sz w:val="20"/>
              </w:rPr>
              <w:t>55.0</w:t>
            </w:r>
          </w:p>
        </w:tc>
        <w:tc>
          <w:tcPr>
            <w:tcW w:w="9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94CFF" w14:textId="77777777" w:rsidR="00167B81" w:rsidRPr="00167B81" w:rsidRDefault="00167B81" w:rsidP="00167B81">
            <w:pPr>
              <w:jc w:val="center"/>
              <w:rPr>
                <w:sz w:val="20"/>
              </w:rPr>
            </w:pPr>
            <w:r w:rsidRPr="00167B81">
              <w:rPr>
                <w:color w:val="000000"/>
                <w:sz w:val="20"/>
              </w:rPr>
              <w:t>19,460</w:t>
            </w:r>
          </w:p>
        </w:tc>
      </w:tr>
      <w:tr w:rsidR="00167B81" w14:paraId="5F8AEF5B" w14:textId="77777777" w:rsidTr="00575435">
        <w:trPr>
          <w:trHeight w:val="140"/>
        </w:trPr>
        <w:tc>
          <w:tcPr>
            <w:tcW w:w="175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D5CFB71" w14:textId="77777777" w:rsidR="00167B81" w:rsidRDefault="00167B81" w:rsidP="00167B81">
            <w:pPr>
              <w:jc w:val="right"/>
            </w:pPr>
            <w:r>
              <w:rPr>
                <w:color w:val="000000"/>
                <w:sz w:val="20"/>
              </w:rPr>
              <w:t>2019</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6EB61" w14:textId="77777777" w:rsidR="00167B81" w:rsidRPr="00167B81" w:rsidRDefault="00167B81" w:rsidP="00167B81">
            <w:pPr>
              <w:jc w:val="center"/>
              <w:rPr>
                <w:sz w:val="20"/>
              </w:rPr>
            </w:pPr>
            <w:r w:rsidRPr="00167B81">
              <w:rPr>
                <w:color w:val="000000"/>
                <w:sz w:val="20"/>
              </w:rPr>
              <w:t>66</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0AD1A" w14:textId="77777777" w:rsidR="00167B81" w:rsidRPr="00167B81" w:rsidRDefault="00167B81" w:rsidP="00167B81">
            <w:pPr>
              <w:jc w:val="center"/>
              <w:rPr>
                <w:sz w:val="20"/>
              </w:rPr>
            </w:pPr>
            <w:r w:rsidRPr="00167B81">
              <w:rPr>
                <w:color w:val="000000"/>
                <w:sz w:val="20"/>
              </w:rPr>
              <w:t>57.9</w:t>
            </w: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D6F28" w14:textId="77777777" w:rsidR="00167B81" w:rsidRPr="00167B81" w:rsidRDefault="00167B81" w:rsidP="00167B81">
            <w:pPr>
              <w:jc w:val="center"/>
              <w:rPr>
                <w:sz w:val="20"/>
              </w:rPr>
            </w:pPr>
            <w:r w:rsidRPr="00167B81">
              <w:rPr>
                <w:color w:val="000000"/>
                <w:sz w:val="20"/>
              </w:rPr>
              <w:t>48</w:t>
            </w:r>
          </w:p>
        </w:tc>
        <w:tc>
          <w:tcPr>
            <w:tcW w:w="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DF830" w14:textId="77777777" w:rsidR="00167B81" w:rsidRPr="00167B81" w:rsidRDefault="00167B81" w:rsidP="00167B81">
            <w:pPr>
              <w:jc w:val="center"/>
              <w:rPr>
                <w:sz w:val="20"/>
              </w:rPr>
            </w:pPr>
            <w:r w:rsidRPr="00167B81">
              <w:rPr>
                <w:color w:val="000000"/>
                <w:sz w:val="20"/>
              </w:rPr>
              <w:t>42.1</w:t>
            </w:r>
          </w:p>
        </w:tc>
        <w:tc>
          <w:tcPr>
            <w:tcW w:w="8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70987" w14:textId="77777777" w:rsidR="00167B81" w:rsidRPr="00167B81" w:rsidRDefault="00167B81" w:rsidP="00167B81">
            <w:pPr>
              <w:jc w:val="center"/>
              <w:rPr>
                <w:sz w:val="20"/>
              </w:rPr>
            </w:pPr>
            <w:r w:rsidRPr="00167B81">
              <w:rPr>
                <w:color w:val="000000"/>
                <w:sz w:val="20"/>
              </w:rPr>
              <w:t>114</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56CEA" w14:textId="77777777" w:rsidR="00167B81" w:rsidRPr="00167B81" w:rsidRDefault="00167B81" w:rsidP="00167B81">
            <w:pPr>
              <w:jc w:val="center"/>
              <w:rPr>
                <w:sz w:val="20"/>
              </w:rPr>
            </w:pPr>
            <w:r w:rsidRPr="00167B81">
              <w:rPr>
                <w:color w:val="000000"/>
                <w:sz w:val="20"/>
              </w:rPr>
              <w:t>10,150</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1023EC" w14:textId="77777777" w:rsidR="00167B81" w:rsidRPr="00167B81" w:rsidRDefault="00167B81" w:rsidP="00167B81">
            <w:pPr>
              <w:jc w:val="center"/>
              <w:rPr>
                <w:sz w:val="20"/>
              </w:rPr>
            </w:pPr>
            <w:r w:rsidRPr="00167B81">
              <w:rPr>
                <w:color w:val="000000"/>
                <w:sz w:val="20"/>
              </w:rPr>
              <w:t>57.4</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F098C" w14:textId="77777777" w:rsidR="00167B81" w:rsidRPr="00167B81" w:rsidRDefault="00167B81" w:rsidP="00167B81">
            <w:pPr>
              <w:jc w:val="center"/>
              <w:rPr>
                <w:sz w:val="20"/>
              </w:rPr>
            </w:pPr>
            <w:r w:rsidRPr="00167B81">
              <w:rPr>
                <w:color w:val="000000"/>
                <w:sz w:val="20"/>
              </w:rPr>
              <w:t>7,534</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E2098" w14:textId="77777777" w:rsidR="00167B81" w:rsidRPr="00167B81" w:rsidRDefault="00167B81" w:rsidP="00167B81">
            <w:pPr>
              <w:jc w:val="center"/>
              <w:rPr>
                <w:sz w:val="20"/>
              </w:rPr>
            </w:pPr>
            <w:r w:rsidRPr="00167B81">
              <w:rPr>
                <w:color w:val="000000"/>
                <w:sz w:val="20"/>
              </w:rPr>
              <w:t>42.6</w:t>
            </w:r>
          </w:p>
        </w:tc>
        <w:tc>
          <w:tcPr>
            <w:tcW w:w="9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52DCC" w14:textId="77777777" w:rsidR="00167B81" w:rsidRPr="00167B81" w:rsidRDefault="00167B81" w:rsidP="00167B81">
            <w:pPr>
              <w:jc w:val="center"/>
              <w:rPr>
                <w:sz w:val="20"/>
              </w:rPr>
            </w:pPr>
            <w:r w:rsidRPr="00167B81">
              <w:rPr>
                <w:color w:val="000000"/>
                <w:sz w:val="20"/>
              </w:rPr>
              <w:t>17,684</w:t>
            </w:r>
          </w:p>
        </w:tc>
      </w:tr>
      <w:tr w:rsidR="00167B81" w14:paraId="5138C15D" w14:textId="77777777" w:rsidTr="00575435">
        <w:trPr>
          <w:trHeight w:val="162"/>
        </w:trPr>
        <w:tc>
          <w:tcPr>
            <w:tcW w:w="17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0D66D3" w14:textId="77777777" w:rsidR="00167B81" w:rsidRDefault="00167B81" w:rsidP="00167B81">
            <w:r>
              <w:rPr>
                <w:b/>
                <w:color w:val="000000"/>
                <w:sz w:val="20"/>
              </w:rPr>
              <w:t>Total</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E94A7" w14:textId="77777777" w:rsidR="00167B81" w:rsidRPr="00167B81" w:rsidRDefault="00167B81" w:rsidP="00167B81">
            <w:pPr>
              <w:jc w:val="center"/>
              <w:rPr>
                <w:sz w:val="20"/>
              </w:rPr>
            </w:pPr>
            <w:r w:rsidRPr="00167B81">
              <w:rPr>
                <w:b/>
                <w:sz w:val="20"/>
              </w:rPr>
              <w:t>133</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9A902" w14:textId="77777777" w:rsidR="00167B81" w:rsidRPr="00167B81" w:rsidRDefault="00167B81" w:rsidP="00167B81">
            <w:pPr>
              <w:jc w:val="center"/>
              <w:rPr>
                <w:sz w:val="20"/>
              </w:rPr>
            </w:pPr>
            <w:r w:rsidRPr="00167B81">
              <w:rPr>
                <w:b/>
                <w:sz w:val="20"/>
              </w:rPr>
              <w:t>56.4</w:t>
            </w: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55925" w14:textId="77777777" w:rsidR="00167B81" w:rsidRPr="00167B81" w:rsidRDefault="00167B81" w:rsidP="00167B81">
            <w:pPr>
              <w:jc w:val="center"/>
              <w:rPr>
                <w:sz w:val="20"/>
              </w:rPr>
            </w:pPr>
            <w:r w:rsidRPr="00167B81">
              <w:rPr>
                <w:b/>
                <w:sz w:val="20"/>
              </w:rPr>
              <w:t>103</w:t>
            </w:r>
          </w:p>
        </w:tc>
        <w:tc>
          <w:tcPr>
            <w:tcW w:w="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98262" w14:textId="77777777" w:rsidR="00167B81" w:rsidRPr="00167B81" w:rsidRDefault="00167B81" w:rsidP="00167B81">
            <w:pPr>
              <w:jc w:val="center"/>
              <w:rPr>
                <w:sz w:val="20"/>
              </w:rPr>
            </w:pPr>
            <w:r w:rsidRPr="00167B81">
              <w:rPr>
                <w:b/>
                <w:sz w:val="20"/>
              </w:rPr>
              <w:t>43.6</w:t>
            </w:r>
          </w:p>
        </w:tc>
        <w:tc>
          <w:tcPr>
            <w:tcW w:w="8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BCE4F" w14:textId="77777777" w:rsidR="00167B81" w:rsidRPr="00167B81" w:rsidRDefault="00167B81" w:rsidP="00167B81">
            <w:pPr>
              <w:jc w:val="center"/>
              <w:rPr>
                <w:sz w:val="20"/>
              </w:rPr>
            </w:pPr>
            <w:r w:rsidRPr="00167B81">
              <w:rPr>
                <w:b/>
                <w:sz w:val="20"/>
              </w:rPr>
              <w:t>236</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6706F" w14:textId="77777777" w:rsidR="00167B81" w:rsidRPr="00167B81" w:rsidRDefault="00167B81" w:rsidP="00167B81">
            <w:pPr>
              <w:jc w:val="center"/>
              <w:rPr>
                <w:sz w:val="20"/>
              </w:rPr>
            </w:pPr>
            <w:r w:rsidRPr="00167B81">
              <w:rPr>
                <w:b/>
                <w:sz w:val="20"/>
              </w:rPr>
              <w:t>18,905</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433F5" w14:textId="77777777" w:rsidR="00167B81" w:rsidRPr="00167B81" w:rsidRDefault="00167B81" w:rsidP="00167B81">
            <w:pPr>
              <w:jc w:val="center"/>
              <w:rPr>
                <w:sz w:val="20"/>
              </w:rPr>
            </w:pPr>
            <w:r w:rsidRPr="00167B81">
              <w:rPr>
                <w:b/>
                <w:sz w:val="20"/>
              </w:rPr>
              <w:t>50.9</w:t>
            </w:r>
          </w:p>
        </w:tc>
        <w:tc>
          <w:tcPr>
            <w:tcW w:w="8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A0B7B" w14:textId="77777777" w:rsidR="00167B81" w:rsidRPr="00167B81" w:rsidRDefault="00167B81" w:rsidP="00167B81">
            <w:pPr>
              <w:jc w:val="center"/>
              <w:rPr>
                <w:sz w:val="20"/>
              </w:rPr>
            </w:pPr>
            <w:r w:rsidRPr="00167B81">
              <w:rPr>
                <w:b/>
                <w:sz w:val="20"/>
              </w:rPr>
              <w:t>18,239</w:t>
            </w:r>
          </w:p>
        </w:tc>
        <w:tc>
          <w:tcPr>
            <w:tcW w:w="5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7407B" w14:textId="77777777" w:rsidR="00167B81" w:rsidRPr="00167B81" w:rsidRDefault="00167B81" w:rsidP="00167B81">
            <w:pPr>
              <w:jc w:val="center"/>
              <w:rPr>
                <w:sz w:val="20"/>
              </w:rPr>
            </w:pPr>
            <w:r w:rsidRPr="00167B81">
              <w:rPr>
                <w:b/>
                <w:sz w:val="20"/>
              </w:rPr>
              <w:t>49.1</w:t>
            </w:r>
          </w:p>
        </w:tc>
        <w:tc>
          <w:tcPr>
            <w:tcW w:w="9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17D83" w14:textId="77777777" w:rsidR="00167B81" w:rsidRPr="00167B81" w:rsidRDefault="00167B81" w:rsidP="00167B81">
            <w:pPr>
              <w:jc w:val="center"/>
              <w:rPr>
                <w:sz w:val="20"/>
              </w:rPr>
            </w:pPr>
            <w:r w:rsidRPr="00167B81">
              <w:rPr>
                <w:b/>
                <w:sz w:val="20"/>
              </w:rPr>
              <w:t>37,144</w:t>
            </w:r>
          </w:p>
        </w:tc>
      </w:tr>
      <w:tr w:rsidR="004615DC" w14:paraId="177D886A" w14:textId="77777777" w:rsidTr="00575435">
        <w:trPr>
          <w:trHeight w:val="171"/>
        </w:trPr>
        <w:tc>
          <w:tcPr>
            <w:tcW w:w="9342"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095EDE29" w14:textId="77777777" w:rsidR="004615DC" w:rsidRDefault="004615DC" w:rsidP="004615DC">
            <w:r>
              <w:rPr>
                <w:i/>
                <w:color w:val="000000"/>
                <w:sz w:val="16"/>
              </w:rPr>
              <w:t>Source: Evaluation Period: 1/1/2018 - 12/31/2019 Credit Union Data</w:t>
            </w:r>
          </w:p>
        </w:tc>
      </w:tr>
    </w:tbl>
    <w:p w14:paraId="45E702DB" w14:textId="77777777" w:rsidR="00F2570A" w:rsidRDefault="00F2570A" w:rsidP="00660B31">
      <w:pPr>
        <w:rPr>
          <w:iCs/>
        </w:rPr>
      </w:pPr>
    </w:p>
    <w:p w14:paraId="4A6555D0" w14:textId="77777777" w:rsidR="00047BCA" w:rsidRDefault="00047BCA">
      <w:pPr>
        <w:rPr>
          <w:b/>
          <w:bCs/>
          <w:color w:val="000000"/>
          <w:u w:val="single"/>
        </w:rPr>
      </w:pPr>
      <w:r>
        <w:rPr>
          <w:b/>
          <w:bCs/>
          <w:color w:val="000000"/>
          <w:u w:val="single"/>
        </w:rPr>
        <w:br w:type="page"/>
      </w:r>
    </w:p>
    <w:p w14:paraId="2C99E6A1" w14:textId="77777777" w:rsidR="00E15DD6" w:rsidRDefault="00E15DD6" w:rsidP="00660B31">
      <w:pPr>
        <w:rPr>
          <w:b/>
          <w:bCs/>
          <w:color w:val="000000"/>
          <w:u w:val="single"/>
        </w:rPr>
      </w:pPr>
      <w:r w:rsidRPr="00161EC6">
        <w:rPr>
          <w:b/>
          <w:bCs/>
          <w:color w:val="000000"/>
          <w:u w:val="single"/>
        </w:rPr>
        <w:lastRenderedPageBreak/>
        <w:t>Geographic Distribution</w:t>
      </w:r>
    </w:p>
    <w:p w14:paraId="27316EB4" w14:textId="77777777" w:rsidR="004615DC" w:rsidRDefault="004615DC" w:rsidP="00660B31">
      <w:pPr>
        <w:rPr>
          <w:b/>
          <w:bCs/>
          <w:color w:val="000000"/>
          <w:u w:val="single"/>
        </w:rPr>
      </w:pPr>
    </w:p>
    <w:p w14:paraId="2E70BC6B" w14:textId="77777777" w:rsidR="004615DC" w:rsidRPr="00D40244" w:rsidRDefault="004615DC" w:rsidP="004615DC">
      <w:pPr>
        <w:jc w:val="both"/>
      </w:pPr>
      <w:r w:rsidRPr="00D40244">
        <w:t xml:space="preserve">Considering the credit union’s </w:t>
      </w:r>
      <w:r>
        <w:t>AA</w:t>
      </w:r>
      <w:r w:rsidRPr="00D40244">
        <w:t xml:space="preserve"> demographics, aggregate data, and performance context factors, the distribution of home mo</w:t>
      </w:r>
      <w:r w:rsidR="00E4648B">
        <w:t xml:space="preserve">rtgage loans reflects </w:t>
      </w:r>
      <w:r w:rsidR="00E4648B" w:rsidRPr="00E4648B">
        <w:t>excellent</w:t>
      </w:r>
      <w:r w:rsidRPr="00D40244">
        <w:t xml:space="preserve"> penetration in low- and moderate-income geographies.</w:t>
      </w:r>
    </w:p>
    <w:p w14:paraId="35F92439" w14:textId="77777777" w:rsidR="004615DC" w:rsidRPr="00D40244" w:rsidRDefault="004615DC" w:rsidP="004615DC">
      <w:pPr>
        <w:jc w:val="both"/>
        <w:rPr>
          <w:bCs/>
          <w:color w:val="000000"/>
        </w:rPr>
      </w:pPr>
    </w:p>
    <w:p w14:paraId="31EF5FE5" w14:textId="77777777" w:rsidR="004615DC" w:rsidRPr="00D40244" w:rsidRDefault="00AC4FA0" w:rsidP="004615DC">
      <w:pPr>
        <w:pStyle w:val="Default"/>
        <w:jc w:val="both"/>
      </w:pPr>
      <w:r w:rsidRPr="009D7EF0">
        <w:t>T</w:t>
      </w:r>
      <w:r w:rsidR="004615DC" w:rsidRPr="009D7EF0">
        <w:t xml:space="preserve">he credit union </w:t>
      </w:r>
      <w:r w:rsidR="00E4648B" w:rsidRPr="009D7EF0">
        <w:t>originated 23.9</w:t>
      </w:r>
      <w:r w:rsidR="004615DC" w:rsidRPr="009D7EF0">
        <w:t xml:space="preserve"> percent of home mortgage loans within low-income census tracts</w:t>
      </w:r>
      <w:r w:rsidRPr="009D7EF0">
        <w:t xml:space="preserve"> in 2018</w:t>
      </w:r>
      <w:r w:rsidR="004615DC" w:rsidRPr="009D7EF0">
        <w:t>,</w:t>
      </w:r>
      <w:r w:rsidR="00E4648B" w:rsidRPr="009D7EF0">
        <w:t xml:space="preserve"> above</w:t>
      </w:r>
      <w:r w:rsidR="004615DC" w:rsidRPr="009D7EF0">
        <w:t xml:space="preserve"> the aggregate</w:t>
      </w:r>
      <w:r w:rsidR="009D7EF0">
        <w:t xml:space="preserve">’s </w:t>
      </w:r>
      <w:r w:rsidR="00E4648B" w:rsidRPr="009D7EF0">
        <w:t xml:space="preserve">2.8 percent and </w:t>
      </w:r>
      <w:r w:rsidR="004615DC" w:rsidRPr="009D7EF0">
        <w:t>the percentage of owner occupied housing of</w:t>
      </w:r>
      <w:r w:rsidR="00E4648B" w:rsidRPr="009D7EF0">
        <w:t xml:space="preserve"> 1.4</w:t>
      </w:r>
      <w:r w:rsidR="004615DC" w:rsidRPr="009D7EF0">
        <w:t xml:space="preserve"> percent</w:t>
      </w:r>
      <w:r w:rsidR="009859BB" w:rsidRPr="009D7EF0">
        <w:t xml:space="preserve"> in the same areas</w:t>
      </w:r>
      <w:r w:rsidR="004615DC" w:rsidRPr="009D7EF0">
        <w:t>.</w:t>
      </w:r>
      <w:r w:rsidR="00EE3DBE" w:rsidRPr="009D7EF0">
        <w:t xml:space="preserve"> </w:t>
      </w:r>
      <w:r w:rsidRPr="009D7EF0">
        <w:t>T</w:t>
      </w:r>
      <w:r w:rsidR="00EE3DBE" w:rsidRPr="009D7EF0">
        <w:t>he credit union</w:t>
      </w:r>
      <w:r w:rsidRPr="009D7EF0">
        <w:t>’s</w:t>
      </w:r>
      <w:r w:rsidR="004615DC" w:rsidRPr="009D7EF0">
        <w:t xml:space="preserve"> percentage of loans in</w:t>
      </w:r>
      <w:r w:rsidR="00E4648B" w:rsidRPr="009D7EF0">
        <w:t xml:space="preserve"> low-income census tracts</w:t>
      </w:r>
      <w:r w:rsidRPr="009D7EF0">
        <w:t xml:space="preserve"> decreased</w:t>
      </w:r>
      <w:r w:rsidR="00E4648B" w:rsidRPr="009D7EF0">
        <w:t xml:space="preserve"> to 12.1 percent</w:t>
      </w:r>
      <w:r w:rsidRPr="009D7EF0">
        <w:t xml:space="preserve"> in 2019</w:t>
      </w:r>
      <w:r w:rsidR="00E4648B" w:rsidRPr="009D7EF0">
        <w:t>, which is above the aggregate</w:t>
      </w:r>
      <w:r w:rsidR="000C5AF2" w:rsidRPr="009D7EF0">
        <w:t xml:space="preserve"> performance</w:t>
      </w:r>
      <w:r w:rsidR="00E4648B" w:rsidRPr="009D7EF0">
        <w:t xml:space="preserve"> of 3.2 percent.</w:t>
      </w:r>
      <w:r w:rsidR="004615DC" w:rsidRPr="00D40244">
        <w:t xml:space="preserve"> </w:t>
      </w:r>
    </w:p>
    <w:p w14:paraId="473EAF14" w14:textId="77777777" w:rsidR="004615DC" w:rsidRPr="00D40244" w:rsidRDefault="004615DC" w:rsidP="004615DC">
      <w:pPr>
        <w:pStyle w:val="Default"/>
        <w:jc w:val="both"/>
      </w:pPr>
    </w:p>
    <w:p w14:paraId="4ACF78C4" w14:textId="77777777" w:rsidR="00500C21" w:rsidRDefault="00E4648B" w:rsidP="004615DC">
      <w:pPr>
        <w:jc w:val="both"/>
      </w:pPr>
      <w:r>
        <w:t>The credit union originated 19.4</w:t>
      </w:r>
      <w:r w:rsidR="004615DC" w:rsidRPr="00D40244">
        <w:t xml:space="preserve"> percent of its HMDA reportable loans within moderate-income census trac</w:t>
      </w:r>
      <w:r w:rsidR="00EE3DBE">
        <w:t>t</w:t>
      </w:r>
      <w:r>
        <w:t>s in</w:t>
      </w:r>
      <w:r w:rsidR="00575435">
        <w:t xml:space="preserve"> 2018. </w:t>
      </w:r>
      <w:r w:rsidR="009D7EF0">
        <w:t xml:space="preserve">This </w:t>
      </w:r>
      <w:r>
        <w:t xml:space="preserve">is above the </w:t>
      </w:r>
      <w:r w:rsidR="004615DC" w:rsidRPr="00D40244">
        <w:t xml:space="preserve">aggregate </w:t>
      </w:r>
      <w:r w:rsidR="004615DC">
        <w:t>performance</w:t>
      </w:r>
      <w:r w:rsidR="004615DC" w:rsidRPr="00D40244">
        <w:t xml:space="preserve"> </w:t>
      </w:r>
      <w:r w:rsidR="004615DC">
        <w:t>of</w:t>
      </w:r>
      <w:r>
        <w:t xml:space="preserve"> 7.6</w:t>
      </w:r>
      <w:r w:rsidR="000C5AF2">
        <w:t xml:space="preserve"> percent and </w:t>
      </w:r>
      <w:r w:rsidR="004615DC" w:rsidRPr="00D40244">
        <w:t xml:space="preserve">the owner-occupied housing percentage </w:t>
      </w:r>
      <w:r w:rsidR="004615DC">
        <w:t>of</w:t>
      </w:r>
      <w:r w:rsidR="000C5AF2">
        <w:t xml:space="preserve"> 7.1</w:t>
      </w:r>
      <w:r w:rsidR="00AC4FA0">
        <w:t xml:space="preserve"> percent</w:t>
      </w:r>
      <w:r w:rsidR="009D7EF0">
        <w:t>.</w:t>
      </w:r>
      <w:r w:rsidR="004615DC" w:rsidRPr="00D40244">
        <w:t xml:space="preserve"> </w:t>
      </w:r>
      <w:r w:rsidR="00AC4FA0">
        <w:t>T</w:t>
      </w:r>
      <w:r w:rsidR="004615DC" w:rsidRPr="00D40244">
        <w:t>he credit union’s number of</w:t>
      </w:r>
      <w:r w:rsidR="000C5AF2">
        <w:t xml:space="preserve"> HMDA reportable loans decreased to 9.1</w:t>
      </w:r>
      <w:r w:rsidR="004615DC" w:rsidRPr="00D40244">
        <w:t xml:space="preserve"> percent in moderate-income </w:t>
      </w:r>
      <w:r w:rsidR="004615DC">
        <w:t>census tracts</w:t>
      </w:r>
      <w:r w:rsidR="00AC4FA0">
        <w:t xml:space="preserve"> in 2019</w:t>
      </w:r>
      <w:r w:rsidR="000C5AF2">
        <w:t>, above the aggregate performance of 8.2 percent</w:t>
      </w:r>
      <w:r w:rsidR="004615DC" w:rsidRPr="00D40244">
        <w:t>.</w:t>
      </w:r>
      <w:r w:rsidR="004615DC">
        <w:t xml:space="preserve"> </w:t>
      </w:r>
      <w:r w:rsidR="000C5AF2">
        <w:t xml:space="preserve"> </w:t>
      </w:r>
    </w:p>
    <w:p w14:paraId="1458E3A1" w14:textId="77777777" w:rsidR="00500C21" w:rsidRDefault="00500C21" w:rsidP="004615DC">
      <w:pPr>
        <w:jc w:val="both"/>
      </w:pPr>
    </w:p>
    <w:p w14:paraId="31214499" w14:textId="77777777" w:rsidR="004615DC" w:rsidRDefault="00500C21" w:rsidP="004615DC">
      <w:pPr>
        <w:jc w:val="both"/>
      </w:pPr>
      <w:r>
        <w:t xml:space="preserve">Market share data further supports the credit union’s excellent performance. In 2018, Southbridge Credit Union ranked </w:t>
      </w:r>
      <w:proofErr w:type="gramStart"/>
      <w:r>
        <w:t>1</w:t>
      </w:r>
      <w:r w:rsidRPr="00500C21">
        <w:rPr>
          <w:vertAlign w:val="superscript"/>
        </w:rPr>
        <w:t>st</w:t>
      </w:r>
      <w:proofErr w:type="gramEnd"/>
      <w:r>
        <w:t xml:space="preserve"> in lending to low- and moderate-income tracts with a 10.3 percent market share. In 2019, Southbridge Credit Union ranked </w:t>
      </w:r>
      <w:proofErr w:type="gramStart"/>
      <w:r>
        <w:t>5</w:t>
      </w:r>
      <w:r w:rsidRPr="00500C21">
        <w:rPr>
          <w:vertAlign w:val="superscript"/>
        </w:rPr>
        <w:t>th</w:t>
      </w:r>
      <w:proofErr w:type="gramEnd"/>
      <w:r>
        <w:t xml:space="preserve"> in lending to low- and moderate-income tracts with a 3.9 percent market share. </w:t>
      </w:r>
      <w:r w:rsidR="00575435">
        <w:t>R</w:t>
      </w:r>
      <w:r w:rsidR="004615DC" w:rsidRPr="00D40244">
        <w:t>efer to the table below for more information.</w:t>
      </w:r>
    </w:p>
    <w:p w14:paraId="64516265" w14:textId="77777777" w:rsidR="00575435" w:rsidRPr="00D40244" w:rsidRDefault="00575435" w:rsidP="004615DC">
      <w:pPr>
        <w:jc w:val="both"/>
      </w:pPr>
    </w:p>
    <w:tbl>
      <w:tblPr>
        <w:tblW w:w="9357" w:type="dxa"/>
        <w:tblCellMar>
          <w:left w:w="0" w:type="dxa"/>
          <w:right w:w="0" w:type="dxa"/>
        </w:tblCellMar>
        <w:tblLook w:val="0000" w:firstRow="0" w:lastRow="0" w:firstColumn="0" w:lastColumn="0" w:noHBand="0" w:noVBand="0"/>
      </w:tblPr>
      <w:tblGrid>
        <w:gridCol w:w="2505"/>
        <w:gridCol w:w="1549"/>
        <w:gridCol w:w="1429"/>
        <w:gridCol w:w="1189"/>
        <w:gridCol w:w="852"/>
        <w:gridCol w:w="1011"/>
        <w:gridCol w:w="822"/>
      </w:tblGrid>
      <w:tr w:rsidR="004615DC" w14:paraId="13A30931" w14:textId="77777777" w:rsidTr="00575435">
        <w:trPr>
          <w:trHeight w:val="351"/>
        </w:trPr>
        <w:tc>
          <w:tcPr>
            <w:tcW w:w="9357"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14:paraId="21389B1A" w14:textId="77777777" w:rsidR="004615DC" w:rsidRDefault="004615DC" w:rsidP="004615DC">
            <w:pPr>
              <w:jc w:val="center"/>
            </w:pPr>
            <w:r>
              <w:rPr>
                <w:b/>
                <w:color w:val="000000"/>
                <w:sz w:val="20"/>
              </w:rPr>
              <w:t>Geographic Distribution of Home Mortgage Loans</w:t>
            </w:r>
          </w:p>
        </w:tc>
      </w:tr>
      <w:tr w:rsidR="004615DC" w14:paraId="03ABB890" w14:textId="77777777" w:rsidTr="00575435">
        <w:trPr>
          <w:trHeight w:val="620"/>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A460FC" w14:textId="77777777" w:rsidR="004615DC" w:rsidRDefault="004615DC" w:rsidP="004615DC">
            <w:r>
              <w:rPr>
                <w:b/>
                <w:color w:val="000000"/>
                <w:sz w:val="20"/>
              </w:rPr>
              <w:t>Tract Income Level</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29889F" w14:textId="77777777" w:rsidR="004615DC" w:rsidRDefault="004615DC" w:rsidP="004615DC">
            <w:pPr>
              <w:jc w:val="center"/>
            </w:pPr>
            <w:r>
              <w:rPr>
                <w:b/>
                <w:color w:val="000000"/>
                <w:sz w:val="20"/>
              </w:rPr>
              <w:t>% of  Owner-Occupied Housing Units</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6B3D4F" w14:textId="77777777" w:rsidR="004615DC" w:rsidRDefault="004615DC" w:rsidP="004615DC">
            <w:pPr>
              <w:jc w:val="center"/>
            </w:pPr>
            <w:r>
              <w:rPr>
                <w:b/>
                <w:color w:val="000000"/>
                <w:sz w:val="20"/>
              </w:rPr>
              <w:t>Aggregate Performance</w:t>
            </w:r>
            <w:r>
              <w:rPr>
                <w:b/>
                <w:color w:val="000000"/>
                <w:sz w:val="20"/>
              </w:rPr>
              <w:br/>
              <w:t>% of #</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1C0226" w14:textId="77777777" w:rsidR="004615DC" w:rsidRDefault="004615DC" w:rsidP="004615DC">
            <w:pPr>
              <w:jc w:val="center"/>
            </w:pPr>
            <w:r>
              <w:rPr>
                <w:b/>
                <w:color w:val="000000"/>
                <w:sz w:val="20"/>
              </w:rPr>
              <w:t>#</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8B4EC9" w14:textId="77777777" w:rsidR="004615DC" w:rsidRDefault="004615DC" w:rsidP="004615DC">
            <w:pPr>
              <w:jc w:val="center"/>
            </w:pPr>
            <w:r>
              <w:rPr>
                <w:b/>
                <w:color w:val="000000"/>
                <w:sz w:val="20"/>
              </w:rPr>
              <w:t>%</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5A4CD5" w14:textId="77777777" w:rsidR="004615DC" w:rsidRDefault="004615DC" w:rsidP="004615DC">
            <w:pPr>
              <w:jc w:val="center"/>
            </w:pPr>
            <w:r>
              <w:rPr>
                <w:b/>
                <w:color w:val="000000"/>
                <w:sz w:val="20"/>
              </w:rPr>
              <w:t>$(</w:t>
            </w:r>
            <w:proofErr w:type="spellStart"/>
            <w:r>
              <w:rPr>
                <w:b/>
                <w:color w:val="000000"/>
                <w:sz w:val="20"/>
              </w:rPr>
              <w:t>000s</w:t>
            </w:r>
            <w:proofErr w:type="spellEnd"/>
            <w:r>
              <w:rPr>
                <w:b/>
                <w:color w:val="000000"/>
                <w:sz w:val="20"/>
              </w:rPr>
              <w:t>)</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5428316" w14:textId="77777777" w:rsidR="004615DC" w:rsidRDefault="004615DC" w:rsidP="004615DC">
            <w:pPr>
              <w:jc w:val="center"/>
            </w:pPr>
            <w:r>
              <w:rPr>
                <w:b/>
                <w:color w:val="000000"/>
                <w:sz w:val="20"/>
              </w:rPr>
              <w:t>%</w:t>
            </w:r>
          </w:p>
        </w:tc>
      </w:tr>
      <w:tr w:rsidR="004615DC" w14:paraId="779F7833"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D4306B" w14:textId="77777777" w:rsidR="004615DC" w:rsidRDefault="004615DC" w:rsidP="004615DC">
            <w:r>
              <w:rPr>
                <w:color w:val="000000"/>
                <w:sz w:val="20"/>
              </w:rPr>
              <w:t>Low</w:t>
            </w:r>
          </w:p>
        </w:tc>
        <w:tc>
          <w:tcPr>
            <w:tcW w:w="685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27D59" w14:textId="77777777" w:rsidR="004615DC" w:rsidRDefault="004615DC" w:rsidP="004615DC"/>
        </w:tc>
      </w:tr>
      <w:tr w:rsidR="00E4648B" w14:paraId="15495C25"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BD33790" w14:textId="77777777" w:rsidR="00E4648B" w:rsidRDefault="00E4648B" w:rsidP="00E4648B">
            <w:pPr>
              <w:jc w:val="right"/>
            </w:pPr>
            <w:r>
              <w:rPr>
                <w:color w:val="000000"/>
                <w:sz w:val="20"/>
              </w:rPr>
              <w:t>2018</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75AEB" w14:textId="77777777" w:rsidR="00E4648B" w:rsidRPr="00E4648B" w:rsidRDefault="00E4648B" w:rsidP="00E4648B">
            <w:pPr>
              <w:jc w:val="center"/>
              <w:rPr>
                <w:sz w:val="20"/>
                <w:szCs w:val="20"/>
              </w:rPr>
            </w:pPr>
            <w:r w:rsidRPr="00E4648B">
              <w:rPr>
                <w:color w:val="000000"/>
                <w:sz w:val="20"/>
                <w:szCs w:val="20"/>
              </w:rPr>
              <w:t>1.4</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7A76A" w14:textId="77777777" w:rsidR="00E4648B" w:rsidRPr="00E4648B" w:rsidRDefault="00E4648B" w:rsidP="00E4648B">
            <w:pPr>
              <w:jc w:val="center"/>
              <w:rPr>
                <w:sz w:val="20"/>
                <w:szCs w:val="20"/>
              </w:rPr>
            </w:pPr>
            <w:r w:rsidRPr="00E4648B">
              <w:rPr>
                <w:color w:val="000000"/>
                <w:sz w:val="20"/>
                <w:szCs w:val="20"/>
              </w:rPr>
              <w:t>2.8</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E5045" w14:textId="77777777" w:rsidR="00E4648B" w:rsidRPr="00E4648B" w:rsidRDefault="00E4648B" w:rsidP="00E4648B">
            <w:pPr>
              <w:jc w:val="center"/>
              <w:rPr>
                <w:sz w:val="20"/>
                <w:szCs w:val="20"/>
              </w:rPr>
            </w:pPr>
            <w:r w:rsidRPr="00E4648B">
              <w:rPr>
                <w:sz w:val="20"/>
                <w:szCs w:val="20"/>
              </w:rPr>
              <w:t>16</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A3AD7" w14:textId="77777777" w:rsidR="00E4648B" w:rsidRPr="00E4648B" w:rsidRDefault="00E4648B" w:rsidP="00E4648B">
            <w:pPr>
              <w:jc w:val="center"/>
              <w:rPr>
                <w:sz w:val="20"/>
                <w:szCs w:val="20"/>
              </w:rPr>
            </w:pPr>
            <w:r w:rsidRPr="00E4648B">
              <w:rPr>
                <w:sz w:val="20"/>
                <w:szCs w:val="20"/>
              </w:rPr>
              <w:t>23.9</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0176F" w14:textId="77777777" w:rsidR="00E4648B" w:rsidRPr="00E4648B" w:rsidRDefault="00E4648B" w:rsidP="00E4648B">
            <w:pPr>
              <w:jc w:val="center"/>
              <w:rPr>
                <w:sz w:val="20"/>
                <w:szCs w:val="20"/>
              </w:rPr>
            </w:pPr>
            <w:r w:rsidRPr="00E4648B">
              <w:rPr>
                <w:sz w:val="20"/>
                <w:szCs w:val="20"/>
              </w:rPr>
              <w:t>2,250</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FC22F" w14:textId="77777777" w:rsidR="00E4648B" w:rsidRPr="00E4648B" w:rsidRDefault="00E4648B" w:rsidP="00E4648B">
            <w:pPr>
              <w:jc w:val="center"/>
              <w:rPr>
                <w:sz w:val="20"/>
                <w:szCs w:val="20"/>
              </w:rPr>
            </w:pPr>
            <w:r w:rsidRPr="00E4648B">
              <w:rPr>
                <w:sz w:val="20"/>
                <w:szCs w:val="20"/>
              </w:rPr>
              <w:t>25.7</w:t>
            </w:r>
          </w:p>
        </w:tc>
      </w:tr>
      <w:tr w:rsidR="00E4648B" w14:paraId="0931AF13"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A60AD77" w14:textId="77777777" w:rsidR="00E4648B" w:rsidRDefault="00E4648B" w:rsidP="00E4648B">
            <w:pPr>
              <w:jc w:val="right"/>
            </w:pPr>
            <w:r>
              <w:rPr>
                <w:color w:val="000000"/>
                <w:sz w:val="20"/>
              </w:rPr>
              <w:t>2019</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B86A6" w14:textId="77777777" w:rsidR="00E4648B" w:rsidRPr="00E4648B" w:rsidRDefault="00E4648B" w:rsidP="00E4648B">
            <w:pPr>
              <w:jc w:val="center"/>
              <w:rPr>
                <w:sz w:val="20"/>
                <w:szCs w:val="20"/>
              </w:rPr>
            </w:pPr>
            <w:r w:rsidRPr="00E4648B">
              <w:rPr>
                <w:color w:val="000000"/>
                <w:sz w:val="20"/>
                <w:szCs w:val="20"/>
              </w:rPr>
              <w:t>1.4</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94EAB" w14:textId="77777777" w:rsidR="00E4648B" w:rsidRPr="00E4648B" w:rsidRDefault="00E4648B" w:rsidP="00E4648B">
            <w:pPr>
              <w:jc w:val="center"/>
              <w:rPr>
                <w:sz w:val="20"/>
                <w:szCs w:val="20"/>
              </w:rPr>
            </w:pPr>
            <w:r w:rsidRPr="00E4648B">
              <w:rPr>
                <w:color w:val="000000"/>
                <w:sz w:val="20"/>
                <w:szCs w:val="20"/>
              </w:rPr>
              <w:t>3.2</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BD115" w14:textId="77777777" w:rsidR="00E4648B" w:rsidRPr="00E4648B" w:rsidRDefault="00E4648B" w:rsidP="00E4648B">
            <w:pPr>
              <w:jc w:val="center"/>
              <w:rPr>
                <w:sz w:val="20"/>
                <w:szCs w:val="20"/>
              </w:rPr>
            </w:pPr>
            <w:r w:rsidRPr="00E4648B">
              <w:rPr>
                <w:color w:val="000000"/>
                <w:sz w:val="20"/>
                <w:szCs w:val="20"/>
              </w:rPr>
              <w:t>8</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10019" w14:textId="77777777" w:rsidR="00E4648B" w:rsidRPr="00E4648B" w:rsidRDefault="00E4648B" w:rsidP="00E4648B">
            <w:pPr>
              <w:jc w:val="center"/>
              <w:rPr>
                <w:sz w:val="20"/>
                <w:szCs w:val="20"/>
              </w:rPr>
            </w:pPr>
            <w:r w:rsidRPr="00E4648B">
              <w:rPr>
                <w:color w:val="000000"/>
                <w:sz w:val="20"/>
                <w:szCs w:val="20"/>
              </w:rPr>
              <w:t>12.1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DA762" w14:textId="77777777" w:rsidR="00E4648B" w:rsidRPr="00E4648B" w:rsidRDefault="00E4648B" w:rsidP="00E4648B">
            <w:pPr>
              <w:jc w:val="center"/>
              <w:rPr>
                <w:sz w:val="20"/>
                <w:szCs w:val="20"/>
              </w:rPr>
            </w:pPr>
            <w:r w:rsidRPr="00E4648B">
              <w:rPr>
                <w:color w:val="000000"/>
                <w:sz w:val="20"/>
                <w:szCs w:val="20"/>
              </w:rPr>
              <w:t>1,039</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B2E72" w14:textId="77777777" w:rsidR="00E4648B" w:rsidRPr="00E4648B" w:rsidRDefault="00E4648B" w:rsidP="00E4648B">
            <w:pPr>
              <w:jc w:val="center"/>
              <w:rPr>
                <w:sz w:val="20"/>
                <w:szCs w:val="20"/>
              </w:rPr>
            </w:pPr>
            <w:r w:rsidRPr="00E4648B">
              <w:rPr>
                <w:color w:val="000000"/>
                <w:sz w:val="20"/>
                <w:szCs w:val="20"/>
              </w:rPr>
              <w:t>10.2</w:t>
            </w:r>
          </w:p>
        </w:tc>
      </w:tr>
      <w:tr w:rsidR="00E4648B" w14:paraId="3DE0486F"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2160F58" w14:textId="77777777" w:rsidR="00E4648B" w:rsidRDefault="00E4648B" w:rsidP="00E4648B">
            <w:r>
              <w:rPr>
                <w:color w:val="000000"/>
                <w:sz w:val="20"/>
              </w:rPr>
              <w:t>Moderate</w:t>
            </w:r>
          </w:p>
        </w:tc>
        <w:tc>
          <w:tcPr>
            <w:tcW w:w="685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77996" w14:textId="77777777" w:rsidR="00E4648B" w:rsidRPr="00E4648B" w:rsidRDefault="00E4648B" w:rsidP="00E4648B">
            <w:pPr>
              <w:rPr>
                <w:sz w:val="20"/>
                <w:szCs w:val="20"/>
              </w:rPr>
            </w:pPr>
          </w:p>
        </w:tc>
      </w:tr>
      <w:tr w:rsidR="00E4648B" w14:paraId="3B2AD54F"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047951A" w14:textId="77777777" w:rsidR="00E4648B" w:rsidRDefault="00E4648B" w:rsidP="00E4648B">
            <w:pPr>
              <w:jc w:val="right"/>
            </w:pPr>
            <w:r>
              <w:rPr>
                <w:color w:val="000000"/>
                <w:sz w:val="20"/>
              </w:rPr>
              <w:t>2018</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FEAED" w14:textId="77777777" w:rsidR="00E4648B" w:rsidRPr="00E4648B" w:rsidRDefault="00E4648B" w:rsidP="00E4648B">
            <w:pPr>
              <w:jc w:val="center"/>
              <w:rPr>
                <w:sz w:val="20"/>
                <w:szCs w:val="20"/>
              </w:rPr>
            </w:pPr>
            <w:r w:rsidRPr="00E4648B">
              <w:rPr>
                <w:color w:val="000000"/>
                <w:sz w:val="20"/>
                <w:szCs w:val="20"/>
              </w:rPr>
              <w:t>7.1</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44FD5" w14:textId="77777777" w:rsidR="00E4648B" w:rsidRPr="00E4648B" w:rsidRDefault="00E4648B" w:rsidP="00E4648B">
            <w:pPr>
              <w:jc w:val="center"/>
              <w:rPr>
                <w:sz w:val="20"/>
                <w:szCs w:val="20"/>
              </w:rPr>
            </w:pPr>
            <w:r w:rsidRPr="00E4648B">
              <w:rPr>
                <w:color w:val="000000"/>
                <w:sz w:val="20"/>
                <w:szCs w:val="20"/>
              </w:rPr>
              <w:t>7.6</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747AA" w14:textId="77777777" w:rsidR="00E4648B" w:rsidRPr="00E4648B" w:rsidRDefault="00E4648B" w:rsidP="00E4648B">
            <w:pPr>
              <w:jc w:val="center"/>
              <w:rPr>
                <w:sz w:val="20"/>
                <w:szCs w:val="20"/>
              </w:rPr>
            </w:pPr>
            <w:r w:rsidRPr="00E4648B">
              <w:rPr>
                <w:sz w:val="20"/>
                <w:szCs w:val="20"/>
              </w:rPr>
              <w:t>13</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521D1" w14:textId="77777777" w:rsidR="00E4648B" w:rsidRPr="00E4648B" w:rsidRDefault="00E4648B" w:rsidP="00E4648B">
            <w:pPr>
              <w:jc w:val="center"/>
              <w:rPr>
                <w:sz w:val="20"/>
                <w:szCs w:val="20"/>
              </w:rPr>
            </w:pPr>
            <w:r w:rsidRPr="00E4648B">
              <w:rPr>
                <w:sz w:val="20"/>
                <w:szCs w:val="20"/>
              </w:rPr>
              <w:t>19.4</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F3FB2" w14:textId="77777777" w:rsidR="00E4648B" w:rsidRPr="00E4648B" w:rsidRDefault="00E4648B" w:rsidP="00E4648B">
            <w:pPr>
              <w:jc w:val="center"/>
              <w:rPr>
                <w:sz w:val="20"/>
                <w:szCs w:val="20"/>
              </w:rPr>
            </w:pPr>
            <w:r w:rsidRPr="00E4648B">
              <w:rPr>
                <w:sz w:val="20"/>
                <w:szCs w:val="20"/>
              </w:rPr>
              <w:t>945</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BB514D" w14:textId="77777777" w:rsidR="00E4648B" w:rsidRPr="00E4648B" w:rsidRDefault="00E4648B" w:rsidP="00E4648B">
            <w:pPr>
              <w:jc w:val="center"/>
              <w:rPr>
                <w:sz w:val="20"/>
                <w:szCs w:val="20"/>
              </w:rPr>
            </w:pPr>
            <w:r w:rsidRPr="00E4648B">
              <w:rPr>
                <w:sz w:val="20"/>
                <w:szCs w:val="20"/>
              </w:rPr>
              <w:t>10.8</w:t>
            </w:r>
          </w:p>
        </w:tc>
      </w:tr>
      <w:tr w:rsidR="00E4648B" w14:paraId="4609D280"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5461C7A" w14:textId="77777777" w:rsidR="00E4648B" w:rsidRDefault="00E4648B" w:rsidP="00E4648B">
            <w:pPr>
              <w:jc w:val="right"/>
            </w:pPr>
            <w:r>
              <w:rPr>
                <w:color w:val="000000"/>
                <w:sz w:val="20"/>
              </w:rPr>
              <w:t>2019</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F59ED" w14:textId="77777777" w:rsidR="00E4648B" w:rsidRPr="00E4648B" w:rsidRDefault="00E4648B" w:rsidP="00E4648B">
            <w:pPr>
              <w:jc w:val="center"/>
              <w:rPr>
                <w:sz w:val="20"/>
                <w:szCs w:val="20"/>
              </w:rPr>
            </w:pPr>
            <w:r w:rsidRPr="00E4648B">
              <w:rPr>
                <w:color w:val="000000"/>
                <w:sz w:val="20"/>
                <w:szCs w:val="20"/>
              </w:rPr>
              <w:t>7.1</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99843" w14:textId="77777777" w:rsidR="00E4648B" w:rsidRPr="00E4648B" w:rsidRDefault="00E4648B" w:rsidP="00E4648B">
            <w:pPr>
              <w:jc w:val="center"/>
              <w:rPr>
                <w:sz w:val="20"/>
                <w:szCs w:val="20"/>
              </w:rPr>
            </w:pPr>
            <w:r w:rsidRPr="00E4648B">
              <w:rPr>
                <w:color w:val="000000"/>
                <w:sz w:val="20"/>
                <w:szCs w:val="20"/>
              </w:rPr>
              <w:t>8.2</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320E7" w14:textId="77777777" w:rsidR="00E4648B" w:rsidRPr="00E4648B" w:rsidRDefault="00E4648B" w:rsidP="00E4648B">
            <w:pPr>
              <w:jc w:val="center"/>
              <w:rPr>
                <w:sz w:val="20"/>
                <w:szCs w:val="20"/>
              </w:rPr>
            </w:pPr>
            <w:r w:rsidRPr="00E4648B">
              <w:rPr>
                <w:color w:val="000000"/>
                <w:sz w:val="20"/>
                <w:szCs w:val="20"/>
              </w:rPr>
              <w:t>6</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1FA3C" w14:textId="77777777" w:rsidR="00E4648B" w:rsidRPr="00E4648B" w:rsidRDefault="00E4648B" w:rsidP="00E4648B">
            <w:pPr>
              <w:jc w:val="center"/>
              <w:rPr>
                <w:sz w:val="20"/>
                <w:szCs w:val="20"/>
              </w:rPr>
            </w:pPr>
            <w:r w:rsidRPr="00E4648B">
              <w:rPr>
                <w:color w:val="000000"/>
                <w:sz w:val="20"/>
                <w:szCs w:val="20"/>
              </w:rPr>
              <w:t>9.1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9B21B" w14:textId="77777777" w:rsidR="00E4648B" w:rsidRPr="00E4648B" w:rsidRDefault="00E4648B" w:rsidP="00E4648B">
            <w:pPr>
              <w:jc w:val="center"/>
              <w:rPr>
                <w:sz w:val="20"/>
                <w:szCs w:val="20"/>
              </w:rPr>
            </w:pPr>
            <w:r w:rsidRPr="00E4648B">
              <w:rPr>
                <w:color w:val="000000"/>
                <w:sz w:val="20"/>
                <w:szCs w:val="20"/>
              </w:rPr>
              <w:t>783</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27546" w14:textId="77777777" w:rsidR="00E4648B" w:rsidRPr="00E4648B" w:rsidRDefault="00E4648B" w:rsidP="00E4648B">
            <w:pPr>
              <w:jc w:val="center"/>
              <w:rPr>
                <w:sz w:val="20"/>
                <w:szCs w:val="20"/>
              </w:rPr>
            </w:pPr>
            <w:r w:rsidRPr="00E4648B">
              <w:rPr>
                <w:color w:val="000000"/>
                <w:sz w:val="20"/>
                <w:szCs w:val="20"/>
              </w:rPr>
              <w:t>7.7</w:t>
            </w:r>
          </w:p>
        </w:tc>
      </w:tr>
      <w:tr w:rsidR="00E4648B" w14:paraId="643F3D56"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DD4AB3" w14:textId="77777777" w:rsidR="00E4648B" w:rsidRDefault="00E4648B" w:rsidP="00E4648B">
            <w:r>
              <w:rPr>
                <w:color w:val="000000"/>
                <w:sz w:val="20"/>
              </w:rPr>
              <w:t>Middle</w:t>
            </w:r>
          </w:p>
        </w:tc>
        <w:tc>
          <w:tcPr>
            <w:tcW w:w="685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77279" w14:textId="77777777" w:rsidR="00E4648B" w:rsidRPr="00E4648B" w:rsidRDefault="00E4648B" w:rsidP="00E4648B">
            <w:pPr>
              <w:rPr>
                <w:sz w:val="20"/>
                <w:szCs w:val="20"/>
              </w:rPr>
            </w:pPr>
          </w:p>
        </w:tc>
      </w:tr>
      <w:tr w:rsidR="00E4648B" w14:paraId="2F918E4A"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920F19E" w14:textId="77777777" w:rsidR="00E4648B" w:rsidRDefault="00E4648B" w:rsidP="00E4648B">
            <w:pPr>
              <w:jc w:val="right"/>
            </w:pPr>
            <w:r>
              <w:rPr>
                <w:color w:val="000000"/>
                <w:sz w:val="20"/>
              </w:rPr>
              <w:t>2018</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23163" w14:textId="77777777" w:rsidR="00E4648B" w:rsidRPr="00E4648B" w:rsidRDefault="00E4648B" w:rsidP="00E4648B">
            <w:pPr>
              <w:jc w:val="center"/>
              <w:rPr>
                <w:sz w:val="20"/>
                <w:szCs w:val="20"/>
              </w:rPr>
            </w:pPr>
            <w:r w:rsidRPr="00E4648B">
              <w:rPr>
                <w:color w:val="000000"/>
                <w:sz w:val="20"/>
                <w:szCs w:val="20"/>
              </w:rPr>
              <w:t>59.9</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D6787" w14:textId="77777777" w:rsidR="00E4648B" w:rsidRPr="00E4648B" w:rsidRDefault="00E4648B" w:rsidP="00E4648B">
            <w:pPr>
              <w:jc w:val="center"/>
              <w:rPr>
                <w:sz w:val="20"/>
                <w:szCs w:val="20"/>
              </w:rPr>
            </w:pPr>
            <w:r w:rsidRPr="00E4648B">
              <w:rPr>
                <w:color w:val="000000"/>
                <w:sz w:val="20"/>
                <w:szCs w:val="20"/>
              </w:rPr>
              <w:t>59.2</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9613D" w14:textId="77777777" w:rsidR="00E4648B" w:rsidRPr="00E4648B" w:rsidRDefault="00E4648B" w:rsidP="00E4648B">
            <w:pPr>
              <w:jc w:val="center"/>
              <w:rPr>
                <w:sz w:val="20"/>
                <w:szCs w:val="20"/>
              </w:rPr>
            </w:pPr>
            <w:r w:rsidRPr="00E4648B">
              <w:rPr>
                <w:sz w:val="20"/>
                <w:szCs w:val="20"/>
              </w:rPr>
              <w:t>28</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427AA" w14:textId="77777777" w:rsidR="00E4648B" w:rsidRPr="00E4648B" w:rsidRDefault="00E4648B" w:rsidP="00E4648B">
            <w:pPr>
              <w:jc w:val="center"/>
              <w:rPr>
                <w:sz w:val="20"/>
                <w:szCs w:val="20"/>
              </w:rPr>
            </w:pPr>
            <w:r w:rsidRPr="00E4648B">
              <w:rPr>
                <w:sz w:val="20"/>
                <w:szCs w:val="20"/>
              </w:rPr>
              <w:t>41.8</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2A20A" w14:textId="77777777" w:rsidR="00E4648B" w:rsidRPr="00E4648B" w:rsidRDefault="00E4648B" w:rsidP="00E4648B">
            <w:pPr>
              <w:jc w:val="center"/>
              <w:rPr>
                <w:sz w:val="20"/>
                <w:szCs w:val="20"/>
              </w:rPr>
            </w:pPr>
            <w:r w:rsidRPr="00E4648B">
              <w:rPr>
                <w:sz w:val="20"/>
                <w:szCs w:val="20"/>
              </w:rPr>
              <w:t>3,190</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F2814" w14:textId="77777777" w:rsidR="00E4648B" w:rsidRPr="00E4648B" w:rsidRDefault="00E4648B" w:rsidP="00E4648B">
            <w:pPr>
              <w:jc w:val="center"/>
              <w:rPr>
                <w:sz w:val="20"/>
                <w:szCs w:val="20"/>
              </w:rPr>
            </w:pPr>
            <w:r w:rsidRPr="00E4648B">
              <w:rPr>
                <w:sz w:val="20"/>
                <w:szCs w:val="20"/>
              </w:rPr>
              <w:t>36.4</w:t>
            </w:r>
          </w:p>
        </w:tc>
      </w:tr>
      <w:tr w:rsidR="00E4648B" w14:paraId="1387C628"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E0C6CA5" w14:textId="77777777" w:rsidR="00E4648B" w:rsidRDefault="00E4648B" w:rsidP="00E4648B">
            <w:pPr>
              <w:jc w:val="right"/>
            </w:pPr>
            <w:r>
              <w:rPr>
                <w:color w:val="000000"/>
                <w:sz w:val="20"/>
              </w:rPr>
              <w:t>2019</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0E5E2" w14:textId="77777777" w:rsidR="00E4648B" w:rsidRPr="00E4648B" w:rsidRDefault="00E4648B" w:rsidP="00E4648B">
            <w:pPr>
              <w:jc w:val="center"/>
              <w:rPr>
                <w:sz w:val="20"/>
                <w:szCs w:val="20"/>
              </w:rPr>
            </w:pPr>
            <w:r w:rsidRPr="00E4648B">
              <w:rPr>
                <w:color w:val="000000"/>
                <w:sz w:val="20"/>
                <w:szCs w:val="20"/>
              </w:rPr>
              <w:t>59.9</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FF754" w14:textId="77777777" w:rsidR="00E4648B" w:rsidRPr="00E4648B" w:rsidRDefault="00E4648B" w:rsidP="00E4648B">
            <w:pPr>
              <w:jc w:val="center"/>
              <w:rPr>
                <w:sz w:val="20"/>
                <w:szCs w:val="20"/>
              </w:rPr>
            </w:pPr>
            <w:r w:rsidRPr="00E4648B">
              <w:rPr>
                <w:color w:val="000000"/>
                <w:sz w:val="20"/>
                <w:szCs w:val="20"/>
              </w:rPr>
              <w:t>57.0</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01E64" w14:textId="77777777" w:rsidR="00E4648B" w:rsidRPr="00E4648B" w:rsidRDefault="00E4648B" w:rsidP="00E4648B">
            <w:pPr>
              <w:jc w:val="center"/>
              <w:rPr>
                <w:sz w:val="20"/>
                <w:szCs w:val="20"/>
              </w:rPr>
            </w:pPr>
            <w:r w:rsidRPr="00E4648B">
              <w:rPr>
                <w:color w:val="000000"/>
                <w:sz w:val="20"/>
                <w:szCs w:val="20"/>
              </w:rPr>
              <w:t>29</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ACA1A" w14:textId="77777777" w:rsidR="00E4648B" w:rsidRPr="00E4648B" w:rsidRDefault="00E4648B" w:rsidP="00E4648B">
            <w:pPr>
              <w:jc w:val="center"/>
              <w:rPr>
                <w:sz w:val="20"/>
                <w:szCs w:val="20"/>
              </w:rPr>
            </w:pPr>
            <w:r w:rsidRPr="00E4648B">
              <w:rPr>
                <w:color w:val="000000"/>
                <w:sz w:val="20"/>
                <w:szCs w:val="20"/>
              </w:rPr>
              <w:t>43.9</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8373C" w14:textId="77777777" w:rsidR="00E4648B" w:rsidRPr="00E4648B" w:rsidRDefault="00E4648B" w:rsidP="00E4648B">
            <w:pPr>
              <w:jc w:val="center"/>
              <w:rPr>
                <w:sz w:val="20"/>
                <w:szCs w:val="20"/>
              </w:rPr>
            </w:pPr>
            <w:r w:rsidRPr="00E4648B">
              <w:rPr>
                <w:color w:val="000000"/>
                <w:sz w:val="20"/>
                <w:szCs w:val="20"/>
              </w:rPr>
              <w:t>3,568</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BF94C" w14:textId="77777777" w:rsidR="00E4648B" w:rsidRPr="00E4648B" w:rsidRDefault="00E4648B" w:rsidP="00E4648B">
            <w:pPr>
              <w:jc w:val="center"/>
              <w:rPr>
                <w:sz w:val="20"/>
                <w:szCs w:val="20"/>
              </w:rPr>
            </w:pPr>
            <w:r w:rsidRPr="00E4648B">
              <w:rPr>
                <w:color w:val="000000"/>
                <w:sz w:val="20"/>
                <w:szCs w:val="20"/>
              </w:rPr>
              <w:t>35.2</w:t>
            </w:r>
          </w:p>
        </w:tc>
      </w:tr>
      <w:tr w:rsidR="00E4648B" w14:paraId="176CF52D"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C9B56F" w14:textId="77777777" w:rsidR="00E4648B" w:rsidRDefault="00E4648B" w:rsidP="00E4648B">
            <w:r>
              <w:rPr>
                <w:color w:val="000000"/>
                <w:sz w:val="20"/>
              </w:rPr>
              <w:t>Upper</w:t>
            </w:r>
          </w:p>
        </w:tc>
        <w:tc>
          <w:tcPr>
            <w:tcW w:w="685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2596A" w14:textId="77777777" w:rsidR="00E4648B" w:rsidRPr="00E4648B" w:rsidRDefault="00E4648B" w:rsidP="00E4648B">
            <w:pPr>
              <w:rPr>
                <w:sz w:val="20"/>
                <w:szCs w:val="20"/>
              </w:rPr>
            </w:pPr>
          </w:p>
        </w:tc>
      </w:tr>
      <w:tr w:rsidR="00E4648B" w14:paraId="36C5416A"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A0685A1" w14:textId="77777777" w:rsidR="00E4648B" w:rsidRDefault="00E4648B" w:rsidP="00E4648B">
            <w:pPr>
              <w:jc w:val="right"/>
            </w:pPr>
            <w:r>
              <w:rPr>
                <w:color w:val="000000"/>
                <w:sz w:val="20"/>
              </w:rPr>
              <w:t>2018</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159DC" w14:textId="77777777" w:rsidR="00E4648B" w:rsidRPr="00E4648B" w:rsidRDefault="00E4648B" w:rsidP="00E4648B">
            <w:pPr>
              <w:jc w:val="center"/>
              <w:rPr>
                <w:sz w:val="20"/>
                <w:szCs w:val="20"/>
              </w:rPr>
            </w:pPr>
            <w:r w:rsidRPr="00E4648B">
              <w:rPr>
                <w:color w:val="000000"/>
                <w:sz w:val="20"/>
                <w:szCs w:val="20"/>
              </w:rPr>
              <w:t>31.5</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14E1A" w14:textId="77777777" w:rsidR="00E4648B" w:rsidRPr="00E4648B" w:rsidRDefault="00E4648B" w:rsidP="00E4648B">
            <w:pPr>
              <w:jc w:val="center"/>
              <w:rPr>
                <w:sz w:val="20"/>
                <w:szCs w:val="20"/>
              </w:rPr>
            </w:pPr>
            <w:r w:rsidRPr="00E4648B">
              <w:rPr>
                <w:color w:val="000000"/>
                <w:sz w:val="20"/>
                <w:szCs w:val="20"/>
              </w:rPr>
              <w:t>30.4</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DF49E" w14:textId="77777777" w:rsidR="00E4648B" w:rsidRPr="00E4648B" w:rsidRDefault="00E4648B" w:rsidP="00E4648B">
            <w:pPr>
              <w:jc w:val="center"/>
              <w:rPr>
                <w:sz w:val="20"/>
                <w:szCs w:val="20"/>
              </w:rPr>
            </w:pPr>
            <w:r w:rsidRPr="00E4648B">
              <w:rPr>
                <w:sz w:val="20"/>
                <w:szCs w:val="20"/>
              </w:rPr>
              <w:t>10</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E1B94" w14:textId="77777777" w:rsidR="00E4648B" w:rsidRPr="00E4648B" w:rsidRDefault="00E4648B" w:rsidP="00E4648B">
            <w:pPr>
              <w:jc w:val="center"/>
              <w:rPr>
                <w:sz w:val="20"/>
                <w:szCs w:val="20"/>
              </w:rPr>
            </w:pPr>
            <w:r w:rsidRPr="00E4648B">
              <w:rPr>
                <w:sz w:val="20"/>
                <w:szCs w:val="20"/>
              </w:rPr>
              <w:t>14.9</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4CFDD" w14:textId="77777777" w:rsidR="00E4648B" w:rsidRPr="00E4648B" w:rsidRDefault="00E4648B" w:rsidP="00E4648B">
            <w:pPr>
              <w:jc w:val="center"/>
              <w:rPr>
                <w:sz w:val="20"/>
                <w:szCs w:val="20"/>
              </w:rPr>
            </w:pPr>
            <w:r w:rsidRPr="00E4648B">
              <w:rPr>
                <w:sz w:val="20"/>
                <w:szCs w:val="20"/>
              </w:rPr>
              <w:t>2,370</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7159F" w14:textId="77777777" w:rsidR="00E4648B" w:rsidRPr="00E4648B" w:rsidRDefault="00E4648B" w:rsidP="00E4648B">
            <w:pPr>
              <w:jc w:val="center"/>
              <w:rPr>
                <w:sz w:val="20"/>
                <w:szCs w:val="20"/>
              </w:rPr>
            </w:pPr>
            <w:r w:rsidRPr="00E4648B">
              <w:rPr>
                <w:sz w:val="20"/>
                <w:szCs w:val="20"/>
              </w:rPr>
              <w:t>27.1</w:t>
            </w:r>
          </w:p>
        </w:tc>
      </w:tr>
      <w:tr w:rsidR="00E4648B" w14:paraId="141F26DC" w14:textId="77777777" w:rsidTr="00575435">
        <w:trPr>
          <w:trHeight w:val="225"/>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86B5261" w14:textId="77777777" w:rsidR="00E4648B" w:rsidRDefault="00E4648B" w:rsidP="00E4648B">
            <w:pPr>
              <w:jc w:val="right"/>
            </w:pPr>
            <w:r>
              <w:rPr>
                <w:color w:val="000000"/>
                <w:sz w:val="20"/>
              </w:rPr>
              <w:t>2019</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42908" w14:textId="77777777" w:rsidR="00E4648B" w:rsidRPr="00E4648B" w:rsidRDefault="00E4648B" w:rsidP="00E4648B">
            <w:pPr>
              <w:jc w:val="center"/>
              <w:rPr>
                <w:sz w:val="20"/>
                <w:szCs w:val="20"/>
              </w:rPr>
            </w:pPr>
            <w:r w:rsidRPr="00E4648B">
              <w:rPr>
                <w:color w:val="000000"/>
                <w:sz w:val="20"/>
                <w:szCs w:val="20"/>
              </w:rPr>
              <w:t>31.5</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6F0EC" w14:textId="77777777" w:rsidR="00E4648B" w:rsidRPr="00E4648B" w:rsidRDefault="00E4648B" w:rsidP="00E4648B">
            <w:pPr>
              <w:jc w:val="center"/>
              <w:rPr>
                <w:sz w:val="20"/>
                <w:szCs w:val="20"/>
              </w:rPr>
            </w:pPr>
            <w:r w:rsidRPr="00E4648B">
              <w:rPr>
                <w:color w:val="000000"/>
                <w:sz w:val="20"/>
                <w:szCs w:val="20"/>
              </w:rPr>
              <w:t>31.6</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55F7B" w14:textId="77777777" w:rsidR="00E4648B" w:rsidRPr="00E4648B" w:rsidRDefault="00E4648B" w:rsidP="00E4648B">
            <w:pPr>
              <w:jc w:val="center"/>
              <w:rPr>
                <w:sz w:val="20"/>
                <w:szCs w:val="20"/>
              </w:rPr>
            </w:pPr>
            <w:r w:rsidRPr="00E4648B">
              <w:rPr>
                <w:color w:val="000000"/>
                <w:sz w:val="20"/>
                <w:szCs w:val="20"/>
              </w:rPr>
              <w:t>23</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CD20B" w14:textId="77777777" w:rsidR="00E4648B" w:rsidRPr="00E4648B" w:rsidRDefault="00E4648B" w:rsidP="00E4648B">
            <w:pPr>
              <w:jc w:val="center"/>
              <w:rPr>
                <w:sz w:val="20"/>
                <w:szCs w:val="20"/>
              </w:rPr>
            </w:pPr>
            <w:r w:rsidRPr="00E4648B">
              <w:rPr>
                <w:color w:val="000000"/>
                <w:sz w:val="20"/>
                <w:szCs w:val="20"/>
              </w:rPr>
              <w:t>34.8</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2BA1A" w14:textId="77777777" w:rsidR="00E4648B" w:rsidRPr="00E4648B" w:rsidRDefault="00E4648B" w:rsidP="00E4648B">
            <w:pPr>
              <w:jc w:val="center"/>
              <w:rPr>
                <w:sz w:val="20"/>
                <w:szCs w:val="20"/>
              </w:rPr>
            </w:pPr>
            <w:r w:rsidRPr="00E4648B">
              <w:rPr>
                <w:color w:val="000000"/>
                <w:sz w:val="20"/>
                <w:szCs w:val="20"/>
              </w:rPr>
              <w:t>4,759</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A4393" w14:textId="77777777" w:rsidR="00E4648B" w:rsidRPr="00E4648B" w:rsidRDefault="00E4648B" w:rsidP="00E4648B">
            <w:pPr>
              <w:jc w:val="center"/>
              <w:rPr>
                <w:sz w:val="20"/>
                <w:szCs w:val="20"/>
              </w:rPr>
            </w:pPr>
            <w:r w:rsidRPr="00E4648B">
              <w:rPr>
                <w:color w:val="000000"/>
                <w:sz w:val="20"/>
                <w:szCs w:val="20"/>
              </w:rPr>
              <w:t>46.9</w:t>
            </w:r>
          </w:p>
        </w:tc>
      </w:tr>
      <w:tr w:rsidR="00E4648B" w14:paraId="64AB15C4" w14:textId="77777777" w:rsidTr="00575435">
        <w:trPr>
          <w:trHeight w:val="261"/>
        </w:trPr>
        <w:tc>
          <w:tcPr>
            <w:tcW w:w="25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229234" w14:textId="77777777" w:rsidR="00E4648B" w:rsidRDefault="00E4648B" w:rsidP="00E4648B">
            <w:r>
              <w:rPr>
                <w:b/>
                <w:color w:val="000000"/>
                <w:sz w:val="20"/>
              </w:rPr>
              <w:t>Totals</w:t>
            </w:r>
          </w:p>
        </w:tc>
        <w:tc>
          <w:tcPr>
            <w:tcW w:w="685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F84EB" w14:textId="77777777" w:rsidR="00E4648B" w:rsidRPr="00E4648B" w:rsidRDefault="00E4648B" w:rsidP="00E4648B">
            <w:pPr>
              <w:rPr>
                <w:sz w:val="20"/>
                <w:szCs w:val="20"/>
              </w:rPr>
            </w:pPr>
          </w:p>
        </w:tc>
      </w:tr>
      <w:tr w:rsidR="00E4648B" w14:paraId="6BF6FCC7"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26EFDB6" w14:textId="77777777" w:rsidR="00E4648B" w:rsidRDefault="00E4648B" w:rsidP="00E4648B">
            <w:pPr>
              <w:jc w:val="right"/>
            </w:pPr>
            <w:r>
              <w:rPr>
                <w:b/>
                <w:color w:val="000000"/>
                <w:sz w:val="20"/>
              </w:rPr>
              <w:t>2018</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7EC1C" w14:textId="77777777" w:rsidR="00E4648B" w:rsidRPr="00E4648B" w:rsidRDefault="00E4648B" w:rsidP="00E4648B">
            <w:pPr>
              <w:jc w:val="center"/>
              <w:rPr>
                <w:sz w:val="20"/>
                <w:szCs w:val="20"/>
              </w:rPr>
            </w:pPr>
            <w:r w:rsidRPr="00E4648B">
              <w:rPr>
                <w:b/>
                <w:color w:val="000000"/>
                <w:sz w:val="20"/>
                <w:szCs w:val="20"/>
              </w:rPr>
              <w:t>100.0</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9C278" w14:textId="77777777" w:rsidR="00E4648B" w:rsidRPr="00E4648B" w:rsidRDefault="00E4648B" w:rsidP="00E4648B">
            <w:pPr>
              <w:jc w:val="center"/>
              <w:rPr>
                <w:sz w:val="20"/>
                <w:szCs w:val="20"/>
              </w:rPr>
            </w:pPr>
            <w:r w:rsidRPr="00E4648B">
              <w:rPr>
                <w:b/>
                <w:color w:val="000000"/>
                <w:sz w:val="20"/>
                <w:szCs w:val="20"/>
              </w:rPr>
              <w:t>100.0</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63655" w14:textId="77777777" w:rsidR="00E4648B" w:rsidRPr="00E4648B" w:rsidRDefault="00E4648B" w:rsidP="00E4648B">
            <w:pPr>
              <w:jc w:val="center"/>
              <w:rPr>
                <w:sz w:val="20"/>
                <w:szCs w:val="20"/>
              </w:rPr>
            </w:pPr>
            <w:r w:rsidRPr="00E4648B">
              <w:rPr>
                <w:b/>
                <w:sz w:val="20"/>
                <w:szCs w:val="20"/>
              </w:rPr>
              <w:t>67</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F3251" w14:textId="77777777" w:rsidR="00E4648B" w:rsidRPr="00E4648B" w:rsidRDefault="00E4648B" w:rsidP="00E4648B">
            <w:pPr>
              <w:jc w:val="center"/>
              <w:rPr>
                <w:sz w:val="20"/>
                <w:szCs w:val="20"/>
              </w:rPr>
            </w:pPr>
            <w:r w:rsidRPr="00E4648B">
              <w:rPr>
                <w:b/>
                <w:color w:val="000000"/>
                <w:sz w:val="20"/>
                <w:szCs w:val="20"/>
              </w:rPr>
              <w:t>100.0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A4CA7" w14:textId="77777777" w:rsidR="00E4648B" w:rsidRPr="00E4648B" w:rsidRDefault="00E4648B" w:rsidP="00E4648B">
            <w:pPr>
              <w:jc w:val="center"/>
              <w:rPr>
                <w:sz w:val="20"/>
                <w:szCs w:val="20"/>
              </w:rPr>
            </w:pPr>
            <w:r w:rsidRPr="00E4648B">
              <w:rPr>
                <w:b/>
                <w:sz w:val="20"/>
                <w:szCs w:val="20"/>
              </w:rPr>
              <w:t>8,755</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B8CD7" w14:textId="77777777" w:rsidR="00E4648B" w:rsidRPr="00E4648B" w:rsidRDefault="00E4648B" w:rsidP="00E4648B">
            <w:pPr>
              <w:jc w:val="center"/>
              <w:rPr>
                <w:sz w:val="20"/>
                <w:szCs w:val="20"/>
              </w:rPr>
            </w:pPr>
            <w:r w:rsidRPr="00E4648B">
              <w:rPr>
                <w:b/>
                <w:color w:val="000000"/>
                <w:sz w:val="20"/>
                <w:szCs w:val="20"/>
              </w:rPr>
              <w:t>100.0</w:t>
            </w:r>
          </w:p>
        </w:tc>
      </w:tr>
      <w:tr w:rsidR="00E4648B" w14:paraId="2141DCF2" w14:textId="77777777" w:rsidTr="00575435">
        <w:trPr>
          <w:trHeight w:val="242"/>
        </w:trPr>
        <w:tc>
          <w:tcPr>
            <w:tcW w:w="250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D4C550D" w14:textId="77777777" w:rsidR="00E4648B" w:rsidRDefault="00E4648B" w:rsidP="00E4648B">
            <w:pPr>
              <w:jc w:val="right"/>
            </w:pPr>
            <w:r>
              <w:rPr>
                <w:b/>
                <w:color w:val="000000"/>
                <w:sz w:val="20"/>
              </w:rPr>
              <w:t>2019</w:t>
            </w:r>
          </w:p>
        </w:tc>
        <w:tc>
          <w:tcPr>
            <w:tcW w:w="15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7D02D" w14:textId="77777777" w:rsidR="00E4648B" w:rsidRPr="00E4648B" w:rsidRDefault="00E4648B" w:rsidP="00E4648B">
            <w:pPr>
              <w:jc w:val="center"/>
              <w:rPr>
                <w:sz w:val="20"/>
                <w:szCs w:val="20"/>
              </w:rPr>
            </w:pPr>
            <w:r w:rsidRPr="00E4648B">
              <w:rPr>
                <w:b/>
                <w:color w:val="000000"/>
                <w:sz w:val="20"/>
                <w:szCs w:val="20"/>
              </w:rPr>
              <w:t>100.0</w:t>
            </w:r>
          </w:p>
        </w:tc>
        <w:tc>
          <w:tcPr>
            <w:tcW w:w="14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A434F" w14:textId="77777777" w:rsidR="00E4648B" w:rsidRPr="00E4648B" w:rsidRDefault="00E4648B" w:rsidP="00E4648B">
            <w:pPr>
              <w:jc w:val="center"/>
              <w:rPr>
                <w:sz w:val="20"/>
                <w:szCs w:val="20"/>
              </w:rPr>
            </w:pPr>
            <w:r w:rsidRPr="00E4648B">
              <w:rPr>
                <w:b/>
                <w:color w:val="000000"/>
                <w:sz w:val="20"/>
                <w:szCs w:val="20"/>
              </w:rPr>
              <w:t>100.0</w:t>
            </w:r>
          </w:p>
        </w:tc>
        <w:tc>
          <w:tcPr>
            <w:tcW w:w="11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51C5F" w14:textId="77777777" w:rsidR="00E4648B" w:rsidRPr="00E4648B" w:rsidRDefault="00E4648B" w:rsidP="00E4648B">
            <w:pPr>
              <w:jc w:val="center"/>
              <w:rPr>
                <w:sz w:val="20"/>
                <w:szCs w:val="20"/>
              </w:rPr>
            </w:pPr>
            <w:r w:rsidRPr="00E4648B">
              <w:rPr>
                <w:b/>
                <w:color w:val="000000"/>
                <w:sz w:val="20"/>
                <w:szCs w:val="20"/>
              </w:rPr>
              <w:t>66</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E26DA" w14:textId="77777777" w:rsidR="00E4648B" w:rsidRPr="00E4648B" w:rsidRDefault="00E4648B" w:rsidP="00E4648B">
            <w:pPr>
              <w:jc w:val="center"/>
              <w:rPr>
                <w:sz w:val="20"/>
                <w:szCs w:val="20"/>
              </w:rPr>
            </w:pPr>
            <w:r w:rsidRPr="00E4648B">
              <w:rPr>
                <w:b/>
                <w:color w:val="000000"/>
                <w:sz w:val="20"/>
                <w:szCs w:val="20"/>
              </w:rPr>
              <w:t>100.0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557D4" w14:textId="77777777" w:rsidR="00E4648B" w:rsidRPr="00E4648B" w:rsidRDefault="00E4648B" w:rsidP="00E4648B">
            <w:pPr>
              <w:jc w:val="center"/>
              <w:rPr>
                <w:sz w:val="20"/>
                <w:szCs w:val="20"/>
              </w:rPr>
            </w:pPr>
            <w:r w:rsidRPr="00E4648B">
              <w:rPr>
                <w:b/>
                <w:color w:val="000000"/>
                <w:sz w:val="20"/>
                <w:szCs w:val="20"/>
              </w:rPr>
              <w:t>10,150</w:t>
            </w:r>
          </w:p>
        </w:tc>
        <w:tc>
          <w:tcPr>
            <w:tcW w:w="8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749A9" w14:textId="77777777" w:rsidR="00E4648B" w:rsidRPr="00E4648B" w:rsidRDefault="00E4648B" w:rsidP="00E4648B">
            <w:pPr>
              <w:jc w:val="center"/>
              <w:rPr>
                <w:sz w:val="20"/>
                <w:szCs w:val="20"/>
              </w:rPr>
            </w:pPr>
            <w:r w:rsidRPr="00E4648B">
              <w:rPr>
                <w:b/>
                <w:color w:val="000000"/>
                <w:sz w:val="20"/>
                <w:szCs w:val="20"/>
              </w:rPr>
              <w:t>100.0</w:t>
            </w:r>
          </w:p>
        </w:tc>
      </w:tr>
      <w:tr w:rsidR="004615DC" w14:paraId="228E6F89" w14:textId="77777777" w:rsidTr="00575435">
        <w:trPr>
          <w:trHeight w:val="19"/>
        </w:trPr>
        <w:tc>
          <w:tcPr>
            <w:tcW w:w="9357"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76C5EFD3" w14:textId="77777777" w:rsidR="004615DC" w:rsidRPr="009D7EF0" w:rsidRDefault="004615DC" w:rsidP="00AC4FA0">
            <w:r w:rsidRPr="009D7EF0">
              <w:rPr>
                <w:i/>
                <w:color w:val="000000"/>
                <w:sz w:val="16"/>
              </w:rPr>
              <w:t xml:space="preserve">Source: 2015 ACS Census; 1/1/2018 - 12/31/2019 Credit Union </w:t>
            </w:r>
            <w:r w:rsidR="00AC4FA0" w:rsidRPr="009D7EF0">
              <w:rPr>
                <w:i/>
                <w:color w:val="000000"/>
                <w:sz w:val="16"/>
              </w:rPr>
              <w:t>Data, 2018 &amp; 2019 HMDA Aggregate Data</w:t>
            </w:r>
          </w:p>
        </w:tc>
      </w:tr>
    </w:tbl>
    <w:p w14:paraId="4D59943D" w14:textId="77777777" w:rsidR="00F2570A" w:rsidRDefault="00F2570A" w:rsidP="00E15DD6">
      <w:pPr>
        <w:rPr>
          <w:b/>
          <w:bCs/>
          <w:u w:val="single"/>
        </w:rPr>
      </w:pPr>
    </w:p>
    <w:p w14:paraId="0098CE37" w14:textId="77777777" w:rsidR="00E15DD6" w:rsidRDefault="00E15DD6" w:rsidP="00E15DD6">
      <w:pPr>
        <w:rPr>
          <w:b/>
          <w:bCs/>
          <w:u w:val="single"/>
        </w:rPr>
      </w:pPr>
      <w:r w:rsidRPr="00161EC6">
        <w:rPr>
          <w:b/>
          <w:bCs/>
          <w:u w:val="single"/>
        </w:rPr>
        <w:lastRenderedPageBreak/>
        <w:t>Borrower Profile</w:t>
      </w:r>
    </w:p>
    <w:p w14:paraId="012BD699" w14:textId="77777777" w:rsidR="00EE3DBE" w:rsidRDefault="00EE3DBE" w:rsidP="00E15DD6">
      <w:pPr>
        <w:rPr>
          <w:b/>
          <w:bCs/>
          <w:u w:val="single"/>
        </w:rPr>
      </w:pPr>
    </w:p>
    <w:p w14:paraId="09D44B0F" w14:textId="77777777" w:rsidR="00EE3DBE" w:rsidRPr="00236D42" w:rsidRDefault="00EE3DBE" w:rsidP="00EE3DBE">
      <w:pPr>
        <w:jc w:val="both"/>
        <w:rPr>
          <w:bCs/>
        </w:rPr>
      </w:pPr>
      <w:r w:rsidRPr="00236D42">
        <w:rPr>
          <w:bCs/>
        </w:rPr>
        <w:t xml:space="preserve">The distribution of home mortgage loans reflects </w:t>
      </w:r>
      <w:r w:rsidR="005F3663">
        <w:rPr>
          <w:bCs/>
        </w:rPr>
        <w:t>good</w:t>
      </w:r>
      <w:r w:rsidRPr="00236D42">
        <w:rPr>
          <w:bCs/>
        </w:rPr>
        <w:t xml:space="preserve"> penetration to individuals of different income levels. </w:t>
      </w:r>
    </w:p>
    <w:p w14:paraId="30502227" w14:textId="77777777" w:rsidR="00EE3DBE" w:rsidRPr="00236D42" w:rsidRDefault="00EE3DBE" w:rsidP="00EE3DBE">
      <w:pPr>
        <w:jc w:val="both"/>
        <w:rPr>
          <w:bCs/>
        </w:rPr>
      </w:pPr>
    </w:p>
    <w:p w14:paraId="0D3AF701" w14:textId="77777777" w:rsidR="000C5AF2" w:rsidRDefault="00AC4FA0" w:rsidP="00EE3DBE">
      <w:pPr>
        <w:pStyle w:val="Default"/>
        <w:jc w:val="both"/>
      </w:pPr>
      <w:r>
        <w:t>T</w:t>
      </w:r>
      <w:r w:rsidR="00EE3DBE" w:rsidRPr="00236D42">
        <w:t>he credit u</w:t>
      </w:r>
      <w:r w:rsidR="000C5AF2">
        <w:t>nion originated 10.4 percent of</w:t>
      </w:r>
      <w:r w:rsidR="00EE3DBE" w:rsidRPr="00236D42">
        <w:t xml:space="preserve"> loans</w:t>
      </w:r>
      <w:r>
        <w:t xml:space="preserve"> in the AA</w:t>
      </w:r>
      <w:r w:rsidR="00EE3DBE" w:rsidRPr="00236D42">
        <w:t xml:space="preserve"> to low-in</w:t>
      </w:r>
      <w:r w:rsidR="000C5AF2">
        <w:t>come borrowers</w:t>
      </w:r>
      <w:r>
        <w:t xml:space="preserve"> in 2018</w:t>
      </w:r>
      <w:r w:rsidR="000C5AF2">
        <w:t>, which was above</w:t>
      </w:r>
      <w:r w:rsidR="00065169">
        <w:t xml:space="preserve"> the</w:t>
      </w:r>
      <w:r w:rsidR="000C5AF2">
        <w:t xml:space="preserve"> </w:t>
      </w:r>
      <w:r w:rsidR="00EE3DBE" w:rsidRPr="00236D42">
        <w:t xml:space="preserve">aggregate </w:t>
      </w:r>
      <w:r w:rsidR="00EE3DBE">
        <w:t>performance of</w:t>
      </w:r>
      <w:r w:rsidR="00EE3DBE" w:rsidRPr="00236D42">
        <w:t xml:space="preserve"> </w:t>
      </w:r>
      <w:r w:rsidR="000C5AF2">
        <w:t>7.9</w:t>
      </w:r>
      <w:r w:rsidR="00EE3DBE" w:rsidRPr="00236D42">
        <w:t xml:space="preserve"> percent</w:t>
      </w:r>
      <w:proofErr w:type="gramStart"/>
      <w:r w:rsidR="00EE3DBE" w:rsidRPr="00236D42">
        <w:t>.</w:t>
      </w:r>
      <w:r w:rsidR="00EE3DBE">
        <w:t xml:space="preserve"> </w:t>
      </w:r>
      <w:r w:rsidR="00EE3DBE" w:rsidRPr="00236D42">
        <w:t xml:space="preserve"> </w:t>
      </w:r>
      <w:proofErr w:type="gramEnd"/>
      <w:r w:rsidR="00EE3DBE" w:rsidRPr="00236D42">
        <w:t xml:space="preserve">For the same year, the credit union originated </w:t>
      </w:r>
      <w:r w:rsidR="000C5AF2">
        <w:t>11.9</w:t>
      </w:r>
      <w:r w:rsidR="00EE3DBE" w:rsidRPr="00236D42">
        <w:t xml:space="preserve"> percent </w:t>
      </w:r>
      <w:r w:rsidR="00EE3DBE">
        <w:t xml:space="preserve">of loans </w:t>
      </w:r>
      <w:r w:rsidR="00EE3DBE" w:rsidRPr="00236D42">
        <w:t xml:space="preserve">to moderate-income borrowers, which was below the aggregate </w:t>
      </w:r>
      <w:r w:rsidR="000C5AF2">
        <w:t>performance of</w:t>
      </w:r>
      <w:r w:rsidR="00EE3DBE" w:rsidRPr="00236D42">
        <w:t xml:space="preserve"> </w:t>
      </w:r>
      <w:r w:rsidR="000C5AF2">
        <w:t>22.7</w:t>
      </w:r>
      <w:r w:rsidR="00EE3DBE" w:rsidRPr="00236D42">
        <w:t xml:space="preserve"> percent.</w:t>
      </w:r>
      <w:r w:rsidR="00EE3DBE">
        <w:t xml:space="preserve">  </w:t>
      </w:r>
    </w:p>
    <w:p w14:paraId="2A228AA7" w14:textId="77777777" w:rsidR="000C5AF2" w:rsidRDefault="000C5AF2" w:rsidP="00EE3DBE">
      <w:pPr>
        <w:pStyle w:val="Default"/>
        <w:jc w:val="both"/>
      </w:pPr>
    </w:p>
    <w:p w14:paraId="0A2DDF5F" w14:textId="77777777" w:rsidR="005F3663" w:rsidRDefault="00EE3DBE" w:rsidP="00EE3DBE">
      <w:pPr>
        <w:pStyle w:val="Default"/>
        <w:jc w:val="both"/>
      </w:pPr>
      <w:r w:rsidRPr="00236D42">
        <w:t>In 201</w:t>
      </w:r>
      <w:r>
        <w:t>9</w:t>
      </w:r>
      <w:r w:rsidRPr="00236D42">
        <w:t>, the credit u</w:t>
      </w:r>
      <w:r w:rsidR="000C5AF2">
        <w:t>nion made 12.1</w:t>
      </w:r>
      <w:r w:rsidRPr="00236D42">
        <w:t xml:space="preserve"> percent of loans</w:t>
      </w:r>
      <w:r>
        <w:t xml:space="preserve"> to low-income borrowers</w:t>
      </w:r>
      <w:r w:rsidR="000C5AF2">
        <w:t>, which was above the aggregate performance of 8.5 percent</w:t>
      </w:r>
      <w:proofErr w:type="gramStart"/>
      <w:r w:rsidR="000C5AF2">
        <w:t xml:space="preserve">.  </w:t>
      </w:r>
      <w:proofErr w:type="gramEnd"/>
      <w:r w:rsidR="000C5AF2">
        <w:t>For the same year, the credit union originated 28.8</w:t>
      </w:r>
      <w:r w:rsidRPr="00236D42">
        <w:t xml:space="preserve"> percent to moderate-income borrowers</w:t>
      </w:r>
      <w:r w:rsidR="000C5AF2">
        <w:t>, which was above the aggregate performance of 26.2 percent</w:t>
      </w:r>
      <w:r>
        <w:t xml:space="preserve">. </w:t>
      </w:r>
    </w:p>
    <w:p w14:paraId="1CDEE38E" w14:textId="77777777" w:rsidR="005F3663" w:rsidRDefault="005F3663" w:rsidP="00EE3DBE">
      <w:pPr>
        <w:pStyle w:val="Default"/>
        <w:jc w:val="both"/>
      </w:pPr>
    </w:p>
    <w:p w14:paraId="2DCC8039" w14:textId="77777777" w:rsidR="00E15DD6" w:rsidRDefault="005F3663" w:rsidP="00431493">
      <w:pPr>
        <w:jc w:val="both"/>
        <w:rPr>
          <w:iCs/>
          <w:color w:val="000000"/>
        </w:rPr>
      </w:pPr>
      <w:r>
        <w:t>Market share data further supports the credit union’s good performance u</w:t>
      </w:r>
      <w:r w:rsidR="00DD0C19">
        <w:t>nder this criterion</w:t>
      </w:r>
      <w:proofErr w:type="gramStart"/>
      <w:r w:rsidR="00DD0C19">
        <w:t xml:space="preserve">.  </w:t>
      </w:r>
      <w:proofErr w:type="gramEnd"/>
      <w:r>
        <w:t>Southbridge Credit Union ranked 18</w:t>
      </w:r>
      <w:r>
        <w:rPr>
          <w:vertAlign w:val="superscript"/>
        </w:rPr>
        <w:t>th</w:t>
      </w:r>
      <w:r>
        <w:t xml:space="preserve"> in lending to low- and moderate-income borrowers with a 1.8 percent market share</w:t>
      </w:r>
      <w:r w:rsidR="00AC4FA0">
        <w:t xml:space="preserve"> in 2018</w:t>
      </w:r>
      <w:proofErr w:type="gramStart"/>
      <w:r>
        <w:t xml:space="preserve">. </w:t>
      </w:r>
      <w:r w:rsidR="00DD0C19">
        <w:t xml:space="preserve"> </w:t>
      </w:r>
      <w:proofErr w:type="gramEnd"/>
      <w:r w:rsidRPr="009D7EF0">
        <w:t>S</w:t>
      </w:r>
      <w:r w:rsidR="00AC4FA0" w:rsidRPr="009D7EF0">
        <w:t>outhbridge Credit Union rank</w:t>
      </w:r>
      <w:r w:rsidR="009D7EF0" w:rsidRPr="009D7EF0">
        <w:t>ed</w:t>
      </w:r>
      <w:r w:rsidR="008A6F47" w:rsidRPr="009D7EF0">
        <w:t xml:space="preserve"> </w:t>
      </w:r>
      <w:proofErr w:type="gramStart"/>
      <w:r w:rsidR="008A6F47" w:rsidRPr="009D7EF0">
        <w:t>8</w:t>
      </w:r>
      <w:r w:rsidRPr="009D7EF0">
        <w:rPr>
          <w:vertAlign w:val="superscript"/>
        </w:rPr>
        <w:t>th</w:t>
      </w:r>
      <w:proofErr w:type="gramEnd"/>
      <w:r w:rsidRPr="009D7EF0">
        <w:t xml:space="preserve"> in lending to low- and mode</w:t>
      </w:r>
      <w:r w:rsidR="008A6F47" w:rsidRPr="009D7EF0">
        <w:t>rate-income borrowers</w:t>
      </w:r>
      <w:r w:rsidR="00DD0C19" w:rsidRPr="009D7EF0">
        <w:t xml:space="preserve"> in 2019</w:t>
      </w:r>
      <w:r w:rsidR="008A6F47" w:rsidRPr="009D7EF0">
        <w:t xml:space="preserve"> with a 2.5</w:t>
      </w:r>
      <w:r w:rsidRPr="009D7EF0">
        <w:t xml:space="preserve"> percent market share.</w:t>
      </w:r>
      <w:r>
        <w:t xml:space="preserve"> </w:t>
      </w:r>
      <w:r w:rsidR="00575435">
        <w:t>R</w:t>
      </w:r>
      <w:r w:rsidR="00EE3DBE" w:rsidRPr="00236D42">
        <w:t>efer to the t</w:t>
      </w:r>
      <w:r w:rsidR="00431493">
        <w:t xml:space="preserve">able below for more information. </w:t>
      </w:r>
    </w:p>
    <w:tbl>
      <w:tblPr>
        <w:tblW w:w="0" w:type="auto"/>
        <w:tblCellMar>
          <w:left w:w="0" w:type="dxa"/>
          <w:right w:w="0" w:type="dxa"/>
        </w:tblCellMar>
        <w:tblLook w:val="0000" w:firstRow="0" w:lastRow="0" w:firstColumn="0" w:lastColumn="0" w:noHBand="0" w:noVBand="0"/>
      </w:tblPr>
      <w:tblGrid>
        <w:gridCol w:w="2244"/>
        <w:gridCol w:w="1410"/>
        <w:gridCol w:w="1424"/>
        <w:gridCol w:w="1116"/>
        <w:gridCol w:w="986"/>
        <w:gridCol w:w="1129"/>
        <w:gridCol w:w="987"/>
      </w:tblGrid>
      <w:tr w:rsidR="00EE3DBE" w14:paraId="0F7C18C6" w14:textId="77777777" w:rsidTr="00575435">
        <w:trPr>
          <w:trHeight w:val="19"/>
        </w:trPr>
        <w:tc>
          <w:tcPr>
            <w:tcW w:w="9296"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14:paraId="195FE90B" w14:textId="77777777" w:rsidR="00EE3DBE" w:rsidRDefault="00EE3DBE" w:rsidP="00575435">
            <w:pPr>
              <w:jc w:val="center"/>
            </w:pPr>
            <w:r>
              <w:rPr>
                <w:b/>
                <w:color w:val="000000"/>
                <w:sz w:val="20"/>
              </w:rPr>
              <w:t>Distribution of Home Mortgage Loans by Borrower Income Level</w:t>
            </w:r>
          </w:p>
        </w:tc>
      </w:tr>
      <w:tr w:rsidR="00EE3DBE" w14:paraId="5A192121" w14:textId="77777777" w:rsidTr="00431493">
        <w:trPr>
          <w:trHeight w:val="484"/>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CF2C3D" w14:textId="77777777" w:rsidR="00EE3DBE" w:rsidRDefault="00EE3DBE" w:rsidP="00E4648B">
            <w:r>
              <w:rPr>
                <w:b/>
                <w:color w:val="000000"/>
                <w:sz w:val="20"/>
              </w:rPr>
              <w:t>Borrower Income Level</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4E0DE7F" w14:textId="77777777" w:rsidR="00EE3DBE" w:rsidRDefault="00EE3DBE" w:rsidP="00E4648B">
            <w:pPr>
              <w:jc w:val="center"/>
            </w:pPr>
            <w:r>
              <w:rPr>
                <w:b/>
                <w:color w:val="000000"/>
                <w:sz w:val="20"/>
              </w:rPr>
              <w:t>% of  Families</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1C4B322" w14:textId="77777777" w:rsidR="00EE3DBE" w:rsidRDefault="00EE3DBE" w:rsidP="00E4648B">
            <w:pPr>
              <w:jc w:val="center"/>
            </w:pPr>
            <w:r>
              <w:rPr>
                <w:b/>
                <w:color w:val="000000"/>
                <w:sz w:val="20"/>
              </w:rPr>
              <w:t>Aggregate Performance</w:t>
            </w:r>
            <w:r>
              <w:rPr>
                <w:b/>
                <w:color w:val="000000"/>
                <w:sz w:val="20"/>
              </w:rPr>
              <w:br/>
              <w:t>% of #</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190914" w14:textId="77777777" w:rsidR="00EE3DBE" w:rsidRDefault="00EE3DBE" w:rsidP="00E4648B">
            <w:pPr>
              <w:jc w:val="center"/>
            </w:pPr>
            <w:r>
              <w:rPr>
                <w:b/>
                <w:color w:val="000000"/>
                <w:sz w:val="20"/>
              </w:rPr>
              <w:t>#</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7E0322" w14:textId="77777777" w:rsidR="00EE3DBE" w:rsidRDefault="00EE3DBE" w:rsidP="00E4648B">
            <w:pPr>
              <w:jc w:val="center"/>
            </w:pPr>
            <w:r>
              <w:rPr>
                <w:b/>
                <w:color w:val="000000"/>
                <w:sz w:val="20"/>
              </w:rPr>
              <w:t>%</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4AF20A" w14:textId="77777777" w:rsidR="00EE3DBE" w:rsidRDefault="00EE3DBE" w:rsidP="00E4648B">
            <w:pPr>
              <w:jc w:val="center"/>
            </w:pPr>
            <w:r>
              <w:rPr>
                <w:b/>
                <w:color w:val="000000"/>
                <w:sz w:val="20"/>
              </w:rPr>
              <w:t>$(</w:t>
            </w:r>
            <w:proofErr w:type="spellStart"/>
            <w:r>
              <w:rPr>
                <w:b/>
                <w:color w:val="000000"/>
                <w:sz w:val="20"/>
              </w:rPr>
              <w:t>000s</w:t>
            </w:r>
            <w:proofErr w:type="spellEnd"/>
            <w:r>
              <w:rPr>
                <w:b/>
                <w:color w:val="000000"/>
                <w:sz w:val="20"/>
              </w:rPr>
              <w:t>)</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34366F" w14:textId="77777777" w:rsidR="00EE3DBE" w:rsidRDefault="00EE3DBE" w:rsidP="00E4648B">
            <w:pPr>
              <w:jc w:val="center"/>
            </w:pPr>
            <w:r>
              <w:rPr>
                <w:b/>
                <w:color w:val="000000"/>
                <w:sz w:val="20"/>
              </w:rPr>
              <w:t>%</w:t>
            </w:r>
          </w:p>
        </w:tc>
      </w:tr>
      <w:tr w:rsidR="00EE3DBE" w14:paraId="7072B146" w14:textId="77777777" w:rsidTr="00431493">
        <w:trPr>
          <w:trHeight w:val="151"/>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118E2E8" w14:textId="77777777" w:rsidR="00EE3DBE" w:rsidRDefault="00EE3DBE" w:rsidP="00E4648B">
            <w:r>
              <w:rPr>
                <w:color w:val="000000"/>
                <w:sz w:val="20"/>
              </w:rPr>
              <w:t>Low</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591B0" w14:textId="77777777" w:rsidR="00EE3DBE" w:rsidRDefault="00EE3DBE" w:rsidP="00E4648B"/>
        </w:tc>
      </w:tr>
      <w:tr w:rsidR="000C5AF2" w14:paraId="5E1A2DC6"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B07CE4D" w14:textId="77777777" w:rsidR="000C5AF2" w:rsidRDefault="000C5AF2" w:rsidP="000C5AF2">
            <w:pPr>
              <w:jc w:val="right"/>
            </w:pPr>
            <w:r>
              <w:rPr>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26B43" w14:textId="77777777" w:rsidR="000C5AF2" w:rsidRPr="000C5AF2" w:rsidRDefault="000C5AF2" w:rsidP="000C5AF2">
            <w:pPr>
              <w:jc w:val="center"/>
              <w:rPr>
                <w:sz w:val="20"/>
                <w:szCs w:val="20"/>
              </w:rPr>
            </w:pPr>
            <w:r w:rsidRPr="000C5AF2">
              <w:rPr>
                <w:color w:val="000000"/>
                <w:sz w:val="20"/>
                <w:szCs w:val="20"/>
              </w:rPr>
              <w:t>22.1</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9DCF5" w14:textId="77777777" w:rsidR="000C5AF2" w:rsidRPr="000C5AF2" w:rsidRDefault="000C5AF2" w:rsidP="000C5AF2">
            <w:pPr>
              <w:jc w:val="center"/>
              <w:rPr>
                <w:sz w:val="20"/>
                <w:szCs w:val="20"/>
              </w:rPr>
            </w:pPr>
            <w:r w:rsidRPr="000C5AF2">
              <w:rPr>
                <w:color w:val="000000"/>
                <w:sz w:val="20"/>
                <w:szCs w:val="20"/>
              </w:rPr>
              <w:t>7.9</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E60F8" w14:textId="77777777" w:rsidR="000C5AF2" w:rsidRPr="000C5AF2" w:rsidRDefault="000C5AF2" w:rsidP="000C5AF2">
            <w:pPr>
              <w:jc w:val="center"/>
              <w:rPr>
                <w:sz w:val="20"/>
                <w:szCs w:val="20"/>
              </w:rPr>
            </w:pPr>
            <w:r w:rsidRPr="000C5AF2">
              <w:rPr>
                <w:sz w:val="20"/>
                <w:szCs w:val="20"/>
              </w:rPr>
              <w:t>7</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AEC40" w14:textId="77777777" w:rsidR="000C5AF2" w:rsidRPr="000C5AF2" w:rsidRDefault="000C5AF2" w:rsidP="000C5AF2">
            <w:pPr>
              <w:jc w:val="center"/>
              <w:rPr>
                <w:sz w:val="20"/>
                <w:szCs w:val="20"/>
              </w:rPr>
            </w:pPr>
            <w:r w:rsidRPr="000C5AF2">
              <w:rPr>
                <w:sz w:val="20"/>
                <w:szCs w:val="20"/>
              </w:rPr>
              <w:t>10.4</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62B25" w14:textId="77777777" w:rsidR="000C5AF2" w:rsidRPr="000C5AF2" w:rsidRDefault="000C5AF2" w:rsidP="000C5AF2">
            <w:pPr>
              <w:jc w:val="center"/>
              <w:rPr>
                <w:sz w:val="20"/>
                <w:szCs w:val="20"/>
              </w:rPr>
            </w:pPr>
            <w:r w:rsidRPr="000C5AF2">
              <w:rPr>
                <w:sz w:val="20"/>
                <w:szCs w:val="20"/>
              </w:rPr>
              <w:t>285</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1E065" w14:textId="77777777" w:rsidR="000C5AF2" w:rsidRPr="000C5AF2" w:rsidRDefault="000C5AF2" w:rsidP="000C5AF2">
            <w:pPr>
              <w:jc w:val="center"/>
              <w:rPr>
                <w:sz w:val="20"/>
                <w:szCs w:val="20"/>
              </w:rPr>
            </w:pPr>
            <w:r w:rsidRPr="000C5AF2">
              <w:rPr>
                <w:sz w:val="20"/>
                <w:szCs w:val="20"/>
              </w:rPr>
              <w:t>3.3</w:t>
            </w:r>
          </w:p>
        </w:tc>
      </w:tr>
      <w:tr w:rsidR="000C5AF2" w14:paraId="781667E4"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D5AEFC7" w14:textId="77777777" w:rsidR="000C5AF2" w:rsidRDefault="000C5AF2" w:rsidP="000C5AF2">
            <w:pPr>
              <w:jc w:val="right"/>
            </w:pPr>
            <w:r>
              <w:rPr>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AD7FE2" w14:textId="77777777" w:rsidR="000C5AF2" w:rsidRPr="000C5AF2" w:rsidRDefault="000C5AF2" w:rsidP="000C5AF2">
            <w:pPr>
              <w:jc w:val="center"/>
              <w:rPr>
                <w:sz w:val="20"/>
                <w:szCs w:val="20"/>
              </w:rPr>
            </w:pPr>
            <w:r w:rsidRPr="000C5AF2">
              <w:rPr>
                <w:color w:val="000000"/>
                <w:sz w:val="20"/>
                <w:szCs w:val="20"/>
              </w:rPr>
              <w:t>22.1</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FCBBB" w14:textId="77777777" w:rsidR="000C5AF2" w:rsidRPr="000C5AF2" w:rsidRDefault="000C5AF2" w:rsidP="000C5AF2">
            <w:pPr>
              <w:jc w:val="center"/>
              <w:rPr>
                <w:sz w:val="20"/>
                <w:szCs w:val="20"/>
              </w:rPr>
            </w:pPr>
            <w:r w:rsidRPr="000C5AF2">
              <w:rPr>
                <w:color w:val="000000"/>
                <w:sz w:val="20"/>
                <w:szCs w:val="20"/>
              </w:rPr>
              <w:t>8.5</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79B79" w14:textId="77777777" w:rsidR="000C5AF2" w:rsidRPr="000C5AF2" w:rsidRDefault="000C5AF2" w:rsidP="000C5AF2">
            <w:pPr>
              <w:jc w:val="center"/>
              <w:rPr>
                <w:sz w:val="20"/>
                <w:szCs w:val="20"/>
              </w:rPr>
            </w:pPr>
            <w:r w:rsidRPr="000C5AF2">
              <w:rPr>
                <w:color w:val="000000"/>
                <w:sz w:val="20"/>
                <w:szCs w:val="20"/>
              </w:rPr>
              <w:t>8</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4694B" w14:textId="77777777" w:rsidR="000C5AF2" w:rsidRPr="000C5AF2" w:rsidRDefault="000C5AF2" w:rsidP="000C5AF2">
            <w:pPr>
              <w:jc w:val="center"/>
              <w:rPr>
                <w:sz w:val="20"/>
                <w:szCs w:val="20"/>
              </w:rPr>
            </w:pPr>
            <w:r w:rsidRPr="000C5AF2">
              <w:rPr>
                <w:color w:val="000000"/>
                <w:sz w:val="20"/>
                <w:szCs w:val="20"/>
              </w:rPr>
              <w:t>12.1</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8314C" w14:textId="77777777" w:rsidR="000C5AF2" w:rsidRPr="000C5AF2" w:rsidRDefault="000C5AF2" w:rsidP="000C5AF2">
            <w:pPr>
              <w:jc w:val="center"/>
              <w:rPr>
                <w:sz w:val="20"/>
                <w:szCs w:val="20"/>
              </w:rPr>
            </w:pPr>
            <w:r w:rsidRPr="000C5AF2">
              <w:rPr>
                <w:color w:val="000000"/>
                <w:sz w:val="20"/>
                <w:szCs w:val="20"/>
              </w:rPr>
              <w:t>826</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7FC49" w14:textId="77777777" w:rsidR="000C5AF2" w:rsidRPr="000C5AF2" w:rsidRDefault="000C5AF2" w:rsidP="000C5AF2">
            <w:pPr>
              <w:jc w:val="center"/>
              <w:rPr>
                <w:sz w:val="20"/>
                <w:szCs w:val="20"/>
              </w:rPr>
            </w:pPr>
            <w:r w:rsidRPr="000C5AF2">
              <w:rPr>
                <w:color w:val="000000"/>
                <w:sz w:val="20"/>
                <w:szCs w:val="20"/>
              </w:rPr>
              <w:t>8.1</w:t>
            </w:r>
          </w:p>
        </w:tc>
      </w:tr>
      <w:tr w:rsidR="000C5AF2" w14:paraId="23AA1AD9" w14:textId="77777777" w:rsidTr="00431493">
        <w:trPr>
          <w:trHeight w:val="34"/>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9C7AD6" w14:textId="77777777" w:rsidR="000C5AF2" w:rsidRDefault="000C5AF2" w:rsidP="000C5AF2">
            <w:r>
              <w:rPr>
                <w:color w:val="000000"/>
                <w:sz w:val="20"/>
              </w:rPr>
              <w:t>Moderate</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11187" w14:textId="77777777" w:rsidR="000C5AF2" w:rsidRPr="000C5AF2" w:rsidRDefault="000C5AF2" w:rsidP="000C5AF2">
            <w:pPr>
              <w:rPr>
                <w:sz w:val="20"/>
                <w:szCs w:val="20"/>
              </w:rPr>
            </w:pPr>
          </w:p>
        </w:tc>
      </w:tr>
      <w:tr w:rsidR="000C5AF2" w14:paraId="343736E4"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FD4B027" w14:textId="77777777" w:rsidR="000C5AF2" w:rsidRDefault="000C5AF2" w:rsidP="000C5AF2">
            <w:pPr>
              <w:jc w:val="right"/>
            </w:pPr>
            <w:r>
              <w:rPr>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6A049" w14:textId="77777777" w:rsidR="000C5AF2" w:rsidRPr="000C5AF2" w:rsidRDefault="000C5AF2" w:rsidP="000C5AF2">
            <w:pPr>
              <w:jc w:val="center"/>
              <w:rPr>
                <w:sz w:val="20"/>
                <w:szCs w:val="20"/>
              </w:rPr>
            </w:pPr>
            <w:r w:rsidRPr="000C5AF2">
              <w:rPr>
                <w:color w:val="000000"/>
                <w:sz w:val="20"/>
                <w:szCs w:val="20"/>
              </w:rPr>
              <w:t>15.9</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FDB60" w14:textId="77777777" w:rsidR="000C5AF2" w:rsidRPr="000C5AF2" w:rsidRDefault="000C5AF2" w:rsidP="000C5AF2">
            <w:pPr>
              <w:jc w:val="center"/>
              <w:rPr>
                <w:sz w:val="20"/>
                <w:szCs w:val="20"/>
              </w:rPr>
            </w:pPr>
            <w:r w:rsidRPr="000C5AF2">
              <w:rPr>
                <w:color w:val="000000"/>
                <w:sz w:val="20"/>
                <w:szCs w:val="20"/>
              </w:rPr>
              <w:t>22.7</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FB6F6" w14:textId="77777777" w:rsidR="000C5AF2" w:rsidRPr="000C5AF2" w:rsidRDefault="000C5AF2" w:rsidP="000C5AF2">
            <w:pPr>
              <w:jc w:val="center"/>
              <w:rPr>
                <w:sz w:val="20"/>
                <w:szCs w:val="20"/>
              </w:rPr>
            </w:pPr>
            <w:r w:rsidRPr="000C5AF2">
              <w:rPr>
                <w:sz w:val="20"/>
                <w:szCs w:val="20"/>
              </w:rPr>
              <w:t>8</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AC0FA" w14:textId="77777777" w:rsidR="000C5AF2" w:rsidRPr="000C5AF2" w:rsidRDefault="000C5AF2" w:rsidP="000C5AF2">
            <w:pPr>
              <w:jc w:val="center"/>
              <w:rPr>
                <w:sz w:val="20"/>
                <w:szCs w:val="20"/>
              </w:rPr>
            </w:pPr>
            <w:r w:rsidRPr="000C5AF2">
              <w:rPr>
                <w:sz w:val="20"/>
                <w:szCs w:val="20"/>
              </w:rPr>
              <w:t>11.9</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A06D8" w14:textId="77777777" w:rsidR="000C5AF2" w:rsidRPr="000C5AF2" w:rsidRDefault="000C5AF2" w:rsidP="000C5AF2">
            <w:pPr>
              <w:jc w:val="center"/>
              <w:rPr>
                <w:sz w:val="20"/>
                <w:szCs w:val="20"/>
              </w:rPr>
            </w:pPr>
            <w:r w:rsidRPr="000C5AF2">
              <w:rPr>
                <w:sz w:val="20"/>
                <w:szCs w:val="20"/>
              </w:rPr>
              <w:t>760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56602" w14:textId="77777777" w:rsidR="000C5AF2" w:rsidRPr="000C5AF2" w:rsidRDefault="000C5AF2" w:rsidP="000C5AF2">
            <w:pPr>
              <w:jc w:val="center"/>
              <w:rPr>
                <w:sz w:val="20"/>
                <w:szCs w:val="20"/>
              </w:rPr>
            </w:pPr>
            <w:r w:rsidRPr="000C5AF2">
              <w:rPr>
                <w:sz w:val="20"/>
                <w:szCs w:val="20"/>
              </w:rPr>
              <w:t>8.7</w:t>
            </w:r>
          </w:p>
        </w:tc>
      </w:tr>
      <w:tr w:rsidR="000C5AF2" w14:paraId="66D7D326"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5418C57" w14:textId="77777777" w:rsidR="000C5AF2" w:rsidRDefault="000C5AF2" w:rsidP="000C5AF2">
            <w:pPr>
              <w:jc w:val="right"/>
            </w:pPr>
            <w:r>
              <w:rPr>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1B254" w14:textId="77777777" w:rsidR="000C5AF2" w:rsidRPr="000C5AF2" w:rsidRDefault="000C5AF2" w:rsidP="000C5AF2">
            <w:pPr>
              <w:jc w:val="center"/>
              <w:rPr>
                <w:sz w:val="20"/>
                <w:szCs w:val="20"/>
              </w:rPr>
            </w:pPr>
            <w:r w:rsidRPr="000C5AF2">
              <w:rPr>
                <w:color w:val="000000"/>
                <w:sz w:val="20"/>
                <w:szCs w:val="20"/>
              </w:rPr>
              <w:t>15.9</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340B9" w14:textId="77777777" w:rsidR="000C5AF2" w:rsidRPr="000C5AF2" w:rsidRDefault="000C5AF2" w:rsidP="000C5AF2">
            <w:pPr>
              <w:jc w:val="center"/>
              <w:rPr>
                <w:sz w:val="20"/>
                <w:szCs w:val="20"/>
              </w:rPr>
            </w:pPr>
            <w:r w:rsidRPr="000C5AF2">
              <w:rPr>
                <w:color w:val="000000"/>
                <w:sz w:val="20"/>
                <w:szCs w:val="20"/>
              </w:rPr>
              <w:t>26.2</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6A497" w14:textId="77777777" w:rsidR="000C5AF2" w:rsidRPr="000C5AF2" w:rsidRDefault="000C5AF2" w:rsidP="000C5AF2">
            <w:pPr>
              <w:jc w:val="center"/>
              <w:rPr>
                <w:sz w:val="20"/>
                <w:szCs w:val="20"/>
              </w:rPr>
            </w:pPr>
            <w:r w:rsidRPr="000C5AF2">
              <w:rPr>
                <w:color w:val="000000"/>
                <w:sz w:val="20"/>
                <w:szCs w:val="20"/>
              </w:rPr>
              <w:t>19</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51538" w14:textId="77777777" w:rsidR="000C5AF2" w:rsidRPr="000C5AF2" w:rsidRDefault="000C5AF2" w:rsidP="000C5AF2">
            <w:pPr>
              <w:jc w:val="center"/>
              <w:rPr>
                <w:sz w:val="20"/>
                <w:szCs w:val="20"/>
              </w:rPr>
            </w:pPr>
            <w:r w:rsidRPr="000C5AF2">
              <w:rPr>
                <w:color w:val="000000"/>
                <w:sz w:val="20"/>
                <w:szCs w:val="20"/>
              </w:rPr>
              <w:t>28.8</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BC016" w14:textId="77777777" w:rsidR="000C5AF2" w:rsidRPr="000C5AF2" w:rsidRDefault="000C5AF2" w:rsidP="000C5AF2">
            <w:pPr>
              <w:jc w:val="center"/>
              <w:rPr>
                <w:sz w:val="20"/>
                <w:szCs w:val="20"/>
              </w:rPr>
            </w:pPr>
            <w:r w:rsidRPr="000C5AF2">
              <w:rPr>
                <w:color w:val="000000"/>
                <w:sz w:val="20"/>
                <w:szCs w:val="20"/>
              </w:rPr>
              <w:t>2,429</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4F56A" w14:textId="77777777" w:rsidR="000C5AF2" w:rsidRPr="000C5AF2" w:rsidRDefault="000C5AF2" w:rsidP="000C5AF2">
            <w:pPr>
              <w:jc w:val="center"/>
              <w:rPr>
                <w:sz w:val="20"/>
                <w:szCs w:val="20"/>
              </w:rPr>
            </w:pPr>
            <w:r w:rsidRPr="000C5AF2">
              <w:rPr>
                <w:color w:val="000000"/>
                <w:sz w:val="20"/>
                <w:szCs w:val="20"/>
              </w:rPr>
              <w:t>23.9</w:t>
            </w:r>
          </w:p>
        </w:tc>
      </w:tr>
      <w:tr w:rsidR="000C5AF2" w14:paraId="606BA158" w14:textId="77777777" w:rsidTr="00431493">
        <w:trPr>
          <w:trHeight w:val="24"/>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CC4B60" w14:textId="77777777" w:rsidR="000C5AF2" w:rsidRDefault="000C5AF2" w:rsidP="000C5AF2">
            <w:r>
              <w:rPr>
                <w:color w:val="000000"/>
                <w:sz w:val="20"/>
              </w:rPr>
              <w:t>Middle</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44AF0" w14:textId="77777777" w:rsidR="000C5AF2" w:rsidRPr="000C5AF2" w:rsidRDefault="000C5AF2" w:rsidP="000C5AF2">
            <w:pPr>
              <w:rPr>
                <w:sz w:val="20"/>
                <w:szCs w:val="20"/>
              </w:rPr>
            </w:pPr>
          </w:p>
        </w:tc>
      </w:tr>
      <w:tr w:rsidR="000C5AF2" w14:paraId="6DFDC4D9"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C198F34" w14:textId="77777777" w:rsidR="000C5AF2" w:rsidRDefault="000C5AF2" w:rsidP="000C5AF2">
            <w:pPr>
              <w:jc w:val="right"/>
            </w:pPr>
            <w:r>
              <w:rPr>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977664" w14:textId="77777777" w:rsidR="000C5AF2" w:rsidRPr="000C5AF2" w:rsidRDefault="000C5AF2" w:rsidP="000C5AF2">
            <w:pPr>
              <w:jc w:val="center"/>
              <w:rPr>
                <w:sz w:val="20"/>
                <w:szCs w:val="20"/>
              </w:rPr>
            </w:pPr>
            <w:r w:rsidRPr="000C5AF2">
              <w:rPr>
                <w:color w:val="000000"/>
                <w:sz w:val="20"/>
                <w:szCs w:val="20"/>
              </w:rPr>
              <w:t>21.7</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58C28" w14:textId="77777777" w:rsidR="000C5AF2" w:rsidRPr="000C5AF2" w:rsidRDefault="000C5AF2" w:rsidP="000C5AF2">
            <w:pPr>
              <w:jc w:val="center"/>
              <w:rPr>
                <w:sz w:val="20"/>
                <w:szCs w:val="20"/>
              </w:rPr>
            </w:pPr>
            <w:r w:rsidRPr="000C5AF2">
              <w:rPr>
                <w:color w:val="000000"/>
                <w:sz w:val="20"/>
                <w:szCs w:val="20"/>
              </w:rPr>
              <w:t>26.8</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EAC5B" w14:textId="77777777" w:rsidR="000C5AF2" w:rsidRPr="000C5AF2" w:rsidRDefault="000C5AF2" w:rsidP="000C5AF2">
            <w:pPr>
              <w:jc w:val="center"/>
              <w:rPr>
                <w:sz w:val="20"/>
                <w:szCs w:val="20"/>
              </w:rPr>
            </w:pPr>
            <w:r w:rsidRPr="000C5AF2">
              <w:rPr>
                <w:sz w:val="20"/>
                <w:szCs w:val="20"/>
              </w:rPr>
              <w:t>16</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6E005" w14:textId="77777777" w:rsidR="000C5AF2" w:rsidRPr="000C5AF2" w:rsidRDefault="000C5AF2" w:rsidP="000C5AF2">
            <w:pPr>
              <w:jc w:val="center"/>
              <w:rPr>
                <w:sz w:val="20"/>
                <w:szCs w:val="20"/>
              </w:rPr>
            </w:pPr>
            <w:r w:rsidRPr="000C5AF2">
              <w:rPr>
                <w:sz w:val="20"/>
                <w:szCs w:val="20"/>
              </w:rPr>
              <w:t>23.9</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D0C29" w14:textId="77777777" w:rsidR="000C5AF2" w:rsidRPr="000C5AF2" w:rsidRDefault="000C5AF2" w:rsidP="000C5AF2">
            <w:pPr>
              <w:jc w:val="center"/>
              <w:rPr>
                <w:sz w:val="20"/>
                <w:szCs w:val="20"/>
              </w:rPr>
            </w:pPr>
            <w:r w:rsidRPr="000C5AF2">
              <w:rPr>
                <w:sz w:val="20"/>
                <w:szCs w:val="20"/>
              </w:rPr>
              <w:t>1,520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873C2" w14:textId="77777777" w:rsidR="000C5AF2" w:rsidRPr="000C5AF2" w:rsidRDefault="000C5AF2" w:rsidP="000C5AF2">
            <w:pPr>
              <w:jc w:val="center"/>
              <w:rPr>
                <w:sz w:val="20"/>
                <w:szCs w:val="20"/>
              </w:rPr>
            </w:pPr>
            <w:r w:rsidRPr="000C5AF2">
              <w:rPr>
                <w:sz w:val="20"/>
                <w:szCs w:val="20"/>
              </w:rPr>
              <w:t>17.4</w:t>
            </w:r>
          </w:p>
        </w:tc>
      </w:tr>
      <w:tr w:rsidR="000C5AF2" w14:paraId="5B1C5C22"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B759DE9" w14:textId="77777777" w:rsidR="000C5AF2" w:rsidRDefault="000C5AF2" w:rsidP="000C5AF2">
            <w:pPr>
              <w:jc w:val="right"/>
            </w:pPr>
            <w:r>
              <w:rPr>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7CED5" w14:textId="77777777" w:rsidR="000C5AF2" w:rsidRPr="000C5AF2" w:rsidRDefault="000C5AF2" w:rsidP="000C5AF2">
            <w:pPr>
              <w:jc w:val="center"/>
              <w:rPr>
                <w:sz w:val="20"/>
                <w:szCs w:val="20"/>
              </w:rPr>
            </w:pPr>
            <w:r w:rsidRPr="000C5AF2">
              <w:rPr>
                <w:color w:val="000000"/>
                <w:sz w:val="20"/>
                <w:szCs w:val="20"/>
              </w:rPr>
              <w:t>21.7</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69D64" w14:textId="77777777" w:rsidR="000C5AF2" w:rsidRPr="000C5AF2" w:rsidRDefault="000C5AF2" w:rsidP="000C5AF2">
            <w:pPr>
              <w:jc w:val="center"/>
              <w:rPr>
                <w:sz w:val="20"/>
                <w:szCs w:val="20"/>
              </w:rPr>
            </w:pPr>
            <w:r w:rsidRPr="000C5AF2">
              <w:rPr>
                <w:color w:val="000000"/>
                <w:sz w:val="20"/>
                <w:szCs w:val="20"/>
              </w:rPr>
              <w:t>25.1</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0E144" w14:textId="77777777" w:rsidR="000C5AF2" w:rsidRPr="000C5AF2" w:rsidRDefault="000C5AF2" w:rsidP="000C5AF2">
            <w:pPr>
              <w:jc w:val="center"/>
              <w:rPr>
                <w:sz w:val="20"/>
                <w:szCs w:val="20"/>
              </w:rPr>
            </w:pPr>
            <w:r w:rsidRPr="000C5AF2">
              <w:rPr>
                <w:color w:val="000000"/>
                <w:sz w:val="20"/>
                <w:szCs w:val="20"/>
              </w:rPr>
              <w:t>10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EC2AC" w14:textId="77777777" w:rsidR="000C5AF2" w:rsidRPr="000C5AF2" w:rsidRDefault="000C5AF2" w:rsidP="000C5AF2">
            <w:pPr>
              <w:jc w:val="center"/>
              <w:rPr>
                <w:sz w:val="20"/>
                <w:szCs w:val="20"/>
              </w:rPr>
            </w:pPr>
            <w:r w:rsidRPr="000C5AF2">
              <w:rPr>
                <w:color w:val="000000"/>
                <w:sz w:val="20"/>
                <w:szCs w:val="20"/>
              </w:rPr>
              <w:t>15.2</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5F1994" w14:textId="77777777" w:rsidR="000C5AF2" w:rsidRPr="000C5AF2" w:rsidRDefault="000C5AF2" w:rsidP="000C5AF2">
            <w:pPr>
              <w:jc w:val="center"/>
              <w:rPr>
                <w:sz w:val="20"/>
                <w:szCs w:val="20"/>
              </w:rPr>
            </w:pPr>
            <w:r w:rsidRPr="000C5AF2">
              <w:rPr>
                <w:color w:val="000000"/>
                <w:sz w:val="20"/>
                <w:szCs w:val="20"/>
              </w:rPr>
              <w:t>1,288</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4F51E" w14:textId="77777777" w:rsidR="000C5AF2" w:rsidRPr="000C5AF2" w:rsidRDefault="000C5AF2" w:rsidP="000C5AF2">
            <w:pPr>
              <w:jc w:val="center"/>
              <w:rPr>
                <w:sz w:val="20"/>
                <w:szCs w:val="20"/>
              </w:rPr>
            </w:pPr>
            <w:r w:rsidRPr="000C5AF2">
              <w:rPr>
                <w:color w:val="000000"/>
                <w:sz w:val="20"/>
                <w:szCs w:val="20"/>
              </w:rPr>
              <w:t>12.7</w:t>
            </w:r>
          </w:p>
        </w:tc>
      </w:tr>
      <w:tr w:rsidR="000C5AF2" w14:paraId="0027AAC9" w14:textId="77777777" w:rsidTr="00431493">
        <w:trPr>
          <w:trHeight w:val="24"/>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077531" w14:textId="77777777" w:rsidR="000C5AF2" w:rsidRDefault="000C5AF2" w:rsidP="000C5AF2">
            <w:r>
              <w:rPr>
                <w:color w:val="000000"/>
                <w:sz w:val="20"/>
              </w:rPr>
              <w:t>Upper</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7C7C5" w14:textId="77777777" w:rsidR="000C5AF2" w:rsidRPr="000C5AF2" w:rsidRDefault="000C5AF2" w:rsidP="000C5AF2">
            <w:pPr>
              <w:rPr>
                <w:sz w:val="20"/>
                <w:szCs w:val="20"/>
              </w:rPr>
            </w:pPr>
          </w:p>
        </w:tc>
      </w:tr>
      <w:tr w:rsidR="000C5AF2" w14:paraId="14DFB577"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CCF88CF" w14:textId="77777777" w:rsidR="000C5AF2" w:rsidRDefault="000C5AF2" w:rsidP="000C5AF2">
            <w:pPr>
              <w:jc w:val="right"/>
            </w:pPr>
            <w:r>
              <w:rPr>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031FD" w14:textId="77777777" w:rsidR="000C5AF2" w:rsidRPr="000C5AF2" w:rsidRDefault="000C5AF2" w:rsidP="000C5AF2">
            <w:pPr>
              <w:jc w:val="center"/>
              <w:rPr>
                <w:sz w:val="20"/>
                <w:szCs w:val="20"/>
              </w:rPr>
            </w:pPr>
            <w:r w:rsidRPr="000C5AF2">
              <w:rPr>
                <w:color w:val="000000"/>
                <w:sz w:val="20"/>
                <w:szCs w:val="20"/>
              </w:rPr>
              <w:t>40.4</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A6F06" w14:textId="77777777" w:rsidR="000C5AF2" w:rsidRPr="000C5AF2" w:rsidRDefault="000C5AF2" w:rsidP="000C5AF2">
            <w:pPr>
              <w:jc w:val="center"/>
              <w:rPr>
                <w:sz w:val="20"/>
                <w:szCs w:val="20"/>
              </w:rPr>
            </w:pPr>
            <w:r w:rsidRPr="000C5AF2">
              <w:rPr>
                <w:color w:val="000000"/>
                <w:sz w:val="20"/>
                <w:szCs w:val="20"/>
              </w:rPr>
              <w:t>29.7</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205A6" w14:textId="77777777" w:rsidR="000C5AF2" w:rsidRPr="000C5AF2" w:rsidRDefault="000C5AF2" w:rsidP="000C5AF2">
            <w:pPr>
              <w:jc w:val="center"/>
              <w:rPr>
                <w:sz w:val="20"/>
                <w:szCs w:val="20"/>
              </w:rPr>
            </w:pPr>
            <w:r w:rsidRPr="000C5AF2">
              <w:rPr>
                <w:sz w:val="20"/>
                <w:szCs w:val="20"/>
              </w:rPr>
              <w:t>18</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F5F9C" w14:textId="77777777" w:rsidR="000C5AF2" w:rsidRPr="000C5AF2" w:rsidRDefault="000C5AF2" w:rsidP="000C5AF2">
            <w:pPr>
              <w:jc w:val="center"/>
              <w:rPr>
                <w:sz w:val="20"/>
                <w:szCs w:val="20"/>
              </w:rPr>
            </w:pPr>
            <w:r w:rsidRPr="000C5AF2">
              <w:rPr>
                <w:sz w:val="20"/>
                <w:szCs w:val="20"/>
              </w:rPr>
              <w:t>26.9</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3C740" w14:textId="77777777" w:rsidR="000C5AF2" w:rsidRPr="000C5AF2" w:rsidRDefault="000C5AF2" w:rsidP="000C5AF2">
            <w:pPr>
              <w:jc w:val="center"/>
              <w:rPr>
                <w:sz w:val="20"/>
                <w:szCs w:val="20"/>
              </w:rPr>
            </w:pPr>
            <w:r w:rsidRPr="000C5AF2">
              <w:rPr>
                <w:sz w:val="20"/>
                <w:szCs w:val="20"/>
              </w:rPr>
              <w:t>3,660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FCB87" w14:textId="77777777" w:rsidR="000C5AF2" w:rsidRPr="000C5AF2" w:rsidRDefault="000C5AF2" w:rsidP="000C5AF2">
            <w:pPr>
              <w:jc w:val="center"/>
              <w:rPr>
                <w:sz w:val="20"/>
                <w:szCs w:val="20"/>
              </w:rPr>
            </w:pPr>
            <w:r w:rsidRPr="000C5AF2">
              <w:rPr>
                <w:sz w:val="20"/>
                <w:szCs w:val="20"/>
              </w:rPr>
              <w:t>41.8</w:t>
            </w:r>
          </w:p>
        </w:tc>
      </w:tr>
      <w:tr w:rsidR="000C5AF2" w14:paraId="4DD343A3"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5414B47" w14:textId="77777777" w:rsidR="000C5AF2" w:rsidRDefault="000C5AF2" w:rsidP="000C5AF2">
            <w:pPr>
              <w:jc w:val="right"/>
            </w:pPr>
            <w:r>
              <w:rPr>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1D3B6" w14:textId="77777777" w:rsidR="000C5AF2" w:rsidRPr="000C5AF2" w:rsidRDefault="000C5AF2" w:rsidP="000C5AF2">
            <w:pPr>
              <w:jc w:val="center"/>
              <w:rPr>
                <w:sz w:val="20"/>
                <w:szCs w:val="20"/>
              </w:rPr>
            </w:pPr>
            <w:r w:rsidRPr="000C5AF2">
              <w:rPr>
                <w:color w:val="000000"/>
                <w:sz w:val="20"/>
                <w:szCs w:val="20"/>
              </w:rPr>
              <w:t>40.4</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3BCB2" w14:textId="77777777" w:rsidR="000C5AF2" w:rsidRPr="000C5AF2" w:rsidRDefault="000C5AF2" w:rsidP="000C5AF2">
            <w:pPr>
              <w:jc w:val="center"/>
              <w:rPr>
                <w:sz w:val="20"/>
                <w:szCs w:val="20"/>
              </w:rPr>
            </w:pPr>
            <w:r w:rsidRPr="000C5AF2">
              <w:rPr>
                <w:color w:val="000000"/>
                <w:sz w:val="20"/>
                <w:szCs w:val="20"/>
              </w:rPr>
              <w:t>24.7</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AA864" w14:textId="77777777" w:rsidR="000C5AF2" w:rsidRPr="000C5AF2" w:rsidRDefault="000C5AF2" w:rsidP="000C5AF2">
            <w:pPr>
              <w:jc w:val="center"/>
              <w:rPr>
                <w:sz w:val="20"/>
                <w:szCs w:val="20"/>
              </w:rPr>
            </w:pPr>
            <w:r w:rsidRPr="000C5AF2">
              <w:rPr>
                <w:color w:val="000000"/>
                <w:sz w:val="20"/>
                <w:szCs w:val="20"/>
              </w:rPr>
              <w:t>20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9AF938" w14:textId="77777777" w:rsidR="000C5AF2" w:rsidRPr="000C5AF2" w:rsidRDefault="000C5AF2" w:rsidP="000C5AF2">
            <w:pPr>
              <w:jc w:val="center"/>
              <w:rPr>
                <w:sz w:val="20"/>
                <w:szCs w:val="20"/>
              </w:rPr>
            </w:pPr>
            <w:r w:rsidRPr="000C5AF2">
              <w:rPr>
                <w:color w:val="000000"/>
                <w:sz w:val="20"/>
                <w:szCs w:val="20"/>
              </w:rPr>
              <w:t>30.3</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79A9C" w14:textId="77777777" w:rsidR="000C5AF2" w:rsidRPr="000C5AF2" w:rsidRDefault="000C5AF2" w:rsidP="000C5AF2">
            <w:pPr>
              <w:jc w:val="center"/>
              <w:rPr>
                <w:sz w:val="20"/>
                <w:szCs w:val="20"/>
              </w:rPr>
            </w:pPr>
            <w:r w:rsidRPr="000C5AF2">
              <w:rPr>
                <w:color w:val="000000"/>
                <w:sz w:val="20"/>
                <w:szCs w:val="20"/>
              </w:rPr>
              <w:t>4,277</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30E2A" w14:textId="77777777" w:rsidR="000C5AF2" w:rsidRPr="000C5AF2" w:rsidRDefault="000C5AF2" w:rsidP="000C5AF2">
            <w:pPr>
              <w:jc w:val="center"/>
              <w:rPr>
                <w:sz w:val="20"/>
                <w:szCs w:val="20"/>
              </w:rPr>
            </w:pPr>
            <w:r w:rsidRPr="000C5AF2">
              <w:rPr>
                <w:color w:val="000000"/>
                <w:sz w:val="20"/>
                <w:szCs w:val="20"/>
              </w:rPr>
              <w:t>42.1</w:t>
            </w:r>
          </w:p>
        </w:tc>
      </w:tr>
      <w:tr w:rsidR="000C5AF2" w14:paraId="3B0FA234" w14:textId="77777777" w:rsidTr="00431493">
        <w:trPr>
          <w:trHeight w:val="79"/>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D6B103" w14:textId="77777777" w:rsidR="000C5AF2" w:rsidRDefault="000C5AF2" w:rsidP="000C5AF2">
            <w:r>
              <w:rPr>
                <w:color w:val="000000"/>
                <w:sz w:val="20"/>
              </w:rPr>
              <w:t>Not Available</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1900B" w14:textId="77777777" w:rsidR="000C5AF2" w:rsidRPr="000C5AF2" w:rsidRDefault="000C5AF2" w:rsidP="000C5AF2">
            <w:pPr>
              <w:rPr>
                <w:sz w:val="20"/>
                <w:szCs w:val="20"/>
              </w:rPr>
            </w:pPr>
          </w:p>
        </w:tc>
      </w:tr>
      <w:tr w:rsidR="000C5AF2" w14:paraId="20C05F36"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1CE852C" w14:textId="77777777" w:rsidR="000C5AF2" w:rsidRDefault="000C5AF2" w:rsidP="000C5AF2">
            <w:pPr>
              <w:jc w:val="right"/>
            </w:pPr>
            <w:r>
              <w:rPr>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7D27C" w14:textId="77777777" w:rsidR="000C5AF2" w:rsidRPr="000C5AF2" w:rsidRDefault="000C5AF2" w:rsidP="000C5AF2">
            <w:pPr>
              <w:jc w:val="center"/>
              <w:rPr>
                <w:sz w:val="20"/>
                <w:szCs w:val="20"/>
              </w:rPr>
            </w:pPr>
            <w:r w:rsidRPr="000C5AF2">
              <w:rPr>
                <w:color w:val="000000"/>
                <w:sz w:val="20"/>
                <w:szCs w:val="20"/>
              </w:rPr>
              <w:t>0.0</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2AF4B" w14:textId="77777777" w:rsidR="000C5AF2" w:rsidRPr="000C5AF2" w:rsidRDefault="000C5AF2" w:rsidP="000C5AF2">
            <w:pPr>
              <w:jc w:val="center"/>
              <w:rPr>
                <w:sz w:val="20"/>
                <w:szCs w:val="20"/>
              </w:rPr>
            </w:pPr>
            <w:r w:rsidRPr="000C5AF2">
              <w:rPr>
                <w:color w:val="000000"/>
                <w:sz w:val="20"/>
                <w:szCs w:val="20"/>
              </w:rPr>
              <w:t>12.9</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FBBEB0" w14:textId="77777777" w:rsidR="000C5AF2" w:rsidRPr="000C5AF2" w:rsidRDefault="000C5AF2" w:rsidP="000C5AF2">
            <w:pPr>
              <w:jc w:val="center"/>
              <w:rPr>
                <w:sz w:val="20"/>
                <w:szCs w:val="20"/>
              </w:rPr>
            </w:pPr>
            <w:r w:rsidRPr="000C5AF2">
              <w:rPr>
                <w:sz w:val="20"/>
                <w:szCs w:val="20"/>
              </w:rPr>
              <w:t>18</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F5C1A" w14:textId="77777777" w:rsidR="000C5AF2" w:rsidRPr="000C5AF2" w:rsidRDefault="000C5AF2" w:rsidP="000C5AF2">
            <w:pPr>
              <w:jc w:val="center"/>
              <w:rPr>
                <w:sz w:val="20"/>
                <w:szCs w:val="20"/>
              </w:rPr>
            </w:pPr>
            <w:r w:rsidRPr="000C5AF2">
              <w:rPr>
                <w:sz w:val="20"/>
                <w:szCs w:val="20"/>
              </w:rPr>
              <w:t>26.9</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D1613" w14:textId="77777777" w:rsidR="000C5AF2" w:rsidRPr="000C5AF2" w:rsidRDefault="000C5AF2" w:rsidP="000C5AF2">
            <w:pPr>
              <w:jc w:val="center"/>
              <w:rPr>
                <w:sz w:val="20"/>
                <w:szCs w:val="20"/>
              </w:rPr>
            </w:pPr>
            <w:r w:rsidRPr="000C5AF2">
              <w:rPr>
                <w:sz w:val="20"/>
                <w:szCs w:val="20"/>
              </w:rPr>
              <w:t>2,530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4E5CB" w14:textId="77777777" w:rsidR="000C5AF2" w:rsidRPr="000C5AF2" w:rsidRDefault="000C5AF2" w:rsidP="000C5AF2">
            <w:pPr>
              <w:jc w:val="center"/>
              <w:rPr>
                <w:sz w:val="20"/>
                <w:szCs w:val="20"/>
              </w:rPr>
            </w:pPr>
            <w:r w:rsidRPr="000C5AF2">
              <w:rPr>
                <w:sz w:val="20"/>
                <w:szCs w:val="20"/>
              </w:rPr>
              <w:t>28.8</w:t>
            </w:r>
          </w:p>
        </w:tc>
      </w:tr>
      <w:tr w:rsidR="000C5AF2" w14:paraId="1E14B7B6" w14:textId="77777777" w:rsidTr="00575435">
        <w:trPr>
          <w:trHeight w:val="132"/>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F115284" w14:textId="77777777" w:rsidR="000C5AF2" w:rsidRDefault="000C5AF2" w:rsidP="000C5AF2">
            <w:pPr>
              <w:jc w:val="right"/>
            </w:pPr>
            <w:r>
              <w:rPr>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758C3" w14:textId="77777777" w:rsidR="000C5AF2" w:rsidRPr="000C5AF2" w:rsidRDefault="000C5AF2" w:rsidP="000C5AF2">
            <w:pPr>
              <w:jc w:val="center"/>
              <w:rPr>
                <w:sz w:val="20"/>
                <w:szCs w:val="20"/>
              </w:rPr>
            </w:pPr>
            <w:r w:rsidRPr="000C5AF2">
              <w:rPr>
                <w:color w:val="000000"/>
                <w:sz w:val="20"/>
                <w:szCs w:val="20"/>
              </w:rPr>
              <w:t>0.0</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4FD45" w14:textId="77777777" w:rsidR="000C5AF2" w:rsidRPr="000C5AF2" w:rsidRDefault="000C5AF2" w:rsidP="000C5AF2">
            <w:pPr>
              <w:jc w:val="center"/>
              <w:rPr>
                <w:sz w:val="20"/>
                <w:szCs w:val="20"/>
              </w:rPr>
            </w:pPr>
            <w:r w:rsidRPr="000C5AF2">
              <w:rPr>
                <w:color w:val="000000"/>
                <w:sz w:val="20"/>
                <w:szCs w:val="20"/>
              </w:rPr>
              <w:t>15.5</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4FE08" w14:textId="77777777" w:rsidR="000C5AF2" w:rsidRPr="000C5AF2" w:rsidRDefault="000C5AF2" w:rsidP="000C5AF2">
            <w:pPr>
              <w:jc w:val="center"/>
              <w:rPr>
                <w:sz w:val="20"/>
                <w:szCs w:val="20"/>
              </w:rPr>
            </w:pPr>
            <w:r w:rsidRPr="000C5AF2">
              <w:rPr>
                <w:color w:val="000000"/>
                <w:sz w:val="20"/>
                <w:szCs w:val="20"/>
              </w:rPr>
              <w:t>9</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25B0F" w14:textId="77777777" w:rsidR="000C5AF2" w:rsidRPr="000C5AF2" w:rsidRDefault="000C5AF2" w:rsidP="000C5AF2">
            <w:pPr>
              <w:jc w:val="center"/>
              <w:rPr>
                <w:sz w:val="20"/>
                <w:szCs w:val="20"/>
              </w:rPr>
            </w:pPr>
            <w:r w:rsidRPr="000C5AF2">
              <w:rPr>
                <w:color w:val="000000"/>
                <w:sz w:val="20"/>
                <w:szCs w:val="20"/>
              </w:rPr>
              <w:t>13.6</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C4CB4" w14:textId="77777777" w:rsidR="000C5AF2" w:rsidRPr="000C5AF2" w:rsidRDefault="000C5AF2" w:rsidP="000C5AF2">
            <w:pPr>
              <w:jc w:val="center"/>
              <w:rPr>
                <w:sz w:val="20"/>
                <w:szCs w:val="20"/>
              </w:rPr>
            </w:pPr>
            <w:r w:rsidRPr="000C5AF2">
              <w:rPr>
                <w:color w:val="000000"/>
                <w:sz w:val="20"/>
                <w:szCs w:val="20"/>
              </w:rPr>
              <w:t>1,330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771C7" w14:textId="77777777" w:rsidR="000C5AF2" w:rsidRPr="000C5AF2" w:rsidRDefault="000C5AF2" w:rsidP="000C5AF2">
            <w:pPr>
              <w:jc w:val="center"/>
              <w:rPr>
                <w:sz w:val="20"/>
                <w:szCs w:val="20"/>
              </w:rPr>
            </w:pPr>
            <w:r w:rsidRPr="000C5AF2">
              <w:rPr>
                <w:color w:val="000000"/>
                <w:sz w:val="20"/>
                <w:szCs w:val="20"/>
              </w:rPr>
              <w:t>13.1</w:t>
            </w:r>
          </w:p>
        </w:tc>
      </w:tr>
      <w:tr w:rsidR="000C5AF2" w14:paraId="0D93756A" w14:textId="77777777" w:rsidTr="00431493">
        <w:trPr>
          <w:trHeight w:val="24"/>
        </w:trPr>
        <w:tc>
          <w:tcPr>
            <w:tcW w:w="22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D8817C" w14:textId="77777777" w:rsidR="000C5AF2" w:rsidRDefault="000C5AF2" w:rsidP="000C5AF2">
            <w:r>
              <w:rPr>
                <w:b/>
                <w:color w:val="000000"/>
                <w:sz w:val="20"/>
              </w:rPr>
              <w:t>Totals</w:t>
            </w:r>
          </w:p>
        </w:tc>
        <w:tc>
          <w:tcPr>
            <w:tcW w:w="70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C26A5" w14:textId="77777777" w:rsidR="000C5AF2" w:rsidRPr="000C5AF2" w:rsidRDefault="000C5AF2" w:rsidP="000C5AF2">
            <w:pPr>
              <w:rPr>
                <w:sz w:val="20"/>
                <w:szCs w:val="20"/>
              </w:rPr>
            </w:pPr>
          </w:p>
        </w:tc>
      </w:tr>
      <w:tr w:rsidR="000C5AF2" w14:paraId="403D7525" w14:textId="77777777" w:rsidTr="00575435">
        <w:trPr>
          <w:trHeight w:val="144"/>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D0C2571" w14:textId="77777777" w:rsidR="000C5AF2" w:rsidRDefault="000C5AF2" w:rsidP="000C5AF2">
            <w:pPr>
              <w:jc w:val="right"/>
            </w:pPr>
            <w:r>
              <w:rPr>
                <w:b/>
                <w:color w:val="000000"/>
                <w:sz w:val="20"/>
              </w:rPr>
              <w:t>2018</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55A43" w14:textId="77777777" w:rsidR="000C5AF2" w:rsidRPr="000C5AF2" w:rsidRDefault="000C5AF2" w:rsidP="000C5AF2">
            <w:pPr>
              <w:jc w:val="center"/>
              <w:rPr>
                <w:sz w:val="20"/>
                <w:szCs w:val="20"/>
              </w:rPr>
            </w:pPr>
            <w:r w:rsidRPr="000C5AF2">
              <w:rPr>
                <w:b/>
                <w:color w:val="000000"/>
                <w:sz w:val="20"/>
                <w:szCs w:val="20"/>
              </w:rPr>
              <w:t>100.0</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479B5" w14:textId="77777777" w:rsidR="000C5AF2" w:rsidRPr="000C5AF2" w:rsidRDefault="000C5AF2" w:rsidP="000C5AF2">
            <w:pPr>
              <w:jc w:val="center"/>
              <w:rPr>
                <w:sz w:val="20"/>
                <w:szCs w:val="20"/>
              </w:rPr>
            </w:pPr>
            <w:r w:rsidRPr="000C5AF2">
              <w:rPr>
                <w:b/>
                <w:color w:val="000000"/>
                <w:sz w:val="20"/>
                <w:szCs w:val="20"/>
              </w:rPr>
              <w:t>100.0</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DE587" w14:textId="77777777" w:rsidR="000C5AF2" w:rsidRPr="000C5AF2" w:rsidRDefault="000C5AF2" w:rsidP="000C5AF2">
            <w:pPr>
              <w:jc w:val="center"/>
              <w:rPr>
                <w:sz w:val="20"/>
                <w:szCs w:val="20"/>
              </w:rPr>
            </w:pPr>
            <w:r w:rsidRPr="000C5AF2">
              <w:rPr>
                <w:b/>
                <w:sz w:val="20"/>
                <w:szCs w:val="20"/>
              </w:rPr>
              <w:t>67</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B3E89" w14:textId="77777777" w:rsidR="000C5AF2" w:rsidRPr="000C5AF2" w:rsidRDefault="000C5AF2" w:rsidP="000C5AF2">
            <w:pPr>
              <w:jc w:val="center"/>
              <w:rPr>
                <w:sz w:val="20"/>
                <w:szCs w:val="20"/>
              </w:rPr>
            </w:pPr>
            <w:r w:rsidRPr="000C5AF2">
              <w:rPr>
                <w:b/>
                <w:sz w:val="20"/>
                <w:szCs w:val="20"/>
              </w:rPr>
              <w:t>100.0</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B0D72" w14:textId="77777777" w:rsidR="000C5AF2" w:rsidRPr="000C5AF2" w:rsidRDefault="000C5AF2" w:rsidP="000C5AF2">
            <w:pPr>
              <w:jc w:val="center"/>
              <w:rPr>
                <w:sz w:val="20"/>
                <w:szCs w:val="20"/>
              </w:rPr>
            </w:pPr>
            <w:r w:rsidRPr="000C5AF2">
              <w:rPr>
                <w:b/>
                <w:sz w:val="20"/>
                <w:szCs w:val="20"/>
              </w:rPr>
              <w:t>8,755</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FBC09" w14:textId="77777777" w:rsidR="000C5AF2" w:rsidRPr="000C5AF2" w:rsidRDefault="000C5AF2" w:rsidP="000C5AF2">
            <w:pPr>
              <w:jc w:val="center"/>
              <w:rPr>
                <w:sz w:val="20"/>
                <w:szCs w:val="20"/>
              </w:rPr>
            </w:pPr>
            <w:r w:rsidRPr="000C5AF2">
              <w:rPr>
                <w:b/>
                <w:sz w:val="20"/>
                <w:szCs w:val="20"/>
              </w:rPr>
              <w:t>100.0</w:t>
            </w:r>
          </w:p>
        </w:tc>
      </w:tr>
      <w:tr w:rsidR="000C5AF2" w14:paraId="4785C6D2" w14:textId="77777777" w:rsidTr="00575435">
        <w:trPr>
          <w:trHeight w:val="144"/>
        </w:trPr>
        <w:tc>
          <w:tcPr>
            <w:tcW w:w="22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0C3D80C" w14:textId="77777777" w:rsidR="000C5AF2" w:rsidRDefault="000C5AF2" w:rsidP="000C5AF2">
            <w:pPr>
              <w:jc w:val="right"/>
            </w:pPr>
            <w:r>
              <w:rPr>
                <w:b/>
                <w:color w:val="000000"/>
                <w:sz w:val="20"/>
              </w:rPr>
              <w:t>2019</w:t>
            </w:r>
          </w:p>
        </w:tc>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40266" w14:textId="77777777" w:rsidR="000C5AF2" w:rsidRPr="000C5AF2" w:rsidRDefault="000C5AF2" w:rsidP="000C5AF2">
            <w:pPr>
              <w:jc w:val="center"/>
              <w:rPr>
                <w:sz w:val="20"/>
                <w:szCs w:val="20"/>
              </w:rPr>
            </w:pPr>
            <w:r w:rsidRPr="000C5AF2">
              <w:rPr>
                <w:b/>
                <w:color w:val="000000"/>
                <w:sz w:val="20"/>
                <w:szCs w:val="20"/>
              </w:rPr>
              <w:t>100.0</w:t>
            </w:r>
          </w:p>
        </w:tc>
        <w:tc>
          <w:tcPr>
            <w:tcW w:w="1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CEC2F" w14:textId="77777777" w:rsidR="000C5AF2" w:rsidRPr="000C5AF2" w:rsidRDefault="000C5AF2" w:rsidP="000C5AF2">
            <w:pPr>
              <w:jc w:val="center"/>
              <w:rPr>
                <w:sz w:val="20"/>
                <w:szCs w:val="20"/>
              </w:rPr>
            </w:pPr>
            <w:r w:rsidRPr="000C5AF2">
              <w:rPr>
                <w:b/>
                <w:color w:val="000000"/>
                <w:sz w:val="20"/>
                <w:szCs w:val="20"/>
              </w:rPr>
              <w:t>100.0</w:t>
            </w:r>
          </w:p>
        </w:tc>
        <w:tc>
          <w:tcPr>
            <w:tcW w:w="11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D747A" w14:textId="77777777" w:rsidR="000C5AF2" w:rsidRPr="000C5AF2" w:rsidRDefault="000C5AF2" w:rsidP="000C5AF2">
            <w:pPr>
              <w:jc w:val="center"/>
              <w:rPr>
                <w:sz w:val="20"/>
                <w:szCs w:val="20"/>
              </w:rPr>
            </w:pPr>
            <w:r w:rsidRPr="000C5AF2">
              <w:rPr>
                <w:b/>
                <w:color w:val="000000"/>
                <w:sz w:val="20"/>
                <w:szCs w:val="20"/>
              </w:rPr>
              <w:t>66</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A6F5F" w14:textId="77777777" w:rsidR="000C5AF2" w:rsidRPr="000C5AF2" w:rsidRDefault="000C5AF2" w:rsidP="000C5AF2">
            <w:pPr>
              <w:jc w:val="center"/>
              <w:rPr>
                <w:sz w:val="20"/>
                <w:szCs w:val="20"/>
              </w:rPr>
            </w:pPr>
            <w:r w:rsidRPr="000C5AF2">
              <w:rPr>
                <w:b/>
                <w:color w:val="000000"/>
                <w:sz w:val="20"/>
                <w:szCs w:val="20"/>
              </w:rPr>
              <w:t>100.0</w:t>
            </w:r>
          </w:p>
        </w:tc>
        <w:tc>
          <w:tcPr>
            <w:tcW w:w="11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F6BE6" w14:textId="77777777" w:rsidR="000C5AF2" w:rsidRPr="000C5AF2" w:rsidRDefault="000C5AF2" w:rsidP="000C5AF2">
            <w:pPr>
              <w:jc w:val="center"/>
              <w:rPr>
                <w:sz w:val="20"/>
                <w:szCs w:val="20"/>
              </w:rPr>
            </w:pPr>
            <w:r w:rsidRPr="000C5AF2">
              <w:rPr>
                <w:b/>
                <w:color w:val="000000"/>
                <w:sz w:val="20"/>
                <w:szCs w:val="20"/>
              </w:rPr>
              <w:t>10,150</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B2EF9" w14:textId="77777777" w:rsidR="000C5AF2" w:rsidRPr="000C5AF2" w:rsidRDefault="000C5AF2" w:rsidP="000C5AF2">
            <w:pPr>
              <w:jc w:val="center"/>
              <w:rPr>
                <w:sz w:val="20"/>
                <w:szCs w:val="20"/>
              </w:rPr>
            </w:pPr>
            <w:r w:rsidRPr="000C5AF2">
              <w:rPr>
                <w:b/>
                <w:color w:val="000000"/>
                <w:sz w:val="20"/>
                <w:szCs w:val="20"/>
              </w:rPr>
              <w:t>100.0</w:t>
            </w:r>
          </w:p>
        </w:tc>
      </w:tr>
      <w:tr w:rsidR="00EE3DBE" w14:paraId="33B921B9" w14:textId="77777777" w:rsidTr="00431493">
        <w:trPr>
          <w:trHeight w:val="19"/>
        </w:trPr>
        <w:tc>
          <w:tcPr>
            <w:tcW w:w="9296"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72294140" w14:textId="77777777" w:rsidR="00EE3DBE" w:rsidRDefault="00EE3DBE" w:rsidP="00DD0C19">
            <w:r>
              <w:rPr>
                <w:i/>
                <w:color w:val="000000"/>
                <w:sz w:val="16"/>
              </w:rPr>
              <w:t>Source: 2015 ACS Cens</w:t>
            </w:r>
            <w:r w:rsidR="0068409F">
              <w:rPr>
                <w:i/>
                <w:color w:val="000000"/>
                <w:sz w:val="16"/>
              </w:rPr>
              <w:t xml:space="preserve">us ; 1/1/2018 - 12/31/2019 </w:t>
            </w:r>
            <w:r w:rsidR="0068409F" w:rsidRPr="009D7EF0">
              <w:rPr>
                <w:i/>
                <w:color w:val="000000"/>
                <w:sz w:val="16"/>
              </w:rPr>
              <w:t xml:space="preserve">Credit Union </w:t>
            </w:r>
            <w:r w:rsidRPr="009D7EF0">
              <w:rPr>
                <w:i/>
                <w:color w:val="000000"/>
                <w:sz w:val="16"/>
              </w:rPr>
              <w:t>Data, 2018</w:t>
            </w:r>
            <w:r w:rsidR="00DD0C19" w:rsidRPr="009D7EF0">
              <w:rPr>
                <w:i/>
                <w:color w:val="000000"/>
                <w:sz w:val="16"/>
              </w:rPr>
              <w:t xml:space="preserve"> &amp; 2019</w:t>
            </w:r>
            <w:r w:rsidRPr="009D7EF0">
              <w:rPr>
                <w:i/>
                <w:color w:val="000000"/>
                <w:sz w:val="16"/>
              </w:rPr>
              <w:t xml:space="preserve"> HMDA Aggr</w:t>
            </w:r>
            <w:r w:rsidR="00DD0C19" w:rsidRPr="009D7EF0">
              <w:rPr>
                <w:i/>
                <w:color w:val="000000"/>
                <w:sz w:val="16"/>
              </w:rPr>
              <w:t>egate Data</w:t>
            </w:r>
            <w:r>
              <w:rPr>
                <w:i/>
                <w:color w:val="000000"/>
                <w:sz w:val="16"/>
              </w:rPr>
              <w:t xml:space="preserve"> </w:t>
            </w:r>
          </w:p>
        </w:tc>
      </w:tr>
    </w:tbl>
    <w:p w14:paraId="604F7838" w14:textId="77777777" w:rsidR="00D12B41" w:rsidRDefault="00D12B41" w:rsidP="00431493">
      <w:pPr>
        <w:pStyle w:val="QuickFormat1"/>
        <w:jc w:val="both"/>
        <w:rPr>
          <w:sz w:val="24"/>
          <w:szCs w:val="24"/>
          <w:u w:val="single"/>
        </w:rPr>
      </w:pPr>
      <w:r w:rsidRPr="00161EC6">
        <w:rPr>
          <w:sz w:val="24"/>
          <w:szCs w:val="24"/>
          <w:u w:val="single"/>
        </w:rPr>
        <w:lastRenderedPageBreak/>
        <w:t>Response to Complaints</w:t>
      </w:r>
    </w:p>
    <w:p w14:paraId="63C3D728" w14:textId="77777777" w:rsidR="00F2570A" w:rsidRDefault="00F2570A" w:rsidP="00431493">
      <w:pPr>
        <w:pStyle w:val="QuickFormat1"/>
        <w:jc w:val="both"/>
        <w:rPr>
          <w:sz w:val="24"/>
          <w:szCs w:val="24"/>
          <w:u w:val="single"/>
        </w:rPr>
      </w:pPr>
    </w:p>
    <w:p w14:paraId="6B21F910" w14:textId="77777777" w:rsidR="00F2570A" w:rsidRPr="00FC41A2" w:rsidRDefault="00F2570A" w:rsidP="00431493">
      <w:pPr>
        <w:jc w:val="both"/>
      </w:pPr>
      <w:r w:rsidRPr="00FC41A2">
        <w:t>The credit union did not receive any CRA-related complaints during the evaluation period; therefore, th</w:t>
      </w:r>
      <w:r w:rsidR="00015A7A">
        <w:t xml:space="preserve">is criterion did not affect the CRA </w:t>
      </w:r>
      <w:r w:rsidRPr="00FC41A2">
        <w:t>rating.</w:t>
      </w:r>
    </w:p>
    <w:p w14:paraId="115CCB5C" w14:textId="77777777" w:rsidR="00D12B41" w:rsidRDefault="00D12B41" w:rsidP="00431493">
      <w:pPr>
        <w:pStyle w:val="QuickFormat1"/>
        <w:jc w:val="both"/>
        <w:rPr>
          <w:b w:val="0"/>
          <w:sz w:val="24"/>
          <w:szCs w:val="24"/>
          <w:lang w:val="en-US"/>
        </w:rPr>
      </w:pPr>
    </w:p>
    <w:p w14:paraId="2FF2354E" w14:textId="77777777" w:rsidR="006E3C47" w:rsidRPr="006C3485" w:rsidRDefault="006C3485" w:rsidP="00431493">
      <w:pPr>
        <w:jc w:val="both"/>
        <w:rPr>
          <w:b/>
          <w:u w:val="single"/>
        </w:rPr>
      </w:pPr>
      <w:r w:rsidRPr="006C3485">
        <w:rPr>
          <w:b/>
          <w:bCs/>
          <w:u w:val="single"/>
        </w:rPr>
        <w:t xml:space="preserve">Discriminatory or Other Illegal Credit Practices </w:t>
      </w:r>
    </w:p>
    <w:p w14:paraId="79F3C39B" w14:textId="77777777" w:rsidR="006C3485" w:rsidRDefault="006C3485" w:rsidP="00431493">
      <w:pPr>
        <w:jc w:val="both"/>
        <w:rPr>
          <w:b/>
          <w:i/>
        </w:rPr>
      </w:pPr>
    </w:p>
    <w:p w14:paraId="17A3FC16" w14:textId="77777777" w:rsidR="006E3C47" w:rsidRPr="006E3C47" w:rsidRDefault="006E3C47" w:rsidP="00431493">
      <w:pPr>
        <w:jc w:val="both"/>
        <w:rPr>
          <w:b/>
          <w:i/>
        </w:rPr>
      </w:pPr>
      <w:r w:rsidRPr="006E3C47">
        <w:rPr>
          <w:b/>
          <w:i/>
        </w:rPr>
        <w:t xml:space="preserve">Fair Lending Policies and Procedures </w:t>
      </w:r>
    </w:p>
    <w:p w14:paraId="090A8554" w14:textId="77777777" w:rsidR="006E3C47" w:rsidRDefault="006E3C47" w:rsidP="00431493">
      <w:pPr>
        <w:jc w:val="both"/>
      </w:pPr>
      <w:r>
        <w:t>The Division of Banks provides comments regarding the institution’s fair lending policies and procedures pursuant to Regulatory Bulletin 1.3-106</w:t>
      </w:r>
      <w:proofErr w:type="gramStart"/>
      <w:r w:rsidR="006C3485">
        <w:t xml:space="preserve">.  </w:t>
      </w:r>
      <w:proofErr w:type="gramEnd"/>
      <w:r>
        <w:t>The fair lending review was conducted in accordance with the Federal Financial Institutions Examination Council (</w:t>
      </w:r>
      <w:proofErr w:type="spellStart"/>
      <w:r>
        <w:t>FFIEC</w:t>
      </w:r>
      <w:proofErr w:type="spellEnd"/>
      <w:r>
        <w:t>) Interagency Fair Lending Examination Procedures</w:t>
      </w:r>
      <w:proofErr w:type="gramStart"/>
      <w:r w:rsidR="006C3485">
        <w:t xml:space="preserve">.  </w:t>
      </w:r>
      <w:proofErr w:type="gramEnd"/>
      <w:r>
        <w:t xml:space="preserve">Based on these procedures, examiners did not identify any violations of anti-discrimination laws and regulations. </w:t>
      </w:r>
    </w:p>
    <w:p w14:paraId="73A996DE" w14:textId="77777777" w:rsidR="006E3C47" w:rsidRDefault="006E3C47" w:rsidP="00431493">
      <w:pPr>
        <w:jc w:val="both"/>
      </w:pPr>
    </w:p>
    <w:p w14:paraId="4C0DBB0F" w14:textId="77777777" w:rsidR="006E3C47" w:rsidRPr="006E3C47" w:rsidRDefault="006E3C47" w:rsidP="00431493">
      <w:pPr>
        <w:jc w:val="both"/>
        <w:rPr>
          <w:b/>
          <w:i/>
        </w:rPr>
      </w:pPr>
      <w:r w:rsidRPr="006E3C47">
        <w:rPr>
          <w:b/>
          <w:i/>
        </w:rPr>
        <w:t xml:space="preserve">Minority Application Flow </w:t>
      </w:r>
    </w:p>
    <w:p w14:paraId="45CE0464" w14:textId="77777777" w:rsidR="001A1F10" w:rsidRDefault="001A1F10" w:rsidP="00431493">
      <w:pPr>
        <w:autoSpaceDE w:val="0"/>
        <w:autoSpaceDN w:val="0"/>
        <w:adjustRightInd w:val="0"/>
        <w:jc w:val="both"/>
        <w:rPr>
          <w:color w:val="000000"/>
        </w:rPr>
      </w:pPr>
    </w:p>
    <w:p w14:paraId="0B8B5748" w14:textId="4092B133" w:rsidR="001A1F10" w:rsidRPr="00B075D6" w:rsidRDefault="001A1F10" w:rsidP="00431493">
      <w:pPr>
        <w:autoSpaceDE w:val="0"/>
        <w:autoSpaceDN w:val="0"/>
        <w:adjustRightInd w:val="0"/>
        <w:jc w:val="both"/>
        <w:rPr>
          <w:color w:val="000000"/>
        </w:rPr>
      </w:pPr>
      <w:r>
        <w:rPr>
          <w:color w:val="000000"/>
        </w:rPr>
        <w:t>The credit union</w:t>
      </w:r>
      <w:r w:rsidRPr="00B075D6">
        <w:rPr>
          <w:color w:val="000000"/>
        </w:rPr>
        <w:t xml:space="preserve">’s HMDA </w:t>
      </w:r>
      <w:proofErr w:type="spellStart"/>
      <w:r w:rsidRPr="00B075D6">
        <w:rPr>
          <w:color w:val="000000"/>
        </w:rPr>
        <w:t>LARs</w:t>
      </w:r>
      <w:proofErr w:type="spellEnd"/>
      <w:r w:rsidRPr="00B075D6">
        <w:rPr>
          <w:color w:val="000000"/>
        </w:rPr>
        <w:t xml:space="preserve"> for 2018 and 2019 </w:t>
      </w:r>
      <w:proofErr w:type="gramStart"/>
      <w:r w:rsidRPr="00B075D6">
        <w:rPr>
          <w:color w:val="000000"/>
        </w:rPr>
        <w:t>were reviewed</w:t>
      </w:r>
      <w:proofErr w:type="gramEnd"/>
      <w:r w:rsidRPr="00B075D6">
        <w:rPr>
          <w:color w:val="000000"/>
        </w:rPr>
        <w:t xml:space="preserve"> to determine if the application flow from the different </w:t>
      </w:r>
      <w:r>
        <w:rPr>
          <w:color w:val="000000"/>
        </w:rPr>
        <w:t>racial groups within the credit union</w:t>
      </w:r>
      <w:r w:rsidRPr="00B075D6">
        <w:rPr>
          <w:color w:val="000000"/>
        </w:rPr>
        <w:t xml:space="preserve">’s </w:t>
      </w:r>
      <w:r w:rsidR="009D62EA">
        <w:rPr>
          <w:color w:val="000000"/>
        </w:rPr>
        <w:t>AA</w:t>
      </w:r>
      <w:r w:rsidRPr="00B075D6">
        <w:rPr>
          <w:color w:val="000000"/>
        </w:rPr>
        <w:t xml:space="preserve"> was reflective of the </w:t>
      </w:r>
      <w:r w:rsidR="009D62EA">
        <w:rPr>
          <w:color w:val="000000"/>
        </w:rPr>
        <w:t>AA</w:t>
      </w:r>
      <w:r w:rsidRPr="00B075D6">
        <w:rPr>
          <w:color w:val="000000"/>
        </w:rPr>
        <w:t>’s demographics.</w:t>
      </w:r>
    </w:p>
    <w:p w14:paraId="7BA02EA8" w14:textId="77777777" w:rsidR="001A1F10" w:rsidRDefault="001A1F10" w:rsidP="00431493">
      <w:pPr>
        <w:autoSpaceDE w:val="0"/>
        <w:autoSpaceDN w:val="0"/>
        <w:adjustRightInd w:val="0"/>
        <w:jc w:val="both"/>
        <w:rPr>
          <w:color w:val="000000"/>
        </w:rPr>
      </w:pPr>
    </w:p>
    <w:p w14:paraId="4B2AEA80" w14:textId="56A4D601" w:rsidR="001A1F10" w:rsidRPr="00B075D6" w:rsidRDefault="001A1F10" w:rsidP="00431493">
      <w:pPr>
        <w:autoSpaceDE w:val="0"/>
        <w:autoSpaceDN w:val="0"/>
        <w:adjustRightInd w:val="0"/>
        <w:jc w:val="both"/>
        <w:rPr>
          <w:color w:val="000000"/>
        </w:rPr>
      </w:pPr>
      <w:r w:rsidRPr="00B075D6">
        <w:rPr>
          <w:color w:val="000000"/>
        </w:rPr>
        <w:t>According to th</w:t>
      </w:r>
      <w:r>
        <w:rPr>
          <w:color w:val="000000"/>
        </w:rPr>
        <w:t>e 2015 ACS Census Data, the credit union’</w:t>
      </w:r>
      <w:r w:rsidRPr="00B075D6">
        <w:rPr>
          <w:color w:val="000000"/>
        </w:rPr>
        <w:t xml:space="preserve">s </w:t>
      </w:r>
      <w:r w:rsidR="009D62EA">
        <w:rPr>
          <w:color w:val="000000"/>
        </w:rPr>
        <w:t>AA</w:t>
      </w:r>
      <w:r w:rsidRPr="00B075D6">
        <w:rPr>
          <w:color w:val="000000"/>
        </w:rPr>
        <w:t xml:space="preserve"> con</w:t>
      </w:r>
      <w:r>
        <w:rPr>
          <w:color w:val="000000"/>
        </w:rPr>
        <w:t>tained a total population of 71,962 individuals, of which 11.8</w:t>
      </w:r>
      <w:r w:rsidRPr="00B075D6">
        <w:rPr>
          <w:color w:val="000000"/>
        </w:rPr>
        <w:t xml:space="preserve"> percent are minorities</w:t>
      </w:r>
      <w:proofErr w:type="gramStart"/>
      <w:r w:rsidRPr="00B075D6">
        <w:rPr>
          <w:color w:val="000000"/>
        </w:rPr>
        <w:t xml:space="preserve">.  </w:t>
      </w:r>
      <w:proofErr w:type="gramEnd"/>
      <w:r w:rsidRPr="00B075D6">
        <w:rPr>
          <w:color w:val="000000"/>
        </w:rPr>
        <w:t>The minori</w:t>
      </w:r>
      <w:r>
        <w:rPr>
          <w:color w:val="000000"/>
        </w:rPr>
        <w:t>ty population represented is 1.3</w:t>
      </w:r>
      <w:r w:rsidRPr="00B075D6">
        <w:rPr>
          <w:color w:val="000000"/>
        </w:rPr>
        <w:t xml:space="preserve"> per</w:t>
      </w:r>
      <w:r>
        <w:rPr>
          <w:color w:val="000000"/>
        </w:rPr>
        <w:t>cent Black/African American, 1.2</w:t>
      </w:r>
      <w:r w:rsidRPr="00B075D6">
        <w:rPr>
          <w:color w:val="000000"/>
        </w:rPr>
        <w:t xml:space="preserve"> percent Asian, </w:t>
      </w:r>
      <w:r>
        <w:rPr>
          <w:color w:val="000000"/>
        </w:rPr>
        <w:t>0.1 percent American Indian, 9.2</w:t>
      </w:r>
      <w:r w:rsidRPr="00B075D6">
        <w:rPr>
          <w:color w:val="000000"/>
        </w:rPr>
        <w:t xml:space="preserve"> per</w:t>
      </w:r>
      <w:r>
        <w:rPr>
          <w:color w:val="000000"/>
        </w:rPr>
        <w:t>cent Hispanic or Latino, and 1.2</w:t>
      </w:r>
      <w:r w:rsidRPr="00B075D6">
        <w:rPr>
          <w:color w:val="000000"/>
        </w:rPr>
        <w:t xml:space="preserve"> percent other.  </w:t>
      </w:r>
    </w:p>
    <w:p w14:paraId="487319ED" w14:textId="77777777" w:rsidR="001A1F10" w:rsidRDefault="001A1F10" w:rsidP="00431493">
      <w:pPr>
        <w:autoSpaceDE w:val="0"/>
        <w:autoSpaceDN w:val="0"/>
        <w:adjustRightInd w:val="0"/>
        <w:jc w:val="both"/>
        <w:rPr>
          <w:color w:val="000000"/>
        </w:rPr>
      </w:pPr>
    </w:p>
    <w:p w14:paraId="02B66262" w14:textId="77777777" w:rsidR="001A1F10" w:rsidRDefault="001A1F10" w:rsidP="00431493">
      <w:pPr>
        <w:autoSpaceDE w:val="0"/>
        <w:autoSpaceDN w:val="0"/>
        <w:adjustRightInd w:val="0"/>
        <w:jc w:val="both"/>
        <w:rPr>
          <w:color w:val="000000"/>
        </w:rPr>
      </w:pPr>
      <w:r>
        <w:rPr>
          <w:color w:val="000000"/>
        </w:rPr>
        <w:t>The credit union</w:t>
      </w:r>
      <w:r w:rsidRPr="00B075D6">
        <w:rPr>
          <w:color w:val="000000"/>
        </w:rPr>
        <w:t>’s level of lending in 2018 and 2019 was compared with that of the 2018 and 2019 aggregate’s lending performance</w:t>
      </w:r>
      <w:proofErr w:type="gramStart"/>
      <w:r w:rsidRPr="00B075D6">
        <w:rPr>
          <w:color w:val="000000"/>
        </w:rPr>
        <w:t xml:space="preserve">.  </w:t>
      </w:r>
      <w:proofErr w:type="gramEnd"/>
      <w:r w:rsidRPr="00B075D6">
        <w:rPr>
          <w:color w:val="000000"/>
        </w:rPr>
        <w:t>The comparison of this data assists in deriving reasonable expectations for t</w:t>
      </w:r>
      <w:r>
        <w:rPr>
          <w:color w:val="000000"/>
        </w:rPr>
        <w:t>he rate of applications the credit union</w:t>
      </w:r>
      <w:r w:rsidRPr="00B075D6">
        <w:rPr>
          <w:color w:val="000000"/>
        </w:rPr>
        <w:t xml:space="preserve"> received from </w:t>
      </w:r>
      <w:proofErr w:type="gramStart"/>
      <w:r w:rsidRPr="00B075D6">
        <w:rPr>
          <w:color w:val="000000"/>
        </w:rPr>
        <w:t>minority home mortgage loan applicants</w:t>
      </w:r>
      <w:proofErr w:type="gramEnd"/>
      <w:r w:rsidRPr="00B075D6">
        <w:rPr>
          <w:color w:val="000000"/>
        </w:rPr>
        <w:t xml:space="preserve">.  </w:t>
      </w:r>
    </w:p>
    <w:p w14:paraId="29E8EF71" w14:textId="77777777" w:rsidR="001A1F10" w:rsidRDefault="001A1F10" w:rsidP="00431493">
      <w:pPr>
        <w:autoSpaceDE w:val="0"/>
        <w:autoSpaceDN w:val="0"/>
        <w:adjustRightInd w:val="0"/>
        <w:jc w:val="both"/>
      </w:pPr>
    </w:p>
    <w:p w14:paraId="6836917A" w14:textId="6ACADD15" w:rsidR="001A1F10" w:rsidRDefault="001A1F10" w:rsidP="00431493">
      <w:pPr>
        <w:autoSpaceDE w:val="0"/>
        <w:autoSpaceDN w:val="0"/>
        <w:adjustRightInd w:val="0"/>
        <w:jc w:val="both"/>
      </w:pPr>
      <w:r w:rsidRPr="0000049F">
        <w:t xml:space="preserve">In 2018, the credit union received 92 HMDA-reportable loan applications from within its </w:t>
      </w:r>
      <w:r w:rsidR="009D62EA">
        <w:t>AA</w:t>
      </w:r>
      <w:proofErr w:type="gramStart"/>
      <w:r w:rsidRPr="0000049F">
        <w:t xml:space="preserve">.  </w:t>
      </w:r>
      <w:proofErr w:type="gramEnd"/>
      <w:r w:rsidR="0071362F" w:rsidRPr="0000049F">
        <w:t>T</w:t>
      </w:r>
      <w:r w:rsidRPr="0000049F">
        <w:t>he credit union received four, or 4.4 percent</w:t>
      </w:r>
      <w:r w:rsidR="0000049F">
        <w:t xml:space="preserve"> of its loans</w:t>
      </w:r>
      <w:r w:rsidR="003A0EAC">
        <w:t>,</w:t>
      </w:r>
      <w:r w:rsidR="0000049F">
        <w:t xml:space="preserve"> </w:t>
      </w:r>
      <w:r w:rsidRPr="0000049F">
        <w:t xml:space="preserve">from </w:t>
      </w:r>
      <w:r w:rsidR="0071362F" w:rsidRPr="0000049F">
        <w:t xml:space="preserve">racial </w:t>
      </w:r>
      <w:r w:rsidRPr="0000049F">
        <w:t xml:space="preserve">minority applicants; all four </w:t>
      </w:r>
      <w:r w:rsidR="0000049F" w:rsidRPr="0000049F">
        <w:t xml:space="preserve">loans </w:t>
      </w:r>
      <w:r w:rsidRPr="0000049F">
        <w:t>were originated</w:t>
      </w:r>
      <w:proofErr w:type="gramStart"/>
      <w:r w:rsidRPr="0000049F">
        <w:t xml:space="preserve">.  </w:t>
      </w:r>
      <w:proofErr w:type="gramEnd"/>
      <w:r w:rsidR="0071362F" w:rsidRPr="0000049F">
        <w:t>This is comparable</w:t>
      </w:r>
      <w:r w:rsidRPr="0000049F">
        <w:t xml:space="preserve"> to aggregate data, which indicates </w:t>
      </w:r>
      <w:r w:rsidR="0000049F">
        <w:t xml:space="preserve">that </w:t>
      </w:r>
      <w:r w:rsidRPr="0000049F">
        <w:t xml:space="preserve">5.0 percent of </w:t>
      </w:r>
      <w:r w:rsidR="0000049F">
        <w:t xml:space="preserve">the </w:t>
      </w:r>
      <w:r w:rsidRPr="0000049F">
        <w:t xml:space="preserve">applications received were from </w:t>
      </w:r>
      <w:r w:rsidR="0071362F" w:rsidRPr="0000049F">
        <w:t xml:space="preserve">racial </w:t>
      </w:r>
      <w:r w:rsidRPr="0000049F">
        <w:t>minority applicants</w:t>
      </w:r>
      <w:r w:rsidR="0000049F" w:rsidRPr="0000049F">
        <w:t xml:space="preserve"> </w:t>
      </w:r>
      <w:r w:rsidR="0000049F">
        <w:t xml:space="preserve">and </w:t>
      </w:r>
      <w:r w:rsidR="0000049F" w:rsidRPr="0000049F">
        <w:t xml:space="preserve">all </w:t>
      </w:r>
      <w:r w:rsidR="0000049F">
        <w:t xml:space="preserve">of them </w:t>
      </w:r>
      <w:r w:rsidR="0000049F" w:rsidRPr="0000049F">
        <w:t>w</w:t>
      </w:r>
      <w:r w:rsidRPr="0000049F">
        <w:t>ere originated</w:t>
      </w:r>
      <w:proofErr w:type="gramStart"/>
      <w:r w:rsidRPr="0000049F">
        <w:t xml:space="preserve">.  </w:t>
      </w:r>
      <w:proofErr w:type="gramEnd"/>
      <w:r w:rsidR="0071362F" w:rsidRPr="0000049F">
        <w:t>The credit union received s</w:t>
      </w:r>
      <w:r w:rsidRPr="0000049F">
        <w:t>ix applications, representing 6.5 per</w:t>
      </w:r>
      <w:r w:rsidR="0071362F" w:rsidRPr="0000049F">
        <w:t>cent of total applications,</w:t>
      </w:r>
      <w:r w:rsidR="0000049F">
        <w:t xml:space="preserve"> from Hispanic ethnic groups</w:t>
      </w:r>
      <w:r w:rsidR="0071362F" w:rsidRPr="0000049F">
        <w:t xml:space="preserve"> within the </w:t>
      </w:r>
      <w:r w:rsidR="009D62EA">
        <w:t>AA, of which t</w:t>
      </w:r>
      <w:r w:rsidR="0071362F" w:rsidRPr="0000049F">
        <w:t xml:space="preserve">hree </w:t>
      </w:r>
      <w:r w:rsidR="009D62EA">
        <w:t xml:space="preserve">or 50.0 percent </w:t>
      </w:r>
      <w:r w:rsidRPr="0000049F">
        <w:t>were originated</w:t>
      </w:r>
      <w:proofErr w:type="gramStart"/>
      <w:r w:rsidRPr="0000049F">
        <w:t xml:space="preserve">.  </w:t>
      </w:r>
      <w:proofErr w:type="gramEnd"/>
      <w:r w:rsidRPr="0000049F">
        <w:t xml:space="preserve">The aggregate data indicates 7.1 percent of total applications </w:t>
      </w:r>
      <w:proofErr w:type="gramStart"/>
      <w:r w:rsidRPr="0000049F">
        <w:t>were received</w:t>
      </w:r>
      <w:proofErr w:type="gramEnd"/>
      <w:r w:rsidRPr="0000049F">
        <w:t xml:space="preserve"> from this ethnic group in the </w:t>
      </w:r>
      <w:r w:rsidR="009D62EA">
        <w:t>AA</w:t>
      </w:r>
      <w:r w:rsidRPr="0000049F">
        <w:t>, of which 57.7 percent were originated.</w:t>
      </w:r>
      <w:r w:rsidRPr="003605E6">
        <w:t xml:space="preserve"> </w:t>
      </w:r>
      <w:r>
        <w:t xml:space="preserve"> </w:t>
      </w:r>
    </w:p>
    <w:p w14:paraId="1077D47C" w14:textId="77777777" w:rsidR="001A1F10" w:rsidRDefault="001A1F10" w:rsidP="00431493">
      <w:pPr>
        <w:autoSpaceDE w:val="0"/>
        <w:autoSpaceDN w:val="0"/>
        <w:adjustRightInd w:val="0"/>
        <w:jc w:val="both"/>
      </w:pPr>
    </w:p>
    <w:p w14:paraId="601F4062" w14:textId="78E8BD7A" w:rsidR="001A1F10" w:rsidRDefault="001A1F10" w:rsidP="00431493">
      <w:pPr>
        <w:autoSpaceDE w:val="0"/>
        <w:autoSpaceDN w:val="0"/>
        <w:adjustRightInd w:val="0"/>
        <w:jc w:val="both"/>
      </w:pPr>
      <w:r>
        <w:t>In 2019, the credit union received 95</w:t>
      </w:r>
      <w:r w:rsidRPr="003605E6">
        <w:t xml:space="preserve"> HMDA-reportable loan applications from within its </w:t>
      </w:r>
      <w:r w:rsidR="009D62EA">
        <w:t>AA</w:t>
      </w:r>
      <w:proofErr w:type="gramStart"/>
      <w:r w:rsidRPr="003605E6">
        <w:t xml:space="preserve">. </w:t>
      </w:r>
      <w:r>
        <w:t xml:space="preserve"> </w:t>
      </w:r>
      <w:proofErr w:type="gramEnd"/>
      <w:r w:rsidR="008E2181">
        <w:t>T</w:t>
      </w:r>
      <w:r>
        <w:t>he credit union received two, or 2.2</w:t>
      </w:r>
      <w:r w:rsidRPr="003605E6">
        <w:t xml:space="preserve"> perce</w:t>
      </w:r>
      <w:r>
        <w:t xml:space="preserve">nt, from </w:t>
      </w:r>
      <w:r w:rsidR="008E2181">
        <w:t xml:space="preserve">racial </w:t>
      </w:r>
      <w:r>
        <w:t>minority applicants; one was</w:t>
      </w:r>
      <w:r w:rsidRPr="003605E6">
        <w:t xml:space="preserve"> originated</w:t>
      </w:r>
      <w:proofErr w:type="gramStart"/>
      <w:r w:rsidRPr="003605E6">
        <w:t xml:space="preserve">. </w:t>
      </w:r>
      <w:r>
        <w:t xml:space="preserve"> </w:t>
      </w:r>
      <w:proofErr w:type="gramEnd"/>
      <w:r w:rsidR="008E2181" w:rsidRPr="0000049F">
        <w:t>This is below</w:t>
      </w:r>
      <w:r w:rsidRPr="0000049F">
        <w:t xml:space="preserve"> aggregate data, which indicates 5.1 percent of applications received were from </w:t>
      </w:r>
      <w:r w:rsidR="008E2181" w:rsidRPr="0000049F">
        <w:t xml:space="preserve">racial </w:t>
      </w:r>
      <w:r w:rsidRPr="0000049F">
        <w:t>minority applicants, of which 59.4 percent were originated</w:t>
      </w:r>
      <w:proofErr w:type="gramStart"/>
      <w:r w:rsidRPr="0000049F">
        <w:t xml:space="preserve">.  </w:t>
      </w:r>
      <w:proofErr w:type="gramEnd"/>
      <w:r w:rsidR="008E2181" w:rsidRPr="0000049F">
        <w:t>The credit union received</w:t>
      </w:r>
      <w:r w:rsidRPr="0000049F">
        <w:t xml:space="preserve"> eight applications, representing 8.4 percent of </w:t>
      </w:r>
      <w:r w:rsidR="0000049F">
        <w:t xml:space="preserve">total applications, from </w:t>
      </w:r>
      <w:r w:rsidRPr="0000049F">
        <w:t xml:space="preserve">Hispanic </w:t>
      </w:r>
      <w:r w:rsidR="0000049F">
        <w:t>ethnic groups</w:t>
      </w:r>
      <w:r w:rsidR="008E2181" w:rsidRPr="0000049F">
        <w:t xml:space="preserve"> within the </w:t>
      </w:r>
      <w:r w:rsidR="009D62EA">
        <w:t>AA, of which f</w:t>
      </w:r>
      <w:r w:rsidRPr="0000049F">
        <w:t xml:space="preserve">ive </w:t>
      </w:r>
      <w:r w:rsidR="009D62EA">
        <w:t xml:space="preserve">or 62.5 percent </w:t>
      </w:r>
      <w:r w:rsidRPr="0000049F">
        <w:t>were originated</w:t>
      </w:r>
      <w:proofErr w:type="gramStart"/>
      <w:r w:rsidRPr="0000049F">
        <w:t xml:space="preserve">.  </w:t>
      </w:r>
      <w:proofErr w:type="gramEnd"/>
      <w:r w:rsidRPr="0000049F">
        <w:t>The aggregate data i</w:t>
      </w:r>
      <w:r>
        <w:t>ndicates 7.8</w:t>
      </w:r>
      <w:r w:rsidRPr="003605E6">
        <w:t xml:space="preserve"> percent of </w:t>
      </w:r>
      <w:r w:rsidRPr="003605E6">
        <w:lastRenderedPageBreak/>
        <w:t xml:space="preserve">total applications </w:t>
      </w:r>
      <w:proofErr w:type="gramStart"/>
      <w:r w:rsidRPr="003605E6">
        <w:t>were received</w:t>
      </w:r>
      <w:proofErr w:type="gramEnd"/>
      <w:r>
        <w:t xml:space="preserve"> </w:t>
      </w:r>
      <w:r w:rsidRPr="003605E6">
        <w:t xml:space="preserve">from this ethnic group in the </w:t>
      </w:r>
      <w:r w:rsidR="009D62EA">
        <w:t>AA</w:t>
      </w:r>
      <w:r>
        <w:t>, of which 59.9 percent were originated</w:t>
      </w:r>
      <w:r w:rsidRPr="003605E6">
        <w:t xml:space="preserve">. </w:t>
      </w:r>
      <w:r>
        <w:t xml:space="preserve"> </w:t>
      </w:r>
    </w:p>
    <w:p w14:paraId="29F5D74E" w14:textId="77777777" w:rsidR="001A1F10" w:rsidRDefault="001A1F10" w:rsidP="00431493">
      <w:pPr>
        <w:autoSpaceDE w:val="0"/>
        <w:autoSpaceDN w:val="0"/>
        <w:adjustRightInd w:val="0"/>
        <w:jc w:val="both"/>
        <w:rPr>
          <w:color w:val="000000"/>
        </w:rPr>
      </w:pPr>
    </w:p>
    <w:p w14:paraId="57518DCC" w14:textId="13B9E8C2" w:rsidR="001A1F10" w:rsidRDefault="00431493" w:rsidP="00431493">
      <w:pPr>
        <w:autoSpaceDE w:val="0"/>
        <w:autoSpaceDN w:val="0"/>
        <w:adjustRightInd w:val="0"/>
        <w:jc w:val="both"/>
        <w:rPr>
          <w:color w:val="000000"/>
        </w:rPr>
      </w:pPr>
      <w:r>
        <w:rPr>
          <w:color w:val="000000"/>
        </w:rPr>
        <w:t xml:space="preserve">The credit union’s minority application flow is adequate. </w:t>
      </w:r>
      <w:r w:rsidR="001A1F10" w:rsidRPr="003605E6">
        <w:rPr>
          <w:color w:val="000000"/>
        </w:rPr>
        <w:t>Refer to the table below for information on the credit union’s minority application flow as well as the aggregate lenders in the credit union</w:t>
      </w:r>
      <w:r w:rsidR="001A1F10">
        <w:rPr>
          <w:color w:val="000000"/>
        </w:rPr>
        <w:t>’</w:t>
      </w:r>
      <w:r w:rsidR="001A1F10" w:rsidRPr="003605E6">
        <w:rPr>
          <w:color w:val="000000"/>
        </w:rPr>
        <w:t xml:space="preserve">s </w:t>
      </w:r>
      <w:r w:rsidR="009D62EA">
        <w:rPr>
          <w:color w:val="000000"/>
        </w:rPr>
        <w:t>AA</w:t>
      </w:r>
      <w:r w:rsidR="001A1F10" w:rsidRPr="003605E6">
        <w:rPr>
          <w:color w:val="000000"/>
        </w:rPr>
        <w:t>.</w:t>
      </w:r>
    </w:p>
    <w:p w14:paraId="6EB9A95E" w14:textId="77777777" w:rsidR="006C56CE" w:rsidRDefault="006C56CE" w:rsidP="00431493">
      <w:pPr>
        <w:autoSpaceDE w:val="0"/>
        <w:autoSpaceDN w:val="0"/>
        <w:adjustRightInd w:val="0"/>
        <w:jc w:val="both"/>
        <w:rPr>
          <w:color w:val="000000"/>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7"/>
        <w:gridCol w:w="794"/>
        <w:gridCol w:w="937"/>
        <w:gridCol w:w="1172"/>
        <w:gridCol w:w="914"/>
        <w:gridCol w:w="794"/>
        <w:gridCol w:w="1387"/>
      </w:tblGrid>
      <w:tr w:rsidR="001A1F10" w:rsidRPr="00B075D6" w14:paraId="0EE5DE4B" w14:textId="77777777" w:rsidTr="00431493">
        <w:trPr>
          <w:trHeight w:val="375"/>
          <w:jc w:val="center"/>
        </w:trPr>
        <w:tc>
          <w:tcPr>
            <w:tcW w:w="9175" w:type="dxa"/>
            <w:gridSpan w:val="7"/>
            <w:hideMark/>
          </w:tcPr>
          <w:p w14:paraId="63A36851" w14:textId="77777777" w:rsidR="001A1F10" w:rsidRPr="00B075D6" w:rsidRDefault="00431493" w:rsidP="00431493">
            <w:pPr>
              <w:spacing w:line="256" w:lineRule="auto"/>
              <w:jc w:val="center"/>
              <w:rPr>
                <w:rFonts w:eastAsia="Calibri"/>
                <w:b/>
                <w:sz w:val="20"/>
                <w:szCs w:val="20"/>
              </w:rPr>
            </w:pPr>
            <w:r>
              <w:rPr>
                <w:rFonts w:eastAsia="Calibri"/>
                <w:b/>
                <w:sz w:val="20"/>
                <w:szCs w:val="20"/>
              </w:rPr>
              <w:t>MINORITY APPLICATION FLOW</w:t>
            </w:r>
          </w:p>
        </w:tc>
      </w:tr>
      <w:tr w:rsidR="001A1F10" w:rsidRPr="00B075D6" w14:paraId="3B20CDBE" w14:textId="77777777" w:rsidTr="00431493">
        <w:trPr>
          <w:cantSplit/>
          <w:trHeight w:val="683"/>
          <w:jc w:val="center"/>
        </w:trPr>
        <w:tc>
          <w:tcPr>
            <w:tcW w:w="3177" w:type="dxa"/>
            <w:vMerge w:val="restart"/>
          </w:tcPr>
          <w:p w14:paraId="238DA82F" w14:textId="77777777" w:rsidR="001A1F10" w:rsidRPr="00B075D6" w:rsidRDefault="001A1F10" w:rsidP="0090186C">
            <w:pPr>
              <w:keepNext/>
              <w:tabs>
                <w:tab w:val="left" w:pos="480"/>
                <w:tab w:val="left" w:pos="960"/>
                <w:tab w:val="left" w:pos="6840"/>
              </w:tabs>
              <w:spacing w:line="256" w:lineRule="auto"/>
              <w:jc w:val="both"/>
              <w:outlineLvl w:val="0"/>
              <w:rPr>
                <w:rFonts w:eastAsia="Calibri"/>
                <w:spacing w:val="-3"/>
                <w:sz w:val="20"/>
                <w:szCs w:val="20"/>
              </w:rPr>
            </w:pPr>
          </w:p>
          <w:p w14:paraId="0C79CAC0"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RACE</w:t>
            </w:r>
          </w:p>
        </w:tc>
        <w:tc>
          <w:tcPr>
            <w:tcW w:w="1731" w:type="dxa"/>
            <w:gridSpan w:val="2"/>
            <w:hideMark/>
          </w:tcPr>
          <w:p w14:paraId="3763D9A7" w14:textId="77777777" w:rsidR="001A1F10" w:rsidRPr="00B075D6" w:rsidRDefault="001A1F10" w:rsidP="0090186C">
            <w:pPr>
              <w:spacing w:line="256" w:lineRule="auto"/>
              <w:jc w:val="center"/>
              <w:rPr>
                <w:rFonts w:eastAsia="Calibri"/>
                <w:b/>
                <w:sz w:val="20"/>
                <w:szCs w:val="20"/>
              </w:rPr>
            </w:pPr>
            <w:r>
              <w:rPr>
                <w:rFonts w:eastAsia="Calibri"/>
                <w:b/>
                <w:sz w:val="20"/>
                <w:szCs w:val="20"/>
              </w:rPr>
              <w:t>Credit Union</w:t>
            </w:r>
            <w:r w:rsidRPr="00B075D6">
              <w:rPr>
                <w:rFonts w:eastAsia="Calibri"/>
                <w:b/>
                <w:sz w:val="20"/>
                <w:szCs w:val="20"/>
              </w:rPr>
              <w:t xml:space="preserve"> </w:t>
            </w:r>
          </w:p>
          <w:p w14:paraId="0CA1B476" w14:textId="77777777" w:rsidR="001A1F10" w:rsidRPr="00B075D6" w:rsidRDefault="001A1F10" w:rsidP="0090186C">
            <w:pPr>
              <w:spacing w:line="256" w:lineRule="auto"/>
              <w:jc w:val="center"/>
              <w:rPr>
                <w:rFonts w:eastAsia="Calibri"/>
                <w:b/>
                <w:sz w:val="20"/>
                <w:szCs w:val="20"/>
              </w:rPr>
            </w:pPr>
            <w:r w:rsidRPr="00B075D6">
              <w:rPr>
                <w:rFonts w:eastAsia="Calibri"/>
                <w:b/>
                <w:sz w:val="20"/>
                <w:szCs w:val="20"/>
              </w:rPr>
              <w:t xml:space="preserve"> 2018</w:t>
            </w:r>
          </w:p>
        </w:tc>
        <w:tc>
          <w:tcPr>
            <w:tcW w:w="1172" w:type="dxa"/>
            <w:shd w:val="pct12" w:color="000000" w:fill="FFFFFF"/>
            <w:hideMark/>
          </w:tcPr>
          <w:p w14:paraId="3294CFB6"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2018 Aggregate Data</w:t>
            </w:r>
          </w:p>
        </w:tc>
        <w:tc>
          <w:tcPr>
            <w:tcW w:w="1708" w:type="dxa"/>
            <w:gridSpan w:val="2"/>
            <w:shd w:val="clear" w:color="auto" w:fill="auto"/>
            <w:hideMark/>
          </w:tcPr>
          <w:p w14:paraId="11F13F7A"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Credit Union</w:t>
            </w:r>
          </w:p>
          <w:p w14:paraId="6F1CF44C"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 xml:space="preserve"> 2019</w:t>
            </w:r>
          </w:p>
        </w:tc>
        <w:tc>
          <w:tcPr>
            <w:tcW w:w="1387" w:type="dxa"/>
            <w:shd w:val="clear" w:color="auto" w:fill="D9D9D9"/>
          </w:tcPr>
          <w:p w14:paraId="44D504AA"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2019 Aggregate Data</w:t>
            </w:r>
          </w:p>
        </w:tc>
      </w:tr>
      <w:tr w:rsidR="001A1F10" w:rsidRPr="00B075D6" w14:paraId="476A41FA" w14:textId="77777777" w:rsidTr="00431493">
        <w:trPr>
          <w:cantSplit/>
          <w:trHeight w:val="237"/>
          <w:jc w:val="center"/>
        </w:trPr>
        <w:tc>
          <w:tcPr>
            <w:tcW w:w="3177" w:type="dxa"/>
            <w:vMerge/>
            <w:vAlign w:val="center"/>
            <w:hideMark/>
          </w:tcPr>
          <w:p w14:paraId="7481BFA5" w14:textId="77777777" w:rsidR="001A1F10" w:rsidRPr="00B075D6" w:rsidRDefault="001A1F10" w:rsidP="0090186C">
            <w:pPr>
              <w:spacing w:line="256" w:lineRule="auto"/>
              <w:rPr>
                <w:rFonts w:eastAsia="Calibri"/>
                <w:b/>
                <w:spacing w:val="-3"/>
                <w:sz w:val="20"/>
                <w:szCs w:val="20"/>
              </w:rPr>
            </w:pPr>
          </w:p>
        </w:tc>
        <w:tc>
          <w:tcPr>
            <w:tcW w:w="794" w:type="dxa"/>
            <w:hideMark/>
          </w:tcPr>
          <w:p w14:paraId="30A2240A"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c>
          <w:tcPr>
            <w:tcW w:w="937" w:type="dxa"/>
            <w:hideMark/>
          </w:tcPr>
          <w:p w14:paraId="574D5A4A"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c>
          <w:tcPr>
            <w:tcW w:w="1172" w:type="dxa"/>
            <w:shd w:val="pct12" w:color="000000" w:fill="FFFFFF"/>
            <w:hideMark/>
          </w:tcPr>
          <w:p w14:paraId="4D8DADBC"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c>
          <w:tcPr>
            <w:tcW w:w="914" w:type="dxa"/>
            <w:shd w:val="clear" w:color="auto" w:fill="auto"/>
            <w:hideMark/>
          </w:tcPr>
          <w:p w14:paraId="4F4EF1DE"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c>
          <w:tcPr>
            <w:tcW w:w="794" w:type="dxa"/>
            <w:shd w:val="clear" w:color="auto" w:fill="FFFFFF"/>
            <w:hideMark/>
          </w:tcPr>
          <w:p w14:paraId="22A1B30F"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c>
          <w:tcPr>
            <w:tcW w:w="1387" w:type="dxa"/>
            <w:shd w:val="clear" w:color="auto" w:fill="D9D9D9"/>
          </w:tcPr>
          <w:p w14:paraId="305EFF05"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w:t>
            </w:r>
          </w:p>
        </w:tc>
      </w:tr>
      <w:tr w:rsidR="001A1F10" w:rsidRPr="00B075D6" w14:paraId="7046399A" w14:textId="77777777" w:rsidTr="00431493">
        <w:trPr>
          <w:trHeight w:val="223"/>
          <w:jc w:val="center"/>
        </w:trPr>
        <w:tc>
          <w:tcPr>
            <w:tcW w:w="3177" w:type="dxa"/>
            <w:hideMark/>
          </w:tcPr>
          <w:p w14:paraId="5271E185"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American Indian/ Alaska Native</w:t>
            </w:r>
          </w:p>
        </w:tc>
        <w:tc>
          <w:tcPr>
            <w:tcW w:w="794" w:type="dxa"/>
            <w:hideMark/>
          </w:tcPr>
          <w:p w14:paraId="75E59304"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w:t>
            </w:r>
          </w:p>
        </w:tc>
        <w:tc>
          <w:tcPr>
            <w:tcW w:w="937" w:type="dxa"/>
            <w:hideMark/>
          </w:tcPr>
          <w:p w14:paraId="0345E948"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1.1</w:t>
            </w:r>
          </w:p>
        </w:tc>
        <w:tc>
          <w:tcPr>
            <w:tcW w:w="1172" w:type="dxa"/>
            <w:shd w:val="pct12" w:color="000000" w:fill="FFFFFF"/>
            <w:hideMark/>
          </w:tcPr>
          <w:p w14:paraId="2C132721" w14:textId="77777777" w:rsidR="001A1F10" w:rsidRPr="00B075D6" w:rsidRDefault="001A1F10" w:rsidP="0090186C">
            <w:pPr>
              <w:tabs>
                <w:tab w:val="left" w:pos="180"/>
              </w:tabs>
              <w:spacing w:line="256" w:lineRule="auto"/>
              <w:jc w:val="center"/>
              <w:rPr>
                <w:rFonts w:eastAsia="Calibri"/>
                <w:spacing w:val="-3"/>
                <w:sz w:val="20"/>
                <w:szCs w:val="20"/>
              </w:rPr>
            </w:pPr>
            <w:r>
              <w:rPr>
                <w:rFonts w:eastAsia="Calibri"/>
                <w:spacing w:val="-3"/>
                <w:sz w:val="20"/>
                <w:szCs w:val="20"/>
              </w:rPr>
              <w:t>0.3</w:t>
            </w:r>
          </w:p>
        </w:tc>
        <w:tc>
          <w:tcPr>
            <w:tcW w:w="914" w:type="dxa"/>
            <w:shd w:val="clear" w:color="auto" w:fill="auto"/>
            <w:hideMark/>
          </w:tcPr>
          <w:p w14:paraId="75D0EAC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794" w:type="dxa"/>
            <w:shd w:val="clear" w:color="auto" w:fill="auto"/>
            <w:hideMark/>
          </w:tcPr>
          <w:p w14:paraId="6ACB4082" w14:textId="77777777" w:rsidR="001A1F10" w:rsidRPr="00B075D6" w:rsidRDefault="001A1F10" w:rsidP="0090186C">
            <w:pPr>
              <w:spacing w:line="256" w:lineRule="auto"/>
              <w:jc w:val="center"/>
              <w:rPr>
                <w:rFonts w:eastAsia="Calibri"/>
                <w:spacing w:val="-3"/>
                <w:sz w:val="20"/>
                <w:szCs w:val="20"/>
              </w:rPr>
            </w:pPr>
            <w:r w:rsidRPr="00B075D6">
              <w:rPr>
                <w:rFonts w:eastAsia="Calibri"/>
                <w:spacing w:val="-3"/>
                <w:sz w:val="20"/>
                <w:szCs w:val="20"/>
              </w:rPr>
              <w:t>0.0</w:t>
            </w:r>
          </w:p>
        </w:tc>
        <w:tc>
          <w:tcPr>
            <w:tcW w:w="1387" w:type="dxa"/>
            <w:shd w:val="clear" w:color="auto" w:fill="D9D9D9"/>
          </w:tcPr>
          <w:p w14:paraId="1276BD3B"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0.1</w:t>
            </w:r>
          </w:p>
        </w:tc>
      </w:tr>
      <w:tr w:rsidR="001A1F10" w:rsidRPr="00B075D6" w14:paraId="3ABCBAE7" w14:textId="77777777" w:rsidTr="00431493">
        <w:trPr>
          <w:trHeight w:val="223"/>
          <w:jc w:val="center"/>
        </w:trPr>
        <w:tc>
          <w:tcPr>
            <w:tcW w:w="3177" w:type="dxa"/>
            <w:hideMark/>
          </w:tcPr>
          <w:p w14:paraId="511CB97D"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Asian</w:t>
            </w:r>
          </w:p>
        </w:tc>
        <w:tc>
          <w:tcPr>
            <w:tcW w:w="794" w:type="dxa"/>
            <w:hideMark/>
          </w:tcPr>
          <w:p w14:paraId="5604C3A8"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w:t>
            </w:r>
          </w:p>
        </w:tc>
        <w:tc>
          <w:tcPr>
            <w:tcW w:w="937" w:type="dxa"/>
            <w:hideMark/>
          </w:tcPr>
          <w:p w14:paraId="0FD2D64E"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1.1</w:t>
            </w:r>
          </w:p>
        </w:tc>
        <w:tc>
          <w:tcPr>
            <w:tcW w:w="1172" w:type="dxa"/>
            <w:shd w:val="pct12" w:color="000000" w:fill="FFFFFF"/>
            <w:hideMark/>
          </w:tcPr>
          <w:p w14:paraId="267432B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1.9</w:t>
            </w:r>
          </w:p>
        </w:tc>
        <w:tc>
          <w:tcPr>
            <w:tcW w:w="914" w:type="dxa"/>
            <w:shd w:val="clear" w:color="auto" w:fill="auto"/>
            <w:hideMark/>
          </w:tcPr>
          <w:p w14:paraId="52CB9D02"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794" w:type="dxa"/>
            <w:shd w:val="clear" w:color="auto" w:fill="auto"/>
            <w:hideMark/>
          </w:tcPr>
          <w:p w14:paraId="68532479"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0.0</w:t>
            </w:r>
          </w:p>
        </w:tc>
        <w:tc>
          <w:tcPr>
            <w:tcW w:w="1387" w:type="dxa"/>
            <w:shd w:val="clear" w:color="auto" w:fill="D9D9D9"/>
          </w:tcPr>
          <w:p w14:paraId="58AB327D"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1.6</w:t>
            </w:r>
          </w:p>
        </w:tc>
      </w:tr>
      <w:tr w:rsidR="001A1F10" w:rsidRPr="00B075D6" w14:paraId="20B73E4F" w14:textId="77777777" w:rsidTr="00431493">
        <w:trPr>
          <w:trHeight w:val="291"/>
          <w:jc w:val="center"/>
        </w:trPr>
        <w:tc>
          <w:tcPr>
            <w:tcW w:w="3177" w:type="dxa"/>
            <w:hideMark/>
          </w:tcPr>
          <w:p w14:paraId="755B136B"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Black/ African American</w:t>
            </w:r>
          </w:p>
        </w:tc>
        <w:tc>
          <w:tcPr>
            <w:tcW w:w="794" w:type="dxa"/>
            <w:hideMark/>
          </w:tcPr>
          <w:p w14:paraId="4204F877"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937" w:type="dxa"/>
            <w:hideMark/>
          </w:tcPr>
          <w:p w14:paraId="53BCCC2A"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r w:rsidRPr="00B075D6">
              <w:rPr>
                <w:rFonts w:eastAsia="Calibri"/>
                <w:spacing w:val="-3"/>
                <w:sz w:val="20"/>
                <w:szCs w:val="20"/>
              </w:rPr>
              <w:t>.0</w:t>
            </w:r>
          </w:p>
        </w:tc>
        <w:tc>
          <w:tcPr>
            <w:tcW w:w="1172" w:type="dxa"/>
            <w:shd w:val="pct12" w:color="000000" w:fill="FFFFFF"/>
            <w:hideMark/>
          </w:tcPr>
          <w:p w14:paraId="0CF1466C" w14:textId="77777777" w:rsidR="001A1F10" w:rsidRPr="00B075D6" w:rsidRDefault="001A1F10" w:rsidP="0090186C">
            <w:pPr>
              <w:spacing w:line="256" w:lineRule="auto"/>
              <w:jc w:val="center"/>
              <w:rPr>
                <w:rFonts w:eastAsia="Calibri"/>
                <w:spacing w:val="-3"/>
                <w:sz w:val="20"/>
                <w:szCs w:val="20"/>
                <w:highlight w:val="yellow"/>
              </w:rPr>
            </w:pPr>
            <w:r>
              <w:rPr>
                <w:rFonts w:eastAsia="Calibri"/>
                <w:spacing w:val="-3"/>
                <w:sz w:val="20"/>
                <w:szCs w:val="20"/>
              </w:rPr>
              <w:t>1.7</w:t>
            </w:r>
          </w:p>
        </w:tc>
        <w:tc>
          <w:tcPr>
            <w:tcW w:w="914" w:type="dxa"/>
            <w:shd w:val="clear" w:color="auto" w:fill="auto"/>
            <w:hideMark/>
          </w:tcPr>
          <w:p w14:paraId="1F27449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794" w:type="dxa"/>
            <w:shd w:val="clear" w:color="auto" w:fill="auto"/>
            <w:hideMark/>
          </w:tcPr>
          <w:p w14:paraId="407E7CBD"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r w:rsidRPr="00B075D6">
              <w:rPr>
                <w:rFonts w:eastAsia="Calibri"/>
                <w:spacing w:val="-3"/>
                <w:sz w:val="20"/>
                <w:szCs w:val="20"/>
              </w:rPr>
              <w:t>.0</w:t>
            </w:r>
          </w:p>
        </w:tc>
        <w:tc>
          <w:tcPr>
            <w:tcW w:w="1387" w:type="dxa"/>
            <w:shd w:val="clear" w:color="auto" w:fill="D9D9D9"/>
          </w:tcPr>
          <w:p w14:paraId="4F84477C"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1.7</w:t>
            </w:r>
          </w:p>
        </w:tc>
      </w:tr>
      <w:tr w:rsidR="001A1F10" w:rsidRPr="00B075D6" w14:paraId="5471AA42" w14:textId="77777777" w:rsidTr="00431493">
        <w:trPr>
          <w:trHeight w:val="223"/>
          <w:jc w:val="center"/>
        </w:trPr>
        <w:tc>
          <w:tcPr>
            <w:tcW w:w="3177" w:type="dxa"/>
            <w:hideMark/>
          </w:tcPr>
          <w:p w14:paraId="30DE2382"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Hawaiian/Pacific Islander</w:t>
            </w:r>
          </w:p>
        </w:tc>
        <w:tc>
          <w:tcPr>
            <w:tcW w:w="794" w:type="dxa"/>
            <w:hideMark/>
          </w:tcPr>
          <w:p w14:paraId="5504FEA7"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937" w:type="dxa"/>
            <w:hideMark/>
          </w:tcPr>
          <w:p w14:paraId="3BAA30F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0.0</w:t>
            </w:r>
          </w:p>
        </w:tc>
        <w:tc>
          <w:tcPr>
            <w:tcW w:w="1172" w:type="dxa"/>
            <w:shd w:val="pct12" w:color="000000" w:fill="FFFFFF"/>
            <w:hideMark/>
          </w:tcPr>
          <w:p w14:paraId="0B2688CC" w14:textId="77777777" w:rsidR="001A1F10" w:rsidRPr="00B075D6" w:rsidRDefault="001A1F10" w:rsidP="0090186C">
            <w:pPr>
              <w:spacing w:line="256" w:lineRule="auto"/>
              <w:jc w:val="center"/>
              <w:rPr>
                <w:rFonts w:eastAsia="Calibri"/>
                <w:spacing w:val="-3"/>
                <w:sz w:val="20"/>
                <w:szCs w:val="20"/>
                <w:highlight w:val="yellow"/>
              </w:rPr>
            </w:pPr>
            <w:r>
              <w:rPr>
                <w:rFonts w:eastAsia="Calibri"/>
                <w:spacing w:val="-3"/>
                <w:sz w:val="20"/>
                <w:szCs w:val="20"/>
              </w:rPr>
              <w:t>0.1</w:t>
            </w:r>
          </w:p>
        </w:tc>
        <w:tc>
          <w:tcPr>
            <w:tcW w:w="914" w:type="dxa"/>
            <w:shd w:val="clear" w:color="auto" w:fill="auto"/>
            <w:hideMark/>
          </w:tcPr>
          <w:p w14:paraId="605AABA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w:t>
            </w:r>
          </w:p>
        </w:tc>
        <w:tc>
          <w:tcPr>
            <w:tcW w:w="794" w:type="dxa"/>
            <w:shd w:val="clear" w:color="auto" w:fill="auto"/>
            <w:hideMark/>
          </w:tcPr>
          <w:p w14:paraId="11776888"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1.1</w:t>
            </w:r>
          </w:p>
        </w:tc>
        <w:tc>
          <w:tcPr>
            <w:tcW w:w="1387" w:type="dxa"/>
            <w:shd w:val="clear" w:color="auto" w:fill="D9D9D9"/>
          </w:tcPr>
          <w:p w14:paraId="2CF1D47E"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0.2</w:t>
            </w:r>
          </w:p>
        </w:tc>
      </w:tr>
      <w:tr w:rsidR="001A1F10" w:rsidRPr="00B075D6" w14:paraId="7948F439" w14:textId="77777777" w:rsidTr="00431493">
        <w:trPr>
          <w:trHeight w:val="223"/>
          <w:jc w:val="center"/>
        </w:trPr>
        <w:tc>
          <w:tcPr>
            <w:tcW w:w="3177" w:type="dxa"/>
            <w:hideMark/>
          </w:tcPr>
          <w:p w14:paraId="279D8091"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2 or more Minority</w:t>
            </w:r>
          </w:p>
        </w:tc>
        <w:tc>
          <w:tcPr>
            <w:tcW w:w="794" w:type="dxa"/>
            <w:hideMark/>
          </w:tcPr>
          <w:p w14:paraId="605A054D"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937" w:type="dxa"/>
            <w:hideMark/>
          </w:tcPr>
          <w:p w14:paraId="788A57E0"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0.0</w:t>
            </w:r>
          </w:p>
        </w:tc>
        <w:tc>
          <w:tcPr>
            <w:tcW w:w="1172" w:type="dxa"/>
            <w:shd w:val="pct12" w:color="000000" w:fill="FFFFFF"/>
            <w:hideMark/>
          </w:tcPr>
          <w:p w14:paraId="6E5A24B5" w14:textId="77777777" w:rsidR="001A1F10" w:rsidRPr="00B075D6" w:rsidRDefault="001A1F10" w:rsidP="0090186C">
            <w:pPr>
              <w:spacing w:line="256" w:lineRule="auto"/>
              <w:jc w:val="center"/>
              <w:rPr>
                <w:rFonts w:eastAsia="Calibri"/>
                <w:spacing w:val="-3"/>
                <w:sz w:val="20"/>
                <w:szCs w:val="20"/>
                <w:highlight w:val="yellow"/>
              </w:rPr>
            </w:pPr>
            <w:r>
              <w:rPr>
                <w:rFonts w:eastAsia="Calibri"/>
                <w:spacing w:val="-3"/>
                <w:sz w:val="20"/>
                <w:szCs w:val="20"/>
              </w:rPr>
              <w:t>0.1</w:t>
            </w:r>
          </w:p>
        </w:tc>
        <w:tc>
          <w:tcPr>
            <w:tcW w:w="914" w:type="dxa"/>
            <w:shd w:val="clear" w:color="auto" w:fill="auto"/>
            <w:hideMark/>
          </w:tcPr>
          <w:p w14:paraId="133F292B"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w:t>
            </w:r>
          </w:p>
        </w:tc>
        <w:tc>
          <w:tcPr>
            <w:tcW w:w="794" w:type="dxa"/>
            <w:shd w:val="clear" w:color="auto" w:fill="auto"/>
            <w:hideMark/>
          </w:tcPr>
          <w:p w14:paraId="791B225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0.0</w:t>
            </w:r>
          </w:p>
        </w:tc>
        <w:tc>
          <w:tcPr>
            <w:tcW w:w="1387" w:type="dxa"/>
            <w:shd w:val="clear" w:color="auto" w:fill="D9D9D9"/>
          </w:tcPr>
          <w:p w14:paraId="210288DB"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0.2</w:t>
            </w:r>
          </w:p>
        </w:tc>
      </w:tr>
      <w:tr w:rsidR="001A1F10" w:rsidRPr="00B075D6" w14:paraId="1D6E5EE5" w14:textId="77777777" w:rsidTr="00431493">
        <w:trPr>
          <w:trHeight w:val="223"/>
          <w:jc w:val="center"/>
        </w:trPr>
        <w:tc>
          <w:tcPr>
            <w:tcW w:w="3177" w:type="dxa"/>
            <w:hideMark/>
          </w:tcPr>
          <w:p w14:paraId="7ECE3786"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Joint Race (White/Minority)</w:t>
            </w:r>
          </w:p>
        </w:tc>
        <w:tc>
          <w:tcPr>
            <w:tcW w:w="794" w:type="dxa"/>
            <w:hideMark/>
          </w:tcPr>
          <w:p w14:paraId="48350398"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w:t>
            </w:r>
          </w:p>
        </w:tc>
        <w:tc>
          <w:tcPr>
            <w:tcW w:w="937" w:type="dxa"/>
            <w:hideMark/>
          </w:tcPr>
          <w:p w14:paraId="34D7B80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2.2</w:t>
            </w:r>
          </w:p>
        </w:tc>
        <w:tc>
          <w:tcPr>
            <w:tcW w:w="1172" w:type="dxa"/>
            <w:shd w:val="pct12" w:color="000000" w:fill="FFFFFF"/>
            <w:hideMark/>
          </w:tcPr>
          <w:p w14:paraId="52BCE91F" w14:textId="77777777" w:rsidR="001A1F10" w:rsidRPr="00B075D6" w:rsidRDefault="001A1F10" w:rsidP="0090186C">
            <w:pPr>
              <w:spacing w:line="256" w:lineRule="auto"/>
              <w:jc w:val="center"/>
              <w:rPr>
                <w:rFonts w:eastAsia="Calibri"/>
                <w:spacing w:val="-3"/>
                <w:sz w:val="20"/>
                <w:szCs w:val="20"/>
                <w:highlight w:val="yellow"/>
              </w:rPr>
            </w:pPr>
            <w:r>
              <w:rPr>
                <w:rFonts w:eastAsia="Calibri"/>
                <w:spacing w:val="-3"/>
                <w:sz w:val="20"/>
                <w:szCs w:val="20"/>
              </w:rPr>
              <w:t>0.9</w:t>
            </w:r>
          </w:p>
        </w:tc>
        <w:tc>
          <w:tcPr>
            <w:tcW w:w="914" w:type="dxa"/>
            <w:shd w:val="clear" w:color="auto" w:fill="auto"/>
            <w:hideMark/>
          </w:tcPr>
          <w:p w14:paraId="344823A7"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w:t>
            </w:r>
          </w:p>
        </w:tc>
        <w:tc>
          <w:tcPr>
            <w:tcW w:w="794" w:type="dxa"/>
            <w:shd w:val="clear" w:color="auto" w:fill="auto"/>
            <w:hideMark/>
          </w:tcPr>
          <w:p w14:paraId="4E8C8BE4"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1.1</w:t>
            </w:r>
          </w:p>
        </w:tc>
        <w:tc>
          <w:tcPr>
            <w:tcW w:w="1387" w:type="dxa"/>
            <w:shd w:val="clear" w:color="auto" w:fill="D9D9D9"/>
          </w:tcPr>
          <w:p w14:paraId="00DF9BF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1.2</w:t>
            </w:r>
          </w:p>
        </w:tc>
      </w:tr>
      <w:tr w:rsidR="001A1F10" w:rsidRPr="00B075D6" w14:paraId="2C14BAE8" w14:textId="77777777" w:rsidTr="00431493">
        <w:trPr>
          <w:trHeight w:val="223"/>
          <w:jc w:val="center"/>
        </w:trPr>
        <w:tc>
          <w:tcPr>
            <w:tcW w:w="3177" w:type="dxa"/>
            <w:hideMark/>
          </w:tcPr>
          <w:p w14:paraId="2E3B31B7"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Total Minority</w:t>
            </w:r>
          </w:p>
        </w:tc>
        <w:tc>
          <w:tcPr>
            <w:tcW w:w="794" w:type="dxa"/>
            <w:hideMark/>
          </w:tcPr>
          <w:p w14:paraId="2FEEF324" w14:textId="77777777" w:rsidR="001A1F10" w:rsidRPr="00B075D6" w:rsidRDefault="001A1F10" w:rsidP="0090186C">
            <w:pPr>
              <w:spacing w:line="256" w:lineRule="auto"/>
              <w:jc w:val="center"/>
              <w:rPr>
                <w:rFonts w:eastAsia="Calibri"/>
                <w:b/>
                <w:sz w:val="20"/>
                <w:szCs w:val="20"/>
              </w:rPr>
            </w:pPr>
            <w:r>
              <w:rPr>
                <w:rFonts w:eastAsia="Calibri"/>
                <w:b/>
                <w:sz w:val="20"/>
                <w:szCs w:val="20"/>
              </w:rPr>
              <w:t>4</w:t>
            </w:r>
          </w:p>
        </w:tc>
        <w:tc>
          <w:tcPr>
            <w:tcW w:w="937" w:type="dxa"/>
            <w:hideMark/>
          </w:tcPr>
          <w:p w14:paraId="7CF26A01"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4.4</w:t>
            </w:r>
          </w:p>
        </w:tc>
        <w:tc>
          <w:tcPr>
            <w:tcW w:w="1172" w:type="dxa"/>
            <w:shd w:val="pct12" w:color="000000" w:fill="FFFFFF"/>
            <w:hideMark/>
          </w:tcPr>
          <w:p w14:paraId="7AD99A37" w14:textId="77777777" w:rsidR="001A1F10" w:rsidRPr="00B075D6" w:rsidRDefault="001A1F10" w:rsidP="0090186C">
            <w:pPr>
              <w:spacing w:line="256" w:lineRule="auto"/>
              <w:jc w:val="center"/>
              <w:rPr>
                <w:rFonts w:eastAsia="Calibri"/>
                <w:b/>
                <w:spacing w:val="-3"/>
                <w:sz w:val="20"/>
                <w:szCs w:val="20"/>
                <w:highlight w:val="yellow"/>
              </w:rPr>
            </w:pPr>
            <w:r w:rsidRPr="00914578">
              <w:rPr>
                <w:rFonts w:eastAsia="Calibri"/>
                <w:b/>
                <w:spacing w:val="-3"/>
                <w:sz w:val="20"/>
                <w:szCs w:val="20"/>
              </w:rPr>
              <w:t>5.0</w:t>
            </w:r>
          </w:p>
        </w:tc>
        <w:tc>
          <w:tcPr>
            <w:tcW w:w="914" w:type="dxa"/>
            <w:shd w:val="clear" w:color="auto" w:fill="auto"/>
            <w:hideMark/>
          </w:tcPr>
          <w:p w14:paraId="08FE1D28" w14:textId="77777777" w:rsidR="001A1F10" w:rsidRPr="00B075D6" w:rsidRDefault="001A1F10" w:rsidP="0090186C">
            <w:pPr>
              <w:spacing w:line="256" w:lineRule="auto"/>
              <w:jc w:val="center"/>
              <w:rPr>
                <w:rFonts w:eastAsia="Calibri"/>
                <w:b/>
                <w:sz w:val="20"/>
                <w:szCs w:val="20"/>
              </w:rPr>
            </w:pPr>
            <w:r>
              <w:rPr>
                <w:rFonts w:eastAsia="Calibri"/>
                <w:b/>
                <w:sz w:val="20"/>
                <w:szCs w:val="20"/>
              </w:rPr>
              <w:t>2</w:t>
            </w:r>
          </w:p>
        </w:tc>
        <w:tc>
          <w:tcPr>
            <w:tcW w:w="794" w:type="dxa"/>
            <w:shd w:val="clear" w:color="auto" w:fill="auto"/>
            <w:hideMark/>
          </w:tcPr>
          <w:p w14:paraId="17B12DAC"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2.2</w:t>
            </w:r>
          </w:p>
        </w:tc>
        <w:tc>
          <w:tcPr>
            <w:tcW w:w="1387" w:type="dxa"/>
            <w:shd w:val="clear" w:color="auto" w:fill="D9D9D9"/>
          </w:tcPr>
          <w:p w14:paraId="0331E46C"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5.1</w:t>
            </w:r>
          </w:p>
        </w:tc>
      </w:tr>
      <w:tr w:rsidR="001A1F10" w:rsidRPr="00B075D6" w14:paraId="1EB5F0FC" w14:textId="77777777" w:rsidTr="00431493">
        <w:trPr>
          <w:trHeight w:val="223"/>
          <w:jc w:val="center"/>
        </w:trPr>
        <w:tc>
          <w:tcPr>
            <w:tcW w:w="3177" w:type="dxa"/>
            <w:hideMark/>
          </w:tcPr>
          <w:p w14:paraId="32532E8D"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White</w:t>
            </w:r>
          </w:p>
        </w:tc>
        <w:tc>
          <w:tcPr>
            <w:tcW w:w="794" w:type="dxa"/>
            <w:hideMark/>
          </w:tcPr>
          <w:p w14:paraId="3C2DA0A7"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75</w:t>
            </w:r>
          </w:p>
        </w:tc>
        <w:tc>
          <w:tcPr>
            <w:tcW w:w="937" w:type="dxa"/>
            <w:hideMark/>
          </w:tcPr>
          <w:p w14:paraId="3D7900C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81.5</w:t>
            </w:r>
          </w:p>
        </w:tc>
        <w:tc>
          <w:tcPr>
            <w:tcW w:w="1172" w:type="dxa"/>
            <w:shd w:val="pct12" w:color="000000" w:fill="FFFFFF"/>
            <w:hideMark/>
          </w:tcPr>
          <w:p w14:paraId="6620CC61"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74.7</w:t>
            </w:r>
          </w:p>
        </w:tc>
        <w:tc>
          <w:tcPr>
            <w:tcW w:w="914" w:type="dxa"/>
            <w:shd w:val="clear" w:color="auto" w:fill="auto"/>
            <w:hideMark/>
          </w:tcPr>
          <w:p w14:paraId="134D948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83</w:t>
            </w:r>
          </w:p>
        </w:tc>
        <w:tc>
          <w:tcPr>
            <w:tcW w:w="794" w:type="dxa"/>
            <w:shd w:val="clear" w:color="auto" w:fill="auto"/>
            <w:hideMark/>
          </w:tcPr>
          <w:p w14:paraId="22470EF4"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87.3</w:t>
            </w:r>
          </w:p>
        </w:tc>
        <w:tc>
          <w:tcPr>
            <w:tcW w:w="1387" w:type="dxa"/>
            <w:shd w:val="clear" w:color="auto" w:fill="D9D9D9"/>
          </w:tcPr>
          <w:p w14:paraId="1B15644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72.9</w:t>
            </w:r>
          </w:p>
        </w:tc>
      </w:tr>
      <w:tr w:rsidR="001A1F10" w:rsidRPr="00B075D6" w14:paraId="3DCF5771" w14:textId="77777777" w:rsidTr="00431493">
        <w:trPr>
          <w:trHeight w:val="223"/>
          <w:jc w:val="center"/>
        </w:trPr>
        <w:tc>
          <w:tcPr>
            <w:tcW w:w="3177" w:type="dxa"/>
            <w:hideMark/>
          </w:tcPr>
          <w:p w14:paraId="44EAB58F"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Race Not Available</w:t>
            </w:r>
          </w:p>
        </w:tc>
        <w:tc>
          <w:tcPr>
            <w:tcW w:w="794" w:type="dxa"/>
            <w:hideMark/>
          </w:tcPr>
          <w:p w14:paraId="7B4409C2"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13</w:t>
            </w:r>
          </w:p>
        </w:tc>
        <w:tc>
          <w:tcPr>
            <w:tcW w:w="937" w:type="dxa"/>
            <w:hideMark/>
          </w:tcPr>
          <w:p w14:paraId="7C375D5F"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14.1</w:t>
            </w:r>
          </w:p>
        </w:tc>
        <w:tc>
          <w:tcPr>
            <w:tcW w:w="1172" w:type="dxa"/>
            <w:shd w:val="pct12" w:color="000000" w:fill="FFFFFF"/>
            <w:hideMark/>
          </w:tcPr>
          <w:p w14:paraId="7305F620"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20.3</w:t>
            </w:r>
          </w:p>
        </w:tc>
        <w:tc>
          <w:tcPr>
            <w:tcW w:w="914" w:type="dxa"/>
            <w:shd w:val="clear" w:color="auto" w:fill="auto"/>
            <w:hideMark/>
          </w:tcPr>
          <w:p w14:paraId="46C02A20"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10</w:t>
            </w:r>
          </w:p>
        </w:tc>
        <w:tc>
          <w:tcPr>
            <w:tcW w:w="794" w:type="dxa"/>
            <w:shd w:val="clear" w:color="auto" w:fill="auto"/>
            <w:hideMark/>
          </w:tcPr>
          <w:p w14:paraId="551CFB3E"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10.5</w:t>
            </w:r>
          </w:p>
        </w:tc>
        <w:tc>
          <w:tcPr>
            <w:tcW w:w="1387" w:type="dxa"/>
            <w:shd w:val="clear" w:color="auto" w:fill="D9D9D9"/>
          </w:tcPr>
          <w:p w14:paraId="53DF6FC2"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22.1</w:t>
            </w:r>
          </w:p>
        </w:tc>
      </w:tr>
      <w:tr w:rsidR="001A1F10" w:rsidRPr="00B075D6" w14:paraId="21D2D924" w14:textId="77777777" w:rsidTr="00431493">
        <w:trPr>
          <w:trHeight w:val="223"/>
          <w:jc w:val="center"/>
        </w:trPr>
        <w:tc>
          <w:tcPr>
            <w:tcW w:w="3177" w:type="dxa"/>
            <w:hideMark/>
          </w:tcPr>
          <w:p w14:paraId="565A6E74"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Total</w:t>
            </w:r>
          </w:p>
        </w:tc>
        <w:tc>
          <w:tcPr>
            <w:tcW w:w="794" w:type="dxa"/>
            <w:hideMark/>
          </w:tcPr>
          <w:p w14:paraId="664C4143"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92</w:t>
            </w:r>
          </w:p>
        </w:tc>
        <w:tc>
          <w:tcPr>
            <w:tcW w:w="937" w:type="dxa"/>
            <w:hideMark/>
          </w:tcPr>
          <w:p w14:paraId="1670A17A"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1172" w:type="dxa"/>
            <w:shd w:val="pct12" w:color="000000" w:fill="FFFFFF"/>
            <w:hideMark/>
          </w:tcPr>
          <w:p w14:paraId="79EF7BA4"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914" w:type="dxa"/>
            <w:shd w:val="clear" w:color="auto" w:fill="auto"/>
            <w:hideMark/>
          </w:tcPr>
          <w:p w14:paraId="736736DD"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95</w:t>
            </w:r>
          </w:p>
        </w:tc>
        <w:tc>
          <w:tcPr>
            <w:tcW w:w="794" w:type="dxa"/>
            <w:shd w:val="clear" w:color="auto" w:fill="auto"/>
            <w:hideMark/>
          </w:tcPr>
          <w:p w14:paraId="59B0B8E4"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1387" w:type="dxa"/>
            <w:shd w:val="clear" w:color="auto" w:fill="D9D9D9"/>
          </w:tcPr>
          <w:p w14:paraId="6BB1DF5D"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r>
      <w:tr w:rsidR="001A1F10" w:rsidRPr="00B075D6" w14:paraId="0EA376E1" w14:textId="77777777" w:rsidTr="00431493">
        <w:trPr>
          <w:trHeight w:val="223"/>
          <w:jc w:val="center"/>
        </w:trPr>
        <w:tc>
          <w:tcPr>
            <w:tcW w:w="3177" w:type="dxa"/>
            <w:hideMark/>
          </w:tcPr>
          <w:p w14:paraId="30E0F25A"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ETHNICITY</w:t>
            </w:r>
          </w:p>
        </w:tc>
        <w:tc>
          <w:tcPr>
            <w:tcW w:w="794" w:type="dxa"/>
          </w:tcPr>
          <w:p w14:paraId="40BE29FB" w14:textId="77777777" w:rsidR="001A1F10" w:rsidRPr="00B075D6" w:rsidRDefault="001A1F10" w:rsidP="0090186C">
            <w:pPr>
              <w:spacing w:line="256" w:lineRule="auto"/>
              <w:jc w:val="center"/>
              <w:rPr>
                <w:rFonts w:eastAsia="Calibri"/>
                <w:b/>
                <w:spacing w:val="-3"/>
                <w:sz w:val="20"/>
                <w:szCs w:val="20"/>
              </w:rPr>
            </w:pPr>
          </w:p>
        </w:tc>
        <w:tc>
          <w:tcPr>
            <w:tcW w:w="937" w:type="dxa"/>
          </w:tcPr>
          <w:p w14:paraId="5A5D605E" w14:textId="77777777" w:rsidR="001A1F10" w:rsidRPr="00B075D6" w:rsidRDefault="001A1F10" w:rsidP="0090186C">
            <w:pPr>
              <w:spacing w:line="256" w:lineRule="auto"/>
              <w:jc w:val="center"/>
              <w:rPr>
                <w:rFonts w:eastAsia="Calibri"/>
                <w:b/>
                <w:spacing w:val="-3"/>
                <w:sz w:val="20"/>
                <w:szCs w:val="20"/>
              </w:rPr>
            </w:pPr>
          </w:p>
        </w:tc>
        <w:tc>
          <w:tcPr>
            <w:tcW w:w="1172" w:type="dxa"/>
            <w:shd w:val="pct12" w:color="000000" w:fill="FFFFFF"/>
          </w:tcPr>
          <w:p w14:paraId="4B46DC5A" w14:textId="77777777" w:rsidR="001A1F10" w:rsidRPr="00B075D6" w:rsidRDefault="001A1F10" w:rsidP="0090186C">
            <w:pPr>
              <w:spacing w:line="256" w:lineRule="auto"/>
              <w:jc w:val="center"/>
              <w:rPr>
                <w:rFonts w:eastAsia="Calibri"/>
                <w:b/>
                <w:color w:val="FF0000"/>
                <w:spacing w:val="-3"/>
                <w:sz w:val="20"/>
                <w:szCs w:val="20"/>
              </w:rPr>
            </w:pPr>
          </w:p>
        </w:tc>
        <w:tc>
          <w:tcPr>
            <w:tcW w:w="914" w:type="dxa"/>
          </w:tcPr>
          <w:p w14:paraId="7880393D" w14:textId="77777777" w:rsidR="001A1F10" w:rsidRPr="00B075D6" w:rsidRDefault="001A1F10" w:rsidP="0090186C">
            <w:pPr>
              <w:spacing w:line="256" w:lineRule="auto"/>
              <w:jc w:val="center"/>
              <w:rPr>
                <w:rFonts w:eastAsia="Calibri"/>
                <w:b/>
                <w:spacing w:val="-3"/>
                <w:sz w:val="20"/>
                <w:szCs w:val="20"/>
              </w:rPr>
            </w:pPr>
          </w:p>
        </w:tc>
        <w:tc>
          <w:tcPr>
            <w:tcW w:w="794" w:type="dxa"/>
          </w:tcPr>
          <w:p w14:paraId="6A20E37A" w14:textId="77777777" w:rsidR="001A1F10" w:rsidRPr="00B075D6" w:rsidRDefault="001A1F10" w:rsidP="0090186C">
            <w:pPr>
              <w:spacing w:line="256" w:lineRule="auto"/>
              <w:jc w:val="center"/>
              <w:rPr>
                <w:rFonts w:eastAsia="Calibri"/>
                <w:b/>
                <w:spacing w:val="-3"/>
                <w:sz w:val="20"/>
                <w:szCs w:val="20"/>
              </w:rPr>
            </w:pPr>
          </w:p>
        </w:tc>
        <w:tc>
          <w:tcPr>
            <w:tcW w:w="1387" w:type="dxa"/>
            <w:shd w:val="clear" w:color="auto" w:fill="D9D9D9"/>
          </w:tcPr>
          <w:p w14:paraId="0AC3A527" w14:textId="77777777" w:rsidR="001A1F10" w:rsidRPr="00B075D6" w:rsidRDefault="001A1F10" w:rsidP="0090186C">
            <w:pPr>
              <w:spacing w:line="256" w:lineRule="auto"/>
              <w:jc w:val="center"/>
              <w:rPr>
                <w:rFonts w:eastAsia="Calibri"/>
                <w:b/>
                <w:spacing w:val="-3"/>
                <w:sz w:val="20"/>
                <w:szCs w:val="20"/>
              </w:rPr>
            </w:pPr>
          </w:p>
        </w:tc>
      </w:tr>
      <w:tr w:rsidR="001A1F10" w:rsidRPr="00B075D6" w14:paraId="107341C4" w14:textId="77777777" w:rsidTr="00431493">
        <w:trPr>
          <w:trHeight w:val="223"/>
          <w:jc w:val="center"/>
        </w:trPr>
        <w:tc>
          <w:tcPr>
            <w:tcW w:w="3177" w:type="dxa"/>
            <w:hideMark/>
          </w:tcPr>
          <w:p w14:paraId="30144193"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Hispanic or Latino</w:t>
            </w:r>
          </w:p>
        </w:tc>
        <w:tc>
          <w:tcPr>
            <w:tcW w:w="794" w:type="dxa"/>
            <w:hideMark/>
          </w:tcPr>
          <w:p w14:paraId="142461D9"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5</w:t>
            </w:r>
          </w:p>
        </w:tc>
        <w:tc>
          <w:tcPr>
            <w:tcW w:w="937" w:type="dxa"/>
            <w:hideMark/>
          </w:tcPr>
          <w:p w14:paraId="52CA7335"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5.4</w:t>
            </w:r>
          </w:p>
        </w:tc>
        <w:tc>
          <w:tcPr>
            <w:tcW w:w="1172" w:type="dxa"/>
            <w:shd w:val="pct12" w:color="000000" w:fill="FFFFFF"/>
            <w:hideMark/>
          </w:tcPr>
          <w:p w14:paraId="3BB2ACFE"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5.9</w:t>
            </w:r>
          </w:p>
        </w:tc>
        <w:tc>
          <w:tcPr>
            <w:tcW w:w="914" w:type="dxa"/>
            <w:hideMark/>
          </w:tcPr>
          <w:p w14:paraId="50A365F6"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6</w:t>
            </w:r>
          </w:p>
        </w:tc>
        <w:tc>
          <w:tcPr>
            <w:tcW w:w="794" w:type="dxa"/>
            <w:hideMark/>
          </w:tcPr>
          <w:p w14:paraId="278B7878"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6.3</w:t>
            </w:r>
          </w:p>
        </w:tc>
        <w:tc>
          <w:tcPr>
            <w:tcW w:w="1387" w:type="dxa"/>
            <w:shd w:val="clear" w:color="auto" w:fill="D9D9D9"/>
          </w:tcPr>
          <w:p w14:paraId="2C994EDD"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6.3</w:t>
            </w:r>
          </w:p>
        </w:tc>
      </w:tr>
      <w:tr w:rsidR="001A1F10" w:rsidRPr="00B075D6" w14:paraId="01813FC4" w14:textId="77777777" w:rsidTr="00431493">
        <w:trPr>
          <w:trHeight w:val="223"/>
          <w:jc w:val="center"/>
        </w:trPr>
        <w:tc>
          <w:tcPr>
            <w:tcW w:w="3177" w:type="dxa"/>
            <w:hideMark/>
          </w:tcPr>
          <w:p w14:paraId="30AEA8A3"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Not Hispanic or Latino</w:t>
            </w:r>
          </w:p>
        </w:tc>
        <w:tc>
          <w:tcPr>
            <w:tcW w:w="794" w:type="dxa"/>
            <w:hideMark/>
          </w:tcPr>
          <w:p w14:paraId="3788440A"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73</w:t>
            </w:r>
          </w:p>
        </w:tc>
        <w:tc>
          <w:tcPr>
            <w:tcW w:w="937" w:type="dxa"/>
            <w:hideMark/>
          </w:tcPr>
          <w:p w14:paraId="01A710C6"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79.4</w:t>
            </w:r>
          </w:p>
        </w:tc>
        <w:tc>
          <w:tcPr>
            <w:tcW w:w="1172" w:type="dxa"/>
            <w:shd w:val="pct12" w:color="000000" w:fill="FFFFFF"/>
            <w:hideMark/>
          </w:tcPr>
          <w:p w14:paraId="013B26F1"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72.5</w:t>
            </w:r>
          </w:p>
        </w:tc>
        <w:tc>
          <w:tcPr>
            <w:tcW w:w="914" w:type="dxa"/>
            <w:hideMark/>
          </w:tcPr>
          <w:p w14:paraId="5551A911"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74</w:t>
            </w:r>
          </w:p>
        </w:tc>
        <w:tc>
          <w:tcPr>
            <w:tcW w:w="794" w:type="dxa"/>
            <w:hideMark/>
          </w:tcPr>
          <w:p w14:paraId="38CFDB63"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77.9</w:t>
            </w:r>
          </w:p>
        </w:tc>
        <w:tc>
          <w:tcPr>
            <w:tcW w:w="1387" w:type="dxa"/>
            <w:shd w:val="clear" w:color="auto" w:fill="D9D9D9"/>
          </w:tcPr>
          <w:p w14:paraId="192026E8"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70.1</w:t>
            </w:r>
          </w:p>
        </w:tc>
      </w:tr>
      <w:tr w:rsidR="001A1F10" w:rsidRPr="00B075D6" w14:paraId="59BB804A" w14:textId="77777777" w:rsidTr="00431493">
        <w:trPr>
          <w:trHeight w:val="223"/>
          <w:jc w:val="center"/>
        </w:trPr>
        <w:tc>
          <w:tcPr>
            <w:tcW w:w="3177" w:type="dxa"/>
            <w:hideMark/>
          </w:tcPr>
          <w:p w14:paraId="5677FF7E"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Joint (</w:t>
            </w:r>
            <w:proofErr w:type="spellStart"/>
            <w:r w:rsidRPr="00B075D6">
              <w:rPr>
                <w:rFonts w:eastAsia="Calibri"/>
                <w:spacing w:val="-3"/>
                <w:sz w:val="20"/>
                <w:szCs w:val="20"/>
              </w:rPr>
              <w:t>Hisp</w:t>
            </w:r>
            <w:proofErr w:type="spellEnd"/>
            <w:r w:rsidRPr="00B075D6">
              <w:rPr>
                <w:rFonts w:eastAsia="Calibri"/>
                <w:spacing w:val="-3"/>
                <w:sz w:val="20"/>
                <w:szCs w:val="20"/>
              </w:rPr>
              <w:t>/</w:t>
            </w:r>
            <w:proofErr w:type="spellStart"/>
            <w:r w:rsidRPr="00B075D6">
              <w:rPr>
                <w:rFonts w:eastAsia="Calibri"/>
                <w:spacing w:val="-3"/>
                <w:sz w:val="20"/>
                <w:szCs w:val="20"/>
              </w:rPr>
              <w:t>Lat</w:t>
            </w:r>
            <w:proofErr w:type="spellEnd"/>
            <w:r w:rsidRPr="00B075D6">
              <w:rPr>
                <w:rFonts w:eastAsia="Calibri"/>
                <w:spacing w:val="-3"/>
                <w:sz w:val="20"/>
                <w:szCs w:val="20"/>
              </w:rPr>
              <w:t xml:space="preserve"> /Not </w:t>
            </w:r>
            <w:proofErr w:type="spellStart"/>
            <w:r w:rsidRPr="00B075D6">
              <w:rPr>
                <w:rFonts w:eastAsia="Calibri"/>
                <w:spacing w:val="-3"/>
                <w:sz w:val="20"/>
                <w:szCs w:val="20"/>
              </w:rPr>
              <w:t>Hisp</w:t>
            </w:r>
            <w:proofErr w:type="spellEnd"/>
            <w:r w:rsidRPr="00B075D6">
              <w:rPr>
                <w:rFonts w:eastAsia="Calibri"/>
                <w:spacing w:val="-3"/>
                <w:sz w:val="20"/>
                <w:szCs w:val="20"/>
              </w:rPr>
              <w:t>/</w:t>
            </w:r>
            <w:proofErr w:type="spellStart"/>
            <w:r w:rsidRPr="00B075D6">
              <w:rPr>
                <w:rFonts w:eastAsia="Calibri"/>
                <w:spacing w:val="-3"/>
                <w:sz w:val="20"/>
                <w:szCs w:val="20"/>
              </w:rPr>
              <w:t>Lat</w:t>
            </w:r>
            <w:proofErr w:type="spellEnd"/>
            <w:r w:rsidRPr="00B075D6">
              <w:rPr>
                <w:rFonts w:eastAsia="Calibri"/>
                <w:spacing w:val="-3"/>
                <w:sz w:val="20"/>
                <w:szCs w:val="20"/>
              </w:rPr>
              <w:t>)</w:t>
            </w:r>
          </w:p>
        </w:tc>
        <w:tc>
          <w:tcPr>
            <w:tcW w:w="794" w:type="dxa"/>
            <w:hideMark/>
          </w:tcPr>
          <w:p w14:paraId="549174F1"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1</w:t>
            </w:r>
          </w:p>
        </w:tc>
        <w:tc>
          <w:tcPr>
            <w:tcW w:w="937" w:type="dxa"/>
            <w:hideMark/>
          </w:tcPr>
          <w:p w14:paraId="6B4023A1"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1.1</w:t>
            </w:r>
          </w:p>
        </w:tc>
        <w:tc>
          <w:tcPr>
            <w:tcW w:w="1172" w:type="dxa"/>
            <w:shd w:val="pct12" w:color="000000" w:fill="FFFFFF"/>
            <w:hideMark/>
          </w:tcPr>
          <w:p w14:paraId="16A3CEC7"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1.2</w:t>
            </w:r>
          </w:p>
        </w:tc>
        <w:tc>
          <w:tcPr>
            <w:tcW w:w="914" w:type="dxa"/>
            <w:hideMark/>
          </w:tcPr>
          <w:p w14:paraId="2540625D"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2</w:t>
            </w:r>
          </w:p>
        </w:tc>
        <w:tc>
          <w:tcPr>
            <w:tcW w:w="794" w:type="dxa"/>
            <w:hideMark/>
          </w:tcPr>
          <w:p w14:paraId="320A5ADC"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2.1</w:t>
            </w:r>
          </w:p>
        </w:tc>
        <w:tc>
          <w:tcPr>
            <w:tcW w:w="1387" w:type="dxa"/>
            <w:shd w:val="clear" w:color="auto" w:fill="D9D9D9"/>
          </w:tcPr>
          <w:p w14:paraId="524C71ED"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1.5</w:t>
            </w:r>
          </w:p>
        </w:tc>
      </w:tr>
      <w:tr w:rsidR="001A1F10" w:rsidRPr="00B075D6" w14:paraId="5DB725F4" w14:textId="77777777" w:rsidTr="00431493">
        <w:trPr>
          <w:trHeight w:val="223"/>
          <w:jc w:val="center"/>
        </w:trPr>
        <w:tc>
          <w:tcPr>
            <w:tcW w:w="3177" w:type="dxa"/>
            <w:hideMark/>
          </w:tcPr>
          <w:p w14:paraId="09358601" w14:textId="77777777" w:rsidR="001A1F10" w:rsidRPr="00B075D6" w:rsidRDefault="001A1F10" w:rsidP="0090186C">
            <w:pPr>
              <w:spacing w:line="256" w:lineRule="auto"/>
              <w:rPr>
                <w:rFonts w:eastAsia="Calibri"/>
                <w:spacing w:val="-3"/>
                <w:sz w:val="20"/>
                <w:szCs w:val="20"/>
              </w:rPr>
            </w:pPr>
            <w:r w:rsidRPr="00B075D6">
              <w:rPr>
                <w:rFonts w:eastAsia="Calibri"/>
                <w:spacing w:val="-3"/>
                <w:sz w:val="20"/>
                <w:szCs w:val="20"/>
              </w:rPr>
              <w:t>Ethnicity Not Available</w:t>
            </w:r>
          </w:p>
        </w:tc>
        <w:tc>
          <w:tcPr>
            <w:tcW w:w="794" w:type="dxa"/>
            <w:hideMark/>
          </w:tcPr>
          <w:p w14:paraId="65629626"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13</w:t>
            </w:r>
          </w:p>
        </w:tc>
        <w:tc>
          <w:tcPr>
            <w:tcW w:w="937" w:type="dxa"/>
            <w:hideMark/>
          </w:tcPr>
          <w:p w14:paraId="12271C14"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14.1</w:t>
            </w:r>
          </w:p>
        </w:tc>
        <w:tc>
          <w:tcPr>
            <w:tcW w:w="1172" w:type="dxa"/>
            <w:shd w:val="pct12" w:color="000000" w:fill="FFFFFF"/>
            <w:hideMark/>
          </w:tcPr>
          <w:p w14:paraId="016CF0CE"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20.4</w:t>
            </w:r>
          </w:p>
        </w:tc>
        <w:tc>
          <w:tcPr>
            <w:tcW w:w="914" w:type="dxa"/>
            <w:hideMark/>
          </w:tcPr>
          <w:p w14:paraId="4B5EB187"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13</w:t>
            </w:r>
          </w:p>
        </w:tc>
        <w:tc>
          <w:tcPr>
            <w:tcW w:w="794" w:type="dxa"/>
            <w:hideMark/>
          </w:tcPr>
          <w:p w14:paraId="0ACD65B5"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13.7</w:t>
            </w:r>
          </w:p>
        </w:tc>
        <w:tc>
          <w:tcPr>
            <w:tcW w:w="1387" w:type="dxa"/>
            <w:shd w:val="clear" w:color="auto" w:fill="D9D9D9"/>
          </w:tcPr>
          <w:p w14:paraId="04C391A5" w14:textId="77777777" w:rsidR="001A1F10" w:rsidRPr="00B075D6" w:rsidRDefault="001A1F10" w:rsidP="0090186C">
            <w:pPr>
              <w:spacing w:line="256" w:lineRule="auto"/>
              <w:jc w:val="center"/>
              <w:rPr>
                <w:rFonts w:eastAsia="Calibri"/>
                <w:spacing w:val="-3"/>
                <w:sz w:val="20"/>
                <w:szCs w:val="20"/>
              </w:rPr>
            </w:pPr>
            <w:r>
              <w:rPr>
                <w:rFonts w:eastAsia="Calibri"/>
                <w:spacing w:val="-3"/>
                <w:sz w:val="20"/>
                <w:szCs w:val="20"/>
              </w:rPr>
              <w:t>22.1</w:t>
            </w:r>
          </w:p>
        </w:tc>
      </w:tr>
      <w:tr w:rsidR="001A1F10" w:rsidRPr="00B075D6" w14:paraId="2BDE36CA" w14:textId="77777777" w:rsidTr="00431493">
        <w:trPr>
          <w:trHeight w:val="223"/>
          <w:jc w:val="center"/>
        </w:trPr>
        <w:tc>
          <w:tcPr>
            <w:tcW w:w="3177" w:type="dxa"/>
            <w:hideMark/>
          </w:tcPr>
          <w:p w14:paraId="5637F8A0"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Total</w:t>
            </w:r>
          </w:p>
        </w:tc>
        <w:tc>
          <w:tcPr>
            <w:tcW w:w="794" w:type="dxa"/>
            <w:hideMark/>
          </w:tcPr>
          <w:p w14:paraId="3C49FD0C"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92</w:t>
            </w:r>
          </w:p>
        </w:tc>
        <w:tc>
          <w:tcPr>
            <w:tcW w:w="937" w:type="dxa"/>
            <w:hideMark/>
          </w:tcPr>
          <w:p w14:paraId="7D7D96EA"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1172" w:type="dxa"/>
            <w:shd w:val="pct12" w:color="000000" w:fill="FFFFFF"/>
            <w:hideMark/>
          </w:tcPr>
          <w:p w14:paraId="56137BE1"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914" w:type="dxa"/>
            <w:hideMark/>
          </w:tcPr>
          <w:p w14:paraId="44843DBB" w14:textId="77777777" w:rsidR="001A1F10" w:rsidRPr="00B075D6" w:rsidRDefault="001A1F10" w:rsidP="0090186C">
            <w:pPr>
              <w:spacing w:line="256" w:lineRule="auto"/>
              <w:jc w:val="center"/>
              <w:rPr>
                <w:rFonts w:eastAsia="Calibri"/>
                <w:b/>
                <w:spacing w:val="-3"/>
                <w:sz w:val="20"/>
                <w:szCs w:val="20"/>
              </w:rPr>
            </w:pPr>
            <w:r>
              <w:rPr>
                <w:rFonts w:eastAsia="Calibri"/>
                <w:b/>
                <w:spacing w:val="-3"/>
                <w:sz w:val="20"/>
                <w:szCs w:val="20"/>
              </w:rPr>
              <w:t>95</w:t>
            </w:r>
          </w:p>
        </w:tc>
        <w:tc>
          <w:tcPr>
            <w:tcW w:w="794" w:type="dxa"/>
            <w:hideMark/>
          </w:tcPr>
          <w:p w14:paraId="2041045B"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c>
          <w:tcPr>
            <w:tcW w:w="1387" w:type="dxa"/>
            <w:shd w:val="clear" w:color="auto" w:fill="D9D9D9"/>
          </w:tcPr>
          <w:p w14:paraId="7950CD3B" w14:textId="77777777" w:rsidR="001A1F10" w:rsidRPr="00B075D6" w:rsidRDefault="001A1F10" w:rsidP="0090186C">
            <w:pPr>
              <w:spacing w:line="256" w:lineRule="auto"/>
              <w:jc w:val="center"/>
              <w:rPr>
                <w:rFonts w:eastAsia="Calibri"/>
                <w:b/>
                <w:spacing w:val="-3"/>
                <w:sz w:val="20"/>
                <w:szCs w:val="20"/>
              </w:rPr>
            </w:pPr>
            <w:r w:rsidRPr="00B075D6">
              <w:rPr>
                <w:rFonts w:eastAsia="Calibri"/>
                <w:b/>
                <w:spacing w:val="-3"/>
                <w:sz w:val="20"/>
                <w:szCs w:val="20"/>
              </w:rPr>
              <w:t>100.0</w:t>
            </w:r>
          </w:p>
        </w:tc>
      </w:tr>
      <w:tr w:rsidR="00431493" w:rsidRPr="00B075D6" w14:paraId="24A83F52" w14:textId="77777777" w:rsidTr="00431493">
        <w:trPr>
          <w:trHeight w:val="446"/>
          <w:jc w:val="center"/>
        </w:trPr>
        <w:tc>
          <w:tcPr>
            <w:tcW w:w="9175" w:type="dxa"/>
            <w:gridSpan w:val="7"/>
          </w:tcPr>
          <w:p w14:paraId="06E89BA8" w14:textId="77777777" w:rsidR="00431493" w:rsidRPr="00431493" w:rsidRDefault="00431493" w:rsidP="00431493">
            <w:pPr>
              <w:spacing w:line="256" w:lineRule="auto"/>
              <w:rPr>
                <w:rFonts w:eastAsia="Calibri"/>
                <w:i/>
                <w:spacing w:val="-3"/>
                <w:sz w:val="20"/>
                <w:szCs w:val="20"/>
              </w:rPr>
            </w:pPr>
            <w:r w:rsidRPr="00431493">
              <w:rPr>
                <w:rFonts w:eastAsia="Calibri"/>
                <w:i/>
                <w:spacing w:val="-3"/>
                <w:sz w:val="20"/>
                <w:szCs w:val="20"/>
              </w:rPr>
              <w:t>Source: 2015 ACS Census; 1/1/2018 - 12/31/2019 Credit Union Data, 2018 &amp; 2019 HMDA Aggregate Data</w:t>
            </w:r>
          </w:p>
        </w:tc>
      </w:tr>
    </w:tbl>
    <w:p w14:paraId="6591E49C" w14:textId="77777777" w:rsidR="00C574A7" w:rsidRDefault="00C574A7" w:rsidP="00C574A7"/>
    <w:p w14:paraId="28FC1AE0" w14:textId="77777777" w:rsidR="008F0AFC" w:rsidRPr="008F0AFC" w:rsidRDefault="008F0AFC" w:rsidP="008F0AFC"/>
    <w:p w14:paraId="6A9FD3EC" w14:textId="77777777" w:rsidR="00B30536" w:rsidRDefault="00B30536" w:rsidP="00B30536">
      <w:pPr>
        <w:keepLines/>
        <w:ind w:left="-144" w:right="-144"/>
        <w:rPr>
          <w:bCs/>
        </w:rPr>
      </w:pPr>
    </w:p>
    <w:p w14:paraId="1091E8B1" w14:textId="77777777" w:rsidR="00FB7E5F" w:rsidRDefault="00FB7E5F" w:rsidP="00B30536">
      <w:pPr>
        <w:keepLines/>
        <w:ind w:left="-144" w:right="-144"/>
        <w:rPr>
          <w:bCs/>
        </w:rPr>
      </w:pPr>
    </w:p>
    <w:p w14:paraId="48988D9D" w14:textId="77777777" w:rsidR="00933073" w:rsidRDefault="00933073" w:rsidP="00E951F8">
      <w:pPr>
        <w:jc w:val="center"/>
        <w:rPr>
          <w:b/>
          <w:bCs/>
          <w:sz w:val="28"/>
          <w:szCs w:val="28"/>
        </w:rPr>
      </w:pPr>
    </w:p>
    <w:p w14:paraId="1F7DAC89" w14:textId="77777777" w:rsidR="00933073" w:rsidRDefault="00933073" w:rsidP="00E951F8">
      <w:pPr>
        <w:jc w:val="center"/>
        <w:rPr>
          <w:b/>
          <w:bCs/>
          <w:sz w:val="28"/>
          <w:szCs w:val="28"/>
        </w:rPr>
      </w:pPr>
    </w:p>
    <w:p w14:paraId="3350B7D9" w14:textId="77777777" w:rsidR="00933073" w:rsidRDefault="00933073" w:rsidP="00E951F8">
      <w:pPr>
        <w:jc w:val="center"/>
        <w:rPr>
          <w:b/>
          <w:bCs/>
          <w:sz w:val="28"/>
          <w:szCs w:val="28"/>
        </w:rPr>
      </w:pPr>
    </w:p>
    <w:p w14:paraId="3AA9BC86" w14:textId="77777777" w:rsidR="00933073" w:rsidRDefault="00933073" w:rsidP="00E951F8">
      <w:pPr>
        <w:jc w:val="center"/>
        <w:rPr>
          <w:b/>
          <w:bCs/>
          <w:sz w:val="28"/>
          <w:szCs w:val="28"/>
        </w:rPr>
      </w:pPr>
    </w:p>
    <w:p w14:paraId="1CB23F77" w14:textId="77777777" w:rsidR="00933073" w:rsidRDefault="00933073" w:rsidP="00E951F8">
      <w:pPr>
        <w:jc w:val="center"/>
        <w:rPr>
          <w:b/>
          <w:bCs/>
          <w:sz w:val="28"/>
          <w:szCs w:val="28"/>
        </w:rPr>
      </w:pPr>
    </w:p>
    <w:p w14:paraId="7D398973" w14:textId="77777777" w:rsidR="00933073" w:rsidRDefault="00933073" w:rsidP="00E951F8">
      <w:pPr>
        <w:jc w:val="center"/>
        <w:rPr>
          <w:b/>
          <w:bCs/>
          <w:sz w:val="28"/>
          <w:szCs w:val="28"/>
        </w:rPr>
      </w:pPr>
    </w:p>
    <w:p w14:paraId="235AFD16" w14:textId="77777777" w:rsidR="00933073" w:rsidRDefault="00933073" w:rsidP="00E951F8">
      <w:pPr>
        <w:jc w:val="center"/>
        <w:rPr>
          <w:b/>
          <w:bCs/>
          <w:sz w:val="28"/>
          <w:szCs w:val="28"/>
        </w:rPr>
      </w:pPr>
    </w:p>
    <w:p w14:paraId="74ABF5A7" w14:textId="77777777" w:rsidR="00933073" w:rsidRDefault="00933073" w:rsidP="00E951F8">
      <w:pPr>
        <w:jc w:val="center"/>
        <w:rPr>
          <w:b/>
          <w:bCs/>
          <w:sz w:val="28"/>
          <w:szCs w:val="28"/>
        </w:rPr>
      </w:pPr>
    </w:p>
    <w:p w14:paraId="03FBFE82" w14:textId="77777777" w:rsidR="00046774" w:rsidRDefault="00046774" w:rsidP="00E951F8">
      <w:pPr>
        <w:jc w:val="center"/>
        <w:rPr>
          <w:b/>
          <w:bCs/>
          <w:sz w:val="28"/>
          <w:szCs w:val="28"/>
        </w:rPr>
      </w:pPr>
    </w:p>
    <w:p w14:paraId="755F77FF" w14:textId="77777777" w:rsidR="00046774" w:rsidRDefault="00046774" w:rsidP="00E951F8">
      <w:pPr>
        <w:jc w:val="center"/>
        <w:rPr>
          <w:b/>
          <w:bCs/>
          <w:sz w:val="28"/>
          <w:szCs w:val="28"/>
        </w:rPr>
      </w:pPr>
    </w:p>
    <w:p w14:paraId="6A8B695F" w14:textId="77777777" w:rsidR="00046774" w:rsidRDefault="00046774" w:rsidP="00E951F8">
      <w:pPr>
        <w:jc w:val="center"/>
        <w:rPr>
          <w:b/>
          <w:bCs/>
          <w:sz w:val="28"/>
          <w:szCs w:val="28"/>
        </w:rPr>
      </w:pPr>
    </w:p>
    <w:p w14:paraId="0156458C" w14:textId="77777777" w:rsidR="00046774" w:rsidRDefault="00046774" w:rsidP="00E951F8">
      <w:pPr>
        <w:jc w:val="center"/>
        <w:rPr>
          <w:b/>
          <w:bCs/>
          <w:sz w:val="28"/>
          <w:szCs w:val="28"/>
        </w:rPr>
      </w:pPr>
    </w:p>
    <w:p w14:paraId="65B6ABC7" w14:textId="77777777" w:rsidR="00E951F8" w:rsidRPr="000961FE" w:rsidRDefault="00E951F8" w:rsidP="00E951F8">
      <w:pPr>
        <w:jc w:val="center"/>
        <w:rPr>
          <w:b/>
          <w:bCs/>
          <w:sz w:val="28"/>
          <w:szCs w:val="28"/>
        </w:rPr>
      </w:pPr>
      <w:r w:rsidRPr="000961FE">
        <w:rPr>
          <w:b/>
          <w:bCs/>
          <w:sz w:val="28"/>
          <w:szCs w:val="28"/>
        </w:rPr>
        <w:lastRenderedPageBreak/>
        <w:t>GLOSSARY</w:t>
      </w:r>
    </w:p>
    <w:p w14:paraId="2BE8D9AC" w14:textId="77777777" w:rsidR="00E951F8" w:rsidRPr="000961FE" w:rsidRDefault="00E951F8" w:rsidP="00E951F8">
      <w:pPr>
        <w:rPr>
          <w:b/>
          <w:bCs/>
        </w:rPr>
      </w:pPr>
    </w:p>
    <w:p w14:paraId="1EF35B67" w14:textId="77777777" w:rsidR="00E951F8" w:rsidRPr="000961FE" w:rsidRDefault="00E951F8" w:rsidP="00E951F8">
      <w:pPr>
        <w:jc w:val="both"/>
      </w:pPr>
      <w:r w:rsidRPr="000961FE">
        <w:rPr>
          <w:b/>
          <w:bCs/>
        </w:rPr>
        <w:t>Aggregate Lending:</w:t>
      </w:r>
      <w:r w:rsidRPr="000961FE">
        <w:t xml:space="preserve">  The number of loans originated and purchased by all reporting lenders in specified income categories as a percentage of the aggregate number of loans originated and purchased by all reporting lenders in the metropolitan area/</w:t>
      </w:r>
      <w:r>
        <w:t>AA</w:t>
      </w:r>
      <w:r w:rsidRPr="000961FE">
        <w:t>.</w:t>
      </w:r>
    </w:p>
    <w:p w14:paraId="79062F91" w14:textId="77777777" w:rsidR="00E951F8" w:rsidRPr="000961FE" w:rsidRDefault="00E951F8" w:rsidP="00E951F8">
      <w:pPr>
        <w:jc w:val="both"/>
        <w:rPr>
          <w:b/>
          <w:bCs/>
        </w:rPr>
      </w:pPr>
    </w:p>
    <w:p w14:paraId="7D5BD3DE" w14:textId="77777777" w:rsidR="00E951F8" w:rsidRPr="000961FE" w:rsidRDefault="00E951F8" w:rsidP="00E951F8">
      <w:pPr>
        <w:jc w:val="both"/>
        <w:rPr>
          <w:i/>
          <w:iCs/>
        </w:rPr>
      </w:pPr>
      <w:r w:rsidRPr="000961FE">
        <w:rPr>
          <w:b/>
          <w:bCs/>
        </w:rPr>
        <w:t xml:space="preserve">Area Median Income:  </w:t>
      </w:r>
      <w:r w:rsidRPr="000961FE">
        <w:t xml:space="preserve">The median family income for the </w:t>
      </w:r>
      <w:proofErr w:type="spellStart"/>
      <w:r w:rsidRPr="000961FE">
        <w:t>MSA</w:t>
      </w:r>
      <w:proofErr w:type="spellEnd"/>
      <w:r w:rsidRPr="000961FE">
        <w:t xml:space="preserve">, if a person or geography is located in an </w:t>
      </w:r>
      <w:proofErr w:type="spellStart"/>
      <w:r w:rsidRPr="000961FE">
        <w:t>MSA</w:t>
      </w:r>
      <w:proofErr w:type="spellEnd"/>
      <w:proofErr w:type="gramStart"/>
      <w:r w:rsidRPr="000961FE">
        <w:t>;</w:t>
      </w:r>
      <w:proofErr w:type="gramEnd"/>
      <w:r w:rsidRPr="000961FE">
        <w:t xml:space="preserve"> or the statewide nonmetropolitan median family income, if a person or geography is located outside an </w:t>
      </w:r>
      <w:proofErr w:type="spellStart"/>
      <w:r w:rsidRPr="000961FE">
        <w:t>MSA</w:t>
      </w:r>
      <w:proofErr w:type="spellEnd"/>
      <w:r w:rsidRPr="000961FE">
        <w:rPr>
          <w:i/>
          <w:iCs/>
        </w:rPr>
        <w:t>.</w:t>
      </w:r>
    </w:p>
    <w:p w14:paraId="46DBF824" w14:textId="77777777" w:rsidR="00E951F8" w:rsidRPr="000961FE" w:rsidRDefault="00E951F8" w:rsidP="00E951F8">
      <w:pPr>
        <w:jc w:val="both"/>
        <w:rPr>
          <w:b/>
          <w:bCs/>
        </w:rPr>
      </w:pPr>
    </w:p>
    <w:p w14:paraId="7FCB46BB" w14:textId="77777777" w:rsidR="00E951F8" w:rsidRPr="000961FE" w:rsidRDefault="00E951F8" w:rsidP="00E951F8">
      <w:pPr>
        <w:jc w:val="both"/>
      </w:pPr>
      <w:r w:rsidRPr="000961FE">
        <w:rPr>
          <w:b/>
          <w:bCs/>
        </w:rPr>
        <w:t>Assessment Area:</w:t>
      </w:r>
      <w:r w:rsidRPr="000961FE">
        <w:t xml:space="preserve">  A geographic area delineated by the institution under the requirements of the Community Reinvestment Act.</w:t>
      </w:r>
    </w:p>
    <w:p w14:paraId="346562FA" w14:textId="77777777" w:rsidR="00E951F8" w:rsidRPr="000961FE" w:rsidRDefault="00E951F8" w:rsidP="00E951F8">
      <w:pPr>
        <w:jc w:val="both"/>
        <w:rPr>
          <w:b/>
          <w:bCs/>
        </w:rPr>
      </w:pPr>
    </w:p>
    <w:p w14:paraId="3092F227" w14:textId="77777777" w:rsidR="00E951F8" w:rsidRPr="000961FE" w:rsidRDefault="00E951F8" w:rsidP="00E951F8">
      <w:pPr>
        <w:jc w:val="both"/>
      </w:pPr>
      <w:r w:rsidRPr="000961FE">
        <w:rPr>
          <w:b/>
          <w:bCs/>
        </w:rPr>
        <w:t xml:space="preserve">Census Tract:  </w:t>
      </w:r>
      <w:r w:rsidRPr="000961FE">
        <w:t>A small, relatively permanent statistical subdivision of a county or equivalent entity</w:t>
      </w:r>
      <w:proofErr w:type="gramStart"/>
      <w:r w:rsidRPr="000961FE">
        <w:t xml:space="preserve">.  </w:t>
      </w:r>
      <w:proofErr w:type="gramEnd"/>
      <w:r w:rsidRPr="000961FE">
        <w:t>The primary purpose of census tracts is to provide a stable set of geographic units for the presentation of statistical data</w:t>
      </w:r>
      <w:proofErr w:type="gramStart"/>
      <w:r w:rsidRPr="000961FE">
        <w:t xml:space="preserve">.  </w:t>
      </w:r>
      <w:proofErr w:type="gramEnd"/>
      <w:r w:rsidRPr="000961FE">
        <w:t>Census tracts generally have a population size between 1,200 and 8,000 people, with an optimum size of 4,000 people</w:t>
      </w:r>
      <w:proofErr w:type="gramStart"/>
      <w:r w:rsidRPr="000961FE">
        <w:t>.  </w:t>
      </w:r>
      <w:proofErr w:type="gramEnd"/>
      <w:r w:rsidRPr="000961FE">
        <w:t>Census tract boundaries generally follow visible and identifiable features, but they may follow nonvisible legal boundaries in some instances</w:t>
      </w:r>
      <w:proofErr w:type="gramStart"/>
      <w:r w:rsidRPr="000961FE">
        <w:t>.  </w:t>
      </w:r>
      <w:proofErr w:type="gramEnd"/>
      <w:r w:rsidRPr="000961FE">
        <w:t xml:space="preserve">State and county boundaries always are census tract boundaries.  </w:t>
      </w:r>
    </w:p>
    <w:p w14:paraId="10609A23" w14:textId="77777777" w:rsidR="00E951F8" w:rsidRPr="000961FE" w:rsidRDefault="00E951F8" w:rsidP="00E951F8">
      <w:pPr>
        <w:jc w:val="both"/>
        <w:rPr>
          <w:b/>
          <w:bCs/>
        </w:rPr>
      </w:pPr>
    </w:p>
    <w:p w14:paraId="6505EDA1" w14:textId="77777777" w:rsidR="00E951F8" w:rsidRPr="000961FE" w:rsidRDefault="00E951F8" w:rsidP="00E951F8">
      <w:pPr>
        <w:widowControl w:val="0"/>
        <w:jc w:val="both"/>
      </w:pPr>
      <w:r w:rsidRPr="000961FE">
        <w:rPr>
          <w:b/>
          <w:bCs/>
        </w:rPr>
        <w:t xml:space="preserve">Combined Statistical Area (CSA):  </w:t>
      </w:r>
      <w:r w:rsidRPr="000961FE">
        <w:t xml:space="preserve">A combination of several adjacent metropolitan statistical areas or </w:t>
      </w:r>
      <w:proofErr w:type="spellStart"/>
      <w:r w:rsidRPr="000961FE">
        <w:t>micropolitan</w:t>
      </w:r>
      <w:proofErr w:type="spellEnd"/>
      <w:r w:rsidRPr="000961FE">
        <w:t xml:space="preserve"> statistical areas or a mix of the two, which </w:t>
      </w:r>
      <w:proofErr w:type="gramStart"/>
      <w:r w:rsidRPr="000961FE">
        <w:t>are linked</w:t>
      </w:r>
      <w:proofErr w:type="gramEnd"/>
      <w:r w:rsidRPr="000961FE">
        <w:t xml:space="preserve"> by economic ties.  </w:t>
      </w:r>
    </w:p>
    <w:p w14:paraId="2F7A2D2E" w14:textId="77777777" w:rsidR="00E951F8" w:rsidRPr="000961FE" w:rsidRDefault="00E951F8" w:rsidP="00E951F8">
      <w:pPr>
        <w:jc w:val="both"/>
      </w:pPr>
    </w:p>
    <w:p w14:paraId="7D240291" w14:textId="77777777" w:rsidR="00E951F8" w:rsidRPr="000961FE" w:rsidRDefault="00E951F8" w:rsidP="00E951F8">
      <w:pPr>
        <w:jc w:val="both"/>
        <w:rPr>
          <w:b/>
          <w:bCs/>
        </w:rPr>
      </w:pPr>
      <w:r w:rsidRPr="000961FE">
        <w:rPr>
          <w:b/>
          <w:bCs/>
        </w:rPr>
        <w:t xml:space="preserve">Consumer Loan(s):  </w:t>
      </w:r>
      <w:r w:rsidRPr="000961FE">
        <w:t>A loan(s) to one or more individuals for household, family, or other personal expenditures</w:t>
      </w:r>
      <w:proofErr w:type="gramStart"/>
      <w:r w:rsidRPr="000961FE">
        <w:t xml:space="preserve">.  </w:t>
      </w:r>
      <w:proofErr w:type="gramEnd"/>
      <w:r w:rsidRPr="000961FE">
        <w:t>A consumer loan does not include a home mortgage, small business, or small farm loan</w:t>
      </w:r>
      <w:proofErr w:type="gramStart"/>
      <w:r w:rsidRPr="000961FE">
        <w:t xml:space="preserve">.  </w:t>
      </w:r>
      <w:proofErr w:type="gramEnd"/>
      <w:r w:rsidRPr="000961FE">
        <w:t>This definition includes the following categories: motor vehicle loans, credit card loans, home equity loans, other secured consumer loans, and other unsecured consumer loans.</w:t>
      </w:r>
    </w:p>
    <w:p w14:paraId="6983721B" w14:textId="77777777" w:rsidR="00E951F8" w:rsidRPr="000961FE" w:rsidRDefault="00E951F8" w:rsidP="00E951F8">
      <w:pPr>
        <w:pStyle w:val="HTMLPreformatted"/>
        <w:jc w:val="both"/>
        <w:rPr>
          <w:rFonts w:ascii="Times New Roman" w:hAnsi="Times New Roman"/>
          <w:sz w:val="24"/>
          <w:szCs w:val="24"/>
        </w:rPr>
      </w:pPr>
    </w:p>
    <w:p w14:paraId="72BD5258"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Core Based Statistical Area (</w:t>
      </w:r>
      <w:proofErr w:type="spellStart"/>
      <w:r w:rsidRPr="000961FE">
        <w:rPr>
          <w:b/>
          <w:bCs/>
        </w:rPr>
        <w:t>CBSA</w:t>
      </w:r>
      <w:proofErr w:type="spellEnd"/>
      <w:r w:rsidRPr="000961FE">
        <w:rPr>
          <w:b/>
          <w:bCs/>
        </w:rPr>
        <w:t xml:space="preserve">):  </w:t>
      </w:r>
      <w:r w:rsidRPr="000961FE">
        <w:t>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w:t>
      </w:r>
      <w:proofErr w:type="gramStart"/>
      <w:r w:rsidRPr="000961FE">
        <w:t xml:space="preserve">.  </w:t>
      </w:r>
      <w:proofErr w:type="gramEnd"/>
      <w:r w:rsidRPr="000961FE">
        <w:t xml:space="preserve">Metropolitan and </w:t>
      </w:r>
      <w:proofErr w:type="spellStart"/>
      <w:r w:rsidRPr="000961FE">
        <w:t>Micropolitan</w:t>
      </w:r>
      <w:proofErr w:type="spellEnd"/>
      <w:r w:rsidRPr="000961FE">
        <w:t xml:space="preserve"> Statistical Areas are the two categories of </w:t>
      </w:r>
      <w:proofErr w:type="spellStart"/>
      <w:r w:rsidRPr="000961FE">
        <w:t>CBSAs</w:t>
      </w:r>
      <w:proofErr w:type="spellEnd"/>
      <w:r w:rsidRPr="000961FE">
        <w:t xml:space="preserve">. </w:t>
      </w:r>
    </w:p>
    <w:p w14:paraId="640CE052" w14:textId="77777777" w:rsidR="00E951F8" w:rsidRPr="000961FE" w:rsidRDefault="00E951F8" w:rsidP="00E951F8">
      <w:pPr>
        <w:pStyle w:val="HTMLPreformatted"/>
        <w:jc w:val="both"/>
        <w:rPr>
          <w:rFonts w:ascii="Times New Roman" w:hAnsi="Times New Roman"/>
          <w:sz w:val="24"/>
          <w:szCs w:val="24"/>
        </w:rPr>
      </w:pPr>
    </w:p>
    <w:p w14:paraId="5D06886C"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Family:</w:t>
      </w:r>
      <w:r w:rsidRPr="000961FE">
        <w:t xml:space="preserve">  Includes a householder and one or more other persons living in the same household who are related to the householder by birth, marriage, or adoption</w:t>
      </w:r>
      <w:proofErr w:type="gramStart"/>
      <w:r w:rsidRPr="000961FE">
        <w:t xml:space="preserve">.  </w:t>
      </w:r>
      <w:proofErr w:type="gramEnd"/>
      <w:r w:rsidRPr="000961FE">
        <w:t>The number of family households always equals the number of families; however, a family household may also include non-relatives living with the family</w:t>
      </w:r>
      <w:proofErr w:type="gramStart"/>
      <w:r w:rsidRPr="000961FE">
        <w:t xml:space="preserve">.  </w:t>
      </w:r>
      <w:proofErr w:type="gramEnd"/>
      <w:r w:rsidRPr="000961FE">
        <w:t>Families are classified by type as either a married-couple family or other family</w:t>
      </w:r>
      <w:proofErr w:type="gramStart"/>
      <w:r w:rsidRPr="000961FE">
        <w:t xml:space="preserve">.  </w:t>
      </w:r>
      <w:proofErr w:type="gramEnd"/>
      <w:r w:rsidRPr="000961FE">
        <w:t>Other family is further classified into “male householder” (a family with a male householder and no wife present) or “female householder” (a family with a female householder and no husband present).</w:t>
      </w:r>
    </w:p>
    <w:p w14:paraId="5EAC80E2"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AD93C4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Family Income:</w:t>
      </w:r>
      <w:r w:rsidRPr="000961FE">
        <w:t xml:space="preserve">  Includes the income of all members of a family that are age 15 and older.</w:t>
      </w:r>
    </w:p>
    <w:p w14:paraId="1AEAA2B9"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67163C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0961FE">
        <w:rPr>
          <w:b/>
          <w:bCs/>
        </w:rPr>
        <w:t>FFIEC</w:t>
      </w:r>
      <w:proofErr w:type="spellEnd"/>
      <w:r w:rsidRPr="000961FE">
        <w:rPr>
          <w:b/>
          <w:bCs/>
        </w:rPr>
        <w:t xml:space="preserve">-Estimated Income Data:  </w:t>
      </w:r>
      <w:r w:rsidRPr="000961FE">
        <w:t>The Federal Financial Institutions Examination Council (</w:t>
      </w:r>
      <w:proofErr w:type="spellStart"/>
      <w:r w:rsidRPr="000961FE">
        <w:t>FFIEC</w:t>
      </w:r>
      <w:proofErr w:type="spellEnd"/>
      <w:r w:rsidRPr="000961FE">
        <w:t xml:space="preserve">) issues annual estimates which update median family income from the metropolitan and </w:t>
      </w:r>
      <w:r w:rsidRPr="000961FE">
        <w:lastRenderedPageBreak/>
        <w:t>nonmetropolitan areas</w:t>
      </w:r>
      <w:proofErr w:type="gramStart"/>
      <w:r w:rsidRPr="000961FE">
        <w:t xml:space="preserve">.  </w:t>
      </w:r>
      <w:proofErr w:type="gramEnd"/>
      <w:r w:rsidRPr="000961FE">
        <w:t xml:space="preserve">The </w:t>
      </w:r>
      <w:proofErr w:type="spellStart"/>
      <w:r w:rsidRPr="000961FE">
        <w:t>FFIEC</w:t>
      </w:r>
      <w:proofErr w:type="spellEnd"/>
      <w:r w:rsidRPr="000961FE">
        <w:t xml:space="preserve"> uses American Community Survey data and factors in information from other sources to arrive at an annual estimate that more closely reflects current economic conditions.</w:t>
      </w:r>
    </w:p>
    <w:p w14:paraId="370CC712"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3DBCDC"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Full-Scope Review:  </w:t>
      </w:r>
      <w:r w:rsidRPr="000961FE">
        <w:t xml:space="preserve">A full-scope review is accomplished when examiners complete all applicable interagency examination procedures for an </w:t>
      </w:r>
      <w:r>
        <w:t>AA</w:t>
      </w:r>
      <w:proofErr w:type="gramStart"/>
      <w:r w:rsidRPr="000961FE">
        <w:t xml:space="preserve">.  </w:t>
      </w:r>
      <w:proofErr w:type="gramEnd"/>
      <w:r w:rsidRPr="000961FE">
        <w:t>Performance under applicable tests is analyzed considering performance context, quantitative factors (for example, geographic distribution, borrower profile, and total number and dollar amount of investments), and qualitative factors (for example, innovativeness, complexity, and responsiveness).</w:t>
      </w:r>
    </w:p>
    <w:p w14:paraId="5B82E3B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65D7BE"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961FE">
        <w:rPr>
          <w:b/>
          <w:bCs/>
        </w:rPr>
        <w:t xml:space="preserve">Geography:  </w:t>
      </w:r>
      <w:r w:rsidRPr="000961FE">
        <w:t>A census tract delineated by the United States Bureau of the Census in the most recent</w:t>
      </w:r>
      <w:r>
        <w:t xml:space="preserve"> </w:t>
      </w:r>
      <w:r w:rsidRPr="000961FE">
        <w:t>decennial</w:t>
      </w:r>
      <w:r>
        <w:t xml:space="preserve"> </w:t>
      </w:r>
      <w:r w:rsidRPr="000961FE">
        <w:t>census</w:t>
      </w:r>
      <w:proofErr w:type="gramStart"/>
      <w:r w:rsidRPr="000961FE">
        <w:t xml:space="preserve">.  </w:t>
      </w:r>
      <w:proofErr w:type="gramEnd"/>
      <w:r w:rsidRPr="000961FE">
        <w:br/>
      </w:r>
    </w:p>
    <w:p w14:paraId="29125F1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Home Mortgage Disclosure Act (HMDA):  </w:t>
      </w:r>
      <w:r w:rsidRPr="000961FE">
        <w:t>The statute that requires certain mortgage lenders that do business or have banking offices in a metropolitan statistical area to file annual summary reports of their mortgage lending activity</w:t>
      </w:r>
      <w:proofErr w:type="gramStart"/>
      <w:r w:rsidRPr="000961FE">
        <w:t xml:space="preserve">.  </w:t>
      </w:r>
      <w:proofErr w:type="gramEnd"/>
      <w:r w:rsidRPr="000961FE">
        <w:t>The reports include such data as the race, gender, and the income of applicants; the amount of loan requested; and the disposition of the application (approved, denied, and withdrawn).</w:t>
      </w:r>
    </w:p>
    <w:p w14:paraId="40D7426F"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D1C7BEF"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961FE">
        <w:rPr>
          <w:b/>
          <w:bCs/>
        </w:rPr>
        <w:t>Home Mortgage Disclosure Loan Application Register (HMDA LAR):</w:t>
      </w:r>
      <w:r w:rsidRPr="000961FE">
        <w:t xml:space="preserve">  The HMDA </w:t>
      </w:r>
      <w:proofErr w:type="spellStart"/>
      <w:r w:rsidRPr="000961FE">
        <w:t>LARs</w:t>
      </w:r>
      <w:proofErr w:type="spellEnd"/>
      <w:r w:rsidRPr="000961FE">
        <w:t xml:space="preserve"> record all applications received for residential purchase, refinance, home improvement, and temporary-to-permanent construction loans.</w:t>
      </w:r>
      <w:proofErr w:type="gramEnd"/>
    </w:p>
    <w:p w14:paraId="68CB50F8"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EE2F6E" w14:textId="77777777" w:rsidR="00E951F8" w:rsidRPr="000961FE" w:rsidRDefault="00E951F8" w:rsidP="00E951F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0961FE">
        <w:rPr>
          <w:rFonts w:ascii="Times New Roman" w:hAnsi="Times New Roman"/>
          <w:b/>
          <w:sz w:val="24"/>
          <w:szCs w:val="24"/>
        </w:rPr>
        <w:t>Home Mortgage Loans:</w:t>
      </w:r>
      <w:r w:rsidRPr="000961FE">
        <w:rPr>
          <w:rFonts w:ascii="Times New Roman" w:hAnsi="Times New Roman"/>
          <w:sz w:val="24"/>
          <w:szCs w:val="24"/>
        </w:rPr>
        <w:t xml:space="preserve">  Includes home purchase and home improvement loans as defined in the HMDA regulation</w:t>
      </w:r>
      <w:proofErr w:type="gramStart"/>
      <w:r w:rsidRPr="000961FE">
        <w:rPr>
          <w:rFonts w:ascii="Times New Roman" w:hAnsi="Times New Roman"/>
          <w:sz w:val="24"/>
          <w:szCs w:val="24"/>
        </w:rPr>
        <w:t>.</w:t>
      </w:r>
      <w:r w:rsidRPr="000961FE">
        <w:rPr>
          <w:rFonts w:ascii="Times New Roman" w:hAnsi="Times New Roman"/>
        </w:rPr>
        <w:t xml:space="preserve">  </w:t>
      </w:r>
      <w:proofErr w:type="gramEnd"/>
      <w:r w:rsidRPr="000961FE">
        <w:rPr>
          <w:rFonts w:ascii="Times New Roman" w:hAnsi="Times New Roman"/>
          <w:sz w:val="24"/>
          <w:szCs w:val="24"/>
        </w:rPr>
        <w:t>This definition also includes multi-family (five or more families) dwelling loans, loans to purchase manufactured homes, and refinancing of home improvement and home purchase loans.</w:t>
      </w:r>
    </w:p>
    <w:p w14:paraId="7E9E7A08" w14:textId="77777777" w:rsidR="00E951F8" w:rsidRPr="000961FE" w:rsidRDefault="00E951F8" w:rsidP="00E951F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p>
    <w:p w14:paraId="20BC7467"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Household:</w:t>
      </w:r>
      <w:r w:rsidRPr="000961FE">
        <w:t xml:space="preserve">  Includes all persons occupying a housing unit</w:t>
      </w:r>
      <w:proofErr w:type="gramStart"/>
      <w:r w:rsidRPr="000961FE">
        <w:t xml:space="preserve">.  </w:t>
      </w:r>
      <w:proofErr w:type="gramEnd"/>
      <w:r w:rsidRPr="000961FE">
        <w:t>Persons not living in households are classified as living in group quarters</w:t>
      </w:r>
      <w:proofErr w:type="gramStart"/>
      <w:r w:rsidRPr="000961FE">
        <w:t xml:space="preserve">.  </w:t>
      </w:r>
      <w:proofErr w:type="gramEnd"/>
      <w:r w:rsidRPr="000961FE">
        <w:t>In 100 percent tabulations, the count of households always equals the count of occupied housing units.</w:t>
      </w:r>
    </w:p>
    <w:p w14:paraId="78CA51AE"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4AC7E3F"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Household Income:</w:t>
      </w:r>
      <w:r w:rsidRPr="000961FE">
        <w:t xml:space="preserve">  Includes the income of the householder and all other persons that are age 15 and older in the household, whether related to the householder or not</w:t>
      </w:r>
      <w:proofErr w:type="gramStart"/>
      <w:r w:rsidRPr="000961FE">
        <w:t xml:space="preserve">.  </w:t>
      </w:r>
      <w:proofErr w:type="gramEnd"/>
      <w:r w:rsidRPr="000961FE">
        <w:t>Because many households are only one person, median household income is usually less than median family income.</w:t>
      </w:r>
    </w:p>
    <w:p w14:paraId="6873D814"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356303"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Housing Unit:  </w:t>
      </w:r>
      <w:r w:rsidRPr="000961FE">
        <w:t xml:space="preserve">Includes a house, an apartment, a mobile home, a group of rooms, or a single room that </w:t>
      </w:r>
      <w:proofErr w:type="gramStart"/>
      <w:r w:rsidRPr="000961FE">
        <w:t>is occupied</w:t>
      </w:r>
      <w:proofErr w:type="gramEnd"/>
      <w:r w:rsidRPr="000961FE">
        <w:t xml:space="preserve"> as separate living quarters.</w:t>
      </w:r>
    </w:p>
    <w:p w14:paraId="7E244B9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17405F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Limited-Scope Review:  </w:t>
      </w:r>
      <w:r w:rsidRPr="000961FE">
        <w:t xml:space="preserve">A limited scope review </w:t>
      </w:r>
      <w:proofErr w:type="gramStart"/>
      <w:r w:rsidRPr="000961FE">
        <w:t>is accomplished</w:t>
      </w:r>
      <w:proofErr w:type="gramEnd"/>
      <w:r w:rsidRPr="000961FE">
        <w:t xml:space="preserve"> when examiners do not complete all applicable interagency examination procedures for an </w:t>
      </w:r>
      <w:r>
        <w:t>AA</w:t>
      </w:r>
      <w:r w:rsidRPr="000961FE">
        <w:t xml:space="preserve">.  </w:t>
      </w:r>
    </w:p>
    <w:p w14:paraId="6B14C99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t xml:space="preserve">Performance under applicable tests </w:t>
      </w:r>
      <w:proofErr w:type="gramStart"/>
      <w:r w:rsidRPr="000961FE">
        <w:t>is often analyzed</w:t>
      </w:r>
      <w:proofErr w:type="gramEnd"/>
      <w:r w:rsidRPr="000961FE">
        <w:t xml:space="preserve"> using only quantitative factors (for example, geographic distribution, borrower profile, total number and dollar amount of investments, and branch distribution).</w:t>
      </w:r>
    </w:p>
    <w:p w14:paraId="178673EF"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961FE">
        <w:rPr>
          <w:b/>
          <w:bCs/>
        </w:rPr>
        <w:t xml:space="preserve">Low-Income:  </w:t>
      </w:r>
      <w:r w:rsidRPr="000961FE">
        <w:t>Individual income that is less than 50 percent of the area median income, or a median family income that is less than 50 percent in the case of a geography.</w:t>
      </w:r>
      <w:proofErr w:type="gramEnd"/>
      <w:r w:rsidRPr="000961FE">
        <w:t xml:space="preserve"> </w:t>
      </w:r>
    </w:p>
    <w:p w14:paraId="1C1A55CB"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95A088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lastRenderedPageBreak/>
        <w:t xml:space="preserve">Market Share:  </w:t>
      </w:r>
      <w:r w:rsidRPr="000961FE">
        <w:t>The number of loans originated and purchased by the institution as a percentage of the aggregate number of loans originated and purchased by all reporting lenders in the metropolitan area/</w:t>
      </w:r>
      <w:r>
        <w:t>AA</w:t>
      </w:r>
      <w:r w:rsidRPr="000961FE">
        <w:t>.</w:t>
      </w:r>
    </w:p>
    <w:p w14:paraId="4E066E0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7B7B87D"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Median Income:  </w:t>
      </w:r>
      <w:r w:rsidRPr="000961FE">
        <w:t xml:space="preserve">The median income divides the income distribution into two equal parts, </w:t>
      </w:r>
      <w:proofErr w:type="gramStart"/>
      <w:r w:rsidRPr="000961FE">
        <w:t>one having</w:t>
      </w:r>
      <w:proofErr w:type="gramEnd"/>
      <w:r w:rsidRPr="000961FE">
        <w:t xml:space="preserve"> incomes above the median and other having incomes below the median.</w:t>
      </w:r>
    </w:p>
    <w:p w14:paraId="0E2D8B39"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442CE32"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Metropolitan Division (MD):  </w:t>
      </w:r>
      <w:r w:rsidRPr="000961FE">
        <w:t xml:space="preserve">A county or group of counties within a </w:t>
      </w:r>
      <w:proofErr w:type="spellStart"/>
      <w:r w:rsidRPr="000961FE">
        <w:t>CBSA</w:t>
      </w:r>
      <w:proofErr w:type="spellEnd"/>
      <w:r w:rsidRPr="000961FE">
        <w:t xml:space="preserve"> that contain(s) an urbanized area with a population of at least 2.5 million</w:t>
      </w:r>
      <w:proofErr w:type="gramStart"/>
      <w:r w:rsidRPr="000961FE">
        <w:t xml:space="preserve">.  </w:t>
      </w:r>
      <w:proofErr w:type="gramEnd"/>
      <w:r w:rsidRPr="000961FE">
        <w:t xml:space="preserve">A MD is one or more main/secondary counties representing an employment center or centers, plus adjacent counties associated with the main/secondary county or counties through commuting ties.  </w:t>
      </w:r>
    </w:p>
    <w:p w14:paraId="11ED0864"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D67AEF5"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Metropolitan Statistical Area (</w:t>
      </w:r>
      <w:proofErr w:type="spellStart"/>
      <w:r w:rsidRPr="000961FE">
        <w:rPr>
          <w:b/>
          <w:bCs/>
        </w:rPr>
        <w:t>MSA</w:t>
      </w:r>
      <w:proofErr w:type="spellEnd"/>
      <w:r w:rsidRPr="000961FE">
        <w:rPr>
          <w:b/>
          <w:bCs/>
        </w:rPr>
        <w:t xml:space="preserve">):  </w:t>
      </w:r>
      <w:proofErr w:type="spellStart"/>
      <w:r w:rsidRPr="000961FE">
        <w:t>CBSA</w:t>
      </w:r>
      <w:proofErr w:type="spellEnd"/>
      <w:r w:rsidRPr="000961FE">
        <w:t xml:space="preserve"> associated with at least one urbanized area having a population of at least 50,000</w:t>
      </w:r>
      <w:proofErr w:type="gramStart"/>
      <w:r w:rsidRPr="000961FE">
        <w:t xml:space="preserve">.  </w:t>
      </w:r>
      <w:proofErr w:type="gramEnd"/>
      <w:r w:rsidRPr="000961FE">
        <w:t xml:space="preserve">The </w:t>
      </w:r>
      <w:proofErr w:type="spellStart"/>
      <w:r w:rsidRPr="000961FE">
        <w:t>MSA</w:t>
      </w:r>
      <w:proofErr w:type="spellEnd"/>
      <w:r w:rsidRPr="000961FE">
        <w:t xml:space="preserve"> comprises the central county or counties or equivalent entities containing the core, plus adjacent outlying counties having a high degree of social and economic integration with the central county or counties as measured through commuting. </w:t>
      </w:r>
    </w:p>
    <w:p w14:paraId="1DAFC38C"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EDA3D4"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0961FE">
        <w:rPr>
          <w:b/>
          <w:bCs/>
        </w:rPr>
        <w:t>Micropolitan</w:t>
      </w:r>
      <w:proofErr w:type="spellEnd"/>
      <w:r w:rsidRPr="000961FE">
        <w:rPr>
          <w:b/>
          <w:bCs/>
        </w:rPr>
        <w:t xml:space="preserve"> Statistical Area:  </w:t>
      </w:r>
      <w:proofErr w:type="spellStart"/>
      <w:r w:rsidRPr="000961FE">
        <w:t>CBSA</w:t>
      </w:r>
      <w:proofErr w:type="spellEnd"/>
      <w:r w:rsidRPr="000961FE">
        <w:t xml:space="preserve"> associated with at least one urbanized area having a population of at least 10,000, but less than 50,000.</w:t>
      </w:r>
    </w:p>
    <w:p w14:paraId="09B2F148"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0DF14F9"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Middle-Income:  </w:t>
      </w:r>
      <w:r w:rsidRPr="000961FE">
        <w:t>Individual income that is at least 80 percent and less than 120 percent of the area median income, or a median family income that is at least 80 and less than 120 percent in the case of a geography.</w:t>
      </w:r>
    </w:p>
    <w:p w14:paraId="793468AC"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AA094F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961FE">
        <w:rPr>
          <w:b/>
          <w:bCs/>
        </w:rPr>
        <w:t>Moderate-Income:</w:t>
      </w:r>
      <w:r w:rsidRPr="000961FE">
        <w:t xml:space="preserve">  Individual income that is at least 50 percent and less than 80 percent of the area median income, or a median family income that is at least 50 and less than 80 percent in the case of a geography.</w:t>
      </w:r>
    </w:p>
    <w:p w14:paraId="2D803CD3"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BAA23C0"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Multi-family:  </w:t>
      </w:r>
      <w:r w:rsidRPr="000961FE">
        <w:t>Refers to</w:t>
      </w:r>
      <w:r w:rsidRPr="000961FE">
        <w:rPr>
          <w:b/>
          <w:bCs/>
        </w:rPr>
        <w:t xml:space="preserve"> </w:t>
      </w:r>
      <w:r w:rsidRPr="000961FE">
        <w:t>a residential structure that contains five or more units.</w:t>
      </w:r>
    </w:p>
    <w:p w14:paraId="392A3FF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4E4979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Nonmetropolitan Area:</w:t>
      </w:r>
      <w:r w:rsidRPr="000961FE">
        <w:t xml:space="preserve">  All areas outside of metropolitan areas</w:t>
      </w:r>
      <w:proofErr w:type="gramStart"/>
      <w:r w:rsidRPr="000961FE">
        <w:t xml:space="preserve">.  </w:t>
      </w:r>
      <w:proofErr w:type="gramEnd"/>
      <w:r w:rsidRPr="000961FE">
        <w:t>The definition of nonmetropolitan area is not consistent with the definition of rural areas</w:t>
      </w:r>
      <w:proofErr w:type="gramStart"/>
      <w:r w:rsidRPr="000961FE">
        <w:t xml:space="preserve">.  </w:t>
      </w:r>
      <w:proofErr w:type="gramEnd"/>
      <w:r w:rsidRPr="000961FE">
        <w:t>Urban and rural classifications cut across the other hierarchies</w:t>
      </w:r>
      <w:proofErr w:type="gramStart"/>
      <w:r w:rsidRPr="000961FE">
        <w:t xml:space="preserve">.  </w:t>
      </w:r>
      <w:proofErr w:type="gramEnd"/>
      <w:r w:rsidRPr="000961FE">
        <w:t>For example, there is generally urban and rural territory within metropolitan and nonmetropolitan areas.</w:t>
      </w:r>
    </w:p>
    <w:p w14:paraId="70981973"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615475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Owner-Occupied Units:</w:t>
      </w:r>
      <w:r w:rsidRPr="000961FE">
        <w:t xml:space="preserve">  Includes units occupied by the owner or co-owner, even if the unit </w:t>
      </w:r>
      <w:proofErr w:type="gramStart"/>
      <w:r w:rsidRPr="000961FE">
        <w:t>has not been fully paid for</w:t>
      </w:r>
      <w:proofErr w:type="gramEnd"/>
      <w:r w:rsidRPr="000961FE">
        <w:t xml:space="preserve"> or is mortgaged.</w:t>
      </w:r>
    </w:p>
    <w:p w14:paraId="495DAFB0"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A29D4CC"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val="0"/>
        </w:rPr>
      </w:pPr>
      <w:r w:rsidRPr="000961FE">
        <w:rPr>
          <w:b/>
          <w:bCs/>
        </w:rPr>
        <w:t>Rated Area:</w:t>
      </w:r>
      <w:r w:rsidRPr="000961FE">
        <w:t xml:space="preserve">  </w:t>
      </w:r>
      <w:r w:rsidRPr="000961FE">
        <w:rPr>
          <w:snapToGrid w:val="0"/>
        </w:rPr>
        <w:t>A rated area is a state or multistate metropolitan area</w:t>
      </w:r>
      <w:proofErr w:type="gramStart"/>
      <w:r w:rsidRPr="000961FE">
        <w:rPr>
          <w:snapToGrid w:val="0"/>
        </w:rPr>
        <w:t xml:space="preserve">.  </w:t>
      </w:r>
      <w:proofErr w:type="gramEnd"/>
      <w:r w:rsidRPr="000961FE">
        <w:rPr>
          <w:snapToGrid w:val="0"/>
        </w:rPr>
        <w:t>For an institution with domestic branches in only one state, the institution’s CRA rating would be the state rating</w:t>
      </w:r>
      <w:proofErr w:type="gramStart"/>
      <w:r w:rsidRPr="000961FE">
        <w:rPr>
          <w:snapToGrid w:val="0"/>
        </w:rPr>
        <w:t xml:space="preserve">.  </w:t>
      </w:r>
      <w:proofErr w:type="gramEnd"/>
      <w:r w:rsidRPr="000961FE">
        <w:rPr>
          <w:snapToGrid w:val="0"/>
        </w:rPr>
        <w:t>If an institution maintains domestic branches in more than one state, the institution will receive a rating for each state in which those branches are located</w:t>
      </w:r>
      <w:proofErr w:type="gramStart"/>
      <w:r w:rsidRPr="000961FE">
        <w:rPr>
          <w:snapToGrid w:val="0"/>
        </w:rPr>
        <w:t xml:space="preserve">.  </w:t>
      </w:r>
      <w:proofErr w:type="gramEnd"/>
      <w:r w:rsidRPr="000961FE">
        <w:rPr>
          <w:snapToGrid w:val="0"/>
        </w:rPr>
        <w:t xml:space="preserve">If an institution maintains domestic branches in two or more states within a multistate metropolitan area, the institution will receive a rating for the multistate metropolitan area.  </w:t>
      </w:r>
    </w:p>
    <w:p w14:paraId="21D55221"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FBC826D"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Rural Area:</w:t>
      </w:r>
      <w:r w:rsidRPr="000961FE">
        <w:t xml:space="preserve">  Territories, populations, and housing units that </w:t>
      </w:r>
      <w:proofErr w:type="gramStart"/>
      <w:r w:rsidRPr="000961FE">
        <w:t>are not classified</w:t>
      </w:r>
      <w:proofErr w:type="gramEnd"/>
      <w:r w:rsidRPr="000961FE">
        <w:t xml:space="preserve"> as urban.</w:t>
      </w:r>
    </w:p>
    <w:p w14:paraId="4DE4392F"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7292A5"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Small Business Loan:</w:t>
      </w:r>
      <w:r w:rsidRPr="000961FE">
        <w:t xml:space="preserve">  A loan included in “loans to small businesses” as defined in the Consolidated Report of Condition and Income (Call Report)</w:t>
      </w:r>
      <w:proofErr w:type="gramStart"/>
      <w:r w:rsidRPr="000961FE">
        <w:t xml:space="preserve">.  </w:t>
      </w:r>
      <w:proofErr w:type="gramEnd"/>
      <w:r w:rsidRPr="000961FE">
        <w:t xml:space="preserve">These loans have original amounts of $1 million or less and are </w:t>
      </w:r>
      <w:proofErr w:type="gramStart"/>
      <w:r w:rsidRPr="000961FE">
        <w:t>either secured</w:t>
      </w:r>
      <w:proofErr w:type="gramEnd"/>
      <w:r w:rsidRPr="000961FE">
        <w:t xml:space="preserve"> by nonfarm nonresidential properties or are classified as commercial and industrial loans.</w:t>
      </w:r>
    </w:p>
    <w:p w14:paraId="1170A43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9590835"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 xml:space="preserve">Small Farm Loan:  </w:t>
      </w:r>
      <w:r w:rsidRPr="000961FE">
        <w:t>A loan included in “loans to small farms” as defined in the instructions for preparation of the Consolidated Report of Condition and Income (Call Report)</w:t>
      </w:r>
      <w:proofErr w:type="gramStart"/>
      <w:r w:rsidRPr="000961FE">
        <w:t xml:space="preserve">.  </w:t>
      </w:r>
      <w:proofErr w:type="gramEnd"/>
      <w:r w:rsidRPr="000961FE">
        <w:t xml:space="preserve">These loans have original amounts of $500,000 or less and are </w:t>
      </w:r>
      <w:proofErr w:type="gramStart"/>
      <w:r w:rsidRPr="000961FE">
        <w:t>either secured</w:t>
      </w:r>
      <w:proofErr w:type="gramEnd"/>
      <w:r w:rsidRPr="000961FE">
        <w:t xml:space="preserve"> by farmland, including farm residential and other improvements, or are classified as loans to finance agricultural production and other loans to farmers.</w:t>
      </w:r>
    </w:p>
    <w:p w14:paraId="579CA980"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1F81F2"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Underserved Middle-Income Nonmetropolitan Geographies:</w:t>
      </w:r>
      <w:r w:rsidRPr="000961FE">
        <w:t xml:space="preserve">  A nonmetropolitan middle-income geography will be designated as underserved if it meets criteria for population size, density, and dispersion indicating the area’s population is sufficiently small, thin, and distant from a population center that the tract is likely to have difficulty financing the fixed costs of meeting essential community needs. </w:t>
      </w:r>
    </w:p>
    <w:p w14:paraId="43C8F0B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EC7611E"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961FE">
        <w:rPr>
          <w:b/>
          <w:bCs/>
        </w:rPr>
        <w:t>Upper-Income:</w:t>
      </w:r>
      <w:r w:rsidRPr="000961FE">
        <w:t xml:space="preserve">  Individual income that is 120 percent or more of the area median income, or a median family income that is 120 percent or more in the case of a geography.</w:t>
      </w:r>
      <w:proofErr w:type="gramEnd"/>
      <w:r w:rsidRPr="000961FE">
        <w:t xml:space="preserve"> </w:t>
      </w:r>
    </w:p>
    <w:p w14:paraId="11E57E10"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C21EE33"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rPr>
          <w:b/>
          <w:bCs/>
        </w:rPr>
        <w:t>Urban</w:t>
      </w:r>
      <w:r w:rsidRPr="000961FE">
        <w:t xml:space="preserve"> </w:t>
      </w:r>
      <w:r w:rsidRPr="000961FE">
        <w:rPr>
          <w:b/>
          <w:bCs/>
        </w:rPr>
        <w:t xml:space="preserve">Area:  </w:t>
      </w:r>
      <w:r w:rsidRPr="000961FE">
        <w:t>All territories, populations, and housing units in urbanized areas and in places of 2,500 or more persons outside urbanized areas</w:t>
      </w:r>
      <w:proofErr w:type="gramStart"/>
      <w:r w:rsidRPr="000961FE">
        <w:t xml:space="preserve">.  </w:t>
      </w:r>
      <w:proofErr w:type="gramEnd"/>
      <w:r w:rsidRPr="000961FE">
        <w:t xml:space="preserve">More specifically, “urban” consists of territory, persons, and housing units in places of 2,500 or more persons incorporated as cities, villages, boroughs (except in Alaska and New York), and towns (except in the New England states, New York, and Wisconsin).  </w:t>
      </w:r>
    </w:p>
    <w:p w14:paraId="2CBBF1D2"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138D038"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61FE">
        <w:t>“Urban” excludes the rural portions of “extended cities”; census designated place of 2,500 or more persons; and other territory, incorporated or unincorporated, including in urbanized areas.</w:t>
      </w:r>
    </w:p>
    <w:p w14:paraId="3B98C066"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E19CA8A" w14:textId="77777777" w:rsidR="00E951F8" w:rsidRPr="000961FE" w:rsidRDefault="00E951F8" w:rsidP="00E9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4"/>
          <w:sz w:val="28"/>
          <w:szCs w:val="28"/>
        </w:rPr>
        <w:sectPr w:rsidR="00E951F8" w:rsidRPr="000961FE" w:rsidSect="00047BCA">
          <w:pgSz w:w="12240" w:h="15840"/>
          <w:pgMar w:top="1440" w:right="1440" w:bottom="1440" w:left="1440" w:header="720" w:footer="720" w:gutter="0"/>
          <w:pgNumType w:start="1"/>
          <w:cols w:space="720"/>
          <w:docGrid w:linePitch="326"/>
        </w:sectPr>
      </w:pPr>
    </w:p>
    <w:p w14:paraId="6E7C06E4" w14:textId="77777777" w:rsidR="00E951F8" w:rsidRPr="000961FE" w:rsidRDefault="00E951F8" w:rsidP="00431493">
      <w:pPr>
        <w:tabs>
          <w:tab w:val="center" w:pos="4680"/>
        </w:tabs>
        <w:ind w:right="18"/>
        <w:jc w:val="center"/>
        <w:rPr>
          <w:b/>
          <w:spacing w:val="-3"/>
          <w:sz w:val="28"/>
          <w:szCs w:val="28"/>
        </w:rPr>
      </w:pPr>
      <w:r w:rsidRPr="000961FE">
        <w:rPr>
          <w:b/>
          <w:spacing w:val="-4"/>
          <w:sz w:val="28"/>
          <w:szCs w:val="28"/>
        </w:rPr>
        <w:lastRenderedPageBreak/>
        <w:t>PERFORMANCE EVALUATION DISCLOSURE GUIDE</w:t>
      </w:r>
    </w:p>
    <w:p w14:paraId="27215549" w14:textId="77777777" w:rsidR="00E951F8" w:rsidRPr="000961FE" w:rsidRDefault="00E951F8" w:rsidP="00431493">
      <w:pPr>
        <w:tabs>
          <w:tab w:val="left" w:pos="720"/>
          <w:tab w:val="left" w:pos="1320"/>
          <w:tab w:val="left" w:pos="1680"/>
        </w:tabs>
        <w:ind w:right="18"/>
        <w:jc w:val="both"/>
        <w:rPr>
          <w:spacing w:val="-3"/>
        </w:rPr>
      </w:pPr>
    </w:p>
    <w:p w14:paraId="44D1A01F" w14:textId="77777777" w:rsidR="00E951F8" w:rsidRPr="000961FE" w:rsidRDefault="00E951F8" w:rsidP="00431493">
      <w:pPr>
        <w:tabs>
          <w:tab w:val="left" w:pos="720"/>
          <w:tab w:val="left" w:pos="1320"/>
          <w:tab w:val="left" w:pos="1680"/>
        </w:tabs>
        <w:ind w:left="720" w:right="18" w:hanging="720"/>
        <w:jc w:val="both"/>
        <w:rPr>
          <w:spacing w:val="-3"/>
        </w:rPr>
      </w:pPr>
      <w:r w:rsidRPr="000961FE">
        <w:rPr>
          <w:spacing w:val="-3"/>
        </w:rPr>
        <w:tab/>
        <w:t>Massachusetts General Laws Chapter 167, Section 14, as amended, require all financial institution to take the following actions within 30 business days of receipt of the CRA evaluation of their institution:</w:t>
      </w:r>
    </w:p>
    <w:p w14:paraId="38F88D7E" w14:textId="77777777" w:rsidR="00E951F8" w:rsidRPr="000961FE" w:rsidRDefault="00E951F8" w:rsidP="00431493">
      <w:pPr>
        <w:tabs>
          <w:tab w:val="left" w:pos="720"/>
          <w:tab w:val="left" w:pos="1320"/>
          <w:tab w:val="left" w:pos="1680"/>
        </w:tabs>
        <w:ind w:right="18"/>
        <w:jc w:val="both"/>
        <w:rPr>
          <w:spacing w:val="-3"/>
        </w:rPr>
      </w:pPr>
    </w:p>
    <w:p w14:paraId="3258F883"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t xml:space="preserve">1) </w:t>
      </w:r>
      <w:r w:rsidRPr="000961FE">
        <w:rPr>
          <w:spacing w:val="-3"/>
        </w:rPr>
        <w:tab/>
        <w:t>Make its most current CRA performance evaluation available to the public</w:t>
      </w:r>
      <w:proofErr w:type="gramStart"/>
      <w:r w:rsidRPr="000961FE">
        <w:rPr>
          <w:spacing w:val="-3"/>
        </w:rPr>
        <w:t>;</w:t>
      </w:r>
      <w:proofErr w:type="gramEnd"/>
    </w:p>
    <w:p w14:paraId="1A4275FC" w14:textId="77777777" w:rsidR="00E951F8" w:rsidRPr="000961FE" w:rsidRDefault="00E951F8" w:rsidP="00431493">
      <w:pPr>
        <w:tabs>
          <w:tab w:val="left" w:pos="720"/>
          <w:tab w:val="left" w:pos="1320"/>
          <w:tab w:val="left" w:pos="1680"/>
        </w:tabs>
        <w:ind w:right="18"/>
        <w:jc w:val="both"/>
        <w:rPr>
          <w:spacing w:val="-3"/>
        </w:rPr>
      </w:pPr>
    </w:p>
    <w:p w14:paraId="02B50776"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t>2)</w:t>
      </w:r>
      <w:r w:rsidRPr="000961FE">
        <w:rPr>
          <w:spacing w:val="-3"/>
        </w:rPr>
        <w:tab/>
        <w:t xml:space="preserve">At a minimum, place the evaluation in the institution's CRA public file located at the head office and at a designated office in each </w:t>
      </w:r>
      <w:r>
        <w:rPr>
          <w:spacing w:val="-3"/>
        </w:rPr>
        <w:t>AA</w:t>
      </w:r>
      <w:proofErr w:type="gramStart"/>
      <w:r w:rsidRPr="000961FE">
        <w:rPr>
          <w:spacing w:val="-3"/>
        </w:rPr>
        <w:t>;</w:t>
      </w:r>
      <w:proofErr w:type="gramEnd"/>
    </w:p>
    <w:p w14:paraId="75EBF535" w14:textId="77777777" w:rsidR="00E951F8" w:rsidRPr="000961FE" w:rsidRDefault="00E951F8" w:rsidP="00431493">
      <w:pPr>
        <w:tabs>
          <w:tab w:val="left" w:pos="720"/>
          <w:tab w:val="left" w:pos="1320"/>
          <w:tab w:val="left" w:pos="1680"/>
        </w:tabs>
        <w:ind w:right="18"/>
        <w:jc w:val="both"/>
        <w:rPr>
          <w:spacing w:val="-3"/>
        </w:rPr>
      </w:pPr>
    </w:p>
    <w:p w14:paraId="782AED10"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t>3)</w:t>
      </w:r>
      <w:r w:rsidRPr="000961FE">
        <w:rPr>
          <w:spacing w:val="-3"/>
        </w:rPr>
        <w:tab/>
        <w:t xml:space="preserve">Add the following language to the institution's required CRA public notice that </w:t>
      </w:r>
      <w:proofErr w:type="gramStart"/>
      <w:r w:rsidRPr="000961FE">
        <w:rPr>
          <w:spacing w:val="-3"/>
        </w:rPr>
        <w:t>is posted</w:t>
      </w:r>
      <w:proofErr w:type="gramEnd"/>
      <w:r w:rsidRPr="000961FE">
        <w:rPr>
          <w:spacing w:val="-3"/>
        </w:rPr>
        <w:t xml:space="preserve"> in each depository facility:</w:t>
      </w:r>
    </w:p>
    <w:p w14:paraId="21D5647E" w14:textId="77777777" w:rsidR="00E951F8" w:rsidRPr="000961FE" w:rsidRDefault="00E951F8" w:rsidP="00431493">
      <w:pPr>
        <w:tabs>
          <w:tab w:val="left" w:pos="720"/>
          <w:tab w:val="left" w:pos="1320"/>
          <w:tab w:val="left" w:pos="1680"/>
        </w:tabs>
        <w:ind w:right="18"/>
        <w:jc w:val="both"/>
        <w:rPr>
          <w:spacing w:val="-3"/>
        </w:rPr>
      </w:pPr>
    </w:p>
    <w:p w14:paraId="127CFBFC"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r>
      <w:r w:rsidRPr="000961FE">
        <w:rPr>
          <w:spacing w:val="-3"/>
        </w:rPr>
        <w:tab/>
        <w:t>"You may obtain the public section of our most recent CRA Performance Evaluation, which was prepared by the Massachusetts Division of Banks</w:t>
      </w:r>
      <w:r w:rsidR="007B6D82">
        <w:rPr>
          <w:spacing w:val="-3"/>
        </w:rPr>
        <w:t xml:space="preserve">, at 179 Main Street </w:t>
      </w:r>
      <w:r w:rsidR="007B6D82" w:rsidRPr="007B6D82">
        <w:rPr>
          <w:spacing w:val="-3"/>
        </w:rPr>
        <w:t>Southbridge, Massachusetts 01550</w:t>
      </w:r>
      <w:r>
        <w:rPr>
          <w:spacing w:val="-3"/>
        </w:rPr>
        <w:t>.”</w:t>
      </w:r>
      <w:r w:rsidRPr="000961FE">
        <w:rPr>
          <w:spacing w:val="-3"/>
        </w:rPr>
        <w:t xml:space="preserve"> </w:t>
      </w:r>
    </w:p>
    <w:p w14:paraId="5FDBAD97" w14:textId="77777777" w:rsidR="00E951F8" w:rsidRPr="000961FE" w:rsidRDefault="00E951F8" w:rsidP="00431493">
      <w:pPr>
        <w:tabs>
          <w:tab w:val="left" w:pos="720"/>
          <w:tab w:val="left" w:pos="1320"/>
          <w:tab w:val="left" w:pos="1680"/>
        </w:tabs>
        <w:ind w:right="18"/>
        <w:jc w:val="both"/>
        <w:rPr>
          <w:spacing w:val="-3"/>
        </w:rPr>
      </w:pPr>
    </w:p>
    <w:p w14:paraId="099F58CB"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r>
      <w:r w:rsidRPr="000961FE">
        <w:rPr>
          <w:spacing w:val="-3"/>
        </w:rPr>
        <w:tab/>
        <w:t xml:space="preserve">[Please Note:  If the institution has more than one </w:t>
      </w:r>
      <w:r>
        <w:rPr>
          <w:spacing w:val="-3"/>
        </w:rPr>
        <w:t>AA</w:t>
      </w:r>
      <w:r w:rsidRPr="000961FE">
        <w:rPr>
          <w:spacing w:val="-3"/>
        </w:rPr>
        <w:t>, each office (other than off</w:t>
      </w:r>
      <w:r w:rsidRPr="000961FE">
        <w:rPr>
          <w:spacing w:val="-3"/>
        </w:rPr>
        <w:noBreakHyphen/>
        <w:t xml:space="preserve">premises electronic deposit facilities) in that community shall also include the address of the designated office for that </w:t>
      </w:r>
      <w:r>
        <w:rPr>
          <w:spacing w:val="-3"/>
        </w:rPr>
        <w:t>AA</w:t>
      </w:r>
      <w:r w:rsidRPr="000961FE">
        <w:rPr>
          <w:spacing w:val="-3"/>
        </w:rPr>
        <w:t>.]</w:t>
      </w:r>
    </w:p>
    <w:p w14:paraId="411E1C8B" w14:textId="77777777" w:rsidR="00E951F8" w:rsidRPr="000961FE" w:rsidRDefault="00E951F8" w:rsidP="00431493">
      <w:pPr>
        <w:tabs>
          <w:tab w:val="left" w:pos="720"/>
          <w:tab w:val="left" w:pos="1320"/>
          <w:tab w:val="left" w:pos="1680"/>
        </w:tabs>
        <w:ind w:right="18"/>
        <w:jc w:val="both"/>
        <w:rPr>
          <w:spacing w:val="-3"/>
        </w:rPr>
      </w:pPr>
    </w:p>
    <w:p w14:paraId="3B39CE33" w14:textId="77777777" w:rsidR="00E951F8" w:rsidRPr="000961FE" w:rsidRDefault="00E951F8" w:rsidP="00431493">
      <w:pPr>
        <w:tabs>
          <w:tab w:val="left" w:pos="720"/>
          <w:tab w:val="left" w:pos="1320"/>
          <w:tab w:val="left" w:pos="1680"/>
        </w:tabs>
        <w:ind w:left="1320" w:right="18" w:hanging="1320"/>
        <w:jc w:val="both"/>
        <w:rPr>
          <w:spacing w:val="-3"/>
        </w:rPr>
      </w:pPr>
      <w:r w:rsidRPr="000961FE">
        <w:rPr>
          <w:spacing w:val="-3"/>
        </w:rPr>
        <w:tab/>
        <w:t>4)</w:t>
      </w:r>
      <w:r w:rsidRPr="000961FE">
        <w:rPr>
          <w:spacing w:val="-3"/>
        </w:rPr>
        <w:tab/>
        <w:t>Provide a copy of its current evaluation to the public, upon request</w:t>
      </w:r>
      <w:proofErr w:type="gramStart"/>
      <w:r w:rsidRPr="000961FE">
        <w:rPr>
          <w:spacing w:val="-3"/>
        </w:rPr>
        <w:t xml:space="preserve">.  </w:t>
      </w:r>
      <w:proofErr w:type="gramEnd"/>
      <w:r w:rsidRPr="000961FE">
        <w:rPr>
          <w:spacing w:val="-3"/>
        </w:rPr>
        <w:t xml:space="preserve">In connection with this, the institution is authorized to charge a </w:t>
      </w:r>
      <w:proofErr w:type="gramStart"/>
      <w:r w:rsidRPr="000961FE">
        <w:rPr>
          <w:spacing w:val="-3"/>
        </w:rPr>
        <w:t>fee which</w:t>
      </w:r>
      <w:proofErr w:type="gramEnd"/>
      <w:r w:rsidRPr="000961FE">
        <w:rPr>
          <w:spacing w:val="-3"/>
        </w:rPr>
        <w:t xml:space="preserve"> does not exceed the cost of reproduction and mailing (if applicable).</w:t>
      </w:r>
    </w:p>
    <w:p w14:paraId="33A83BDE" w14:textId="77777777" w:rsidR="00E951F8" w:rsidRPr="000961FE" w:rsidRDefault="00E951F8" w:rsidP="00431493">
      <w:pPr>
        <w:tabs>
          <w:tab w:val="left" w:pos="720"/>
          <w:tab w:val="left" w:pos="1320"/>
          <w:tab w:val="left" w:pos="1680"/>
        </w:tabs>
        <w:ind w:right="18"/>
        <w:jc w:val="both"/>
        <w:rPr>
          <w:spacing w:val="-3"/>
        </w:rPr>
      </w:pPr>
    </w:p>
    <w:p w14:paraId="580D761C" w14:textId="77777777" w:rsidR="00E951F8" w:rsidRPr="000961FE" w:rsidRDefault="00E951F8" w:rsidP="00431493">
      <w:pPr>
        <w:tabs>
          <w:tab w:val="left" w:pos="720"/>
          <w:tab w:val="left" w:pos="1320"/>
          <w:tab w:val="left" w:pos="1680"/>
        </w:tabs>
        <w:ind w:right="18"/>
        <w:jc w:val="both"/>
        <w:rPr>
          <w:spacing w:val="-3"/>
        </w:rPr>
      </w:pPr>
    </w:p>
    <w:p w14:paraId="1778EE6F" w14:textId="77777777" w:rsidR="00E951F8" w:rsidRDefault="00E951F8" w:rsidP="00431493">
      <w:pPr>
        <w:tabs>
          <w:tab w:val="left" w:pos="720"/>
          <w:tab w:val="left" w:pos="1320"/>
          <w:tab w:val="left" w:pos="1680"/>
        </w:tabs>
        <w:ind w:left="720" w:right="18" w:hanging="720"/>
        <w:jc w:val="both"/>
        <w:rPr>
          <w:spacing w:val="-3"/>
        </w:rPr>
      </w:pPr>
      <w:r w:rsidRPr="000961FE">
        <w:rPr>
          <w:spacing w:val="-3"/>
        </w:rPr>
        <w:tab/>
        <w:t>The format and content of the institution's evaluation, as prepared by its supervisory agencies, may not be altered or abridged in any manner</w:t>
      </w:r>
      <w:proofErr w:type="gramStart"/>
      <w:r w:rsidRPr="000961FE">
        <w:rPr>
          <w:spacing w:val="-3"/>
        </w:rPr>
        <w:t xml:space="preserve">.  </w:t>
      </w:r>
      <w:proofErr w:type="gramEnd"/>
      <w:r w:rsidRPr="000961FE">
        <w:rPr>
          <w:spacing w:val="-3"/>
        </w:rPr>
        <w:t>The institution is encouraged to include its response to the evaluation in its CRA public file.</w:t>
      </w:r>
    </w:p>
    <w:p w14:paraId="155FDF22" w14:textId="77777777" w:rsidR="00E951F8" w:rsidRDefault="00E951F8" w:rsidP="00431493">
      <w:pPr>
        <w:ind w:right="18"/>
      </w:pPr>
    </w:p>
    <w:p w14:paraId="19FFE7C8" w14:textId="77777777" w:rsidR="0099672C" w:rsidRPr="0041509F" w:rsidRDefault="0099672C" w:rsidP="00E951F8">
      <w:pPr>
        <w:pStyle w:val="Heading1"/>
        <w:rPr>
          <w:color w:val="000000"/>
        </w:rPr>
      </w:pPr>
    </w:p>
    <w:sectPr w:rsidR="0099672C" w:rsidRPr="0041509F" w:rsidSect="00897C2E">
      <w:headerReference w:type="default" r:id="rId12"/>
      <w:footerReference w:type="default" r:id="rId13"/>
      <w:pgSz w:w="12240" w:h="15840"/>
      <w:pgMar w:top="1440" w:right="1296" w:bottom="144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23DF" w14:textId="77777777" w:rsidR="009742F6" w:rsidRDefault="009742F6" w:rsidP="00A03CC1">
      <w:r>
        <w:separator/>
      </w:r>
    </w:p>
  </w:endnote>
  <w:endnote w:type="continuationSeparator" w:id="0">
    <w:p w14:paraId="6B672A85" w14:textId="77777777" w:rsidR="009742F6" w:rsidRDefault="009742F6" w:rsidP="00A03CC1">
      <w:r>
        <w:continuationSeparator/>
      </w:r>
    </w:p>
  </w:endnote>
  <w:endnote w:type="continuationNotice" w:id="1">
    <w:p w14:paraId="2AB86F4F" w14:textId="77777777" w:rsidR="009742F6" w:rsidRDefault="00974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041642"/>
      <w:docPartObj>
        <w:docPartGallery w:val="Page Numbers (Bottom of Page)"/>
        <w:docPartUnique/>
      </w:docPartObj>
    </w:sdtPr>
    <w:sdtEndPr>
      <w:rPr>
        <w:noProof/>
      </w:rPr>
    </w:sdtEndPr>
    <w:sdtContent>
      <w:p w14:paraId="1EA048FC" w14:textId="1491AAF1" w:rsidR="0006403F" w:rsidRDefault="0006403F">
        <w:pPr>
          <w:pStyle w:val="Footer"/>
          <w:jc w:val="center"/>
        </w:pPr>
        <w:r>
          <w:fldChar w:fldCharType="begin"/>
        </w:r>
        <w:r>
          <w:instrText xml:space="preserve"> PAGE   \* MERGEFORMAT </w:instrText>
        </w:r>
        <w:r>
          <w:fldChar w:fldCharType="separate"/>
        </w:r>
        <w:r w:rsidR="003723EF">
          <w:rPr>
            <w:noProof/>
          </w:rPr>
          <w:t>14</w:t>
        </w:r>
        <w:r>
          <w:rPr>
            <w:noProof/>
          </w:rPr>
          <w:fldChar w:fldCharType="end"/>
        </w:r>
      </w:p>
    </w:sdtContent>
  </w:sdt>
  <w:p w14:paraId="061CB8A7" w14:textId="77777777" w:rsidR="0006403F" w:rsidRDefault="00064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5BE2" w14:textId="02ED6E96" w:rsidR="0006403F" w:rsidRPr="00624BC7" w:rsidRDefault="0006403F">
    <w:pPr>
      <w:pStyle w:val="Footer"/>
      <w:jc w:val="center"/>
      <w:rPr>
        <w:sz w:val="24"/>
        <w:szCs w:val="24"/>
      </w:rPr>
    </w:pPr>
    <w:r w:rsidRPr="00624BC7">
      <w:rPr>
        <w:sz w:val="24"/>
        <w:szCs w:val="24"/>
      </w:rPr>
      <w:fldChar w:fldCharType="begin"/>
    </w:r>
    <w:r w:rsidRPr="00624BC7">
      <w:rPr>
        <w:sz w:val="24"/>
        <w:szCs w:val="24"/>
      </w:rPr>
      <w:instrText xml:space="preserve"> PAGE   \* MERGEFORMAT </w:instrText>
    </w:r>
    <w:r w:rsidRPr="00624BC7">
      <w:rPr>
        <w:sz w:val="24"/>
        <w:szCs w:val="24"/>
      </w:rPr>
      <w:fldChar w:fldCharType="separate"/>
    </w:r>
    <w:r w:rsidR="003723EF">
      <w:rPr>
        <w:noProof/>
        <w:sz w:val="24"/>
        <w:szCs w:val="24"/>
      </w:rPr>
      <w:t>1</w:t>
    </w:r>
    <w:r w:rsidRPr="00624BC7">
      <w:rPr>
        <w:sz w:val="24"/>
        <w:szCs w:val="24"/>
      </w:rPr>
      <w:fldChar w:fldCharType="end"/>
    </w:r>
  </w:p>
  <w:p w14:paraId="58C4AAC4" w14:textId="77777777" w:rsidR="0006403F" w:rsidRDefault="00064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ECA06" w14:textId="77777777" w:rsidR="009742F6" w:rsidRDefault="009742F6" w:rsidP="00A03CC1">
      <w:r>
        <w:separator/>
      </w:r>
    </w:p>
  </w:footnote>
  <w:footnote w:type="continuationSeparator" w:id="0">
    <w:p w14:paraId="53F399D4" w14:textId="77777777" w:rsidR="009742F6" w:rsidRDefault="009742F6" w:rsidP="00A03CC1">
      <w:r>
        <w:continuationSeparator/>
      </w:r>
    </w:p>
  </w:footnote>
  <w:footnote w:type="continuationNotice" w:id="1">
    <w:p w14:paraId="04AA37BE" w14:textId="77777777" w:rsidR="009742F6" w:rsidRDefault="009742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8957" w14:textId="77777777" w:rsidR="0006403F" w:rsidRDefault="0006403F" w:rsidP="00BA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BD"/>
    <w:multiLevelType w:val="hybridMultilevel"/>
    <w:tmpl w:val="6E7A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17416"/>
    <w:multiLevelType w:val="hybridMultilevel"/>
    <w:tmpl w:val="4684CB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540C2D"/>
    <w:multiLevelType w:val="hybridMultilevel"/>
    <w:tmpl w:val="837E0F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E5485"/>
    <w:multiLevelType w:val="hybridMultilevel"/>
    <w:tmpl w:val="6928B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3427"/>
    <w:multiLevelType w:val="hybridMultilevel"/>
    <w:tmpl w:val="D9FA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4529DF"/>
    <w:multiLevelType w:val="hybridMultilevel"/>
    <w:tmpl w:val="0D52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05F5B"/>
    <w:multiLevelType w:val="hybridMultilevel"/>
    <w:tmpl w:val="D1F0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31D2B"/>
    <w:multiLevelType w:val="hybridMultilevel"/>
    <w:tmpl w:val="7AC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17368"/>
    <w:multiLevelType w:val="hybridMultilevel"/>
    <w:tmpl w:val="797E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46457"/>
    <w:multiLevelType w:val="hybridMultilevel"/>
    <w:tmpl w:val="36E2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0C21A6"/>
    <w:multiLevelType w:val="hybridMultilevel"/>
    <w:tmpl w:val="F46A1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6B7609"/>
    <w:multiLevelType w:val="hybridMultilevel"/>
    <w:tmpl w:val="FDC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62451"/>
    <w:multiLevelType w:val="hybridMultilevel"/>
    <w:tmpl w:val="D298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9141C"/>
    <w:multiLevelType w:val="hybridMultilevel"/>
    <w:tmpl w:val="BBF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9471F"/>
    <w:multiLevelType w:val="hybridMultilevel"/>
    <w:tmpl w:val="5CE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6B6906"/>
    <w:multiLevelType w:val="hybridMultilevel"/>
    <w:tmpl w:val="B43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A0168"/>
    <w:multiLevelType w:val="hybridMultilevel"/>
    <w:tmpl w:val="3360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441BE"/>
    <w:multiLevelType w:val="hybridMultilevel"/>
    <w:tmpl w:val="C3F2C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AD24002"/>
    <w:multiLevelType w:val="hybridMultilevel"/>
    <w:tmpl w:val="871C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90776"/>
    <w:multiLevelType w:val="hybridMultilevel"/>
    <w:tmpl w:val="BE3E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66F9"/>
    <w:multiLevelType w:val="hybridMultilevel"/>
    <w:tmpl w:val="483E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96E50"/>
    <w:multiLevelType w:val="hybridMultilevel"/>
    <w:tmpl w:val="A48A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20F7E"/>
    <w:multiLevelType w:val="hybridMultilevel"/>
    <w:tmpl w:val="11D222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A782C42"/>
    <w:multiLevelType w:val="hybridMultilevel"/>
    <w:tmpl w:val="1F8473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F90F62"/>
    <w:multiLevelType w:val="hybridMultilevel"/>
    <w:tmpl w:val="CC7AF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B2A73"/>
    <w:multiLevelType w:val="hybridMultilevel"/>
    <w:tmpl w:val="8878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0F384C"/>
    <w:multiLevelType w:val="hybridMultilevel"/>
    <w:tmpl w:val="04FA5CDE"/>
    <w:lvl w:ilvl="0" w:tplc="2364F9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A6823C4"/>
    <w:multiLevelType w:val="hybridMultilevel"/>
    <w:tmpl w:val="86A29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925579"/>
    <w:multiLevelType w:val="hybridMultilevel"/>
    <w:tmpl w:val="73D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A5577"/>
    <w:multiLevelType w:val="hybridMultilevel"/>
    <w:tmpl w:val="21B2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8F5793"/>
    <w:multiLevelType w:val="hybridMultilevel"/>
    <w:tmpl w:val="796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2E268C"/>
    <w:multiLevelType w:val="hybridMultilevel"/>
    <w:tmpl w:val="0A9A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3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2166B0"/>
    <w:multiLevelType w:val="hybridMultilevel"/>
    <w:tmpl w:val="09403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E6CEC"/>
    <w:multiLevelType w:val="hybridMultilevel"/>
    <w:tmpl w:val="E7C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806B0"/>
    <w:multiLevelType w:val="hybridMultilevel"/>
    <w:tmpl w:val="912CE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8B3397"/>
    <w:multiLevelType w:val="hybridMultilevel"/>
    <w:tmpl w:val="E104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F6814"/>
    <w:multiLevelType w:val="hybridMultilevel"/>
    <w:tmpl w:val="4C64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8D24BC"/>
    <w:multiLevelType w:val="hybridMultilevel"/>
    <w:tmpl w:val="140C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15957"/>
    <w:multiLevelType w:val="hybridMultilevel"/>
    <w:tmpl w:val="6FF2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3639E"/>
    <w:multiLevelType w:val="hybridMultilevel"/>
    <w:tmpl w:val="C5944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C0387"/>
    <w:multiLevelType w:val="hybridMultilevel"/>
    <w:tmpl w:val="70F02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6"/>
  </w:num>
  <w:num w:numId="4">
    <w:abstractNumId w:val="18"/>
  </w:num>
  <w:num w:numId="5">
    <w:abstractNumId w:val="3"/>
  </w:num>
  <w:num w:numId="6">
    <w:abstractNumId w:val="24"/>
  </w:num>
  <w:num w:numId="7">
    <w:abstractNumId w:val="28"/>
  </w:num>
  <w:num w:numId="8">
    <w:abstractNumId w:val="29"/>
  </w:num>
  <w:num w:numId="9">
    <w:abstractNumId w:val="26"/>
  </w:num>
  <w:num w:numId="10">
    <w:abstractNumId w:val="33"/>
  </w:num>
  <w:num w:numId="11">
    <w:abstractNumId w:val="0"/>
  </w:num>
  <w:num w:numId="12">
    <w:abstractNumId w:val="12"/>
  </w:num>
  <w:num w:numId="13">
    <w:abstractNumId w:val="36"/>
  </w:num>
  <w:num w:numId="14">
    <w:abstractNumId w:val="30"/>
  </w:num>
  <w:num w:numId="15">
    <w:abstractNumId w:val="41"/>
  </w:num>
  <w:num w:numId="16">
    <w:abstractNumId w:val="14"/>
  </w:num>
  <w:num w:numId="17">
    <w:abstractNumId w:val="24"/>
  </w:num>
  <w:num w:numId="18">
    <w:abstractNumId w:val="31"/>
  </w:num>
  <w:num w:numId="19">
    <w:abstractNumId w:val="44"/>
  </w:num>
  <w:num w:numId="20">
    <w:abstractNumId w:val="39"/>
  </w:num>
  <w:num w:numId="21">
    <w:abstractNumId w:val="2"/>
  </w:num>
  <w:num w:numId="22">
    <w:abstractNumId w:val="32"/>
  </w:num>
  <w:num w:numId="23">
    <w:abstractNumId w:val="21"/>
  </w:num>
  <w:num w:numId="24">
    <w:abstractNumId w:val="7"/>
  </w:num>
  <w:num w:numId="25">
    <w:abstractNumId w:val="43"/>
  </w:num>
  <w:num w:numId="26">
    <w:abstractNumId w:val="38"/>
  </w:num>
  <w:num w:numId="27">
    <w:abstractNumId w:val="42"/>
  </w:num>
  <w:num w:numId="28">
    <w:abstractNumId w:val="35"/>
  </w:num>
  <w:num w:numId="29">
    <w:abstractNumId w:val="9"/>
  </w:num>
  <w:num w:numId="30">
    <w:abstractNumId w:val="40"/>
  </w:num>
  <w:num w:numId="31">
    <w:abstractNumId w:val="17"/>
  </w:num>
  <w:num w:numId="32">
    <w:abstractNumId w:val="13"/>
  </w:num>
  <w:num w:numId="33">
    <w:abstractNumId w:val="20"/>
  </w:num>
  <w:num w:numId="34">
    <w:abstractNumId w:val="27"/>
  </w:num>
  <w:num w:numId="35">
    <w:abstractNumId w:val="37"/>
  </w:num>
  <w:num w:numId="36">
    <w:abstractNumId w:val="22"/>
  </w:num>
  <w:num w:numId="37">
    <w:abstractNumId w:val="45"/>
  </w:num>
  <w:num w:numId="38">
    <w:abstractNumId w:val="25"/>
  </w:num>
  <w:num w:numId="39">
    <w:abstractNumId w:val="16"/>
  </w:num>
  <w:num w:numId="40">
    <w:abstractNumId w:val="19"/>
  </w:num>
  <w:num w:numId="41">
    <w:abstractNumId w:val="1"/>
  </w:num>
  <w:num w:numId="42">
    <w:abstractNumId w:val="15"/>
  </w:num>
  <w:num w:numId="43">
    <w:abstractNumId w:val="10"/>
  </w:num>
  <w:num w:numId="44">
    <w:abstractNumId w:val="8"/>
  </w:num>
  <w:num w:numId="45">
    <w:abstractNumId w:val="4"/>
  </w:num>
  <w:num w:numId="46">
    <w:abstractNumId w:val="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3D"/>
    <w:rsid w:val="0000049F"/>
    <w:rsid w:val="0000160E"/>
    <w:rsid w:val="00005840"/>
    <w:rsid w:val="0001149D"/>
    <w:rsid w:val="00014F79"/>
    <w:rsid w:val="00015A7A"/>
    <w:rsid w:val="0001657D"/>
    <w:rsid w:val="000245E9"/>
    <w:rsid w:val="00024828"/>
    <w:rsid w:val="000258D5"/>
    <w:rsid w:val="00027AD6"/>
    <w:rsid w:val="000315AA"/>
    <w:rsid w:val="00032B52"/>
    <w:rsid w:val="00034221"/>
    <w:rsid w:val="00034B15"/>
    <w:rsid w:val="000442AE"/>
    <w:rsid w:val="00045B39"/>
    <w:rsid w:val="00046774"/>
    <w:rsid w:val="00046820"/>
    <w:rsid w:val="00047BCA"/>
    <w:rsid w:val="000510CD"/>
    <w:rsid w:val="0005130E"/>
    <w:rsid w:val="00052F76"/>
    <w:rsid w:val="00055206"/>
    <w:rsid w:val="000567FE"/>
    <w:rsid w:val="00057F21"/>
    <w:rsid w:val="0006183E"/>
    <w:rsid w:val="00061B1B"/>
    <w:rsid w:val="0006403F"/>
    <w:rsid w:val="00064F13"/>
    <w:rsid w:val="00065169"/>
    <w:rsid w:val="00067441"/>
    <w:rsid w:val="000722D8"/>
    <w:rsid w:val="0007543D"/>
    <w:rsid w:val="000758A6"/>
    <w:rsid w:val="000835EE"/>
    <w:rsid w:val="000927D4"/>
    <w:rsid w:val="000A355F"/>
    <w:rsid w:val="000A550E"/>
    <w:rsid w:val="000A7AF0"/>
    <w:rsid w:val="000B0A22"/>
    <w:rsid w:val="000B5E7B"/>
    <w:rsid w:val="000C32CA"/>
    <w:rsid w:val="000C4749"/>
    <w:rsid w:val="000C5AF2"/>
    <w:rsid w:val="000D1684"/>
    <w:rsid w:val="000D1DE9"/>
    <w:rsid w:val="000D24AF"/>
    <w:rsid w:val="000D2885"/>
    <w:rsid w:val="000D3447"/>
    <w:rsid w:val="000D3647"/>
    <w:rsid w:val="000D5EC6"/>
    <w:rsid w:val="000E187C"/>
    <w:rsid w:val="000E4C2A"/>
    <w:rsid w:val="000E6F14"/>
    <w:rsid w:val="000E7333"/>
    <w:rsid w:val="000F0568"/>
    <w:rsid w:val="000F2F25"/>
    <w:rsid w:val="000F56BF"/>
    <w:rsid w:val="000F655D"/>
    <w:rsid w:val="00102015"/>
    <w:rsid w:val="0010490B"/>
    <w:rsid w:val="0010690F"/>
    <w:rsid w:val="00110736"/>
    <w:rsid w:val="00112ABF"/>
    <w:rsid w:val="00116387"/>
    <w:rsid w:val="0011797A"/>
    <w:rsid w:val="001200C5"/>
    <w:rsid w:val="001257FE"/>
    <w:rsid w:val="00132A3A"/>
    <w:rsid w:val="00133B12"/>
    <w:rsid w:val="00133F1E"/>
    <w:rsid w:val="00144D01"/>
    <w:rsid w:val="00145CB9"/>
    <w:rsid w:val="001500E8"/>
    <w:rsid w:val="00160204"/>
    <w:rsid w:val="00160973"/>
    <w:rsid w:val="0016168A"/>
    <w:rsid w:val="00161EC6"/>
    <w:rsid w:val="00166FE2"/>
    <w:rsid w:val="00167B81"/>
    <w:rsid w:val="001723B4"/>
    <w:rsid w:val="00172C12"/>
    <w:rsid w:val="001732B9"/>
    <w:rsid w:val="00177443"/>
    <w:rsid w:val="001870B1"/>
    <w:rsid w:val="0019238F"/>
    <w:rsid w:val="00195B02"/>
    <w:rsid w:val="001969A4"/>
    <w:rsid w:val="001A1F10"/>
    <w:rsid w:val="001A2E0C"/>
    <w:rsid w:val="001A3421"/>
    <w:rsid w:val="001A726F"/>
    <w:rsid w:val="001B2652"/>
    <w:rsid w:val="001B5BA6"/>
    <w:rsid w:val="001B6AEB"/>
    <w:rsid w:val="001B7374"/>
    <w:rsid w:val="001B7703"/>
    <w:rsid w:val="001C1631"/>
    <w:rsid w:val="001C2B70"/>
    <w:rsid w:val="001C7E22"/>
    <w:rsid w:val="001D03A3"/>
    <w:rsid w:val="001D4181"/>
    <w:rsid w:val="001D65B6"/>
    <w:rsid w:val="001D6C71"/>
    <w:rsid w:val="001E02B0"/>
    <w:rsid w:val="001E0E04"/>
    <w:rsid w:val="001E78EA"/>
    <w:rsid w:val="001F4C9E"/>
    <w:rsid w:val="001F4CF1"/>
    <w:rsid w:val="00200994"/>
    <w:rsid w:val="00200D49"/>
    <w:rsid w:val="00201439"/>
    <w:rsid w:val="002016BF"/>
    <w:rsid w:val="00201D37"/>
    <w:rsid w:val="00201DCE"/>
    <w:rsid w:val="00202332"/>
    <w:rsid w:val="00205805"/>
    <w:rsid w:val="002139C2"/>
    <w:rsid w:val="002140F4"/>
    <w:rsid w:val="00215586"/>
    <w:rsid w:val="00216D26"/>
    <w:rsid w:val="00232193"/>
    <w:rsid w:val="00232624"/>
    <w:rsid w:val="002343F3"/>
    <w:rsid w:val="00234C3A"/>
    <w:rsid w:val="00234F46"/>
    <w:rsid w:val="00237517"/>
    <w:rsid w:val="00237631"/>
    <w:rsid w:val="00240865"/>
    <w:rsid w:val="00240B18"/>
    <w:rsid w:val="002452C5"/>
    <w:rsid w:val="0024656E"/>
    <w:rsid w:val="00247054"/>
    <w:rsid w:val="00250DC3"/>
    <w:rsid w:val="002528B8"/>
    <w:rsid w:val="00254A6C"/>
    <w:rsid w:val="00266C0F"/>
    <w:rsid w:val="00282619"/>
    <w:rsid w:val="00287E94"/>
    <w:rsid w:val="00290278"/>
    <w:rsid w:val="002905E6"/>
    <w:rsid w:val="002A0E97"/>
    <w:rsid w:val="002A142F"/>
    <w:rsid w:val="002A4ABE"/>
    <w:rsid w:val="002B221C"/>
    <w:rsid w:val="002C4B6E"/>
    <w:rsid w:val="002C79E9"/>
    <w:rsid w:val="002D0E31"/>
    <w:rsid w:val="002D75ED"/>
    <w:rsid w:val="002E0448"/>
    <w:rsid w:val="002E0B17"/>
    <w:rsid w:val="002E325D"/>
    <w:rsid w:val="002E415C"/>
    <w:rsid w:val="002E6445"/>
    <w:rsid w:val="002E7EEB"/>
    <w:rsid w:val="002F1018"/>
    <w:rsid w:val="002F2A33"/>
    <w:rsid w:val="002F64D6"/>
    <w:rsid w:val="00305EF2"/>
    <w:rsid w:val="003061F9"/>
    <w:rsid w:val="00310415"/>
    <w:rsid w:val="0031161E"/>
    <w:rsid w:val="00311F0B"/>
    <w:rsid w:val="00317F63"/>
    <w:rsid w:val="00321CE4"/>
    <w:rsid w:val="003237EE"/>
    <w:rsid w:val="0033395D"/>
    <w:rsid w:val="00337D08"/>
    <w:rsid w:val="003515CF"/>
    <w:rsid w:val="0035375F"/>
    <w:rsid w:val="00353D11"/>
    <w:rsid w:val="00353DD4"/>
    <w:rsid w:val="00354552"/>
    <w:rsid w:val="003550CB"/>
    <w:rsid w:val="003608D0"/>
    <w:rsid w:val="003613AC"/>
    <w:rsid w:val="00361422"/>
    <w:rsid w:val="003723EF"/>
    <w:rsid w:val="003750FB"/>
    <w:rsid w:val="003809A5"/>
    <w:rsid w:val="00380D5D"/>
    <w:rsid w:val="003812DA"/>
    <w:rsid w:val="0038582F"/>
    <w:rsid w:val="00390ECB"/>
    <w:rsid w:val="00392E61"/>
    <w:rsid w:val="00394EF3"/>
    <w:rsid w:val="00395FDF"/>
    <w:rsid w:val="003A0DDA"/>
    <w:rsid w:val="003A0EAC"/>
    <w:rsid w:val="003A1A4B"/>
    <w:rsid w:val="003A5866"/>
    <w:rsid w:val="003B015F"/>
    <w:rsid w:val="003B1241"/>
    <w:rsid w:val="003B5AAA"/>
    <w:rsid w:val="003C054E"/>
    <w:rsid w:val="003C0E7B"/>
    <w:rsid w:val="003C5B80"/>
    <w:rsid w:val="003C640E"/>
    <w:rsid w:val="003C6EA7"/>
    <w:rsid w:val="003C7323"/>
    <w:rsid w:val="003C74EB"/>
    <w:rsid w:val="003C7D36"/>
    <w:rsid w:val="003D2037"/>
    <w:rsid w:val="003D241C"/>
    <w:rsid w:val="003D3013"/>
    <w:rsid w:val="003D4297"/>
    <w:rsid w:val="003E28DC"/>
    <w:rsid w:val="003E6D17"/>
    <w:rsid w:val="003F05DE"/>
    <w:rsid w:val="003F0B95"/>
    <w:rsid w:val="003F10C0"/>
    <w:rsid w:val="003F2798"/>
    <w:rsid w:val="003F29A0"/>
    <w:rsid w:val="003F63E6"/>
    <w:rsid w:val="004039F2"/>
    <w:rsid w:val="00404CFB"/>
    <w:rsid w:val="00405A7A"/>
    <w:rsid w:val="00405A86"/>
    <w:rsid w:val="004111C6"/>
    <w:rsid w:val="00412048"/>
    <w:rsid w:val="0041509F"/>
    <w:rsid w:val="00423B9D"/>
    <w:rsid w:val="004276FD"/>
    <w:rsid w:val="00431493"/>
    <w:rsid w:val="00444877"/>
    <w:rsid w:val="00455F98"/>
    <w:rsid w:val="00456074"/>
    <w:rsid w:val="00457C2B"/>
    <w:rsid w:val="0046074D"/>
    <w:rsid w:val="004615DC"/>
    <w:rsid w:val="00463E27"/>
    <w:rsid w:val="004742F6"/>
    <w:rsid w:val="0047440B"/>
    <w:rsid w:val="00476927"/>
    <w:rsid w:val="00476D0A"/>
    <w:rsid w:val="00480215"/>
    <w:rsid w:val="00481B78"/>
    <w:rsid w:val="00484BDA"/>
    <w:rsid w:val="00487A26"/>
    <w:rsid w:val="00494A35"/>
    <w:rsid w:val="00496054"/>
    <w:rsid w:val="004A14E6"/>
    <w:rsid w:val="004A3D54"/>
    <w:rsid w:val="004A50CF"/>
    <w:rsid w:val="004B06D0"/>
    <w:rsid w:val="004B1BC7"/>
    <w:rsid w:val="004B34E4"/>
    <w:rsid w:val="004B7C0A"/>
    <w:rsid w:val="004C31A6"/>
    <w:rsid w:val="004C3E5E"/>
    <w:rsid w:val="004D1A94"/>
    <w:rsid w:val="004D23BD"/>
    <w:rsid w:val="004D790C"/>
    <w:rsid w:val="004D7CD8"/>
    <w:rsid w:val="004E7FE9"/>
    <w:rsid w:val="004F0587"/>
    <w:rsid w:val="004F2665"/>
    <w:rsid w:val="004F7B48"/>
    <w:rsid w:val="00500C21"/>
    <w:rsid w:val="00502664"/>
    <w:rsid w:val="00504A96"/>
    <w:rsid w:val="005053FF"/>
    <w:rsid w:val="005147B4"/>
    <w:rsid w:val="005161E7"/>
    <w:rsid w:val="005162D2"/>
    <w:rsid w:val="0051752E"/>
    <w:rsid w:val="00523EF2"/>
    <w:rsid w:val="005249B0"/>
    <w:rsid w:val="00530CE6"/>
    <w:rsid w:val="00534520"/>
    <w:rsid w:val="00544212"/>
    <w:rsid w:val="00544DC4"/>
    <w:rsid w:val="0054512B"/>
    <w:rsid w:val="00550994"/>
    <w:rsid w:val="00553EE7"/>
    <w:rsid w:val="005562C7"/>
    <w:rsid w:val="00556B01"/>
    <w:rsid w:val="00556C36"/>
    <w:rsid w:val="0056125F"/>
    <w:rsid w:val="00563537"/>
    <w:rsid w:val="0056585E"/>
    <w:rsid w:val="00565EF2"/>
    <w:rsid w:val="00566893"/>
    <w:rsid w:val="00567D59"/>
    <w:rsid w:val="00575435"/>
    <w:rsid w:val="00585302"/>
    <w:rsid w:val="00590DCD"/>
    <w:rsid w:val="00593FD5"/>
    <w:rsid w:val="005953E6"/>
    <w:rsid w:val="00596CA7"/>
    <w:rsid w:val="00597BE3"/>
    <w:rsid w:val="005A1AD5"/>
    <w:rsid w:val="005A287A"/>
    <w:rsid w:val="005A41C7"/>
    <w:rsid w:val="005B3CCA"/>
    <w:rsid w:val="005B4D1B"/>
    <w:rsid w:val="005B61FB"/>
    <w:rsid w:val="005C2B5F"/>
    <w:rsid w:val="005C737D"/>
    <w:rsid w:val="005D3062"/>
    <w:rsid w:val="005D44E1"/>
    <w:rsid w:val="005D5D9B"/>
    <w:rsid w:val="005E672C"/>
    <w:rsid w:val="005F3663"/>
    <w:rsid w:val="005F4080"/>
    <w:rsid w:val="005F6989"/>
    <w:rsid w:val="005F7266"/>
    <w:rsid w:val="005F756E"/>
    <w:rsid w:val="0061232D"/>
    <w:rsid w:val="006130F7"/>
    <w:rsid w:val="00613E06"/>
    <w:rsid w:val="00614E28"/>
    <w:rsid w:val="00614E50"/>
    <w:rsid w:val="006206F5"/>
    <w:rsid w:val="006208CE"/>
    <w:rsid w:val="00624BC7"/>
    <w:rsid w:val="00627F4A"/>
    <w:rsid w:val="006326D1"/>
    <w:rsid w:val="006342A6"/>
    <w:rsid w:val="006344A3"/>
    <w:rsid w:val="00636A2B"/>
    <w:rsid w:val="006377E4"/>
    <w:rsid w:val="00637BDC"/>
    <w:rsid w:val="006400E4"/>
    <w:rsid w:val="00642869"/>
    <w:rsid w:val="00647968"/>
    <w:rsid w:val="006519EF"/>
    <w:rsid w:val="00652D05"/>
    <w:rsid w:val="0065307E"/>
    <w:rsid w:val="00653B10"/>
    <w:rsid w:val="006540CE"/>
    <w:rsid w:val="00660B31"/>
    <w:rsid w:val="0066294E"/>
    <w:rsid w:val="006678F8"/>
    <w:rsid w:val="00672EB9"/>
    <w:rsid w:val="00674560"/>
    <w:rsid w:val="006770CB"/>
    <w:rsid w:val="00677593"/>
    <w:rsid w:val="006834CB"/>
    <w:rsid w:val="006835C3"/>
    <w:rsid w:val="0068409F"/>
    <w:rsid w:val="00687336"/>
    <w:rsid w:val="00690000"/>
    <w:rsid w:val="00692296"/>
    <w:rsid w:val="00695ADE"/>
    <w:rsid w:val="006976B4"/>
    <w:rsid w:val="00697E73"/>
    <w:rsid w:val="006A2C54"/>
    <w:rsid w:val="006A4DA7"/>
    <w:rsid w:val="006B5C3A"/>
    <w:rsid w:val="006C02E8"/>
    <w:rsid w:val="006C0DF4"/>
    <w:rsid w:val="006C231C"/>
    <w:rsid w:val="006C3485"/>
    <w:rsid w:val="006C4438"/>
    <w:rsid w:val="006C561B"/>
    <w:rsid w:val="006C56CE"/>
    <w:rsid w:val="006C5E79"/>
    <w:rsid w:val="006C6A2A"/>
    <w:rsid w:val="006D43F6"/>
    <w:rsid w:val="006D5C2B"/>
    <w:rsid w:val="006D6766"/>
    <w:rsid w:val="006E03D3"/>
    <w:rsid w:val="006E1E82"/>
    <w:rsid w:val="006E3C47"/>
    <w:rsid w:val="006E4989"/>
    <w:rsid w:val="006E5F26"/>
    <w:rsid w:val="006F1A20"/>
    <w:rsid w:val="006F3EF1"/>
    <w:rsid w:val="006F42AD"/>
    <w:rsid w:val="006F607B"/>
    <w:rsid w:val="006F788F"/>
    <w:rsid w:val="006F7FEC"/>
    <w:rsid w:val="00700D65"/>
    <w:rsid w:val="00702003"/>
    <w:rsid w:val="00704C8B"/>
    <w:rsid w:val="007058CB"/>
    <w:rsid w:val="0071362F"/>
    <w:rsid w:val="0071373E"/>
    <w:rsid w:val="00713EE9"/>
    <w:rsid w:val="0072113F"/>
    <w:rsid w:val="00722147"/>
    <w:rsid w:val="00723BA0"/>
    <w:rsid w:val="00724FC3"/>
    <w:rsid w:val="00727C44"/>
    <w:rsid w:val="007306FF"/>
    <w:rsid w:val="007323DD"/>
    <w:rsid w:val="00734253"/>
    <w:rsid w:val="00734F79"/>
    <w:rsid w:val="00736F9A"/>
    <w:rsid w:val="007379CA"/>
    <w:rsid w:val="00737E50"/>
    <w:rsid w:val="00742C9D"/>
    <w:rsid w:val="00745181"/>
    <w:rsid w:val="00751988"/>
    <w:rsid w:val="007525F3"/>
    <w:rsid w:val="007561E6"/>
    <w:rsid w:val="007601A4"/>
    <w:rsid w:val="00760303"/>
    <w:rsid w:val="00762567"/>
    <w:rsid w:val="007629B6"/>
    <w:rsid w:val="00767A6F"/>
    <w:rsid w:val="00770456"/>
    <w:rsid w:val="00777AE3"/>
    <w:rsid w:val="00782460"/>
    <w:rsid w:val="00793F78"/>
    <w:rsid w:val="00795C0B"/>
    <w:rsid w:val="007978AF"/>
    <w:rsid w:val="007A00DA"/>
    <w:rsid w:val="007A0E02"/>
    <w:rsid w:val="007A26CE"/>
    <w:rsid w:val="007A6E51"/>
    <w:rsid w:val="007A7810"/>
    <w:rsid w:val="007B5C1D"/>
    <w:rsid w:val="007B6728"/>
    <w:rsid w:val="007B6D82"/>
    <w:rsid w:val="007B7CD4"/>
    <w:rsid w:val="007C13A4"/>
    <w:rsid w:val="007C72ED"/>
    <w:rsid w:val="007D0A52"/>
    <w:rsid w:val="007D45CE"/>
    <w:rsid w:val="007E134A"/>
    <w:rsid w:val="007E1962"/>
    <w:rsid w:val="007E29BC"/>
    <w:rsid w:val="007E3108"/>
    <w:rsid w:val="007E41C9"/>
    <w:rsid w:val="007F3E00"/>
    <w:rsid w:val="007F601F"/>
    <w:rsid w:val="007F6A44"/>
    <w:rsid w:val="00820FE2"/>
    <w:rsid w:val="008223ED"/>
    <w:rsid w:val="00833F2A"/>
    <w:rsid w:val="00834AD0"/>
    <w:rsid w:val="008377DF"/>
    <w:rsid w:val="0084255A"/>
    <w:rsid w:val="0084416B"/>
    <w:rsid w:val="00850010"/>
    <w:rsid w:val="008519C5"/>
    <w:rsid w:val="0085209D"/>
    <w:rsid w:val="0085479B"/>
    <w:rsid w:val="00862A6F"/>
    <w:rsid w:val="008670E7"/>
    <w:rsid w:val="00870F35"/>
    <w:rsid w:val="00874E0E"/>
    <w:rsid w:val="00882123"/>
    <w:rsid w:val="00883F0A"/>
    <w:rsid w:val="00886C8E"/>
    <w:rsid w:val="00886CC8"/>
    <w:rsid w:val="00886DC4"/>
    <w:rsid w:val="008923A3"/>
    <w:rsid w:val="00897C2E"/>
    <w:rsid w:val="008A09C7"/>
    <w:rsid w:val="008A183B"/>
    <w:rsid w:val="008A19A4"/>
    <w:rsid w:val="008A3EA8"/>
    <w:rsid w:val="008A6F47"/>
    <w:rsid w:val="008B058D"/>
    <w:rsid w:val="008B12FD"/>
    <w:rsid w:val="008B51D2"/>
    <w:rsid w:val="008B64C0"/>
    <w:rsid w:val="008C02B6"/>
    <w:rsid w:val="008C19F4"/>
    <w:rsid w:val="008D1E7F"/>
    <w:rsid w:val="008D2FCF"/>
    <w:rsid w:val="008D69D5"/>
    <w:rsid w:val="008E14CA"/>
    <w:rsid w:val="008E2181"/>
    <w:rsid w:val="008E7ED4"/>
    <w:rsid w:val="008F0AFC"/>
    <w:rsid w:val="008F2C80"/>
    <w:rsid w:val="0090186C"/>
    <w:rsid w:val="00903934"/>
    <w:rsid w:val="009049B5"/>
    <w:rsid w:val="00905150"/>
    <w:rsid w:val="00905BE7"/>
    <w:rsid w:val="009074BB"/>
    <w:rsid w:val="0091000D"/>
    <w:rsid w:val="009223B2"/>
    <w:rsid w:val="00922A6B"/>
    <w:rsid w:val="0092436F"/>
    <w:rsid w:val="0092736A"/>
    <w:rsid w:val="009275C2"/>
    <w:rsid w:val="00933073"/>
    <w:rsid w:val="00933B1D"/>
    <w:rsid w:val="0093697F"/>
    <w:rsid w:val="00950497"/>
    <w:rsid w:val="00950DDD"/>
    <w:rsid w:val="009700B7"/>
    <w:rsid w:val="00972351"/>
    <w:rsid w:val="0097257D"/>
    <w:rsid w:val="00973AB5"/>
    <w:rsid w:val="009742F6"/>
    <w:rsid w:val="00983E65"/>
    <w:rsid w:val="009859BB"/>
    <w:rsid w:val="00986A1B"/>
    <w:rsid w:val="00994FD2"/>
    <w:rsid w:val="0099672C"/>
    <w:rsid w:val="009A16EB"/>
    <w:rsid w:val="009A3680"/>
    <w:rsid w:val="009A3FAF"/>
    <w:rsid w:val="009A5439"/>
    <w:rsid w:val="009A7EEA"/>
    <w:rsid w:val="009B1EDD"/>
    <w:rsid w:val="009B6E8A"/>
    <w:rsid w:val="009B7812"/>
    <w:rsid w:val="009C3FAB"/>
    <w:rsid w:val="009C6989"/>
    <w:rsid w:val="009D29C4"/>
    <w:rsid w:val="009D5F34"/>
    <w:rsid w:val="009D62EA"/>
    <w:rsid w:val="009D7EF0"/>
    <w:rsid w:val="009E2E14"/>
    <w:rsid w:val="009F094D"/>
    <w:rsid w:val="009F1C43"/>
    <w:rsid w:val="009F29EF"/>
    <w:rsid w:val="009F3033"/>
    <w:rsid w:val="009F4E35"/>
    <w:rsid w:val="009F6534"/>
    <w:rsid w:val="00A01D70"/>
    <w:rsid w:val="00A03524"/>
    <w:rsid w:val="00A03CC1"/>
    <w:rsid w:val="00A103F8"/>
    <w:rsid w:val="00A15D09"/>
    <w:rsid w:val="00A25414"/>
    <w:rsid w:val="00A30712"/>
    <w:rsid w:val="00A309CF"/>
    <w:rsid w:val="00A32163"/>
    <w:rsid w:val="00A3369C"/>
    <w:rsid w:val="00A3404A"/>
    <w:rsid w:val="00A371EA"/>
    <w:rsid w:val="00A40144"/>
    <w:rsid w:val="00A40519"/>
    <w:rsid w:val="00A41998"/>
    <w:rsid w:val="00A44201"/>
    <w:rsid w:val="00A44436"/>
    <w:rsid w:val="00A51486"/>
    <w:rsid w:val="00A55B87"/>
    <w:rsid w:val="00A568D6"/>
    <w:rsid w:val="00A620B4"/>
    <w:rsid w:val="00A629CE"/>
    <w:rsid w:val="00A640C4"/>
    <w:rsid w:val="00A66AD8"/>
    <w:rsid w:val="00A70E37"/>
    <w:rsid w:val="00A7211C"/>
    <w:rsid w:val="00A8242A"/>
    <w:rsid w:val="00A96EA0"/>
    <w:rsid w:val="00AA0BC0"/>
    <w:rsid w:val="00AA3688"/>
    <w:rsid w:val="00AA4546"/>
    <w:rsid w:val="00AA64CE"/>
    <w:rsid w:val="00AA72DD"/>
    <w:rsid w:val="00AA749A"/>
    <w:rsid w:val="00AB001F"/>
    <w:rsid w:val="00AB21E4"/>
    <w:rsid w:val="00AB52F7"/>
    <w:rsid w:val="00AB6915"/>
    <w:rsid w:val="00AB798A"/>
    <w:rsid w:val="00AC3D87"/>
    <w:rsid w:val="00AC4FA0"/>
    <w:rsid w:val="00AC70FF"/>
    <w:rsid w:val="00AD6433"/>
    <w:rsid w:val="00AD68BD"/>
    <w:rsid w:val="00AE137F"/>
    <w:rsid w:val="00AE1F9E"/>
    <w:rsid w:val="00AE4ABC"/>
    <w:rsid w:val="00AE7062"/>
    <w:rsid w:val="00AF08DB"/>
    <w:rsid w:val="00AF1E37"/>
    <w:rsid w:val="00B00F88"/>
    <w:rsid w:val="00B01C9A"/>
    <w:rsid w:val="00B057C8"/>
    <w:rsid w:val="00B0623E"/>
    <w:rsid w:val="00B07ABA"/>
    <w:rsid w:val="00B15592"/>
    <w:rsid w:val="00B30536"/>
    <w:rsid w:val="00B30BC1"/>
    <w:rsid w:val="00B30BEB"/>
    <w:rsid w:val="00B33477"/>
    <w:rsid w:val="00B33F13"/>
    <w:rsid w:val="00B3503E"/>
    <w:rsid w:val="00B36E83"/>
    <w:rsid w:val="00B40705"/>
    <w:rsid w:val="00B40E38"/>
    <w:rsid w:val="00B42FF8"/>
    <w:rsid w:val="00B43CD9"/>
    <w:rsid w:val="00B44116"/>
    <w:rsid w:val="00B44FD7"/>
    <w:rsid w:val="00B522C2"/>
    <w:rsid w:val="00B543C8"/>
    <w:rsid w:val="00B60800"/>
    <w:rsid w:val="00B6340F"/>
    <w:rsid w:val="00B74A65"/>
    <w:rsid w:val="00B81162"/>
    <w:rsid w:val="00B84441"/>
    <w:rsid w:val="00B86059"/>
    <w:rsid w:val="00B96F57"/>
    <w:rsid w:val="00BA58FB"/>
    <w:rsid w:val="00BB0592"/>
    <w:rsid w:val="00BB119B"/>
    <w:rsid w:val="00BB271C"/>
    <w:rsid w:val="00BB38B9"/>
    <w:rsid w:val="00BB53CE"/>
    <w:rsid w:val="00BB56D3"/>
    <w:rsid w:val="00BB6B55"/>
    <w:rsid w:val="00BC49FF"/>
    <w:rsid w:val="00BC6D5E"/>
    <w:rsid w:val="00BD2B16"/>
    <w:rsid w:val="00BD5C61"/>
    <w:rsid w:val="00BE0A29"/>
    <w:rsid w:val="00BE544B"/>
    <w:rsid w:val="00BE6E1D"/>
    <w:rsid w:val="00BF00C5"/>
    <w:rsid w:val="00BF291B"/>
    <w:rsid w:val="00BF3F1B"/>
    <w:rsid w:val="00BF51F4"/>
    <w:rsid w:val="00BF61ED"/>
    <w:rsid w:val="00BF7D4F"/>
    <w:rsid w:val="00C019F7"/>
    <w:rsid w:val="00C034FA"/>
    <w:rsid w:val="00C0547F"/>
    <w:rsid w:val="00C0653E"/>
    <w:rsid w:val="00C13A7E"/>
    <w:rsid w:val="00C140BE"/>
    <w:rsid w:val="00C150DD"/>
    <w:rsid w:val="00C17383"/>
    <w:rsid w:val="00C174A3"/>
    <w:rsid w:val="00C209D5"/>
    <w:rsid w:val="00C23E6D"/>
    <w:rsid w:val="00C24649"/>
    <w:rsid w:val="00C24E8B"/>
    <w:rsid w:val="00C26EB2"/>
    <w:rsid w:val="00C31283"/>
    <w:rsid w:val="00C319B3"/>
    <w:rsid w:val="00C31EC3"/>
    <w:rsid w:val="00C33003"/>
    <w:rsid w:val="00C36307"/>
    <w:rsid w:val="00C4015D"/>
    <w:rsid w:val="00C423D9"/>
    <w:rsid w:val="00C46D03"/>
    <w:rsid w:val="00C53107"/>
    <w:rsid w:val="00C574A7"/>
    <w:rsid w:val="00C65AD0"/>
    <w:rsid w:val="00C668BB"/>
    <w:rsid w:val="00C67064"/>
    <w:rsid w:val="00C74F92"/>
    <w:rsid w:val="00C76F4A"/>
    <w:rsid w:val="00C867ED"/>
    <w:rsid w:val="00C86FCF"/>
    <w:rsid w:val="00C95F56"/>
    <w:rsid w:val="00C966BD"/>
    <w:rsid w:val="00CA10D3"/>
    <w:rsid w:val="00CA5108"/>
    <w:rsid w:val="00CB05C3"/>
    <w:rsid w:val="00CB198D"/>
    <w:rsid w:val="00CB4F29"/>
    <w:rsid w:val="00CB7EB4"/>
    <w:rsid w:val="00CC339E"/>
    <w:rsid w:val="00CC3E28"/>
    <w:rsid w:val="00CC41B5"/>
    <w:rsid w:val="00CD0920"/>
    <w:rsid w:val="00CD28D8"/>
    <w:rsid w:val="00CD3216"/>
    <w:rsid w:val="00CD461D"/>
    <w:rsid w:val="00CE1920"/>
    <w:rsid w:val="00CE4040"/>
    <w:rsid w:val="00CE5FA7"/>
    <w:rsid w:val="00CF3924"/>
    <w:rsid w:val="00CF4C69"/>
    <w:rsid w:val="00D0161F"/>
    <w:rsid w:val="00D02BEE"/>
    <w:rsid w:val="00D05638"/>
    <w:rsid w:val="00D10DE7"/>
    <w:rsid w:val="00D117B5"/>
    <w:rsid w:val="00D12B41"/>
    <w:rsid w:val="00D13B95"/>
    <w:rsid w:val="00D17D0E"/>
    <w:rsid w:val="00D22D41"/>
    <w:rsid w:val="00D245C3"/>
    <w:rsid w:val="00D24D99"/>
    <w:rsid w:val="00D27855"/>
    <w:rsid w:val="00D325A1"/>
    <w:rsid w:val="00D3354F"/>
    <w:rsid w:val="00D34A01"/>
    <w:rsid w:val="00D35653"/>
    <w:rsid w:val="00D36515"/>
    <w:rsid w:val="00D427B5"/>
    <w:rsid w:val="00D444C9"/>
    <w:rsid w:val="00D44642"/>
    <w:rsid w:val="00D46EC9"/>
    <w:rsid w:val="00D4770D"/>
    <w:rsid w:val="00D50F8D"/>
    <w:rsid w:val="00D52365"/>
    <w:rsid w:val="00D52E22"/>
    <w:rsid w:val="00D52E29"/>
    <w:rsid w:val="00D5668C"/>
    <w:rsid w:val="00D614D4"/>
    <w:rsid w:val="00D67DA9"/>
    <w:rsid w:val="00D72B81"/>
    <w:rsid w:val="00D7559B"/>
    <w:rsid w:val="00D75C34"/>
    <w:rsid w:val="00D80646"/>
    <w:rsid w:val="00D82A2C"/>
    <w:rsid w:val="00D83C77"/>
    <w:rsid w:val="00D84D03"/>
    <w:rsid w:val="00D90A85"/>
    <w:rsid w:val="00D90C29"/>
    <w:rsid w:val="00D9363B"/>
    <w:rsid w:val="00D94695"/>
    <w:rsid w:val="00D96535"/>
    <w:rsid w:val="00DA1D70"/>
    <w:rsid w:val="00DA2F86"/>
    <w:rsid w:val="00DA4420"/>
    <w:rsid w:val="00DA7189"/>
    <w:rsid w:val="00DB4047"/>
    <w:rsid w:val="00DB4BAD"/>
    <w:rsid w:val="00DB4DCE"/>
    <w:rsid w:val="00DB5AE6"/>
    <w:rsid w:val="00DB6876"/>
    <w:rsid w:val="00DC5178"/>
    <w:rsid w:val="00DC7CFB"/>
    <w:rsid w:val="00DC7F25"/>
    <w:rsid w:val="00DD0C19"/>
    <w:rsid w:val="00DD35B3"/>
    <w:rsid w:val="00DD4F2B"/>
    <w:rsid w:val="00DD5B91"/>
    <w:rsid w:val="00DE0B65"/>
    <w:rsid w:val="00DE0B7B"/>
    <w:rsid w:val="00DE44DE"/>
    <w:rsid w:val="00DE4C32"/>
    <w:rsid w:val="00DE4F14"/>
    <w:rsid w:val="00DE7B57"/>
    <w:rsid w:val="00DF1DFB"/>
    <w:rsid w:val="00DF42B5"/>
    <w:rsid w:val="00DF5D87"/>
    <w:rsid w:val="00DF6C63"/>
    <w:rsid w:val="00DF7276"/>
    <w:rsid w:val="00E02903"/>
    <w:rsid w:val="00E03670"/>
    <w:rsid w:val="00E0500E"/>
    <w:rsid w:val="00E05A91"/>
    <w:rsid w:val="00E10C8D"/>
    <w:rsid w:val="00E123C9"/>
    <w:rsid w:val="00E1342A"/>
    <w:rsid w:val="00E13677"/>
    <w:rsid w:val="00E13746"/>
    <w:rsid w:val="00E155BB"/>
    <w:rsid w:val="00E15DD6"/>
    <w:rsid w:val="00E16ADE"/>
    <w:rsid w:val="00E174A4"/>
    <w:rsid w:val="00E214EC"/>
    <w:rsid w:val="00E27D40"/>
    <w:rsid w:val="00E31056"/>
    <w:rsid w:val="00E37C04"/>
    <w:rsid w:val="00E41020"/>
    <w:rsid w:val="00E41B06"/>
    <w:rsid w:val="00E43D14"/>
    <w:rsid w:val="00E4648B"/>
    <w:rsid w:val="00E526FE"/>
    <w:rsid w:val="00E5655E"/>
    <w:rsid w:val="00E63040"/>
    <w:rsid w:val="00E63FA0"/>
    <w:rsid w:val="00E65E1D"/>
    <w:rsid w:val="00E67CDD"/>
    <w:rsid w:val="00E71DB9"/>
    <w:rsid w:val="00E74D38"/>
    <w:rsid w:val="00E804A1"/>
    <w:rsid w:val="00E838D9"/>
    <w:rsid w:val="00E84BE8"/>
    <w:rsid w:val="00E90337"/>
    <w:rsid w:val="00E951F8"/>
    <w:rsid w:val="00EA6A76"/>
    <w:rsid w:val="00EA77F9"/>
    <w:rsid w:val="00EB27E7"/>
    <w:rsid w:val="00EB60A5"/>
    <w:rsid w:val="00EB7962"/>
    <w:rsid w:val="00EC08DA"/>
    <w:rsid w:val="00EC0EFF"/>
    <w:rsid w:val="00EC206B"/>
    <w:rsid w:val="00EC76E2"/>
    <w:rsid w:val="00ED00B5"/>
    <w:rsid w:val="00ED06AE"/>
    <w:rsid w:val="00ED5046"/>
    <w:rsid w:val="00ED6864"/>
    <w:rsid w:val="00EE1181"/>
    <w:rsid w:val="00EE3DBE"/>
    <w:rsid w:val="00EE4F78"/>
    <w:rsid w:val="00EE501E"/>
    <w:rsid w:val="00EF0BBE"/>
    <w:rsid w:val="00EF0DBA"/>
    <w:rsid w:val="00EF32E6"/>
    <w:rsid w:val="00F006D0"/>
    <w:rsid w:val="00F01D21"/>
    <w:rsid w:val="00F06B69"/>
    <w:rsid w:val="00F1173C"/>
    <w:rsid w:val="00F1515D"/>
    <w:rsid w:val="00F16AE3"/>
    <w:rsid w:val="00F244D3"/>
    <w:rsid w:val="00F2570A"/>
    <w:rsid w:val="00F25BFF"/>
    <w:rsid w:val="00F25DA7"/>
    <w:rsid w:val="00F275B5"/>
    <w:rsid w:val="00F30DB0"/>
    <w:rsid w:val="00F31BF3"/>
    <w:rsid w:val="00F33742"/>
    <w:rsid w:val="00F40115"/>
    <w:rsid w:val="00F40738"/>
    <w:rsid w:val="00F41D01"/>
    <w:rsid w:val="00F46285"/>
    <w:rsid w:val="00F55A4D"/>
    <w:rsid w:val="00F60EA1"/>
    <w:rsid w:val="00F63830"/>
    <w:rsid w:val="00F63C3D"/>
    <w:rsid w:val="00F64EC4"/>
    <w:rsid w:val="00F673D6"/>
    <w:rsid w:val="00F71EDB"/>
    <w:rsid w:val="00F72663"/>
    <w:rsid w:val="00F72678"/>
    <w:rsid w:val="00F74D3D"/>
    <w:rsid w:val="00F75805"/>
    <w:rsid w:val="00F759CA"/>
    <w:rsid w:val="00F8145B"/>
    <w:rsid w:val="00F82DA4"/>
    <w:rsid w:val="00F90CF6"/>
    <w:rsid w:val="00F90E72"/>
    <w:rsid w:val="00F94671"/>
    <w:rsid w:val="00F978A1"/>
    <w:rsid w:val="00FA5E63"/>
    <w:rsid w:val="00FA61AA"/>
    <w:rsid w:val="00FA754A"/>
    <w:rsid w:val="00FB0E73"/>
    <w:rsid w:val="00FB7E5F"/>
    <w:rsid w:val="00FC2351"/>
    <w:rsid w:val="00FC2678"/>
    <w:rsid w:val="00FC2EE2"/>
    <w:rsid w:val="00FC2F2A"/>
    <w:rsid w:val="00FD0993"/>
    <w:rsid w:val="00FD5ABC"/>
    <w:rsid w:val="00FD7368"/>
    <w:rsid w:val="00FE141B"/>
    <w:rsid w:val="00FE2009"/>
    <w:rsid w:val="00FE6BD3"/>
    <w:rsid w:val="00FF36DD"/>
    <w:rsid w:val="00FF4374"/>
    <w:rsid w:val="00FF49D7"/>
    <w:rsid w:val="00FF4E30"/>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690BDA"/>
  <w15:docId w15:val="{E01409A0-3727-46E8-A1F1-605327AA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4A7"/>
    <w:rPr>
      <w:rFonts w:ascii="Times New Roman" w:hAnsi="Times New Roman"/>
      <w:sz w:val="24"/>
      <w:szCs w:val="24"/>
    </w:rPr>
  </w:style>
  <w:style w:type="paragraph" w:styleId="Heading1">
    <w:name w:val="heading 1"/>
    <w:basedOn w:val="Normal"/>
    <w:next w:val="Normal"/>
    <w:link w:val="Heading1Char"/>
    <w:uiPriority w:val="99"/>
    <w:qFormat/>
    <w:rsid w:val="000927D4"/>
    <w:pPr>
      <w:keepNext/>
      <w:tabs>
        <w:tab w:val="left" w:pos="480"/>
        <w:tab w:val="left" w:pos="960"/>
        <w:tab w:val="left" w:pos="6840"/>
      </w:tabs>
      <w:jc w:val="center"/>
      <w:outlineLvl w:val="0"/>
    </w:pPr>
    <w:rPr>
      <w:b/>
      <w:bCs/>
      <w:spacing w:val="-3"/>
      <w:sz w:val="28"/>
      <w:szCs w:val="20"/>
    </w:rPr>
  </w:style>
  <w:style w:type="paragraph" w:styleId="Heading2">
    <w:name w:val="heading 2"/>
    <w:basedOn w:val="Normal"/>
    <w:next w:val="Normal"/>
    <w:link w:val="Heading2Char"/>
    <w:uiPriority w:val="99"/>
    <w:qFormat/>
    <w:rsid w:val="000927D4"/>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7D4"/>
    <w:rPr>
      <w:rFonts w:ascii="Times New Roman" w:hAnsi="Times New Roman"/>
      <w:b/>
      <w:bCs/>
      <w:spacing w:val="-3"/>
      <w:sz w:val="28"/>
    </w:rPr>
  </w:style>
  <w:style w:type="character" w:customStyle="1" w:styleId="Heading2Char">
    <w:name w:val="Heading 2 Char"/>
    <w:link w:val="Heading2"/>
    <w:uiPriority w:val="99"/>
    <w:locked/>
    <w:rsid w:val="000927D4"/>
    <w:rPr>
      <w:rFonts w:ascii="Times New Roman" w:hAnsi="Times New Roman"/>
      <w:b/>
      <w:bCs/>
      <w:sz w:val="28"/>
    </w:rPr>
  </w:style>
  <w:style w:type="paragraph" w:styleId="PlainText">
    <w:name w:val="Plain Text"/>
    <w:basedOn w:val="Normal"/>
    <w:link w:val="PlainTextChar"/>
    <w:uiPriority w:val="99"/>
    <w:rsid w:val="00E02903"/>
    <w:rPr>
      <w:rFonts w:ascii="Courier New" w:hAnsi="Courier New"/>
      <w:sz w:val="20"/>
      <w:szCs w:val="20"/>
    </w:rPr>
  </w:style>
  <w:style w:type="character" w:customStyle="1" w:styleId="PlainTextChar">
    <w:name w:val="Plain Text Char"/>
    <w:link w:val="PlainText"/>
    <w:uiPriority w:val="99"/>
    <w:locked/>
    <w:rsid w:val="00E02903"/>
    <w:rPr>
      <w:rFonts w:ascii="Courier New" w:hAnsi="Courier New"/>
      <w:sz w:val="20"/>
    </w:rPr>
  </w:style>
  <w:style w:type="paragraph" w:styleId="FootnoteText">
    <w:name w:val="footnote text"/>
    <w:basedOn w:val="Normal"/>
    <w:link w:val="FootnoteTextChar"/>
    <w:uiPriority w:val="99"/>
    <w:semiHidden/>
    <w:rsid w:val="00E02903"/>
    <w:rPr>
      <w:rFonts w:ascii="Univers Condensed" w:hAnsi="Univers Condensed"/>
      <w:sz w:val="20"/>
      <w:szCs w:val="20"/>
    </w:rPr>
  </w:style>
  <w:style w:type="character" w:customStyle="1" w:styleId="FootnoteTextChar">
    <w:name w:val="Footnote Text Char"/>
    <w:link w:val="FootnoteText"/>
    <w:uiPriority w:val="99"/>
    <w:locked/>
    <w:rsid w:val="00E02903"/>
    <w:rPr>
      <w:rFonts w:ascii="Univers Condensed" w:hAnsi="Univers Condensed"/>
      <w:sz w:val="20"/>
    </w:rPr>
  </w:style>
  <w:style w:type="paragraph" w:customStyle="1" w:styleId="QuickFormat1">
    <w:name w:val="QuickFormat1"/>
    <w:basedOn w:val="Normal"/>
    <w:link w:val="QuickFormat1Char"/>
    <w:uiPriority w:val="99"/>
    <w:rsid w:val="009A16EB"/>
    <w:pPr>
      <w:widowControl w:val="0"/>
      <w:jc w:val="center"/>
    </w:pPr>
    <w:rPr>
      <w:b/>
      <w:snapToGrid w:val="0"/>
      <w:color w:val="000000"/>
      <w:sz w:val="20"/>
      <w:szCs w:val="20"/>
      <w:lang w:val="x-none" w:eastAsia="x-none"/>
    </w:rPr>
  </w:style>
  <w:style w:type="character" w:customStyle="1" w:styleId="QuickFormat1Char">
    <w:name w:val="QuickFormat1 Char"/>
    <w:link w:val="QuickFormat1"/>
    <w:uiPriority w:val="99"/>
    <w:locked/>
    <w:rsid w:val="009A16EB"/>
    <w:rPr>
      <w:rFonts w:ascii="Times New Roman" w:hAnsi="Times New Roman"/>
      <w:b/>
      <w:snapToGrid w:val="0"/>
      <w:color w:val="000000"/>
      <w:sz w:val="20"/>
    </w:rPr>
  </w:style>
  <w:style w:type="character" w:styleId="CommentReference">
    <w:name w:val="annotation reference"/>
    <w:uiPriority w:val="99"/>
    <w:semiHidden/>
    <w:rsid w:val="009A16EB"/>
    <w:rPr>
      <w:sz w:val="16"/>
    </w:rPr>
  </w:style>
  <w:style w:type="paragraph" w:styleId="HTMLPreformatted">
    <w:name w:val="HTML Preformatted"/>
    <w:basedOn w:val="Normal"/>
    <w:link w:val="HTMLPreformattedChar"/>
    <w:uiPriority w:val="99"/>
    <w:rsid w:val="0041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41509F"/>
    <w:rPr>
      <w:rFonts w:ascii="Courier New" w:hAnsi="Courier New"/>
      <w:sz w:val="20"/>
    </w:rPr>
  </w:style>
  <w:style w:type="paragraph" w:styleId="BodyText">
    <w:name w:val="Body Text"/>
    <w:basedOn w:val="Normal"/>
    <w:link w:val="BodyTextChar"/>
    <w:uiPriority w:val="99"/>
    <w:rsid w:val="0041509F"/>
    <w:pPr>
      <w:widowControl w:val="0"/>
      <w:spacing w:after="120"/>
    </w:pPr>
    <w:rPr>
      <w:rFonts w:ascii="Courier" w:hAnsi="Courier"/>
      <w:sz w:val="20"/>
      <w:szCs w:val="20"/>
    </w:rPr>
  </w:style>
  <w:style w:type="character" w:customStyle="1" w:styleId="BodyTextChar">
    <w:name w:val="Body Text Char"/>
    <w:link w:val="BodyText"/>
    <w:uiPriority w:val="99"/>
    <w:locked/>
    <w:rsid w:val="0041509F"/>
    <w:rPr>
      <w:rFonts w:ascii="Courier" w:hAnsi="Courier"/>
      <w:sz w:val="20"/>
    </w:rPr>
  </w:style>
  <w:style w:type="paragraph" w:styleId="Header">
    <w:name w:val="header"/>
    <w:basedOn w:val="Normal"/>
    <w:link w:val="HeaderChar"/>
    <w:uiPriority w:val="99"/>
    <w:rsid w:val="00A03CC1"/>
    <w:pPr>
      <w:tabs>
        <w:tab w:val="center" w:pos="4680"/>
        <w:tab w:val="right" w:pos="9360"/>
      </w:tabs>
    </w:pPr>
    <w:rPr>
      <w:sz w:val="20"/>
      <w:szCs w:val="20"/>
    </w:rPr>
  </w:style>
  <w:style w:type="character" w:customStyle="1" w:styleId="HeaderChar">
    <w:name w:val="Header Char"/>
    <w:link w:val="Header"/>
    <w:uiPriority w:val="99"/>
    <w:locked/>
    <w:rsid w:val="00A03CC1"/>
    <w:rPr>
      <w:rFonts w:ascii="Times New Roman" w:hAnsi="Times New Roman"/>
      <w:sz w:val="20"/>
    </w:rPr>
  </w:style>
  <w:style w:type="paragraph" w:styleId="Footer">
    <w:name w:val="footer"/>
    <w:basedOn w:val="Normal"/>
    <w:link w:val="FooterChar"/>
    <w:uiPriority w:val="99"/>
    <w:rsid w:val="00A03CC1"/>
    <w:pPr>
      <w:tabs>
        <w:tab w:val="center" w:pos="4680"/>
        <w:tab w:val="right" w:pos="9360"/>
      </w:tabs>
    </w:pPr>
    <w:rPr>
      <w:sz w:val="20"/>
      <w:szCs w:val="20"/>
    </w:rPr>
  </w:style>
  <w:style w:type="character" w:customStyle="1" w:styleId="FooterChar">
    <w:name w:val="Footer Char"/>
    <w:link w:val="Footer"/>
    <w:uiPriority w:val="99"/>
    <w:locked/>
    <w:rsid w:val="00A03CC1"/>
    <w:rPr>
      <w:rFonts w:ascii="Times New Roman" w:hAnsi="Times New Roman"/>
      <w:sz w:val="20"/>
    </w:rPr>
  </w:style>
  <w:style w:type="paragraph" w:styleId="ListParagraph">
    <w:name w:val="List Paragraph"/>
    <w:basedOn w:val="Normal"/>
    <w:uiPriority w:val="34"/>
    <w:qFormat/>
    <w:rsid w:val="00412048"/>
    <w:pPr>
      <w:widowControl w:val="0"/>
      <w:ind w:left="720"/>
    </w:pPr>
    <w:rPr>
      <w:rFonts w:ascii="Courier" w:hAnsi="Courier" w:cs="Courier"/>
    </w:rPr>
  </w:style>
  <w:style w:type="table" w:styleId="TableGrid">
    <w:name w:val="Table Grid"/>
    <w:basedOn w:val="TableNormal"/>
    <w:uiPriority w:val="99"/>
    <w:rsid w:val="006C231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1EDB"/>
    <w:rPr>
      <w:rFonts w:ascii="Tahoma" w:hAnsi="Tahoma"/>
      <w:sz w:val="16"/>
      <w:szCs w:val="16"/>
    </w:rPr>
  </w:style>
  <w:style w:type="character" w:customStyle="1" w:styleId="BalloonTextChar">
    <w:name w:val="Balloon Text Char"/>
    <w:link w:val="BalloonText"/>
    <w:uiPriority w:val="99"/>
    <w:semiHidden/>
    <w:locked/>
    <w:rsid w:val="00F71EDB"/>
    <w:rPr>
      <w:rFonts w:ascii="Tahoma" w:hAnsi="Tahoma"/>
      <w:sz w:val="16"/>
    </w:rPr>
  </w:style>
  <w:style w:type="paragraph" w:styleId="CommentText">
    <w:name w:val="annotation text"/>
    <w:basedOn w:val="Normal"/>
    <w:link w:val="CommentTextChar"/>
    <w:uiPriority w:val="99"/>
    <w:semiHidden/>
    <w:rsid w:val="00061B1B"/>
    <w:rPr>
      <w:sz w:val="20"/>
      <w:szCs w:val="20"/>
    </w:rPr>
  </w:style>
  <w:style w:type="character" w:customStyle="1" w:styleId="CommentTextChar">
    <w:name w:val="Comment Text Char"/>
    <w:link w:val="CommentText"/>
    <w:uiPriority w:val="99"/>
    <w:semiHidden/>
    <w:locked/>
    <w:rsid w:val="00061B1B"/>
    <w:rPr>
      <w:rFonts w:ascii="Times New Roman" w:hAnsi="Times New Roman"/>
      <w:sz w:val="20"/>
    </w:rPr>
  </w:style>
  <w:style w:type="paragraph" w:styleId="CommentSubject">
    <w:name w:val="annotation subject"/>
    <w:basedOn w:val="CommentText"/>
    <w:next w:val="CommentText"/>
    <w:link w:val="CommentSubjectChar"/>
    <w:uiPriority w:val="99"/>
    <w:semiHidden/>
    <w:rsid w:val="00061B1B"/>
    <w:rPr>
      <w:b/>
      <w:bCs/>
    </w:rPr>
  </w:style>
  <w:style w:type="character" w:customStyle="1" w:styleId="CommentSubjectChar">
    <w:name w:val="Comment Subject Char"/>
    <w:link w:val="CommentSubject"/>
    <w:uiPriority w:val="99"/>
    <w:semiHidden/>
    <w:locked/>
    <w:rsid w:val="00061B1B"/>
    <w:rPr>
      <w:rFonts w:ascii="Times New Roman" w:hAnsi="Times New Roman"/>
      <w:b/>
      <w:sz w:val="20"/>
    </w:rPr>
  </w:style>
  <w:style w:type="paragraph" w:styleId="Revision">
    <w:name w:val="Revision"/>
    <w:hidden/>
    <w:uiPriority w:val="99"/>
    <w:semiHidden/>
    <w:rsid w:val="00986A1B"/>
    <w:rPr>
      <w:rFonts w:ascii="Times New Roman" w:hAnsi="Times New Roman"/>
      <w:sz w:val="24"/>
      <w:szCs w:val="24"/>
    </w:rPr>
  </w:style>
  <w:style w:type="paragraph" w:styleId="NormalWeb">
    <w:name w:val="Normal (Web)"/>
    <w:basedOn w:val="Normal"/>
    <w:uiPriority w:val="99"/>
    <w:semiHidden/>
    <w:rsid w:val="00D3354F"/>
    <w:pPr>
      <w:spacing w:before="100" w:beforeAutospacing="1" w:after="100" w:afterAutospacing="1"/>
    </w:pPr>
  </w:style>
  <w:style w:type="character" w:styleId="Hyperlink">
    <w:name w:val="Hyperlink"/>
    <w:uiPriority w:val="99"/>
    <w:rsid w:val="00BE0A29"/>
    <w:rPr>
      <w:color w:val="0000FF"/>
      <w:u w:val="single"/>
    </w:rPr>
  </w:style>
  <w:style w:type="paragraph" w:customStyle="1" w:styleId="BodyTXT">
    <w:name w:val="BodyTXT"/>
    <w:basedOn w:val="Normal"/>
    <w:qFormat/>
    <w:rsid w:val="00F33742"/>
    <w:rPr>
      <w:rFonts w:asciiTheme="minorHAnsi" w:hAnsiTheme="minorHAnsi" w:cs="Arial"/>
      <w:sz w:val="22"/>
      <w:szCs w:val="22"/>
    </w:rPr>
  </w:style>
  <w:style w:type="paragraph" w:styleId="TOCHeading">
    <w:name w:val="TOC Heading"/>
    <w:basedOn w:val="Heading1"/>
    <w:next w:val="Normal"/>
    <w:uiPriority w:val="39"/>
    <w:semiHidden/>
    <w:unhideWhenUsed/>
    <w:qFormat/>
    <w:rsid w:val="000927D4"/>
    <w:pPr>
      <w:keepLines/>
      <w:tabs>
        <w:tab w:val="clear" w:pos="480"/>
        <w:tab w:val="clear" w:pos="960"/>
        <w:tab w:val="clear" w:pos="6840"/>
      </w:tabs>
      <w:spacing w:before="480" w:line="276" w:lineRule="auto"/>
      <w:jc w:val="left"/>
      <w:outlineLvl w:val="9"/>
    </w:pPr>
    <w:rPr>
      <w:rFonts w:asciiTheme="majorHAnsi" w:eastAsiaTheme="majorEastAsia" w:hAnsiTheme="majorHAnsi" w:cstheme="majorBidi"/>
      <w:color w:val="365F91" w:themeColor="accent1" w:themeShade="BF"/>
      <w:spacing w:val="0"/>
      <w:szCs w:val="28"/>
      <w:lang w:eastAsia="ja-JP"/>
    </w:rPr>
  </w:style>
  <w:style w:type="paragraph" w:styleId="TOC2">
    <w:name w:val="toc 2"/>
    <w:basedOn w:val="Normal"/>
    <w:next w:val="Normal"/>
    <w:autoRedefine/>
    <w:uiPriority w:val="39"/>
    <w:locked/>
    <w:rsid w:val="000927D4"/>
    <w:pPr>
      <w:spacing w:after="100"/>
      <w:ind w:left="240"/>
    </w:pPr>
  </w:style>
  <w:style w:type="paragraph" w:styleId="TOC3">
    <w:name w:val="toc 3"/>
    <w:basedOn w:val="Normal"/>
    <w:next w:val="Normal"/>
    <w:autoRedefine/>
    <w:uiPriority w:val="39"/>
    <w:locked/>
    <w:rsid w:val="000927D4"/>
    <w:pPr>
      <w:spacing w:after="100"/>
      <w:ind w:left="480"/>
    </w:pPr>
  </w:style>
  <w:style w:type="paragraph" w:styleId="TOC1">
    <w:name w:val="toc 1"/>
    <w:basedOn w:val="Normal"/>
    <w:next w:val="Normal"/>
    <w:autoRedefine/>
    <w:uiPriority w:val="39"/>
    <w:locked/>
    <w:rsid w:val="0007543D"/>
    <w:pPr>
      <w:spacing w:after="100"/>
    </w:pPr>
  </w:style>
  <w:style w:type="character" w:customStyle="1" w:styleId="Style1">
    <w:name w:val="Style1"/>
    <w:basedOn w:val="DefaultParagraphFont"/>
    <w:uiPriority w:val="1"/>
    <w:rsid w:val="00C67064"/>
    <w:rPr>
      <w:rFonts w:ascii="Times New Roman" w:hAnsi="Times New Roman"/>
      <w:b/>
      <w:sz w:val="24"/>
      <w:u w:val="single"/>
    </w:rPr>
  </w:style>
  <w:style w:type="paragraph" w:customStyle="1" w:styleId="Default">
    <w:name w:val="Default"/>
    <w:uiPriority w:val="99"/>
    <w:semiHidden/>
    <w:rsid w:val="00423B9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45894">
      <w:bodyDiv w:val="1"/>
      <w:marLeft w:val="0"/>
      <w:marRight w:val="0"/>
      <w:marTop w:val="0"/>
      <w:marBottom w:val="0"/>
      <w:divBdr>
        <w:top w:val="none" w:sz="0" w:space="0" w:color="auto"/>
        <w:left w:val="none" w:sz="0" w:space="0" w:color="auto"/>
        <w:bottom w:val="none" w:sz="0" w:space="0" w:color="auto"/>
        <w:right w:val="none" w:sz="0" w:space="0" w:color="auto"/>
      </w:divBdr>
    </w:div>
    <w:div w:id="941306654">
      <w:marLeft w:val="0"/>
      <w:marRight w:val="0"/>
      <w:marTop w:val="0"/>
      <w:marBottom w:val="0"/>
      <w:divBdr>
        <w:top w:val="none" w:sz="0" w:space="0" w:color="auto"/>
        <w:left w:val="none" w:sz="0" w:space="0" w:color="auto"/>
        <w:bottom w:val="none" w:sz="0" w:space="0" w:color="auto"/>
        <w:right w:val="none" w:sz="0" w:space="0" w:color="auto"/>
      </w:divBdr>
    </w:div>
    <w:div w:id="941306655">
      <w:marLeft w:val="0"/>
      <w:marRight w:val="0"/>
      <w:marTop w:val="0"/>
      <w:marBottom w:val="0"/>
      <w:divBdr>
        <w:top w:val="none" w:sz="0" w:space="0" w:color="auto"/>
        <w:left w:val="none" w:sz="0" w:space="0" w:color="auto"/>
        <w:bottom w:val="none" w:sz="0" w:space="0" w:color="auto"/>
        <w:right w:val="none" w:sz="0" w:space="0" w:color="auto"/>
      </w:divBdr>
    </w:div>
    <w:div w:id="941306656">
      <w:marLeft w:val="0"/>
      <w:marRight w:val="0"/>
      <w:marTop w:val="0"/>
      <w:marBottom w:val="0"/>
      <w:divBdr>
        <w:top w:val="none" w:sz="0" w:space="0" w:color="auto"/>
        <w:left w:val="none" w:sz="0" w:space="0" w:color="auto"/>
        <w:bottom w:val="none" w:sz="0" w:space="0" w:color="auto"/>
        <w:right w:val="none" w:sz="0" w:space="0" w:color="auto"/>
      </w:divBdr>
    </w:div>
    <w:div w:id="941306657">
      <w:marLeft w:val="0"/>
      <w:marRight w:val="0"/>
      <w:marTop w:val="0"/>
      <w:marBottom w:val="0"/>
      <w:divBdr>
        <w:top w:val="none" w:sz="0" w:space="0" w:color="auto"/>
        <w:left w:val="none" w:sz="0" w:space="0" w:color="auto"/>
        <w:bottom w:val="none" w:sz="0" w:space="0" w:color="auto"/>
        <w:right w:val="none" w:sz="0" w:space="0" w:color="auto"/>
      </w:divBdr>
    </w:div>
    <w:div w:id="941306658">
      <w:marLeft w:val="0"/>
      <w:marRight w:val="0"/>
      <w:marTop w:val="0"/>
      <w:marBottom w:val="0"/>
      <w:divBdr>
        <w:top w:val="none" w:sz="0" w:space="0" w:color="auto"/>
        <w:left w:val="none" w:sz="0" w:space="0" w:color="auto"/>
        <w:bottom w:val="none" w:sz="0" w:space="0" w:color="auto"/>
        <w:right w:val="none" w:sz="0" w:space="0" w:color="auto"/>
      </w:divBdr>
    </w:div>
    <w:div w:id="9892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5520D38458B42A467308E16F6A6F7" ma:contentTypeVersion="2" ma:contentTypeDescription="Create a new document." ma:contentTypeScope="" ma:versionID="7454f93986beb44f174bf494dfe9702f">
  <xsd:schema xmlns:xsd="http://www.w3.org/2001/XMLSchema" xmlns:p="http://schemas.microsoft.com/office/2006/metadata/properties" xmlns:ns2="8e64d7ec-d05c-4af7-a45f-a77b5edfdef6" targetNamespace="http://schemas.microsoft.com/office/2006/metadata/properties" ma:root="true" ma:fieldsID="12aaf5719d564b8d6ce1e7d721aef6e4" ns2:_="">
    <xsd:import namespace="8e64d7ec-d05c-4af7-a45f-a77b5edfdef6"/>
    <xsd:element name="properties">
      <xsd:complexType>
        <xsd:sequence>
          <xsd:element name="documentManagement">
            <xsd:complexType>
              <xsd:all>
                <xsd:element ref="ns2:Sensitivity" minOccurs="0"/>
              </xsd:all>
            </xsd:complexType>
          </xsd:element>
        </xsd:sequence>
      </xsd:complexType>
    </xsd:element>
  </xsd:schema>
  <xsd:schema xmlns:xsd="http://www.w3.org/2001/XMLSchema" xmlns:dms="http://schemas.microsoft.com/office/2006/documentManagement/types" targetNamespace="8e64d7ec-d05c-4af7-a45f-a77b5edfdef6" elementFormDefault="qualified">
    <xsd:import namespace="http://schemas.microsoft.com/office/2006/documentManagement/types"/>
    <xsd:element name="Sensitivity" ma:index="8" nillable="true" ma:displayName="Sensitivity" ma:description="Sensitive Data = Any data that, if lost, stolen or misused, could adversely impact FDIC, insured institutions or individuals.&#10;http://fdic01/division/doa/adminservices/records/directives/1000/1360-9.doc&#10;&#10;Sensitive PII = SSN alone and/or an individual’s full name plus 1 or more additional items of personal data.&#10;http://fdic01/division/dit/ITGovernance/PrivacyProgram/PersonallyIdentifiableInformation/index.html&#10;Non-Sensitive Data = Data that can be shared or viewed with no restrictions internal or external to FDIC.&#10;http://www.fdic.gov/regulations/laws/rules/2000-3800.html" ma:format="Dropdown" ma:internalName="Sensitivity">
      <xsd:simpleType>
        <xsd:restriction base="dms:Choice">
          <xsd:enumeration value="Sensitive Data"/>
          <xsd:enumeration value="Sensitive PII"/>
          <xsd:enumeration value="Non-Sensitive Da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e64d7ec-d05c-4af7-a45f-a77b5edfde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73F7-0774-4110-8BB6-2E5E2A70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4d7ec-d05c-4af7-a45f-a77b5edfde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6DCC6B-69E2-4E1C-8FCD-439DBD2E977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8e64d7ec-d05c-4af7-a45f-a77b5edfdef6"/>
    <ds:schemaRef ds:uri="http://www.w3.org/XML/1998/namespace"/>
  </ds:schemaRefs>
</ds:datastoreItem>
</file>

<file path=customXml/itemProps3.xml><?xml version="1.0" encoding="utf-8"?>
<ds:datastoreItem xmlns:ds="http://schemas.openxmlformats.org/officeDocument/2006/customXml" ds:itemID="{1B53C679-7125-43C6-8EDF-C9E6C1E15BBD}">
  <ds:schemaRefs>
    <ds:schemaRef ds:uri="http://schemas.microsoft.com/sharepoint/v3/contenttype/forms"/>
  </ds:schemaRefs>
</ds:datastoreItem>
</file>

<file path=customXml/itemProps4.xml><?xml version="1.0" encoding="utf-8"?>
<ds:datastoreItem xmlns:ds="http://schemas.openxmlformats.org/officeDocument/2006/customXml" ds:itemID="{E6DC025F-5659-4A4A-972F-5455392C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5113</Words>
  <Characters>29339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ISB Single Rated Area</vt:lpstr>
    </vt:vector>
  </TitlesOfParts>
  <Company>FDIC</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 Single Rated Area</dc:title>
  <dc:creator>tbressette@fdic.gov</dc:creator>
  <cp:lastModifiedBy>Weydt, Irene (DOB)</cp:lastModifiedBy>
  <cp:revision>3</cp:revision>
  <cp:lastPrinted>2021-03-10T20:48:00Z</cp:lastPrinted>
  <dcterms:created xsi:type="dcterms:W3CDTF">2021-03-10T20:46:00Z</dcterms:created>
  <dcterms:modified xsi:type="dcterms:W3CDTF">2021-03-10T20:48:00Z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0x0101007825520D38458B42A467308E16F6A6F7</vt:lpwstr>
  </property>
</Properties>
</file>