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DF" w:rsidRDefault="00603C52" w:rsidP="008129DF">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02F8BE"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9DF" w:rsidRPr="00E16847" w:rsidRDefault="008129DF" w:rsidP="008129DF">
                            <w:pPr>
                              <w:pStyle w:val="BIDPUBHEALTHFACTSHEET"/>
                            </w:pPr>
                            <w:r>
                              <w:t>HOJA INFORMATIVA DE LA SALUD PÚBLICA DE MASSACHUSETTS</w:t>
                            </w:r>
                          </w:p>
                          <w:p w:rsidR="008129DF" w:rsidRPr="009F0305" w:rsidRDefault="008129DF" w:rsidP="008129DF">
                            <w:pPr>
                              <w:pStyle w:val="BIDTitle"/>
                              <w:rPr>
                                <w:bCs/>
                              </w:rPr>
                            </w:pPr>
                            <w:r>
                              <w:t>Tuberculosis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C77SIOzAgAAuQUA&#10;AA4AAAAAAAAAAAAAAAAALgIAAGRycy9lMm9Eb2MueG1sUEsBAi0AFAAGAAgAAAAhAMtWkpvfAAAA&#10;DAEAAA8AAAAAAAAAAAAAAAAADQUAAGRycy9kb3ducmV2LnhtbFBLBQYAAAAABAAEAPMAAAAZBgAA&#10;AAA=&#10;" filled="f" stroked="f">
                <v:textbox inset=",7.2pt,,7.2pt">
                  <w:txbxContent>
                    <w:p w:rsidR="008129DF" w:rsidRPr="00E16847" w:rsidRDefault="008129DF" w:rsidP="008129DF">
                      <w:pPr>
                        <w:pStyle w:val="BIDPUBHEALTHFACTSHEET"/>
                      </w:pPr>
                      <w:r>
                        <w:t>HOJA INFORMATIVA DE LA SALUD PÚBLICA DE MASSACHUSETTS</w:t>
                      </w:r>
                    </w:p>
                    <w:p w:rsidR="008129DF" w:rsidRPr="009F0305" w:rsidRDefault="008129DF" w:rsidP="008129DF">
                      <w:pPr>
                        <w:pStyle w:val="BIDTitle"/>
                        <w:rPr>
                          <w:bCs/>
                        </w:rPr>
                      </w:pPr>
                      <w:r>
                        <w:t>Tuberculosis</w:t>
                      </w:r>
                    </w:p>
                  </w:txbxContent>
                </v:textbox>
                <w10:wrap anchorx="page"/>
              </v:shape>
            </w:pict>
          </mc:Fallback>
        </mc:AlternateContent>
      </w:r>
      <w:r w:rsidR="008129DF">
        <w:rPr>
          <w:rFonts w:ascii="Calibri" w:hAnsi="Calibri"/>
          <w:color w:val="152355"/>
          <w:sz w:val="20"/>
        </w:rPr>
        <w:t xml:space="preserve"> Abril de 2015| Página 1 de 2</w:t>
      </w:r>
    </w:p>
    <w:p w:rsidR="008129DF" w:rsidRPr="00BC53A9" w:rsidRDefault="00603C52" w:rsidP="008129DF">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A413B6"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8129DF">
        <w:rPr>
          <w:rFonts w:ascii="Calibri" w:hAnsi="Calibri"/>
          <w:b/>
          <w:color w:val="4F81BD"/>
          <w:sz w:val="32"/>
        </w:rPr>
        <w:t>¿Qué es la tuberculosis (</w:t>
      </w:r>
      <w:r w:rsidR="00C465D6">
        <w:rPr>
          <w:rFonts w:ascii="Calibri" w:hAnsi="Calibri"/>
          <w:b/>
          <w:color w:val="4F81BD"/>
          <w:sz w:val="32"/>
        </w:rPr>
        <w:t>TB</w:t>
      </w:r>
      <w:r w:rsidR="008129DF">
        <w:rPr>
          <w:rFonts w:ascii="Calibri" w:hAnsi="Calibri"/>
          <w:b/>
          <w:color w:val="4F81BD"/>
          <w:sz w:val="32"/>
        </w:rPr>
        <w:t xml:space="preserve">)?  </w:t>
      </w:r>
    </w:p>
    <w:p w:rsidR="008129DF" w:rsidRPr="00BC53A9" w:rsidRDefault="008129DF" w:rsidP="008129DF">
      <w:pPr>
        <w:rPr>
          <w:rFonts w:ascii="Times New Roman" w:hAnsi="Times New Roman"/>
          <w:sz w:val="4"/>
        </w:rPr>
      </w:pPr>
    </w:p>
    <w:p w:rsidR="008129DF" w:rsidRPr="00297A84" w:rsidRDefault="008129DF" w:rsidP="008129DF">
      <w:pPr>
        <w:rPr>
          <w:rFonts w:ascii="Times New Roman" w:hAnsi="Times New Roman"/>
          <w:sz w:val="22"/>
          <w:szCs w:val="18"/>
        </w:rPr>
      </w:pPr>
      <w:r w:rsidRPr="00297A84">
        <w:rPr>
          <w:rFonts w:ascii="Times New Roman" w:hAnsi="Times New Roman"/>
          <w:sz w:val="22"/>
          <w:szCs w:val="22"/>
        </w:rPr>
        <w:t xml:space="preserve">La </w:t>
      </w:r>
      <w:r w:rsidR="00C465D6">
        <w:rPr>
          <w:rFonts w:ascii="Times New Roman" w:hAnsi="Times New Roman"/>
          <w:sz w:val="22"/>
          <w:szCs w:val="22"/>
        </w:rPr>
        <w:t>TB</w:t>
      </w:r>
      <w:r w:rsidRPr="00297A84">
        <w:rPr>
          <w:rFonts w:ascii="Times New Roman" w:hAnsi="Times New Roman"/>
          <w:sz w:val="22"/>
          <w:szCs w:val="22"/>
        </w:rPr>
        <w:t xml:space="preserve"> es una infección o enfermedad causada por un germen en el pulmón que llega allí mediante la respiración. Existen dos formas de </w:t>
      </w:r>
      <w:r w:rsidR="00C465D6">
        <w:rPr>
          <w:rFonts w:ascii="Times New Roman" w:hAnsi="Times New Roman"/>
          <w:sz w:val="22"/>
          <w:szCs w:val="22"/>
        </w:rPr>
        <w:t>TB</w:t>
      </w:r>
      <w:r w:rsidRPr="00297A84">
        <w:rPr>
          <w:rFonts w:ascii="Times New Roman" w:hAnsi="Times New Roman"/>
          <w:sz w:val="22"/>
          <w:szCs w:val="22"/>
        </w:rPr>
        <w:t xml:space="preserve">: La infección de </w:t>
      </w:r>
      <w:r w:rsidR="00C465D6">
        <w:rPr>
          <w:rFonts w:ascii="Times New Roman" w:hAnsi="Times New Roman"/>
          <w:sz w:val="22"/>
          <w:szCs w:val="22"/>
        </w:rPr>
        <w:t>TB</w:t>
      </w:r>
      <w:r w:rsidRPr="00297A84">
        <w:rPr>
          <w:rFonts w:ascii="Times New Roman" w:hAnsi="Times New Roman"/>
          <w:sz w:val="22"/>
          <w:szCs w:val="22"/>
        </w:rPr>
        <w:t xml:space="preserve"> y la enfermedad de </w:t>
      </w:r>
      <w:r w:rsidR="00C465D6">
        <w:rPr>
          <w:rFonts w:ascii="Times New Roman" w:hAnsi="Times New Roman"/>
          <w:sz w:val="22"/>
          <w:szCs w:val="22"/>
        </w:rPr>
        <w:t>TB</w:t>
      </w:r>
      <w:r w:rsidRPr="00297A84">
        <w:rPr>
          <w:rFonts w:ascii="Times New Roman" w:hAnsi="Times New Roman"/>
          <w:sz w:val="22"/>
          <w:szCs w:val="22"/>
        </w:rPr>
        <w:t>.</w:t>
      </w:r>
    </w:p>
    <w:p w:rsidR="008129DF" w:rsidRPr="00BC53A9" w:rsidRDefault="008129DF" w:rsidP="008129DF">
      <w:pPr>
        <w:rPr>
          <w:rFonts w:ascii="Times New Roman" w:hAnsi="Times New Roman"/>
          <w:szCs w:val="20"/>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¿Qué es la infección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423FA4">
      <w:pPr>
        <w:rPr>
          <w:rFonts w:ascii="Times New Roman" w:hAnsi="Times New Roman"/>
          <w:strike/>
          <w:sz w:val="22"/>
          <w:szCs w:val="22"/>
        </w:rPr>
      </w:pPr>
      <w:r w:rsidRPr="00297A84">
        <w:rPr>
          <w:rFonts w:ascii="Times New Roman" w:hAnsi="Times New Roman"/>
          <w:sz w:val="22"/>
          <w:szCs w:val="22"/>
        </w:rPr>
        <w:t xml:space="preserve">La infección de </w:t>
      </w:r>
      <w:r w:rsidR="00C465D6">
        <w:rPr>
          <w:rFonts w:ascii="Times New Roman" w:hAnsi="Times New Roman"/>
          <w:sz w:val="22"/>
          <w:szCs w:val="22"/>
        </w:rPr>
        <w:t>TB</w:t>
      </w:r>
      <w:r w:rsidRPr="00297A84">
        <w:rPr>
          <w:rFonts w:ascii="Times New Roman" w:hAnsi="Times New Roman"/>
          <w:sz w:val="22"/>
          <w:szCs w:val="22"/>
        </w:rPr>
        <w:t xml:space="preserve"> sucede cuando tiene un pequeño número de gérmenes de </w:t>
      </w:r>
      <w:r w:rsidR="00C465D6">
        <w:rPr>
          <w:rFonts w:ascii="Times New Roman" w:hAnsi="Times New Roman"/>
          <w:sz w:val="22"/>
          <w:szCs w:val="22"/>
        </w:rPr>
        <w:t>TB</w:t>
      </w:r>
      <w:r w:rsidRPr="00297A84">
        <w:rPr>
          <w:rFonts w:ascii="Times New Roman" w:hAnsi="Times New Roman"/>
          <w:sz w:val="22"/>
          <w:szCs w:val="22"/>
        </w:rPr>
        <w:t xml:space="preserve"> vivos en su cuerpo, pero que no le hacen daño. Las defensas de su cuerpo (su sistema inmune) evitan que causen problemas. Uno se siente bien, no está enfermo y no puede contagiar a nadie con gérmenes de </w:t>
      </w:r>
      <w:r w:rsidR="00C465D6">
        <w:rPr>
          <w:rFonts w:ascii="Times New Roman" w:hAnsi="Times New Roman"/>
          <w:sz w:val="22"/>
          <w:szCs w:val="22"/>
        </w:rPr>
        <w:t>TB</w:t>
      </w:r>
      <w:r w:rsidRPr="00297A84">
        <w:rPr>
          <w:rFonts w:ascii="Times New Roman" w:hAnsi="Times New Roman"/>
          <w:sz w:val="22"/>
          <w:szCs w:val="22"/>
        </w:rPr>
        <w:t xml:space="preserve">. Si está infectado de </w:t>
      </w:r>
      <w:r w:rsidR="00C465D6">
        <w:rPr>
          <w:rFonts w:ascii="Times New Roman" w:hAnsi="Times New Roman"/>
          <w:sz w:val="22"/>
          <w:szCs w:val="22"/>
        </w:rPr>
        <w:t>TB</w:t>
      </w:r>
      <w:r w:rsidRPr="00297A84">
        <w:rPr>
          <w:rFonts w:ascii="Times New Roman" w:hAnsi="Times New Roman"/>
          <w:sz w:val="22"/>
          <w:szCs w:val="22"/>
        </w:rPr>
        <w:t xml:space="preserve"> y su sistema inmune se debilita a causa de otra enfermedad o por algún medicamento que tome, su infección de </w:t>
      </w:r>
      <w:r w:rsidR="00C465D6">
        <w:rPr>
          <w:rFonts w:ascii="Times New Roman" w:hAnsi="Times New Roman"/>
          <w:sz w:val="22"/>
          <w:szCs w:val="22"/>
        </w:rPr>
        <w:t>TB</w:t>
      </w:r>
      <w:r w:rsidRPr="00297A84">
        <w:rPr>
          <w:rFonts w:ascii="Times New Roman" w:hAnsi="Times New Roman"/>
          <w:sz w:val="22"/>
          <w:szCs w:val="22"/>
        </w:rPr>
        <w:t xml:space="preserve"> puede desarrollarse y convertirse en una enfermedad de </w:t>
      </w:r>
      <w:r w:rsidR="00C465D6">
        <w:rPr>
          <w:rFonts w:ascii="Times New Roman" w:hAnsi="Times New Roman"/>
          <w:sz w:val="22"/>
          <w:szCs w:val="22"/>
        </w:rPr>
        <w:t>TB</w:t>
      </w:r>
      <w:r w:rsidRPr="00297A84">
        <w:rPr>
          <w:rFonts w:ascii="Times New Roman" w:hAnsi="Times New Roman"/>
          <w:sz w:val="22"/>
          <w:szCs w:val="22"/>
        </w:rPr>
        <w:t xml:space="preserve">. La fase de infección a veces se denomina </w:t>
      </w:r>
      <w:r w:rsidR="00C465D6">
        <w:rPr>
          <w:rFonts w:ascii="Times New Roman" w:hAnsi="Times New Roman"/>
          <w:sz w:val="22"/>
          <w:szCs w:val="22"/>
        </w:rPr>
        <w:t>TB</w:t>
      </w:r>
      <w:r w:rsidRPr="00423FA4">
        <w:rPr>
          <w:rFonts w:ascii="Times New Roman" w:hAnsi="Times New Roman"/>
          <w:sz w:val="22"/>
          <w:szCs w:val="22"/>
        </w:rPr>
        <w:t xml:space="preserve"> </w:t>
      </w:r>
      <w:r w:rsidR="00423FA4" w:rsidRPr="00423FA4">
        <w:rPr>
          <w:rFonts w:ascii="Times New Roman" w:hAnsi="Times New Roman"/>
          <w:sz w:val="22"/>
          <w:szCs w:val="22"/>
        </w:rPr>
        <w:t>“</w:t>
      </w:r>
      <w:r w:rsidRPr="00423FA4">
        <w:rPr>
          <w:rFonts w:ascii="Times New Roman" w:hAnsi="Times New Roman"/>
          <w:sz w:val="22"/>
          <w:szCs w:val="22"/>
        </w:rPr>
        <w:t>latente</w:t>
      </w:r>
      <w:r w:rsidR="00423FA4" w:rsidRPr="00423FA4">
        <w:rPr>
          <w:rFonts w:ascii="Times New Roman" w:hAnsi="Times New Roman"/>
          <w:sz w:val="22"/>
          <w:szCs w:val="22"/>
        </w:rPr>
        <w:t>”</w:t>
      </w:r>
      <w:r w:rsidRPr="00423FA4">
        <w:rPr>
          <w:rFonts w:ascii="Times New Roman" w:hAnsi="Times New Roman"/>
          <w:sz w:val="22"/>
          <w:szCs w:val="22"/>
        </w:rPr>
        <w:t xml:space="preserve"> o </w:t>
      </w:r>
      <w:r w:rsidR="00423FA4" w:rsidRPr="00423FA4">
        <w:rPr>
          <w:rFonts w:ascii="Times New Roman" w:hAnsi="Times New Roman"/>
          <w:sz w:val="22"/>
          <w:szCs w:val="22"/>
        </w:rPr>
        <w:t>“</w:t>
      </w:r>
      <w:r w:rsidRPr="00423FA4">
        <w:rPr>
          <w:rFonts w:ascii="Times New Roman" w:hAnsi="Times New Roman"/>
          <w:sz w:val="22"/>
          <w:szCs w:val="22"/>
        </w:rPr>
        <w:t>durmiente</w:t>
      </w:r>
      <w:r w:rsidR="00423FA4" w:rsidRPr="00423FA4">
        <w:rPr>
          <w:rFonts w:ascii="Times New Roman" w:hAnsi="Times New Roman"/>
          <w:sz w:val="22"/>
          <w:szCs w:val="22"/>
        </w:rPr>
        <w:t>”</w:t>
      </w:r>
      <w:r w:rsidRPr="00423FA4">
        <w:rPr>
          <w:rFonts w:ascii="Times New Roman" w:hAnsi="Times New Roman"/>
          <w:sz w:val="22"/>
          <w:szCs w:val="22"/>
        </w:rPr>
        <w:t xml:space="preserve">. </w:t>
      </w:r>
    </w:p>
    <w:p w:rsidR="008129DF" w:rsidRPr="00BC53A9" w:rsidRDefault="008129DF" w:rsidP="008129DF">
      <w:pPr>
        <w:rPr>
          <w:rFonts w:ascii="Times New Roman" w:hAnsi="Times New Roman"/>
          <w:szCs w:val="20"/>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¿Qué es la enfermedad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b/>
          <w:bCs/>
          <w:sz w:val="22"/>
          <w:szCs w:val="22"/>
        </w:rPr>
      </w:pPr>
      <w:r w:rsidRPr="00297A84">
        <w:rPr>
          <w:rFonts w:ascii="Times New Roman" w:hAnsi="Times New Roman"/>
          <w:sz w:val="22"/>
          <w:szCs w:val="22"/>
        </w:rPr>
        <w:t xml:space="preserve">La enfermedad de </w:t>
      </w:r>
      <w:r w:rsidR="00C465D6">
        <w:rPr>
          <w:rFonts w:ascii="Times New Roman" w:hAnsi="Times New Roman"/>
          <w:sz w:val="22"/>
          <w:szCs w:val="22"/>
        </w:rPr>
        <w:t>TB</w:t>
      </w:r>
      <w:r w:rsidRPr="00297A84">
        <w:rPr>
          <w:rFonts w:ascii="Times New Roman" w:hAnsi="Times New Roman"/>
          <w:sz w:val="22"/>
          <w:szCs w:val="22"/>
        </w:rPr>
        <w:t xml:space="preserve"> sucede cuando tiene una gran cantidad de gérmenes de </w:t>
      </w:r>
      <w:r w:rsidR="00C465D6">
        <w:rPr>
          <w:rFonts w:ascii="Times New Roman" w:hAnsi="Times New Roman"/>
          <w:sz w:val="22"/>
          <w:szCs w:val="22"/>
        </w:rPr>
        <w:t>TB</w:t>
      </w:r>
      <w:r w:rsidRPr="00297A84">
        <w:rPr>
          <w:rFonts w:ascii="Times New Roman" w:hAnsi="Times New Roman"/>
          <w:sz w:val="22"/>
          <w:szCs w:val="22"/>
        </w:rPr>
        <w:t xml:space="preserve"> habitando en su organismo y éstos causan daños. Generalmente se siente enfermo, y asimismo puede contagiar </w:t>
      </w:r>
      <w:r w:rsidR="00C465D6">
        <w:rPr>
          <w:rFonts w:ascii="Times New Roman" w:hAnsi="Times New Roman"/>
          <w:sz w:val="22"/>
          <w:szCs w:val="22"/>
        </w:rPr>
        <w:t>TB</w:t>
      </w:r>
      <w:r w:rsidRPr="00297A84">
        <w:rPr>
          <w:rFonts w:ascii="Times New Roman" w:hAnsi="Times New Roman"/>
          <w:sz w:val="22"/>
          <w:szCs w:val="22"/>
        </w:rPr>
        <w:t xml:space="preserve"> a otros. La enfermedad de </w:t>
      </w:r>
      <w:r w:rsidR="00C465D6">
        <w:rPr>
          <w:rFonts w:ascii="Times New Roman" w:hAnsi="Times New Roman"/>
          <w:sz w:val="22"/>
          <w:szCs w:val="22"/>
        </w:rPr>
        <w:t>TB</w:t>
      </w:r>
      <w:r w:rsidRPr="00297A84">
        <w:rPr>
          <w:rFonts w:ascii="Times New Roman" w:hAnsi="Times New Roman"/>
          <w:sz w:val="22"/>
          <w:szCs w:val="22"/>
        </w:rPr>
        <w:t xml:space="preserve"> puede hallarse en cualquier parte del cuerpo pero generalmente afecta a los pulmones. Los síntomas más comunes de la enfermedad de </w:t>
      </w:r>
      <w:r w:rsidR="00C465D6">
        <w:rPr>
          <w:rFonts w:ascii="Times New Roman" w:hAnsi="Times New Roman"/>
          <w:sz w:val="22"/>
          <w:szCs w:val="22"/>
        </w:rPr>
        <w:t>TB</w:t>
      </w:r>
      <w:r w:rsidRPr="00297A84">
        <w:rPr>
          <w:rFonts w:ascii="Times New Roman" w:hAnsi="Times New Roman"/>
          <w:sz w:val="22"/>
          <w:szCs w:val="22"/>
        </w:rPr>
        <w:t xml:space="preserve"> son </w:t>
      </w:r>
      <w:r w:rsidRPr="00297A84">
        <w:rPr>
          <w:rFonts w:ascii="Times New Roman" w:hAnsi="Times New Roman"/>
          <w:b/>
          <w:sz w:val="22"/>
          <w:szCs w:val="22"/>
        </w:rPr>
        <w:t xml:space="preserve">tos, fiebre, pérdida de apetito, pérdida de peso, debilidad, sudores nocturnos y sensación de cansancio. </w:t>
      </w:r>
    </w:p>
    <w:p w:rsidR="008129DF" w:rsidRPr="00BC53A9" w:rsidRDefault="008129DF" w:rsidP="008129DF">
      <w:pPr>
        <w:rPr>
          <w:rFonts w:ascii="Times New Roman" w:hAnsi="Times New Roman"/>
          <w:b/>
          <w:bCs/>
          <w:szCs w:val="20"/>
        </w:rPr>
      </w:pPr>
    </w:p>
    <w:p w:rsidR="008129DF" w:rsidRDefault="008129DF" w:rsidP="008129DF">
      <w:pPr>
        <w:rPr>
          <w:rFonts w:ascii="Times New Roman" w:hAnsi="Times New Roman"/>
          <w:b/>
          <w:bCs/>
          <w:sz w:val="28"/>
          <w:szCs w:val="20"/>
        </w:rPr>
      </w:pPr>
      <w:r>
        <w:rPr>
          <w:rFonts w:ascii="Calibri" w:hAnsi="Calibri"/>
          <w:b/>
          <w:color w:val="4F81BD"/>
          <w:sz w:val="32"/>
        </w:rPr>
        <w:t xml:space="preserve">¿Cómo contraigo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b/>
          <w:bCs/>
          <w:sz w:val="22"/>
          <w:szCs w:val="18"/>
        </w:rPr>
      </w:pPr>
      <w:r w:rsidRPr="00297A84">
        <w:rPr>
          <w:rFonts w:ascii="Times New Roman" w:hAnsi="Times New Roman"/>
          <w:sz w:val="22"/>
          <w:szCs w:val="22"/>
        </w:rPr>
        <w:t xml:space="preserve">Los gérmenes se esparcen por el aire cuando una persona enferma de </w:t>
      </w:r>
      <w:r w:rsidR="00C465D6">
        <w:rPr>
          <w:rFonts w:ascii="Times New Roman" w:hAnsi="Times New Roman"/>
          <w:sz w:val="22"/>
          <w:szCs w:val="22"/>
        </w:rPr>
        <w:t>TB</w:t>
      </w:r>
      <w:r w:rsidRPr="00297A84">
        <w:rPr>
          <w:rFonts w:ascii="Times New Roman" w:hAnsi="Times New Roman"/>
          <w:sz w:val="22"/>
          <w:szCs w:val="22"/>
        </w:rPr>
        <w:t xml:space="preserve"> en los pulmones tose, estornuda, habla o canta. La gente que vive, trabaja o pasa mucho tiempo con esta persona comparte el mismo aire. Ésta puede aspirar los gérmenes e infectarse de </w:t>
      </w:r>
      <w:r w:rsidR="00C465D6">
        <w:rPr>
          <w:rFonts w:ascii="Times New Roman" w:hAnsi="Times New Roman"/>
          <w:sz w:val="22"/>
          <w:szCs w:val="22"/>
        </w:rPr>
        <w:t>TB</w:t>
      </w:r>
      <w:r w:rsidRPr="00297A84">
        <w:rPr>
          <w:rFonts w:ascii="Times New Roman" w:hAnsi="Times New Roman"/>
          <w:sz w:val="22"/>
          <w:szCs w:val="22"/>
        </w:rPr>
        <w:t>.</w:t>
      </w:r>
      <w:r w:rsidRPr="00297A84">
        <w:rPr>
          <w:rFonts w:ascii="Times New Roman" w:hAnsi="Times New Roman"/>
          <w:b/>
          <w:sz w:val="22"/>
          <w:szCs w:val="22"/>
        </w:rPr>
        <w:t xml:space="preserve"> </w:t>
      </w:r>
    </w:p>
    <w:p w:rsidR="008129DF" w:rsidRPr="00297A84" w:rsidRDefault="008129DF" w:rsidP="008129DF">
      <w:pPr>
        <w:rPr>
          <w:rFonts w:ascii="Times New Roman" w:hAnsi="Times New Roman"/>
          <w:bCs/>
          <w:sz w:val="22"/>
          <w:szCs w:val="18"/>
        </w:rPr>
      </w:pPr>
      <w:r w:rsidRPr="00297A84">
        <w:rPr>
          <w:rFonts w:ascii="Times New Roman" w:hAnsi="Times New Roman"/>
          <w:sz w:val="22"/>
          <w:szCs w:val="22"/>
        </w:rPr>
        <w:t xml:space="preserve">Uno no puede contraer </w:t>
      </w:r>
      <w:r w:rsidR="00C465D6">
        <w:rPr>
          <w:rFonts w:ascii="Times New Roman" w:hAnsi="Times New Roman"/>
          <w:sz w:val="22"/>
          <w:szCs w:val="22"/>
        </w:rPr>
        <w:t>TB</w:t>
      </w:r>
      <w:r w:rsidRPr="00297A84">
        <w:rPr>
          <w:rFonts w:ascii="Times New Roman" w:hAnsi="Times New Roman"/>
          <w:sz w:val="22"/>
          <w:szCs w:val="22"/>
        </w:rPr>
        <w:t xml:space="preserve"> de una persona infectada de </w:t>
      </w:r>
      <w:r w:rsidR="00C465D6">
        <w:rPr>
          <w:rFonts w:ascii="Times New Roman" w:hAnsi="Times New Roman"/>
          <w:sz w:val="22"/>
          <w:szCs w:val="22"/>
        </w:rPr>
        <w:t>TB</w:t>
      </w:r>
      <w:r w:rsidRPr="00297A84">
        <w:rPr>
          <w:rFonts w:ascii="Times New Roman" w:hAnsi="Times New Roman"/>
          <w:sz w:val="22"/>
          <w:szCs w:val="22"/>
        </w:rPr>
        <w:t>.</w:t>
      </w:r>
    </w:p>
    <w:p w:rsidR="008129DF" w:rsidRPr="00BC53A9" w:rsidRDefault="008129DF" w:rsidP="008129DF">
      <w:pPr>
        <w:rPr>
          <w:rFonts w:ascii="Times New Roman" w:hAnsi="Times New Roman"/>
          <w:szCs w:val="20"/>
        </w:rPr>
      </w:pPr>
    </w:p>
    <w:p w:rsidR="008129DF" w:rsidRPr="00BC53A9" w:rsidRDefault="00603C52" w:rsidP="008129DF">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DFCBB4"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8129DF">
        <w:rPr>
          <w:rFonts w:ascii="Calibri" w:hAnsi="Calibri"/>
          <w:b/>
          <w:color w:val="4F81BD"/>
          <w:sz w:val="32"/>
        </w:rPr>
        <w:t xml:space="preserve">¿Puedo contraer </w:t>
      </w:r>
      <w:r w:rsidR="00C465D6">
        <w:rPr>
          <w:rFonts w:ascii="Calibri" w:hAnsi="Calibri"/>
          <w:b/>
          <w:color w:val="4F81BD"/>
          <w:sz w:val="32"/>
        </w:rPr>
        <w:t>TB</w:t>
      </w:r>
      <w:r w:rsidR="008129DF">
        <w:rPr>
          <w:rFonts w:ascii="Calibri" w:hAnsi="Calibri"/>
          <w:b/>
          <w:color w:val="4F81BD"/>
          <w:sz w:val="32"/>
        </w:rPr>
        <w:t xml:space="preserve"> al compartir alimentos?</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sz w:val="22"/>
          <w:szCs w:val="18"/>
        </w:rPr>
      </w:pPr>
      <w:r w:rsidRPr="00297A84">
        <w:rPr>
          <w:rFonts w:ascii="Times New Roman" w:hAnsi="Times New Roman"/>
          <w:sz w:val="22"/>
          <w:szCs w:val="22"/>
        </w:rPr>
        <w:t xml:space="preserve">No. Los gérmenes de </w:t>
      </w:r>
      <w:r w:rsidR="00C465D6">
        <w:rPr>
          <w:rFonts w:ascii="Times New Roman" w:hAnsi="Times New Roman"/>
          <w:sz w:val="22"/>
          <w:szCs w:val="22"/>
        </w:rPr>
        <w:t>TB</w:t>
      </w:r>
      <w:r w:rsidRPr="00297A84">
        <w:rPr>
          <w:rFonts w:ascii="Times New Roman" w:hAnsi="Times New Roman"/>
          <w:sz w:val="22"/>
          <w:szCs w:val="22"/>
        </w:rPr>
        <w:t xml:space="preserve"> se esparcen de persona a</w:t>
      </w:r>
      <w:r w:rsidR="00C465D6">
        <w:rPr>
          <w:rFonts w:ascii="Times New Roman" w:hAnsi="Times New Roman"/>
          <w:sz w:val="22"/>
          <w:szCs w:val="22"/>
        </w:rPr>
        <w:t xml:space="preserve"> </w:t>
      </w:r>
      <w:r w:rsidRPr="00297A84">
        <w:rPr>
          <w:rFonts w:ascii="Times New Roman" w:hAnsi="Times New Roman"/>
          <w:sz w:val="22"/>
          <w:szCs w:val="22"/>
        </w:rPr>
        <w:t xml:space="preserve">persona solo a través del aire. Uno no puede infectarse de los gérmenes de </w:t>
      </w:r>
      <w:r w:rsidR="00C465D6">
        <w:rPr>
          <w:rFonts w:ascii="Times New Roman" w:hAnsi="Times New Roman"/>
          <w:sz w:val="22"/>
          <w:szCs w:val="22"/>
        </w:rPr>
        <w:t>TB</w:t>
      </w:r>
      <w:r w:rsidRPr="00297A84">
        <w:rPr>
          <w:rFonts w:ascii="Times New Roman" w:hAnsi="Times New Roman"/>
          <w:sz w:val="22"/>
          <w:szCs w:val="22"/>
        </w:rPr>
        <w:t xml:space="preserve"> al compartir o manipular alimentos u otros objetos.</w:t>
      </w:r>
    </w:p>
    <w:p w:rsidR="008129DF" w:rsidRPr="00BC53A9" w:rsidRDefault="008129DF" w:rsidP="008129DF">
      <w:pPr>
        <w:autoSpaceDE w:val="0"/>
        <w:autoSpaceDN w:val="0"/>
        <w:adjustRightInd w:val="0"/>
        <w:ind w:right="360"/>
        <w:rPr>
          <w:rFonts w:ascii="Times New Roman" w:hAnsi="Times New Roman"/>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¿Quién está en riesgo de contraer una infección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sz w:val="22"/>
          <w:szCs w:val="22"/>
        </w:rPr>
      </w:pPr>
      <w:r w:rsidRPr="00297A84">
        <w:rPr>
          <w:rFonts w:ascii="Times New Roman" w:hAnsi="Times New Roman"/>
          <w:sz w:val="22"/>
          <w:szCs w:val="22"/>
        </w:rPr>
        <w:t xml:space="preserve">La gente en riesgo de contraer una infección de </w:t>
      </w:r>
      <w:r w:rsidR="00C465D6">
        <w:rPr>
          <w:rFonts w:ascii="Times New Roman" w:hAnsi="Times New Roman"/>
          <w:sz w:val="22"/>
          <w:szCs w:val="22"/>
        </w:rPr>
        <w:t>TB</w:t>
      </w:r>
      <w:r w:rsidRPr="00297A84">
        <w:rPr>
          <w:rFonts w:ascii="Times New Roman" w:hAnsi="Times New Roman"/>
          <w:sz w:val="22"/>
          <w:szCs w:val="22"/>
        </w:rPr>
        <w:t xml:space="preserve"> es aquella que ha tenido contacto con una persona enferma al momento que tosía sus gérmenes de </w:t>
      </w:r>
      <w:r w:rsidR="00C465D6">
        <w:rPr>
          <w:rFonts w:ascii="Times New Roman" w:hAnsi="Times New Roman"/>
          <w:sz w:val="22"/>
          <w:szCs w:val="22"/>
        </w:rPr>
        <w:t>TB</w:t>
      </w:r>
      <w:r w:rsidRPr="00297A84">
        <w:rPr>
          <w:rFonts w:ascii="Times New Roman" w:hAnsi="Times New Roman"/>
          <w:sz w:val="22"/>
          <w:szCs w:val="22"/>
        </w:rPr>
        <w:t xml:space="preserve"> en el aire. La gente que ha vivido en partes del mundo en donde hay mucha </w:t>
      </w:r>
      <w:r w:rsidR="00C465D6">
        <w:rPr>
          <w:rFonts w:ascii="Times New Roman" w:hAnsi="Times New Roman"/>
          <w:sz w:val="22"/>
          <w:szCs w:val="22"/>
        </w:rPr>
        <w:t>TB</w:t>
      </w:r>
      <w:r w:rsidRPr="00297A84">
        <w:rPr>
          <w:rFonts w:ascii="Times New Roman" w:hAnsi="Times New Roman"/>
          <w:sz w:val="22"/>
          <w:szCs w:val="22"/>
        </w:rPr>
        <w:t xml:space="preserve"> tiene riesgo de estar infectada. </w:t>
      </w:r>
    </w:p>
    <w:p w:rsidR="008129DF" w:rsidRDefault="008129DF" w:rsidP="008129DF">
      <w:pPr>
        <w:rPr>
          <w:rFonts w:ascii="Times New Roman" w:hAnsi="Times New Roman"/>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¿Existe una prueba para la infección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sz w:val="22"/>
          <w:szCs w:val="22"/>
        </w:rPr>
      </w:pPr>
      <w:r w:rsidRPr="00297A84">
        <w:rPr>
          <w:rFonts w:ascii="Times New Roman" w:hAnsi="Times New Roman"/>
          <w:sz w:val="22"/>
          <w:szCs w:val="22"/>
        </w:rPr>
        <w:t xml:space="preserve">Sí. Hay dos pruebas diferentes para la infección de </w:t>
      </w:r>
      <w:r w:rsidR="00C465D6">
        <w:rPr>
          <w:rFonts w:ascii="Times New Roman" w:hAnsi="Times New Roman"/>
          <w:sz w:val="22"/>
          <w:szCs w:val="22"/>
        </w:rPr>
        <w:t>TB</w:t>
      </w:r>
      <w:r w:rsidRPr="00297A84">
        <w:rPr>
          <w:rFonts w:ascii="Times New Roman" w:hAnsi="Times New Roman"/>
          <w:sz w:val="22"/>
          <w:szCs w:val="22"/>
        </w:rPr>
        <w:t xml:space="preserve">, una prueba de sangre y una prueba de piel. Con cualquiera de las pruebas se puede averiguar si tiene gérmenes de </w:t>
      </w:r>
      <w:r w:rsidR="00C465D6">
        <w:rPr>
          <w:rFonts w:ascii="Times New Roman" w:hAnsi="Times New Roman"/>
          <w:sz w:val="22"/>
          <w:szCs w:val="22"/>
        </w:rPr>
        <w:t>TB</w:t>
      </w:r>
      <w:r w:rsidRPr="00297A84">
        <w:rPr>
          <w:rFonts w:ascii="Times New Roman" w:hAnsi="Times New Roman"/>
          <w:sz w:val="22"/>
          <w:szCs w:val="22"/>
        </w:rPr>
        <w:t xml:space="preserve"> en su cuerpo. Para la prueba de sangre, se le hace una pequeña extracción. Para la prueba de piel, se le coloca una pequeña cantidad de líquido bajo la piel del antebrazo. Tiene que volver en dos o tres días para que su médico o enfermera pueda leer los resultados de la piel. Si su prueba es positiva, significa que tiene los gérmenes de </w:t>
      </w:r>
      <w:r w:rsidR="00C465D6">
        <w:rPr>
          <w:rFonts w:ascii="Times New Roman" w:hAnsi="Times New Roman"/>
          <w:sz w:val="22"/>
          <w:szCs w:val="22"/>
        </w:rPr>
        <w:t>TB</w:t>
      </w:r>
      <w:r w:rsidRPr="00297A84">
        <w:rPr>
          <w:rFonts w:ascii="Times New Roman" w:hAnsi="Times New Roman"/>
          <w:sz w:val="22"/>
          <w:szCs w:val="22"/>
        </w:rPr>
        <w:t xml:space="preserve"> y su médico le puede ordenar una radiografía de pecho para asegurase que no tenga la enfermedad de </w:t>
      </w:r>
      <w:r w:rsidR="00C465D6">
        <w:rPr>
          <w:rFonts w:ascii="Times New Roman" w:hAnsi="Times New Roman"/>
          <w:sz w:val="22"/>
          <w:szCs w:val="22"/>
        </w:rPr>
        <w:t>TB</w:t>
      </w:r>
      <w:r w:rsidRPr="00297A84">
        <w:rPr>
          <w:rFonts w:ascii="Times New Roman" w:hAnsi="Times New Roman"/>
          <w:sz w:val="22"/>
          <w:szCs w:val="22"/>
        </w:rPr>
        <w:t xml:space="preserve">. </w:t>
      </w:r>
    </w:p>
    <w:p w:rsidR="008129DF" w:rsidRDefault="00297A84" w:rsidP="008129DF">
      <w:pPr>
        <w:jc w:val="right"/>
        <w:rPr>
          <w:rFonts w:ascii="Calibri" w:hAnsi="Calibri"/>
          <w:color w:val="152355"/>
          <w:sz w:val="20"/>
          <w:szCs w:val="20"/>
        </w:rPr>
      </w:pPr>
      <w:r>
        <w:rPr>
          <w:rFonts w:ascii="Calibri" w:hAnsi="Calibri"/>
          <w:color w:val="152355"/>
          <w:sz w:val="20"/>
        </w:rPr>
        <w:br w:type="page"/>
      </w:r>
      <w:r w:rsidR="008129DF">
        <w:rPr>
          <w:rFonts w:ascii="Calibri" w:hAnsi="Calibri"/>
          <w:color w:val="152355"/>
          <w:sz w:val="20"/>
        </w:rPr>
        <w:lastRenderedPageBreak/>
        <w:t>Abril de 2015| Página 2 de 2</w:t>
      </w:r>
    </w:p>
    <w:p w:rsidR="008129DF" w:rsidRDefault="008129DF" w:rsidP="008129DF">
      <w:pPr>
        <w:jc w:val="right"/>
        <w:rPr>
          <w:rFonts w:ascii="Calibri" w:hAnsi="Calibri"/>
          <w:color w:val="152355"/>
          <w:sz w:val="20"/>
          <w:szCs w:val="20"/>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¿Se puede tratar la infección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sz w:val="22"/>
          <w:szCs w:val="22"/>
        </w:rPr>
      </w:pPr>
      <w:r w:rsidRPr="00297A84">
        <w:rPr>
          <w:rFonts w:ascii="Times New Roman" w:hAnsi="Times New Roman"/>
          <w:sz w:val="22"/>
          <w:szCs w:val="22"/>
        </w:rPr>
        <w:t xml:space="preserve">Sí. Su médico o enfermera le puede dar uno o más medicamentos para tratar la infección de </w:t>
      </w:r>
      <w:r w:rsidR="00C465D6">
        <w:rPr>
          <w:rFonts w:ascii="Times New Roman" w:hAnsi="Times New Roman"/>
          <w:sz w:val="22"/>
          <w:szCs w:val="22"/>
        </w:rPr>
        <w:t>TB</w:t>
      </w:r>
      <w:r w:rsidRPr="00297A84">
        <w:rPr>
          <w:rFonts w:ascii="Times New Roman" w:hAnsi="Times New Roman"/>
          <w:sz w:val="22"/>
          <w:szCs w:val="22"/>
        </w:rPr>
        <w:t xml:space="preserve">. Debe tomarlos durante 3 a 9 meses, dependiendo del medicamento. Es importante tomar estos medicamentos para que la infección de </w:t>
      </w:r>
      <w:r w:rsidR="00C465D6">
        <w:rPr>
          <w:rFonts w:ascii="Times New Roman" w:hAnsi="Times New Roman"/>
          <w:sz w:val="22"/>
          <w:szCs w:val="22"/>
        </w:rPr>
        <w:t>TB</w:t>
      </w:r>
      <w:r w:rsidRPr="00297A84">
        <w:rPr>
          <w:rFonts w:ascii="Times New Roman" w:hAnsi="Times New Roman"/>
          <w:sz w:val="22"/>
          <w:szCs w:val="22"/>
        </w:rPr>
        <w:t xml:space="preserve"> no se </w:t>
      </w:r>
      <w:proofErr w:type="gramStart"/>
      <w:r w:rsidRPr="00297A84">
        <w:rPr>
          <w:rFonts w:ascii="Times New Roman" w:hAnsi="Times New Roman"/>
          <w:sz w:val="22"/>
          <w:szCs w:val="22"/>
        </w:rPr>
        <w:t>convierte</w:t>
      </w:r>
      <w:proofErr w:type="gramEnd"/>
      <w:r w:rsidRPr="00297A84">
        <w:rPr>
          <w:rFonts w:ascii="Times New Roman" w:hAnsi="Times New Roman"/>
          <w:sz w:val="22"/>
          <w:szCs w:val="22"/>
        </w:rPr>
        <w:t xml:space="preserve"> en enfermedad de </w:t>
      </w:r>
      <w:r w:rsidR="00C465D6">
        <w:rPr>
          <w:rFonts w:ascii="Times New Roman" w:hAnsi="Times New Roman"/>
          <w:sz w:val="22"/>
          <w:szCs w:val="22"/>
        </w:rPr>
        <w:t>TB</w:t>
      </w:r>
      <w:r w:rsidRPr="00297A84">
        <w:rPr>
          <w:rFonts w:ascii="Times New Roman" w:hAnsi="Times New Roman"/>
          <w:sz w:val="22"/>
          <w:szCs w:val="22"/>
        </w:rPr>
        <w:t>.</w:t>
      </w:r>
    </w:p>
    <w:p w:rsidR="008129DF" w:rsidRPr="00BC53A9" w:rsidRDefault="008129DF" w:rsidP="008129DF">
      <w:pPr>
        <w:rPr>
          <w:rFonts w:ascii="Times New Roman" w:hAnsi="Times New Roman"/>
          <w:szCs w:val="20"/>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¿Se puede tratar la enfermedad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rFonts w:ascii="Times New Roman" w:hAnsi="Times New Roman"/>
          <w:sz w:val="4"/>
          <w:szCs w:val="20"/>
        </w:rPr>
      </w:pPr>
    </w:p>
    <w:p w:rsidR="008129DF" w:rsidRPr="00297A84" w:rsidRDefault="008129DF" w:rsidP="008129DF">
      <w:pPr>
        <w:rPr>
          <w:rFonts w:ascii="Times New Roman" w:hAnsi="Times New Roman"/>
          <w:sz w:val="22"/>
          <w:szCs w:val="18"/>
        </w:rPr>
      </w:pPr>
      <w:r w:rsidRPr="00297A84">
        <w:rPr>
          <w:rFonts w:ascii="Times New Roman" w:hAnsi="Times New Roman"/>
          <w:sz w:val="22"/>
          <w:szCs w:val="22"/>
        </w:rPr>
        <w:t xml:space="preserve">Sí. Si tiene la enfermedad de </w:t>
      </w:r>
      <w:r w:rsidR="00C465D6">
        <w:rPr>
          <w:rFonts w:ascii="Times New Roman" w:hAnsi="Times New Roman"/>
          <w:sz w:val="22"/>
          <w:szCs w:val="22"/>
        </w:rPr>
        <w:t>TB</w:t>
      </w:r>
      <w:r w:rsidRPr="00297A84">
        <w:rPr>
          <w:rFonts w:ascii="Times New Roman" w:hAnsi="Times New Roman"/>
          <w:sz w:val="22"/>
          <w:szCs w:val="22"/>
        </w:rPr>
        <w:t>, deberá tomar varios medicamentos durante por lo menos 6 meses para curarla.</w:t>
      </w:r>
    </w:p>
    <w:p w:rsidR="008129DF" w:rsidRPr="00BC53A9" w:rsidRDefault="008129DF" w:rsidP="008129DF">
      <w:pPr>
        <w:rPr>
          <w:rFonts w:ascii="Times New Roman" w:hAnsi="Times New Roman"/>
          <w:b/>
          <w:bCs/>
          <w:szCs w:val="20"/>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¿Qué es la enfermedad de </w:t>
      </w:r>
      <w:r w:rsidR="00C465D6">
        <w:rPr>
          <w:rFonts w:ascii="Calibri" w:hAnsi="Calibri"/>
          <w:b/>
          <w:color w:val="4F81BD"/>
          <w:sz w:val="32"/>
        </w:rPr>
        <w:t>TB</w:t>
      </w:r>
      <w:r>
        <w:rPr>
          <w:rFonts w:ascii="Calibri" w:hAnsi="Calibri"/>
          <w:b/>
          <w:color w:val="4F81BD"/>
          <w:sz w:val="32"/>
        </w:rPr>
        <w:t xml:space="preserve"> resistente a las drogas?</w:t>
      </w:r>
    </w:p>
    <w:p w:rsidR="008129DF" w:rsidRPr="00BC53A9" w:rsidRDefault="008129DF" w:rsidP="008129DF">
      <w:pPr>
        <w:rPr>
          <w:sz w:val="4"/>
        </w:rPr>
      </w:pPr>
    </w:p>
    <w:p w:rsidR="008129DF" w:rsidRPr="00297A84" w:rsidRDefault="008129DF" w:rsidP="008129DF">
      <w:pPr>
        <w:pStyle w:val="BodyText"/>
        <w:rPr>
          <w:sz w:val="22"/>
          <w:szCs w:val="18"/>
        </w:rPr>
      </w:pPr>
      <w:r w:rsidRPr="00297A84">
        <w:rPr>
          <w:sz w:val="22"/>
          <w:szCs w:val="18"/>
        </w:rPr>
        <w:t xml:space="preserve">La enfermedad de </w:t>
      </w:r>
      <w:r w:rsidR="00C465D6">
        <w:rPr>
          <w:sz w:val="22"/>
          <w:szCs w:val="18"/>
        </w:rPr>
        <w:t>TB</w:t>
      </w:r>
      <w:r w:rsidRPr="00297A84">
        <w:rPr>
          <w:sz w:val="22"/>
          <w:szCs w:val="18"/>
        </w:rPr>
        <w:t xml:space="preserve"> resistente a las drogas es causada por gérmenes de </w:t>
      </w:r>
      <w:r w:rsidR="00C465D6">
        <w:rPr>
          <w:sz w:val="22"/>
          <w:szCs w:val="18"/>
        </w:rPr>
        <w:t>TB</w:t>
      </w:r>
      <w:r w:rsidRPr="00297A84">
        <w:rPr>
          <w:sz w:val="22"/>
          <w:szCs w:val="18"/>
        </w:rPr>
        <w:t xml:space="preserve"> que no se pueden matar con medicamentos</w:t>
      </w:r>
      <w:r w:rsidR="00C465D6">
        <w:rPr>
          <w:sz w:val="22"/>
          <w:szCs w:val="18"/>
        </w:rPr>
        <w:t xml:space="preserve"> comunes</w:t>
      </w:r>
      <w:r w:rsidRPr="00297A84">
        <w:rPr>
          <w:sz w:val="22"/>
          <w:szCs w:val="18"/>
        </w:rPr>
        <w:t xml:space="preserve">. Si tiene esta enfermedad, es posible que tenga que tomar más y diferentes medicamentos contra la </w:t>
      </w:r>
      <w:r w:rsidR="00C465D6">
        <w:rPr>
          <w:sz w:val="22"/>
          <w:szCs w:val="18"/>
        </w:rPr>
        <w:t>TB</w:t>
      </w:r>
      <w:r w:rsidRPr="00297A84">
        <w:rPr>
          <w:sz w:val="22"/>
          <w:szCs w:val="18"/>
        </w:rPr>
        <w:t xml:space="preserve"> durante por lo menos 12 meses. La </w:t>
      </w:r>
      <w:r w:rsidR="00C465D6">
        <w:rPr>
          <w:sz w:val="22"/>
          <w:szCs w:val="18"/>
        </w:rPr>
        <w:t>TB</w:t>
      </w:r>
      <w:r w:rsidRPr="00297A84">
        <w:rPr>
          <w:sz w:val="22"/>
          <w:szCs w:val="18"/>
        </w:rPr>
        <w:t xml:space="preserve"> puede volverse resistente a las drogas si usted no toma los medicamentos de acuerdo a las indicaciones o si los deja de tomar antes de concluir el tratamiento. También puede contagiarse de </w:t>
      </w:r>
      <w:r w:rsidR="00C465D6">
        <w:rPr>
          <w:sz w:val="22"/>
          <w:szCs w:val="18"/>
        </w:rPr>
        <w:t>TB</w:t>
      </w:r>
      <w:r w:rsidRPr="00297A84">
        <w:rPr>
          <w:sz w:val="22"/>
          <w:szCs w:val="18"/>
        </w:rPr>
        <w:t xml:space="preserve"> resistente a las drogas si los gérmenes que respiró venían de una persona con </w:t>
      </w:r>
      <w:r w:rsidR="00C465D6">
        <w:rPr>
          <w:sz w:val="22"/>
          <w:szCs w:val="18"/>
        </w:rPr>
        <w:t>TB</w:t>
      </w:r>
      <w:r w:rsidRPr="00297A84">
        <w:rPr>
          <w:sz w:val="22"/>
          <w:szCs w:val="18"/>
        </w:rPr>
        <w:t xml:space="preserve"> resistente a las drogas. </w:t>
      </w:r>
    </w:p>
    <w:p w:rsidR="008129DF" w:rsidRPr="00BC53A9" w:rsidRDefault="008129DF" w:rsidP="008129DF"/>
    <w:p w:rsidR="008129DF" w:rsidRPr="00BC53A9" w:rsidRDefault="008129DF" w:rsidP="008129DF">
      <w:pPr>
        <w:rPr>
          <w:rFonts w:ascii="Calibri" w:hAnsi="Calibri"/>
          <w:b/>
          <w:color w:val="4F81BD"/>
          <w:sz w:val="32"/>
          <w:szCs w:val="32"/>
        </w:rPr>
      </w:pPr>
      <w:r>
        <w:rPr>
          <w:rFonts w:ascii="Calibri" w:hAnsi="Calibri"/>
          <w:b/>
          <w:color w:val="4F81BD"/>
          <w:sz w:val="32"/>
        </w:rPr>
        <w:t>¿Qué es la BCG?</w:t>
      </w:r>
    </w:p>
    <w:p w:rsidR="008129DF" w:rsidRPr="00BC53A9" w:rsidRDefault="008129DF" w:rsidP="008129DF">
      <w:pPr>
        <w:rPr>
          <w:sz w:val="4"/>
        </w:rPr>
      </w:pPr>
    </w:p>
    <w:p w:rsidR="008129DF" w:rsidRPr="00297A84" w:rsidRDefault="008129DF" w:rsidP="008129DF">
      <w:pPr>
        <w:rPr>
          <w:rFonts w:ascii="Times New Roman" w:hAnsi="Times New Roman"/>
          <w:sz w:val="22"/>
          <w:szCs w:val="22"/>
        </w:rPr>
      </w:pPr>
      <w:r w:rsidRPr="00297A84">
        <w:rPr>
          <w:rFonts w:ascii="Times New Roman" w:hAnsi="Times New Roman"/>
          <w:sz w:val="22"/>
          <w:szCs w:val="22"/>
        </w:rPr>
        <w:t xml:space="preserve">La BCG es una vacuna contra la </w:t>
      </w:r>
      <w:r w:rsidR="00C465D6">
        <w:rPr>
          <w:rFonts w:ascii="Times New Roman" w:hAnsi="Times New Roman"/>
          <w:sz w:val="22"/>
          <w:szCs w:val="22"/>
        </w:rPr>
        <w:t>TB</w:t>
      </w:r>
      <w:r w:rsidRPr="00297A84">
        <w:rPr>
          <w:rFonts w:ascii="Times New Roman" w:hAnsi="Times New Roman"/>
          <w:sz w:val="22"/>
          <w:szCs w:val="22"/>
        </w:rPr>
        <w:t xml:space="preserve"> que se administra en países en donde es común esta enfermedad. Ayuda a evitar que niños pequeños y lactantes contraigan la enfermedad de </w:t>
      </w:r>
      <w:r w:rsidR="00C465D6">
        <w:rPr>
          <w:rFonts w:ascii="Times New Roman" w:hAnsi="Times New Roman"/>
          <w:sz w:val="22"/>
          <w:szCs w:val="22"/>
        </w:rPr>
        <w:t>TB</w:t>
      </w:r>
      <w:r w:rsidRPr="00297A84">
        <w:rPr>
          <w:rFonts w:ascii="Times New Roman" w:hAnsi="Times New Roman"/>
          <w:sz w:val="22"/>
          <w:szCs w:val="22"/>
        </w:rPr>
        <w:t>. En el mejor de los casos, la BCG protege a niños de hasta 5 años, y a veces no los protege en absoluto. Es raro su uso en los Estados Unidos.</w:t>
      </w:r>
    </w:p>
    <w:p w:rsidR="008129DF" w:rsidRPr="00BC53A9" w:rsidRDefault="008129DF" w:rsidP="008129DF">
      <w:pPr>
        <w:rPr>
          <w:rFonts w:ascii="Times New Roman" w:hAnsi="Times New Roman"/>
        </w:rPr>
      </w:pPr>
    </w:p>
    <w:p w:rsidR="008129DF" w:rsidRPr="00BC53A9" w:rsidRDefault="008129DF" w:rsidP="008129DF">
      <w:pPr>
        <w:rPr>
          <w:rFonts w:ascii="Calibri" w:hAnsi="Calibri"/>
          <w:b/>
          <w:color w:val="4F81BD"/>
          <w:sz w:val="32"/>
          <w:szCs w:val="32"/>
        </w:rPr>
      </w:pPr>
      <w:r>
        <w:rPr>
          <w:rFonts w:ascii="Calibri" w:hAnsi="Calibri"/>
          <w:b/>
          <w:color w:val="4F81BD"/>
          <w:sz w:val="32"/>
        </w:rPr>
        <w:t xml:space="preserve">¿Puede la vacuna BCG causar una prueba positiva de </w:t>
      </w:r>
      <w:r w:rsidR="00C465D6">
        <w:rPr>
          <w:rFonts w:ascii="Calibri" w:hAnsi="Calibri"/>
          <w:b/>
          <w:color w:val="4F81BD"/>
          <w:sz w:val="32"/>
        </w:rPr>
        <w:t>TB</w:t>
      </w:r>
      <w:r>
        <w:rPr>
          <w:rFonts w:ascii="Calibri" w:hAnsi="Calibri"/>
          <w:b/>
          <w:color w:val="4F81BD"/>
          <w:sz w:val="32"/>
        </w:rPr>
        <w:t>?</w:t>
      </w:r>
    </w:p>
    <w:p w:rsidR="008129DF" w:rsidRPr="00BC53A9" w:rsidRDefault="008129DF" w:rsidP="008129DF">
      <w:pPr>
        <w:rPr>
          <w:sz w:val="4"/>
        </w:rPr>
      </w:pPr>
    </w:p>
    <w:p w:rsidR="008129DF" w:rsidRPr="00297A84" w:rsidRDefault="008129DF" w:rsidP="008129DF">
      <w:pPr>
        <w:rPr>
          <w:rFonts w:ascii="Times New Roman" w:hAnsi="Times New Roman"/>
          <w:sz w:val="22"/>
          <w:szCs w:val="22"/>
        </w:rPr>
      </w:pPr>
      <w:r w:rsidRPr="00297A84">
        <w:rPr>
          <w:rFonts w:ascii="Times New Roman" w:hAnsi="Times New Roman"/>
          <w:sz w:val="22"/>
          <w:szCs w:val="22"/>
        </w:rPr>
        <w:t xml:space="preserve">La BCG no causa una resultado positivo en una prueba de sangre. Un resultado positivo de la prueba de </w:t>
      </w:r>
      <w:r w:rsidR="00C465D6">
        <w:rPr>
          <w:rFonts w:ascii="Times New Roman" w:hAnsi="Times New Roman"/>
          <w:sz w:val="22"/>
          <w:szCs w:val="22"/>
        </w:rPr>
        <w:t>TB</w:t>
      </w:r>
      <w:r w:rsidRPr="00297A84">
        <w:rPr>
          <w:rFonts w:ascii="Times New Roman" w:hAnsi="Times New Roman"/>
          <w:sz w:val="22"/>
          <w:szCs w:val="22"/>
        </w:rPr>
        <w:t xml:space="preserve"> de la piel es causado generalmente por los gérmenes en su cuerpo, no por la vacuna BCG.</w:t>
      </w:r>
    </w:p>
    <w:p w:rsidR="008129DF" w:rsidRPr="00BC53A9" w:rsidRDefault="008129DF" w:rsidP="008129DF">
      <w:pPr>
        <w:rPr>
          <w:rFonts w:ascii="Times New Roman" w:hAnsi="Times New Roman"/>
        </w:rPr>
      </w:pPr>
    </w:p>
    <w:p w:rsidR="00E9147B" w:rsidRDefault="00E9147B" w:rsidP="00E9147B">
      <w:pPr>
        <w:autoSpaceDE w:val="0"/>
        <w:autoSpaceDN w:val="0"/>
        <w:adjustRightInd w:val="0"/>
        <w:rPr>
          <w:rFonts w:ascii="Times New Roman" w:hAnsi="Times New Roman"/>
          <w:sz w:val="22"/>
          <w:szCs w:val="14"/>
        </w:rPr>
      </w:pPr>
    </w:p>
    <w:p w:rsidR="00E9147B" w:rsidRPr="00E9147B" w:rsidRDefault="008129DF" w:rsidP="00E9147B">
      <w:pPr>
        <w:autoSpaceDE w:val="0"/>
        <w:autoSpaceDN w:val="0"/>
        <w:adjustRightInd w:val="0"/>
        <w:rPr>
          <w:rFonts w:ascii="Times New Roman" w:eastAsia="Times New Roman" w:hAnsi="Times New Roman"/>
          <w:color w:val="000000"/>
          <w:sz w:val="22"/>
          <w:szCs w:val="22"/>
          <w:lang w:val="en-US" w:eastAsia="en-US"/>
        </w:rPr>
      </w:pPr>
      <w:r w:rsidRPr="00297A84">
        <w:rPr>
          <w:rFonts w:ascii="Times New Roman" w:hAnsi="Times New Roman"/>
          <w:sz w:val="22"/>
          <w:szCs w:val="14"/>
        </w:rPr>
        <w:t xml:space="preserve">Para más información sobre la </w:t>
      </w:r>
      <w:r w:rsidR="00C465D6">
        <w:rPr>
          <w:rFonts w:ascii="Times New Roman" w:hAnsi="Times New Roman"/>
          <w:sz w:val="22"/>
          <w:szCs w:val="14"/>
        </w:rPr>
        <w:t>TB</w:t>
      </w:r>
      <w:r w:rsidRPr="00297A84">
        <w:rPr>
          <w:rFonts w:ascii="Times New Roman" w:hAnsi="Times New Roman"/>
          <w:sz w:val="22"/>
          <w:szCs w:val="14"/>
        </w:rPr>
        <w:t>, comuníquese con la Junta de Salud de su ciudad o pueblo o con el Programa de Tuberculosis del Departamento de Salud Pública de Massachusetts al (617) 983</w:t>
      </w:r>
      <w:r w:rsidRPr="00B01ACB">
        <w:rPr>
          <w:rFonts w:ascii="Times New Roman" w:hAnsi="Times New Roman"/>
          <w:sz w:val="22"/>
          <w:szCs w:val="22"/>
        </w:rPr>
        <w:t>-6970 o en</w:t>
      </w:r>
      <w:r w:rsidRPr="00297A84">
        <w:rPr>
          <w:rFonts w:ascii="Times New Roman" w:hAnsi="Times New Roman"/>
          <w:sz w:val="22"/>
          <w:szCs w:val="14"/>
        </w:rPr>
        <w:t xml:space="preserve"> </w:t>
      </w:r>
      <w:r w:rsidR="00E9147B" w:rsidRPr="00E9147B">
        <w:rPr>
          <w:rFonts w:ascii="Calibri" w:hAnsi="Calibri" w:cs="Arial"/>
          <w:noProof/>
          <w:color w:val="152358"/>
          <w:sz w:val="20"/>
          <w:szCs w:val="20"/>
          <w:lang w:val="en-US" w:eastAsia="en-US"/>
        </w:rPr>
        <w:drawing>
          <wp:anchor distT="0" distB="0" distL="114300" distR="114300" simplePos="0" relativeHeight="251661312" behindDoc="1" locked="0" layoutInCell="1" allowOverlap="1" wp14:anchorId="7628301D" wp14:editId="7ECABFF8">
            <wp:simplePos x="0" y="0"/>
            <wp:positionH relativeFrom="page">
              <wp:posOffset>3744595</wp:posOffset>
            </wp:positionH>
            <wp:positionV relativeFrom="page">
              <wp:posOffset>9437370</wp:posOffset>
            </wp:positionV>
            <wp:extent cx="283210" cy="283210"/>
            <wp:effectExtent l="0" t="0" r="254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E9147B" w:rsidRPr="00E9147B">
        <w:rPr>
          <w:rFonts w:ascii="Trebuchet MS" w:eastAsia="Times New Roman" w:hAnsi="Trebuchet MS" w:cs="Arial"/>
          <w:color w:val="000000"/>
          <w:lang w:val="en-US" w:eastAsia="en-US"/>
        </w:rPr>
        <w:t xml:space="preserve"> </w:t>
      </w:r>
      <w:hyperlink r:id="rId10" w:history="1">
        <w:r w:rsidR="00E9147B" w:rsidRPr="00E9147B">
          <w:rPr>
            <w:rFonts w:ascii="Times New Roman" w:eastAsia="Times New Roman" w:hAnsi="Times New Roman"/>
            <w:color w:val="0000FF" w:themeColor="hyperlink"/>
            <w:sz w:val="22"/>
            <w:szCs w:val="22"/>
            <w:u w:val="single"/>
            <w:lang w:val="en-US" w:eastAsia="en-US"/>
          </w:rPr>
          <w:t>https://www.mass.gov/tuberculosis</w:t>
        </w:r>
      </w:hyperlink>
      <w:r w:rsidR="00E9147B" w:rsidRPr="00E9147B">
        <w:rPr>
          <w:rFonts w:ascii="Times New Roman" w:eastAsia="Times New Roman" w:hAnsi="Times New Roman"/>
          <w:color w:val="0000FF" w:themeColor="hyperlink"/>
          <w:sz w:val="22"/>
          <w:szCs w:val="22"/>
          <w:u w:val="single"/>
          <w:lang w:val="en-US" w:eastAsia="en-US"/>
        </w:rPr>
        <w:t>.</w:t>
      </w:r>
    </w:p>
    <w:p w:rsidR="008129DF" w:rsidRPr="00BC53A9" w:rsidRDefault="008129DF" w:rsidP="008129DF">
      <w:pPr>
        <w:autoSpaceDE w:val="0"/>
        <w:autoSpaceDN w:val="0"/>
        <w:adjustRightInd w:val="0"/>
        <w:ind w:right="360"/>
        <w:rPr>
          <w:rFonts w:ascii="Times New Roman" w:hAnsi="Times New Roman"/>
        </w:rPr>
      </w:pPr>
      <w:bookmarkStart w:id="0" w:name="_GoBack"/>
      <w:bookmarkEnd w:id="0"/>
    </w:p>
    <w:sectPr w:rsidR="008129DF" w:rsidRPr="00BC53A9" w:rsidSect="008129DF">
      <w:headerReference w:type="default" r:id="rId11"/>
      <w:footerReference w:type="default" r:id="rId12"/>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AE" w:rsidRDefault="00363CAE" w:rsidP="008129DF">
      <w:r>
        <w:separator/>
      </w:r>
    </w:p>
  </w:endnote>
  <w:endnote w:type="continuationSeparator" w:id="0">
    <w:p w:rsidR="00363CAE" w:rsidRDefault="00363CAE" w:rsidP="0081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3D" w:rsidRPr="002A083D" w:rsidRDefault="002A083D" w:rsidP="002A083D">
    <w:pPr>
      <w:tabs>
        <w:tab w:val="center" w:pos="4320"/>
        <w:tab w:val="right" w:pos="8640"/>
      </w:tabs>
      <w:ind w:left="720" w:hanging="1170"/>
      <w:jc w:val="center"/>
      <w:rPr>
        <w:rFonts w:ascii="Calibri" w:hAnsi="Calibri"/>
        <w:color w:val="152358"/>
        <w:sz w:val="20"/>
        <w:szCs w:val="20"/>
        <w:lang w:val="en-US" w:eastAsia="en-US"/>
      </w:rPr>
    </w:pPr>
    <w:r w:rsidRPr="002A083D">
      <w:rPr>
        <w:noProof/>
        <w:lang w:val="en-US" w:eastAsia="en-US"/>
      </w:rPr>
      <mc:AlternateContent>
        <mc:Choice Requires="wps">
          <w:drawing>
            <wp:anchor distT="0" distB="0" distL="114300" distR="114300" simplePos="0" relativeHeight="251662336" behindDoc="1" locked="0" layoutInCell="1" allowOverlap="1" wp14:anchorId="52281B95" wp14:editId="67B706C8">
              <wp:simplePos x="0" y="0"/>
              <wp:positionH relativeFrom="page">
                <wp:posOffset>598170</wp:posOffset>
              </wp:positionH>
              <wp:positionV relativeFrom="page">
                <wp:posOffset>8915400</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1pt,702pt" to="587.1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" strokecolor="#152355">
              <v:shadow opacity="24903f" origin=",.5" offset="0,.55556mm"/>
              <w10:wrap anchorx="page" anchory="page"/>
            </v:line>
          </w:pict>
        </mc:Fallback>
      </mc:AlternateContent>
    </w:r>
    <w:r w:rsidR="00603C52">
      <w:rPr>
        <w:noProof/>
        <w:lang w:val="en-US" w:eastAsia="en-US"/>
      </w:rPr>
      <w:drawing>
        <wp:anchor distT="0" distB="0" distL="114300" distR="114300" simplePos="0" relativeHeight="251656192" behindDoc="1" locked="0" layoutInCell="1" allowOverlap="1" wp14:anchorId="6D317A1E" wp14:editId="1E26D0E1">
          <wp:simplePos x="0" y="0"/>
          <wp:positionH relativeFrom="page">
            <wp:posOffset>3744595</wp:posOffset>
          </wp:positionH>
          <wp:positionV relativeFrom="page">
            <wp:posOffset>9456420</wp:posOffset>
          </wp:positionV>
          <wp:extent cx="283210" cy="283210"/>
          <wp:effectExtent l="0" t="0" r="254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ABD" w:rsidRPr="00BD3ABD">
      <w:rPr>
        <w:rFonts w:ascii="Calibri" w:hAnsi="Calibri"/>
        <w:color w:val="152358"/>
        <w:sz w:val="20"/>
        <w:szCs w:val="20"/>
      </w:rPr>
      <w:t xml:space="preserve"> </w:t>
    </w:r>
    <w:r w:rsidRPr="002A083D">
      <w:rPr>
        <w:noProof/>
        <w:color w:val="152358"/>
        <w:lang w:val="en-US" w:eastAsia="en-US"/>
      </w:rPr>
      <w:drawing>
        <wp:anchor distT="0" distB="0" distL="114300" distR="114300" simplePos="0" relativeHeight="251661312" behindDoc="1" locked="0" layoutInCell="1" allowOverlap="1" wp14:anchorId="5D00545F" wp14:editId="70B1A79C">
          <wp:simplePos x="0" y="0"/>
          <wp:positionH relativeFrom="page">
            <wp:posOffset>3744595</wp:posOffset>
          </wp:positionH>
          <wp:positionV relativeFrom="page">
            <wp:posOffset>9456420</wp:posOffset>
          </wp:positionV>
          <wp:extent cx="283210" cy="283210"/>
          <wp:effectExtent l="0" t="0" r="2540" b="2540"/>
          <wp:wrapNone/>
          <wp:docPr id="10" name="Picture 10"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2A083D">
      <w:rPr>
        <w:rFonts w:ascii="Calibri" w:hAnsi="Calibri"/>
        <w:color w:val="152358"/>
        <w:sz w:val="20"/>
        <w:szCs w:val="20"/>
        <w:lang w:val="en-US" w:eastAsia="en-US"/>
      </w:rPr>
      <w:t>Massachusetts Department of Public Health | Bureau of Infectious Disease and Laboratory Sciences</w:t>
    </w:r>
  </w:p>
  <w:p w:rsidR="002A083D" w:rsidRPr="002A083D" w:rsidRDefault="002A083D" w:rsidP="002A083D">
    <w:pPr>
      <w:tabs>
        <w:tab w:val="center" w:pos="4320"/>
        <w:tab w:val="right" w:pos="8640"/>
      </w:tabs>
      <w:ind w:left="720" w:hanging="1170"/>
      <w:jc w:val="center"/>
      <w:rPr>
        <w:rFonts w:ascii="Calibri" w:hAnsi="Calibri"/>
        <w:color w:val="152358"/>
        <w:sz w:val="20"/>
        <w:szCs w:val="20"/>
        <w:lang w:val="en-US" w:eastAsia="en-US"/>
      </w:rPr>
    </w:pPr>
    <w:r w:rsidRPr="002A083D">
      <w:rPr>
        <w:rFonts w:ascii="Calibri" w:hAnsi="Calibri"/>
        <w:color w:val="152358"/>
        <w:sz w:val="20"/>
        <w:szCs w:val="20"/>
        <w:lang w:val="en-US" w:eastAsia="en-US"/>
      </w:rPr>
      <w:t>305 South Street, Jamaica Plain, MA 02130</w:t>
    </w:r>
  </w:p>
  <w:p w:rsidR="008129DF" w:rsidRPr="00297A84" w:rsidRDefault="008129DF" w:rsidP="00297A84">
    <w:pPr>
      <w:pStyle w:val="Footer"/>
      <w:ind w:left="720" w:right="-270" w:hanging="1440"/>
      <w:jc w:val="center"/>
      <w:rPr>
        <w:rFonts w:ascii="Calibri" w:hAnsi="Calibri"/>
        <w:color w:val="152358"/>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AE" w:rsidRDefault="00363CAE" w:rsidP="008129DF">
      <w:r>
        <w:separator/>
      </w:r>
    </w:p>
  </w:footnote>
  <w:footnote w:type="continuationSeparator" w:id="0">
    <w:p w:rsidR="00363CAE" w:rsidRDefault="00363CAE" w:rsidP="0081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DF" w:rsidRPr="00051487" w:rsidRDefault="00603C52" w:rsidP="008129DF">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983E66"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323215</wp:posOffset>
              </wp:positionH>
              <wp:positionV relativeFrom="paragraph">
                <wp:posOffset>-685165</wp:posOffset>
              </wp:positionV>
              <wp:extent cx="7000875" cy="753110"/>
              <wp:effectExtent l="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9DF" w:rsidRPr="00E16847" w:rsidRDefault="008129DF" w:rsidP="008129DF">
                          <w:pPr>
                            <w:pStyle w:val="BIDPUBHEALTHFACTSHEET"/>
                          </w:pPr>
                          <w:r>
                            <w:t>HOJA INFORMATIVA DE LA SALUD PÚBLICA DE MASSACHUSETTS</w:t>
                          </w:r>
                        </w:p>
                        <w:p w:rsidR="008129DF" w:rsidRPr="009F0305" w:rsidRDefault="008129DF" w:rsidP="008129DF">
                          <w:pPr>
                            <w:pStyle w:val="BIDTitle"/>
                            <w:rPr>
                              <w:bCs/>
                            </w:rPr>
                          </w:pPr>
                          <w:r>
                            <w:t>Tuberculosis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7" type="#_x0000_t202" style="position:absolute;left:0;text-align:left;margin-left:25.45pt;margin-top:-53.9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" filled="f" stroked="f">
              <v:textbox inset=",7.2pt,,7.2pt">
                <w:txbxContent>
                  <w:p w:rsidR="008129DF" w:rsidRPr="00E16847" w:rsidRDefault="008129DF" w:rsidP="008129DF">
                    <w:pPr>
                      <w:pStyle w:val="BIDPUBHEALTHFACTSHEET"/>
                    </w:pPr>
                    <w:r>
                      <w:t>HOJA INFORMATIVA DE LA SALUD PÚBLICA DE MASSACHUSETTS</w:t>
                    </w:r>
                  </w:p>
                  <w:p w:rsidR="008129DF" w:rsidRPr="009F0305" w:rsidRDefault="008129DF" w:rsidP="008129DF">
                    <w:pPr>
                      <w:pStyle w:val="BIDTitle"/>
                      <w:rPr>
                        <w:bCs/>
                      </w:rPr>
                    </w:pPr>
                    <w:r>
                      <w:t>Tuberculosis</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FFFFFFFF">
      <w:start w:val="1"/>
      <w:numFmt w:val="bullet"/>
      <w:lvlText w:val=""/>
      <w:lvlJc w:val="left"/>
      <w:pPr>
        <w:tabs>
          <w:tab w:val="num" w:pos="1267"/>
        </w:tabs>
        <w:ind w:left="1267" w:hanging="360"/>
      </w:pPr>
      <w:rPr>
        <w:rFonts w:ascii="Symbol" w:hAnsi="Symbol" w:hint="default"/>
      </w:rPr>
    </w:lvl>
    <w:lvl w:ilvl="1" w:tplc="FFFFFFFF" w:tentative="1">
      <w:start w:val="1"/>
      <w:numFmt w:val="bullet"/>
      <w:lvlText w:val="o"/>
      <w:lvlJc w:val="left"/>
      <w:pPr>
        <w:tabs>
          <w:tab w:val="num" w:pos="1987"/>
        </w:tabs>
        <w:ind w:left="1987" w:hanging="360"/>
      </w:pPr>
      <w:rPr>
        <w:rFonts w:ascii="Courier New" w:hAnsi="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FFFFFFFF">
      <w:start w:val="1"/>
      <w:numFmt w:val="bullet"/>
      <w:pStyle w:val="BIDBULLETS"/>
      <w:lvlText w:val=""/>
      <w:lvlJc w:val="left"/>
      <w:pPr>
        <w:tabs>
          <w:tab w:val="num" w:pos="576"/>
        </w:tabs>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7C09"/>
    <w:rsid w:val="00051487"/>
    <w:rsid w:val="00114BA6"/>
    <w:rsid w:val="001F27C6"/>
    <w:rsid w:val="0025036C"/>
    <w:rsid w:val="00297A84"/>
    <w:rsid w:val="002A083D"/>
    <w:rsid w:val="00363CAE"/>
    <w:rsid w:val="00364CA4"/>
    <w:rsid w:val="00423FA4"/>
    <w:rsid w:val="004451F3"/>
    <w:rsid w:val="00603C52"/>
    <w:rsid w:val="00643EB4"/>
    <w:rsid w:val="006F7BED"/>
    <w:rsid w:val="00793F7D"/>
    <w:rsid w:val="008129DF"/>
    <w:rsid w:val="009F0305"/>
    <w:rsid w:val="00B01ACB"/>
    <w:rsid w:val="00BC53A9"/>
    <w:rsid w:val="00BD3ABD"/>
    <w:rsid w:val="00C465D6"/>
    <w:rsid w:val="00CD4858"/>
    <w:rsid w:val="00E16847"/>
    <w:rsid w:val="00E914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outlineLvl w:val="1"/>
    </w:pPr>
    <w:rPr>
      <w:rFonts w:ascii="Arial" w:hAnsi="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es-ES" w:eastAsia="es-ES"/>
    </w:rPr>
  </w:style>
  <w:style w:type="character" w:customStyle="1" w:styleId="Heading2Char">
    <w:name w:val="Heading 2 Char"/>
    <w:basedOn w:val="DefaultParagraphFont"/>
    <w:link w:val="Heading2"/>
    <w:uiPriority w:val="9"/>
    <w:locked/>
    <w:rPr>
      <w:rFonts w:ascii="Arial" w:hAnsi="Arial"/>
      <w:b/>
      <w:sz w:val="28"/>
      <w:lang w:val="es-ES" w:eastAsia="es-ES"/>
    </w:rPr>
  </w:style>
  <w:style w:type="character" w:customStyle="1" w:styleId="Heading7Char">
    <w:name w:val="Heading 7 Char"/>
    <w:basedOn w:val="DefaultParagraphFont"/>
    <w:link w:val="Heading7"/>
    <w:uiPriority w:val="9"/>
    <w:semiHidden/>
    <w:locked/>
    <w:rPr>
      <w:rFonts w:ascii="Calibri" w:hAnsi="Calibri"/>
      <w:sz w:val="24"/>
      <w:lang w:val="es-ES" w:eastAsia="es-ES"/>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es-ES" w:eastAsia="es-ES"/>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es-ES" w:eastAsia="es-ES"/>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es-ES" w:eastAsia="es-ES"/>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es-ES" w:eastAsia="es-ES"/>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es-ES" w:eastAsia="es-E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es-ES" w:eastAsia="es-ES"/>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es-ES" w:eastAsia="es-E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outlineLvl w:val="1"/>
    </w:pPr>
    <w:rPr>
      <w:rFonts w:ascii="Arial" w:hAnsi="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es-ES" w:eastAsia="es-ES"/>
    </w:rPr>
  </w:style>
  <w:style w:type="character" w:customStyle="1" w:styleId="Heading2Char">
    <w:name w:val="Heading 2 Char"/>
    <w:basedOn w:val="DefaultParagraphFont"/>
    <w:link w:val="Heading2"/>
    <w:uiPriority w:val="9"/>
    <w:locked/>
    <w:rPr>
      <w:rFonts w:ascii="Arial" w:hAnsi="Arial"/>
      <w:b/>
      <w:sz w:val="28"/>
      <w:lang w:val="es-ES" w:eastAsia="es-ES"/>
    </w:rPr>
  </w:style>
  <w:style w:type="character" w:customStyle="1" w:styleId="Heading7Char">
    <w:name w:val="Heading 7 Char"/>
    <w:basedOn w:val="DefaultParagraphFont"/>
    <w:link w:val="Heading7"/>
    <w:uiPriority w:val="9"/>
    <w:semiHidden/>
    <w:locked/>
    <w:rPr>
      <w:rFonts w:ascii="Calibri" w:hAnsi="Calibri"/>
      <w:sz w:val="24"/>
      <w:lang w:val="es-ES" w:eastAsia="es-ES"/>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es-ES" w:eastAsia="es-ES"/>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es-ES" w:eastAsia="es-ES"/>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es-ES" w:eastAsia="es-ES"/>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es-ES" w:eastAsia="es-ES"/>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es-ES" w:eastAsia="es-E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es-ES" w:eastAsia="es-ES"/>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es-ES" w:eastAsia="es-E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ss.gov/tuberculosi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C1E1-CFC4-46F0-9D55-1B6932D4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5</cp:revision>
  <cp:lastPrinted>2015-04-15T14:28:00Z</cp:lastPrinted>
  <dcterms:created xsi:type="dcterms:W3CDTF">2015-08-03T12:03:00Z</dcterms:created>
  <dcterms:modified xsi:type="dcterms:W3CDTF">2019-02-20T14:28:00Z</dcterms:modified>
</cp:coreProperties>
</file>