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D5C19" w14:textId="39C201CC" w:rsidR="00DE64F7" w:rsidRPr="00677149" w:rsidRDefault="007320A0" w:rsidP="007320A0">
      <w:pPr>
        <w:spacing w:after="120" w:line="240" w:lineRule="auto"/>
        <w:jc w:val="center"/>
        <w:rPr>
          <w:rFonts w:ascii="Franklin Gothic Demi" w:hAnsi="Franklin Gothic Demi" w:cs="Arial"/>
          <w:b/>
          <w:noProof/>
          <w:sz w:val="28"/>
          <w:u w:val="single"/>
          <w14:ligatures w14:val="standardContextual"/>
        </w:rPr>
      </w:pPr>
      <w:r w:rsidRPr="0072654F">
        <w:rPr>
          <w:rFonts w:ascii="Franklin Gothic Demi" w:hAnsi="Franklin Gothic Demi" w:cs="Arial"/>
          <w:noProof/>
          <w:sz w:val="24"/>
          <w14:ligatures w14:val="standardContextual"/>
        </w:rPr>
        <mc:AlternateContent>
          <mc:Choice Requires="wps">
            <w:drawing>
              <wp:anchor distT="0" distB="0" distL="114300" distR="114300" simplePos="0" relativeHeight="251660288" behindDoc="0" locked="0" layoutInCell="1" allowOverlap="1" wp14:anchorId="16EE32AE" wp14:editId="1448D692">
                <wp:simplePos x="0" y="0"/>
                <wp:positionH relativeFrom="column">
                  <wp:posOffset>-91440</wp:posOffset>
                </wp:positionH>
                <wp:positionV relativeFrom="paragraph">
                  <wp:posOffset>0</wp:posOffset>
                </wp:positionV>
                <wp:extent cx="1203960" cy="1104900"/>
                <wp:effectExtent l="0" t="0" r="0" b="0"/>
                <wp:wrapThrough wrapText="bothSides">
                  <wp:wrapPolygon edited="0">
                    <wp:start x="0" y="0"/>
                    <wp:lineTo x="0" y="21228"/>
                    <wp:lineTo x="21190" y="21228"/>
                    <wp:lineTo x="21190" y="0"/>
                    <wp:lineTo x="0" y="0"/>
                  </wp:wrapPolygon>
                </wp:wrapThrough>
                <wp:docPr id="1752985670" name="Text Box 2"/>
                <wp:cNvGraphicFramePr/>
                <a:graphic xmlns:a="http://schemas.openxmlformats.org/drawingml/2006/main">
                  <a:graphicData uri="http://schemas.microsoft.com/office/word/2010/wordprocessingShape">
                    <wps:wsp>
                      <wps:cNvSpPr txBox="1"/>
                      <wps:spPr>
                        <a:xfrm>
                          <a:off x="0" y="0"/>
                          <a:ext cx="1203960" cy="1104900"/>
                        </a:xfrm>
                        <a:prstGeom prst="rect">
                          <a:avLst/>
                        </a:prstGeom>
                        <a:solidFill>
                          <a:schemeClr val="lt1"/>
                        </a:solidFill>
                        <a:ln w="6350">
                          <a:noFill/>
                        </a:ln>
                      </wps:spPr>
                      <wps:txbx>
                        <w:txbxContent>
                          <w:p w14:paraId="48BD0E57" w14:textId="43BBE5E6" w:rsidR="00DE64F7" w:rsidRDefault="00DE64F7">
                            <w:r>
                              <w:rPr>
                                <w:noProof/>
                              </w:rPr>
                              <w:drawing>
                                <wp:inline distT="0" distB="0" distL="0" distR="0" wp14:anchorId="1A6F6E51" wp14:editId="07DC942B">
                                  <wp:extent cx="982980" cy="987796"/>
                                  <wp:effectExtent l="0" t="0" r="7620" b="3175"/>
                                  <wp:docPr id="2118325680"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25680" name="Picture 1" descr="Qr code"/>
                                          <pic:cNvPicPr/>
                                        </pic:nvPicPr>
                                        <pic:blipFill>
                                          <a:blip r:embed="rId7"/>
                                          <a:stretch>
                                            <a:fillRect/>
                                          </a:stretch>
                                        </pic:blipFill>
                                        <pic:spPr>
                                          <a:xfrm>
                                            <a:off x="0" y="0"/>
                                            <a:ext cx="986119" cy="9909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E32AE" id="_x0000_t202" coordsize="21600,21600" o:spt="202" path="m,l,21600r21600,l21600,xe">
                <v:stroke joinstyle="miter"/>
                <v:path gradientshapeok="t" o:connecttype="rect"/>
              </v:shapetype>
              <v:shape id="Text Box 2" o:spid="_x0000_s1026" type="#_x0000_t202" style="position:absolute;left:0;text-align:left;margin-left:-7.2pt;margin-top:0;width:94.8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" fillcolor="white [3201]" stroked="f" strokeweight=".5pt">
                <v:textbox>
                  <w:txbxContent>
                    <w:p w14:paraId="48BD0E57" w14:textId="43BBE5E6" w:rsidR="00DE64F7" w:rsidRDefault="00DE64F7">
                      <w:r>
                        <w:rPr>
                          <w:noProof/>
                        </w:rPr>
                        <w:drawing>
                          <wp:inline distT="0" distB="0" distL="0" distR="0" wp14:anchorId="1A6F6E51" wp14:editId="07DC942B">
                            <wp:extent cx="982980" cy="987796"/>
                            <wp:effectExtent l="0" t="0" r="7620" b="3175"/>
                            <wp:docPr id="2118325680"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25680" name="Picture 1" descr="Qr code"/>
                                    <pic:cNvPicPr/>
                                  </pic:nvPicPr>
                                  <pic:blipFill>
                                    <a:blip r:embed="rId8"/>
                                    <a:stretch>
                                      <a:fillRect/>
                                    </a:stretch>
                                  </pic:blipFill>
                                  <pic:spPr>
                                    <a:xfrm>
                                      <a:off x="0" y="0"/>
                                      <a:ext cx="986119" cy="990950"/>
                                    </a:xfrm>
                                    <a:prstGeom prst="rect">
                                      <a:avLst/>
                                    </a:prstGeom>
                                  </pic:spPr>
                                </pic:pic>
                              </a:graphicData>
                            </a:graphic>
                          </wp:inline>
                        </w:drawing>
                      </w:r>
                    </w:p>
                  </w:txbxContent>
                </v:textbox>
                <w10:wrap type="through"/>
              </v:shape>
            </w:pict>
          </mc:Fallback>
        </mc:AlternateContent>
      </w:r>
      <w:r w:rsidRPr="0072654F">
        <w:rPr>
          <w:rFonts w:ascii="Franklin Gothic Demi" w:hAnsi="Franklin Gothic Demi"/>
          <w:b/>
          <w:noProof/>
          <w:sz w:val="28"/>
          <w:u w:val="single"/>
          <w14:ligatures w14:val="standardContextual"/>
        </w:rPr>
        <mc:AlternateContent>
          <mc:Choice Requires="wps">
            <w:drawing>
              <wp:anchor distT="0" distB="0" distL="114300" distR="114300" simplePos="0" relativeHeight="251659264" behindDoc="1" locked="0" layoutInCell="1" allowOverlap="1" wp14:anchorId="0A739C15" wp14:editId="68BE95AB">
                <wp:simplePos x="0" y="0"/>
                <wp:positionH relativeFrom="column">
                  <wp:posOffset>5455920</wp:posOffset>
                </wp:positionH>
                <wp:positionV relativeFrom="paragraph">
                  <wp:posOffset>0</wp:posOffset>
                </wp:positionV>
                <wp:extent cx="1447800" cy="937260"/>
                <wp:effectExtent l="0" t="0" r="0" b="0"/>
                <wp:wrapThrough wrapText="bothSides">
                  <wp:wrapPolygon edited="0">
                    <wp:start x="0" y="0"/>
                    <wp:lineTo x="0" y="21073"/>
                    <wp:lineTo x="21316" y="21073"/>
                    <wp:lineTo x="21316" y="0"/>
                    <wp:lineTo x="0" y="0"/>
                  </wp:wrapPolygon>
                </wp:wrapThrough>
                <wp:docPr id="1374330870" name="Text Box 1"/>
                <wp:cNvGraphicFramePr/>
                <a:graphic xmlns:a="http://schemas.openxmlformats.org/drawingml/2006/main">
                  <a:graphicData uri="http://schemas.microsoft.com/office/word/2010/wordprocessingShape">
                    <wps:wsp>
                      <wps:cNvSpPr txBox="1"/>
                      <wps:spPr>
                        <a:xfrm>
                          <a:off x="0" y="0"/>
                          <a:ext cx="1447800" cy="937260"/>
                        </a:xfrm>
                        <a:prstGeom prst="rect">
                          <a:avLst/>
                        </a:prstGeom>
                        <a:solidFill>
                          <a:schemeClr val="lt1"/>
                        </a:solidFill>
                        <a:ln w="6350">
                          <a:noFill/>
                        </a:ln>
                      </wps:spPr>
                      <wps:txbx>
                        <w:txbxContent>
                          <w:p w14:paraId="2BD5FF02" w14:textId="246AB5D0" w:rsidR="00DE64F7" w:rsidRDefault="00DE64F7">
                            <w:r w:rsidRPr="00DE64F7">
                              <w:rPr>
                                <w:rFonts w:ascii="Arial" w:hAnsi="Arial" w:cs="Arial"/>
                                <w:noProof/>
                                <w:sz w:val="36"/>
                                <w:szCs w:val="36"/>
                              </w:rPr>
                              <w:drawing>
                                <wp:inline distT="0" distB="0" distL="0" distR="0" wp14:anchorId="2CCDA9DB" wp14:editId="05AB3875">
                                  <wp:extent cx="1258570" cy="815146"/>
                                  <wp:effectExtent l="0" t="0" r="0" b="4445"/>
                                  <wp:docPr id="1199589966" name="Pictur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9589966" name="Picture 2" descr="Logo"/>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1258570" cy="8151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739C15" id="Text Box 1" o:spid="_x0000_s1027" type="#_x0000_t202" style="position:absolute;left:0;text-align:left;margin-left:429.6pt;margin-top:0;width:114pt;height:73.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" fillcolor="white [3201]" stroked="f" strokeweight=".5pt">
                <v:textbox>
                  <w:txbxContent>
                    <w:p w14:paraId="2BD5FF02" w14:textId="246AB5D0" w:rsidR="00DE64F7" w:rsidRDefault="00DE64F7">
                      <w:r w:rsidRPr="00DE64F7">
                        <w:rPr>
                          <w:rFonts w:ascii="Arial" w:hAnsi="Arial" w:cs="Arial"/>
                          <w:noProof/>
                          <w:sz w:val="36"/>
                          <w:szCs w:val="36"/>
                        </w:rPr>
                        <w:drawing>
                          <wp:inline distT="0" distB="0" distL="0" distR="0" wp14:anchorId="2CCDA9DB" wp14:editId="05AB3875">
                            <wp:extent cx="1258570" cy="815146"/>
                            <wp:effectExtent l="0" t="0" r="0" b="4445"/>
                            <wp:docPr id="1199589966" name="Pictur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9589966" name="Picture 2" descr="Logo"/>
                                    <pic:cNvPicPr preferRelativeResize="0"/>
                                  </pic:nvPicPr>
                                  <pic:blipFill>
                                    <a:blip r:embed="rId10">
                                      <a:extLst>
                                        <a:ext uri="{28A0092B-C50C-407E-A947-70E740481C1C}">
                                          <a14:useLocalDpi xmlns:a14="http://schemas.microsoft.com/office/drawing/2010/main" val="0"/>
                                        </a:ext>
                                      </a:extLst>
                                    </a:blip>
                                    <a:stretch>
                                      <a:fillRect/>
                                    </a:stretch>
                                  </pic:blipFill>
                                  <pic:spPr>
                                    <a:xfrm>
                                      <a:off x="0" y="0"/>
                                      <a:ext cx="1258570" cy="815146"/>
                                    </a:xfrm>
                                    <a:prstGeom prst="rect">
                                      <a:avLst/>
                                    </a:prstGeom>
                                  </pic:spPr>
                                </pic:pic>
                              </a:graphicData>
                            </a:graphic>
                          </wp:inline>
                        </w:drawing>
                      </w:r>
                    </w:p>
                  </w:txbxContent>
                </v:textbox>
                <w10:wrap type="through"/>
              </v:shape>
            </w:pict>
          </mc:Fallback>
        </mc:AlternateContent>
      </w:r>
      <w:r w:rsidR="00DE64F7" w:rsidRPr="0072654F">
        <w:rPr>
          <w:rFonts w:ascii="Franklin Gothic Demi" w:hAnsi="Franklin Gothic Demi" w:cs="Arial"/>
          <w:b/>
          <w:sz w:val="36"/>
          <w:szCs w:val="36"/>
        </w:rPr>
        <w:t>P</w:t>
      </w:r>
      <w:r w:rsidR="00DE64F7" w:rsidRPr="00677149">
        <w:rPr>
          <w:rFonts w:ascii="Franklin Gothic Demi" w:hAnsi="Franklin Gothic Demi" w:cs="Arial"/>
          <w:b/>
          <w:sz w:val="36"/>
          <w:szCs w:val="36"/>
        </w:rPr>
        <w:t>reguntas sobre exámenes forenses y recopilación de pruebas después de una agresión sexual</w:t>
      </w:r>
    </w:p>
    <w:p w14:paraId="67687F8E" w14:textId="77777777" w:rsidR="007320A0" w:rsidRDefault="007320A0" w:rsidP="00360F85">
      <w:pPr>
        <w:spacing w:after="120" w:line="240" w:lineRule="auto"/>
        <w:rPr>
          <w:rFonts w:ascii="Calibri" w:hAnsi="Calibri"/>
          <w:b/>
          <w:noProof/>
          <w:sz w:val="28"/>
          <w:u w:val="single"/>
          <w14:ligatures w14:val="standardContextual"/>
        </w:rPr>
      </w:pPr>
    </w:p>
    <w:p w14:paraId="0BE0CB7B" w14:textId="30AB5144" w:rsidR="00360F85" w:rsidRPr="00677149" w:rsidRDefault="00360F85" w:rsidP="00360F85">
      <w:pPr>
        <w:spacing w:after="0"/>
        <w:rPr>
          <w:rFonts w:ascii="Franklin Gothic Book" w:hAnsi="Franklin Gothic Book" w:cs="Arial"/>
          <w:b/>
          <w:sz w:val="24"/>
          <w:szCs w:val="24"/>
        </w:rPr>
      </w:pPr>
      <w:r w:rsidRPr="00677149">
        <w:rPr>
          <w:rFonts w:ascii="Franklin Gothic Book" w:hAnsi="Franklin Gothic Book" w:cs="Arial"/>
          <w:b/>
          <w:sz w:val="24"/>
        </w:rPr>
        <w:t>¿Por qué debería considerar hacerme un examen forense y reunir pruebas?</w:t>
      </w:r>
    </w:p>
    <w:p w14:paraId="49EAF3AB" w14:textId="7A55EBBF" w:rsidR="00360F85" w:rsidRPr="00677149" w:rsidRDefault="00360F85" w:rsidP="00674D3D">
      <w:pPr>
        <w:pStyle w:val="ListParagraph"/>
        <w:numPr>
          <w:ilvl w:val="0"/>
          <w:numId w:val="2"/>
        </w:numPr>
        <w:spacing w:after="240" w:line="240" w:lineRule="auto"/>
        <w:rPr>
          <w:rFonts w:ascii="Franklin Gothic Book" w:hAnsi="Franklin Gothic Book" w:cs="Arial"/>
          <w:b/>
          <w:sz w:val="20"/>
          <w:szCs w:val="20"/>
        </w:rPr>
      </w:pPr>
      <w:r w:rsidRPr="00677149">
        <w:rPr>
          <w:rFonts w:ascii="Franklin Gothic Book" w:hAnsi="Franklin Gothic Book" w:cs="Arial"/>
          <w:sz w:val="24"/>
        </w:rPr>
        <w:t>Durante el examen forense, la enfermera examinadora de agresiones sexuales o el clínico documenta su denuncia de la agresión y cualquier hallazgo físico y recopila pruebas que puedan estar presentes después de una agresión sexual.  Estas pruebas se pueden utilizar como parte de una investigación policial.</w:t>
      </w:r>
    </w:p>
    <w:p w14:paraId="5592B39F" w14:textId="21394216" w:rsidR="00360F85" w:rsidRPr="00677149" w:rsidRDefault="00360F85" w:rsidP="00360F85">
      <w:pPr>
        <w:spacing w:after="0"/>
        <w:rPr>
          <w:rFonts w:ascii="Franklin Gothic Book" w:hAnsi="Franklin Gothic Book" w:cs="Arial"/>
          <w:b/>
          <w:sz w:val="24"/>
          <w:szCs w:val="24"/>
        </w:rPr>
      </w:pPr>
      <w:r w:rsidRPr="00677149">
        <w:rPr>
          <w:rFonts w:ascii="Franklin Gothic Book" w:hAnsi="Franklin Gothic Book" w:cs="Arial"/>
          <w:b/>
          <w:sz w:val="24"/>
        </w:rPr>
        <w:t>¿Tengo que denunciar la agresión a la policía para que me hagan un examen forense y recopilen pruebas?</w:t>
      </w:r>
    </w:p>
    <w:p w14:paraId="7801C60E" w14:textId="77777777" w:rsidR="00360F85" w:rsidRPr="00677149" w:rsidRDefault="00360F85" w:rsidP="00360F85">
      <w:pPr>
        <w:pStyle w:val="ListParagraph"/>
        <w:numPr>
          <w:ilvl w:val="0"/>
          <w:numId w:val="1"/>
        </w:numPr>
        <w:spacing w:after="0" w:line="240" w:lineRule="auto"/>
        <w:ind w:left="360" w:hanging="180"/>
        <w:rPr>
          <w:rFonts w:ascii="Franklin Gothic Book" w:hAnsi="Franklin Gothic Book" w:cs="Arial"/>
          <w:sz w:val="24"/>
          <w:szCs w:val="24"/>
        </w:rPr>
      </w:pPr>
      <w:r w:rsidRPr="00677149">
        <w:rPr>
          <w:rFonts w:ascii="Franklin Gothic Book" w:hAnsi="Franklin Gothic Book" w:cs="Arial"/>
          <w:sz w:val="24"/>
        </w:rPr>
        <w:t xml:space="preserve">No. Depende de usted decidir si se presenta ante la policía. Puede solicitar un examen forense y recopilar pruebas incluso si no está seguro de lo que decidirá. </w:t>
      </w:r>
    </w:p>
    <w:p w14:paraId="77180B7B" w14:textId="67DF916B" w:rsidR="00360F85" w:rsidRPr="00677149" w:rsidRDefault="00360F85" w:rsidP="00360F85">
      <w:pPr>
        <w:pStyle w:val="ListParagraph"/>
        <w:numPr>
          <w:ilvl w:val="0"/>
          <w:numId w:val="1"/>
        </w:numPr>
        <w:spacing w:after="240" w:line="240" w:lineRule="auto"/>
        <w:ind w:left="374" w:hanging="187"/>
        <w:rPr>
          <w:rFonts w:ascii="Franklin Gothic Book" w:hAnsi="Franklin Gothic Book" w:cs="Arial"/>
          <w:b/>
          <w:sz w:val="20"/>
          <w:szCs w:val="20"/>
        </w:rPr>
      </w:pPr>
      <w:r w:rsidRPr="00677149">
        <w:rPr>
          <w:rFonts w:ascii="Franklin Gothic Book" w:hAnsi="Franklin Gothic Book" w:cs="Arial"/>
          <w:sz w:val="24"/>
        </w:rPr>
        <w:t xml:space="preserve">También tiene la opción de </w:t>
      </w:r>
      <w:r w:rsidR="00B331AF" w:rsidRPr="00677149">
        <w:rPr>
          <w:rFonts w:ascii="Franklin Gothic Book" w:hAnsi="Franklin Gothic Book" w:cs="Arial"/>
          <w:sz w:val="24"/>
        </w:rPr>
        <w:t>levantar una denuncia con</w:t>
      </w:r>
      <w:r w:rsidRPr="00677149">
        <w:rPr>
          <w:rFonts w:ascii="Franklin Gothic Book" w:hAnsi="Franklin Gothic Book" w:cs="Arial"/>
          <w:sz w:val="24"/>
        </w:rPr>
        <w:t xml:space="preserve"> la policía sin recibir atención médica ni someterse a un examen forense o a una recolección de pruebas.</w:t>
      </w:r>
    </w:p>
    <w:p w14:paraId="707D6C62" w14:textId="77777777" w:rsidR="00360F85" w:rsidRPr="00677149" w:rsidRDefault="00360F85" w:rsidP="00360F85">
      <w:pPr>
        <w:spacing w:after="0"/>
        <w:rPr>
          <w:rFonts w:ascii="Franklin Gothic Book" w:hAnsi="Franklin Gothic Book" w:cs="Arial"/>
          <w:b/>
          <w:sz w:val="24"/>
          <w:szCs w:val="24"/>
        </w:rPr>
      </w:pPr>
      <w:r w:rsidRPr="00677149">
        <w:rPr>
          <w:rFonts w:ascii="Franklin Gothic Book" w:hAnsi="Franklin Gothic Book" w:cs="Arial"/>
          <w:b/>
          <w:sz w:val="24"/>
        </w:rPr>
        <w:t>¿Qué debo esperar durante el examen forense y el proceso de recolección de pruebas?</w:t>
      </w:r>
    </w:p>
    <w:p w14:paraId="16B3F1CD" w14:textId="77777777" w:rsidR="00360F85" w:rsidRPr="00677149" w:rsidRDefault="00360F85" w:rsidP="00360F85">
      <w:pPr>
        <w:pStyle w:val="ListParagraph"/>
        <w:numPr>
          <w:ilvl w:val="0"/>
          <w:numId w:val="1"/>
        </w:numPr>
        <w:spacing w:after="0" w:line="240" w:lineRule="auto"/>
        <w:ind w:left="360" w:hanging="180"/>
        <w:rPr>
          <w:rFonts w:ascii="Franklin Gothic Book" w:hAnsi="Franklin Gothic Book" w:cs="Arial"/>
          <w:sz w:val="24"/>
          <w:szCs w:val="24"/>
        </w:rPr>
      </w:pPr>
      <w:r w:rsidRPr="00677149">
        <w:rPr>
          <w:rFonts w:ascii="Franklin Gothic Book" w:hAnsi="Franklin Gothic Book" w:cs="Arial"/>
          <w:sz w:val="24"/>
        </w:rPr>
        <w:t>Se le harán algunas preguntas sobre la agresión para que la enfermera examinadora de agresiones sexuales o el clínico pueda recomendarle qué pasos seguir.</w:t>
      </w:r>
    </w:p>
    <w:p w14:paraId="1050053D" w14:textId="77777777" w:rsidR="00360F85" w:rsidRPr="00677149" w:rsidRDefault="00360F85" w:rsidP="00360F85">
      <w:pPr>
        <w:pStyle w:val="ListParagraph"/>
        <w:numPr>
          <w:ilvl w:val="0"/>
          <w:numId w:val="1"/>
        </w:numPr>
        <w:spacing w:after="0" w:line="240" w:lineRule="auto"/>
        <w:ind w:left="360" w:hanging="180"/>
        <w:rPr>
          <w:rFonts w:ascii="Franklin Gothic Book" w:hAnsi="Franklin Gothic Book" w:cs="Arial"/>
          <w:sz w:val="24"/>
          <w:szCs w:val="24"/>
        </w:rPr>
      </w:pPr>
      <w:r w:rsidRPr="00677149">
        <w:rPr>
          <w:rFonts w:ascii="Franklin Gothic Book" w:hAnsi="Franklin Gothic Book" w:cs="Arial"/>
          <w:sz w:val="24"/>
        </w:rPr>
        <w:t>El proceso de recolección de pruebas implica el uso de un “kit” de pruebas y es una serie de pasos durante el examen forense para recolectar pruebas de áreas de su cuerpo. Esto puede incluir limpiar partes de su cuerpo con hisopos de algodón. Si tiene lesiones físicas, las fotografías pueden ser una parte opcional de la recopilación de pruebas.</w:t>
      </w:r>
    </w:p>
    <w:p w14:paraId="68E5BEBD" w14:textId="3CF3FC53" w:rsidR="00360F85" w:rsidRPr="00677149" w:rsidRDefault="00360F85" w:rsidP="00360F85">
      <w:pPr>
        <w:pStyle w:val="ListParagraph"/>
        <w:numPr>
          <w:ilvl w:val="0"/>
          <w:numId w:val="1"/>
        </w:numPr>
        <w:spacing w:after="0" w:line="240" w:lineRule="auto"/>
        <w:ind w:left="360" w:hanging="180"/>
        <w:rPr>
          <w:rFonts w:ascii="Franklin Gothic Book" w:hAnsi="Franklin Gothic Book" w:cs="Arial"/>
          <w:sz w:val="24"/>
          <w:szCs w:val="24"/>
        </w:rPr>
      </w:pPr>
      <w:r w:rsidRPr="00677149">
        <w:rPr>
          <w:rFonts w:ascii="Franklin Gothic Book" w:hAnsi="Franklin Gothic Book" w:cs="Arial"/>
          <w:sz w:val="24"/>
        </w:rPr>
        <w:t xml:space="preserve">También le pueden pedir su ropa, si puede contener pruebas de la agresión sexual. Si esto sucede, se le proporcionará ropa para que </w:t>
      </w:r>
      <w:r w:rsidR="00B331AF" w:rsidRPr="00677149">
        <w:rPr>
          <w:rFonts w:ascii="Franklin Gothic Book" w:hAnsi="Franklin Gothic Book" w:cs="Arial"/>
          <w:sz w:val="24"/>
        </w:rPr>
        <w:t>se cambie y la use.</w:t>
      </w:r>
    </w:p>
    <w:p w14:paraId="50D340BC" w14:textId="642161C8" w:rsidR="00360F85" w:rsidRPr="00677149" w:rsidRDefault="00360F85" w:rsidP="00360F85">
      <w:pPr>
        <w:pStyle w:val="ListParagraph"/>
        <w:numPr>
          <w:ilvl w:val="0"/>
          <w:numId w:val="1"/>
        </w:numPr>
        <w:spacing w:after="0" w:line="240" w:lineRule="auto"/>
        <w:ind w:left="360" w:hanging="180"/>
        <w:rPr>
          <w:rFonts w:ascii="Franklin Gothic Book" w:hAnsi="Franklin Gothic Book" w:cs="Arial"/>
          <w:sz w:val="24"/>
          <w:szCs w:val="24"/>
        </w:rPr>
      </w:pPr>
      <w:r w:rsidRPr="00677149">
        <w:rPr>
          <w:rFonts w:ascii="Franklin Gothic Book" w:hAnsi="Franklin Gothic Book" w:cs="Arial"/>
          <w:sz w:val="24"/>
        </w:rPr>
        <w:t xml:space="preserve">El examen puede tardar algunas horas para garantizar que se respondan sus preguntas, se </w:t>
      </w:r>
      <w:r w:rsidR="00B331AF" w:rsidRPr="00677149">
        <w:rPr>
          <w:rFonts w:ascii="Franklin Gothic Book" w:hAnsi="Franklin Gothic Book" w:cs="Arial"/>
          <w:sz w:val="24"/>
        </w:rPr>
        <w:t xml:space="preserve">atiendan </w:t>
      </w:r>
      <w:r w:rsidRPr="00677149">
        <w:rPr>
          <w:rFonts w:ascii="Franklin Gothic Book" w:hAnsi="Franklin Gothic Book" w:cs="Arial"/>
          <w:sz w:val="24"/>
        </w:rPr>
        <w:t xml:space="preserve">sus necesidades médicas y se recopilen y conserven adecuadamente las pruebas.  </w:t>
      </w:r>
    </w:p>
    <w:p w14:paraId="53675199" w14:textId="77777777" w:rsidR="00360F85" w:rsidRPr="00677149" w:rsidRDefault="00360F85" w:rsidP="00360F85">
      <w:pPr>
        <w:pStyle w:val="ListParagraph"/>
        <w:spacing w:after="0" w:line="240" w:lineRule="auto"/>
        <w:ind w:left="360"/>
        <w:rPr>
          <w:rFonts w:ascii="Franklin Gothic Book" w:hAnsi="Franklin Gothic Book" w:cs="Arial"/>
          <w:sz w:val="24"/>
          <w:szCs w:val="24"/>
        </w:rPr>
      </w:pPr>
    </w:p>
    <w:p w14:paraId="3DB24A9A" w14:textId="77777777" w:rsidR="00360F85" w:rsidRPr="00677149" w:rsidRDefault="00360F85" w:rsidP="00360F85">
      <w:pPr>
        <w:spacing w:after="0"/>
        <w:rPr>
          <w:rFonts w:ascii="Franklin Gothic Book" w:hAnsi="Franklin Gothic Book" w:cs="Arial"/>
          <w:b/>
          <w:sz w:val="24"/>
          <w:szCs w:val="24"/>
        </w:rPr>
      </w:pPr>
      <w:r w:rsidRPr="00677149">
        <w:rPr>
          <w:rFonts w:ascii="Franklin Gothic Book" w:hAnsi="Franklin Gothic Book" w:cs="Arial"/>
          <w:b/>
          <w:sz w:val="24"/>
        </w:rPr>
        <w:t>¿Cuánto control tendré durante un examen forense?</w:t>
      </w:r>
    </w:p>
    <w:p w14:paraId="7BE4BE9F" w14:textId="7880385F" w:rsidR="00360F85" w:rsidRPr="00677149" w:rsidRDefault="00360F85" w:rsidP="00360F85">
      <w:pPr>
        <w:spacing w:after="240" w:line="240" w:lineRule="auto"/>
        <w:ind w:left="187"/>
        <w:rPr>
          <w:rFonts w:ascii="Franklin Gothic Book" w:hAnsi="Franklin Gothic Book" w:cs="Arial"/>
          <w:b/>
          <w:sz w:val="20"/>
          <w:szCs w:val="20"/>
        </w:rPr>
      </w:pPr>
      <w:r w:rsidRPr="00677149">
        <w:rPr>
          <w:rFonts w:ascii="Franklin Gothic Book" w:hAnsi="Franklin Gothic Book" w:cs="Arial"/>
          <w:sz w:val="24"/>
        </w:rPr>
        <w:t xml:space="preserve">Lo que se hace es su elección. No es necesario que complete ninguna parte del examen con la que no se sienta </w:t>
      </w:r>
      <w:r w:rsidR="00B331AF" w:rsidRPr="00677149">
        <w:rPr>
          <w:rFonts w:ascii="Franklin Gothic Book" w:hAnsi="Franklin Gothic Book" w:cs="Arial"/>
          <w:sz w:val="24"/>
        </w:rPr>
        <w:t>cómoda</w:t>
      </w:r>
      <w:r w:rsidRPr="00677149">
        <w:rPr>
          <w:rFonts w:ascii="Franklin Gothic Book" w:hAnsi="Franklin Gothic Book" w:cs="Arial"/>
          <w:sz w:val="24"/>
        </w:rPr>
        <w:t>. La enfermera examinadora de agresiones sexuales o el clínico le explicará cada paso del examen y usted podrá aceptar o rechazar cualquier parte en cualquier momento. Está bien si comienza el examen y decide tomar un descanso o detenerlo.</w:t>
      </w:r>
    </w:p>
    <w:p w14:paraId="1171E14F" w14:textId="77777777" w:rsidR="00360F85" w:rsidRPr="00677149" w:rsidRDefault="00360F85" w:rsidP="00360F85">
      <w:pPr>
        <w:spacing w:after="0"/>
        <w:rPr>
          <w:rFonts w:ascii="Franklin Gothic Book" w:hAnsi="Franklin Gothic Book" w:cs="Arial"/>
          <w:b/>
          <w:sz w:val="24"/>
          <w:szCs w:val="24"/>
        </w:rPr>
      </w:pPr>
      <w:r w:rsidRPr="00677149">
        <w:rPr>
          <w:rFonts w:ascii="Franklin Gothic Book" w:hAnsi="Franklin Gothic Book" w:cs="Arial"/>
          <w:b/>
          <w:sz w:val="24"/>
        </w:rPr>
        <w:t>¿Qué ocurre con las pruebas?</w:t>
      </w:r>
    </w:p>
    <w:p w14:paraId="58DD5DCD" w14:textId="77777777" w:rsidR="00360F85" w:rsidRPr="00677149" w:rsidRDefault="00360F85" w:rsidP="00360F85">
      <w:pPr>
        <w:pStyle w:val="ListParagraph"/>
        <w:numPr>
          <w:ilvl w:val="0"/>
          <w:numId w:val="1"/>
        </w:numPr>
        <w:spacing w:after="0" w:line="240" w:lineRule="auto"/>
        <w:ind w:left="360" w:hanging="180"/>
        <w:rPr>
          <w:rFonts w:ascii="Franklin Gothic Book" w:hAnsi="Franklin Gothic Book" w:cs="Arial"/>
          <w:b/>
          <w:sz w:val="24"/>
          <w:szCs w:val="24"/>
        </w:rPr>
      </w:pPr>
      <w:r w:rsidRPr="00677149">
        <w:rPr>
          <w:rFonts w:ascii="Franklin Gothic Book" w:hAnsi="Franklin Gothic Book" w:cs="Arial"/>
          <w:sz w:val="24"/>
        </w:rPr>
        <w:t>Si decide denunciar la agresión a la policía, su kit de pruebas se transporta a un laboratorio criminalístico, donde se analiza.</w:t>
      </w:r>
    </w:p>
    <w:p w14:paraId="3F6473F7" w14:textId="413FF87F" w:rsidR="00360F85" w:rsidRPr="00677149" w:rsidRDefault="00360F85" w:rsidP="00360F85">
      <w:pPr>
        <w:pStyle w:val="ListParagraph"/>
        <w:numPr>
          <w:ilvl w:val="0"/>
          <w:numId w:val="1"/>
        </w:numPr>
        <w:spacing w:after="0" w:line="240" w:lineRule="auto"/>
        <w:ind w:left="360" w:hanging="180"/>
        <w:rPr>
          <w:rFonts w:ascii="Franklin Gothic Book" w:hAnsi="Franklin Gothic Book" w:cs="Arial"/>
          <w:b/>
          <w:sz w:val="24"/>
          <w:szCs w:val="24"/>
        </w:rPr>
      </w:pPr>
      <w:r w:rsidRPr="00677149">
        <w:rPr>
          <w:rFonts w:ascii="Franklin Gothic Book" w:hAnsi="Franklin Gothic Book" w:cs="Arial"/>
          <w:sz w:val="24"/>
        </w:rPr>
        <w:t xml:space="preserve">Si decide </w:t>
      </w:r>
      <w:r w:rsidRPr="00677149">
        <w:rPr>
          <w:rFonts w:ascii="Franklin Gothic Book" w:hAnsi="Franklin Gothic Book" w:cs="Arial"/>
          <w:b/>
          <w:sz w:val="24"/>
        </w:rPr>
        <w:t>NO</w:t>
      </w:r>
      <w:r w:rsidRPr="00677149">
        <w:rPr>
          <w:rFonts w:ascii="Franklin Gothic Book" w:hAnsi="Franklin Gothic Book" w:cs="Arial"/>
          <w:sz w:val="24"/>
        </w:rPr>
        <w:t xml:space="preserve"> denunciar la agresión a la policía, el kit de pruebas se transporta a un lugar seguro, pero </w:t>
      </w:r>
      <w:r w:rsidRPr="00677149">
        <w:rPr>
          <w:rFonts w:ascii="Franklin Gothic Book" w:hAnsi="Franklin Gothic Book" w:cs="Arial"/>
          <w:b/>
          <w:sz w:val="24"/>
        </w:rPr>
        <w:t>no</w:t>
      </w:r>
      <w:r w:rsidRPr="00677149">
        <w:rPr>
          <w:rFonts w:ascii="Franklin Gothic Book" w:hAnsi="Franklin Gothic Book" w:cs="Arial"/>
          <w:sz w:val="24"/>
        </w:rPr>
        <w:t xml:space="preserve"> se analiza. Se almacena durante al menos 15 años. Si luego decide </w:t>
      </w:r>
      <w:r w:rsidR="007C5086" w:rsidRPr="00677149">
        <w:rPr>
          <w:rFonts w:ascii="Franklin Gothic Book" w:hAnsi="Franklin Gothic Book" w:cs="Arial"/>
          <w:sz w:val="24"/>
        </w:rPr>
        <w:t>levantar una denuncia ante</w:t>
      </w:r>
      <w:r w:rsidRPr="00677149">
        <w:rPr>
          <w:rFonts w:ascii="Franklin Gothic Book" w:hAnsi="Franklin Gothic Book" w:cs="Arial"/>
          <w:sz w:val="24"/>
        </w:rPr>
        <w:t xml:space="preserve"> la policía, todas las pruebas se analizarán en ese momento.</w:t>
      </w:r>
    </w:p>
    <w:p w14:paraId="0BC19331" w14:textId="77777777" w:rsidR="00360F85" w:rsidRPr="00677149" w:rsidRDefault="00360F85" w:rsidP="00360F85">
      <w:pPr>
        <w:pStyle w:val="ListParagraph"/>
        <w:numPr>
          <w:ilvl w:val="0"/>
          <w:numId w:val="1"/>
        </w:numPr>
        <w:spacing w:after="0" w:line="240" w:lineRule="auto"/>
        <w:ind w:left="374" w:hanging="187"/>
        <w:rPr>
          <w:rFonts w:ascii="Franklin Gothic Book" w:hAnsi="Franklin Gothic Book" w:cs="Arial"/>
          <w:b/>
          <w:sz w:val="24"/>
          <w:szCs w:val="24"/>
        </w:rPr>
      </w:pPr>
      <w:r w:rsidRPr="00677149">
        <w:rPr>
          <w:rFonts w:ascii="Franklin Gothic Book" w:hAnsi="Franklin Gothic Book" w:cs="Arial"/>
          <w:sz w:val="24"/>
        </w:rPr>
        <w:t xml:space="preserve">Si tiene un kit de pruebas completo, se le brindará información que lo ayudará a rastrear la ubicación del kit, </w:t>
      </w:r>
      <w:r w:rsidRPr="00677149">
        <w:rPr>
          <w:rFonts w:ascii="Franklin Gothic Book" w:hAnsi="Franklin Gothic Book" w:cs="Arial"/>
          <w:b/>
          <w:sz w:val="24"/>
        </w:rPr>
        <w:t>ya sea que denuncie o no</w:t>
      </w:r>
      <w:r w:rsidRPr="00677149">
        <w:rPr>
          <w:rFonts w:ascii="Franklin Gothic Book" w:hAnsi="Franklin Gothic Book" w:cs="Arial"/>
          <w:sz w:val="24"/>
        </w:rPr>
        <w:t xml:space="preserve"> la agresión a la policía. </w:t>
      </w:r>
    </w:p>
    <w:p w14:paraId="69CD7E62" w14:textId="77777777" w:rsidR="00674D3D" w:rsidRPr="00677149" w:rsidRDefault="00674D3D" w:rsidP="00674D3D">
      <w:pPr>
        <w:pStyle w:val="ListParagraph"/>
        <w:spacing w:after="0" w:line="240" w:lineRule="auto"/>
        <w:ind w:left="374"/>
        <w:rPr>
          <w:rFonts w:ascii="Franklin Gothic Book" w:hAnsi="Franklin Gothic Book" w:cs="Arial"/>
          <w:b/>
          <w:sz w:val="24"/>
          <w:szCs w:val="24"/>
        </w:rPr>
      </w:pPr>
    </w:p>
    <w:p w14:paraId="12C47643" w14:textId="3C02F924" w:rsidR="00360F85" w:rsidRPr="00677149" w:rsidRDefault="00360F85" w:rsidP="007320A0">
      <w:pPr>
        <w:spacing w:after="0" w:line="240" w:lineRule="auto"/>
        <w:ind w:left="187"/>
        <w:rPr>
          <w:rFonts w:ascii="Franklin Gothic Book" w:hAnsi="Franklin Gothic Book" w:cs="Arial"/>
          <w:b/>
          <w:sz w:val="20"/>
          <w:szCs w:val="20"/>
        </w:rPr>
      </w:pPr>
      <w:r w:rsidRPr="00677149">
        <w:rPr>
          <w:rFonts w:ascii="Franklin Gothic Book" w:hAnsi="Franklin Gothic Book" w:cs="Arial"/>
          <w:b/>
          <w:sz w:val="20"/>
        </w:rPr>
        <w:t>Puede encontrar más información sobre el Programa de Enfermeras Examinadoras de Agresiones Sexuales (</w:t>
      </w:r>
      <w:r w:rsidRPr="00677149">
        <w:rPr>
          <w:rFonts w:ascii="Franklin Gothic Book" w:hAnsi="Franklin Gothic Book" w:cs="Arial"/>
          <w:b/>
          <w:i/>
          <w:iCs/>
          <w:sz w:val="20"/>
        </w:rPr>
        <w:t>Sexual Assault Nurse Examiner</w:t>
      </w:r>
      <w:r w:rsidRPr="00677149">
        <w:rPr>
          <w:rFonts w:ascii="Franklin Gothic Book" w:hAnsi="Franklin Gothic Book" w:cs="Arial"/>
          <w:b/>
          <w:sz w:val="20"/>
        </w:rPr>
        <w:t xml:space="preserve">, </w:t>
      </w:r>
      <w:r w:rsidRPr="00677149">
        <w:rPr>
          <w:rFonts w:ascii="Franklin Gothic Book" w:hAnsi="Franklin Gothic Book" w:cs="Arial"/>
          <w:b/>
          <w:i/>
          <w:iCs/>
          <w:sz w:val="20"/>
        </w:rPr>
        <w:t>SANE</w:t>
      </w:r>
      <w:r w:rsidRPr="00677149">
        <w:rPr>
          <w:rFonts w:ascii="Franklin Gothic Book" w:hAnsi="Franklin Gothic Book" w:cs="Arial"/>
          <w:b/>
          <w:sz w:val="20"/>
        </w:rPr>
        <w:t>) de Massachusetts aquí:</w:t>
      </w:r>
      <w:r w:rsidRPr="00677149">
        <w:rPr>
          <w:rFonts w:ascii="Franklin Gothic Book" w:hAnsi="Franklin Gothic Book" w:cs="Arial"/>
          <w:sz w:val="20"/>
        </w:rPr>
        <w:t xml:space="preserve"> </w:t>
      </w:r>
      <w:hyperlink r:id="rId11" w:history="1">
        <w:r w:rsidRPr="00677149">
          <w:rPr>
            <w:rStyle w:val="Hyperlink"/>
            <w:rFonts w:ascii="Franklin Gothic Book" w:hAnsi="Franklin Gothic Book" w:cs="Arial"/>
            <w:sz w:val="20"/>
          </w:rPr>
          <w:t>mass.gov/sane</w:t>
        </w:r>
      </w:hyperlink>
    </w:p>
    <w:sectPr w:rsidR="00360F85" w:rsidRPr="00677149" w:rsidSect="00DE64F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E8840" w14:textId="77777777" w:rsidR="00CF682E" w:rsidRDefault="00CF682E" w:rsidP="00360F85">
      <w:pPr>
        <w:spacing w:after="0" w:line="240" w:lineRule="auto"/>
      </w:pPr>
      <w:r>
        <w:separator/>
      </w:r>
    </w:p>
  </w:endnote>
  <w:endnote w:type="continuationSeparator" w:id="0">
    <w:p w14:paraId="2F76CD72" w14:textId="77777777" w:rsidR="00CF682E" w:rsidRDefault="00CF682E" w:rsidP="0036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A02C3" w14:textId="77777777" w:rsidR="00CF682E" w:rsidRDefault="00CF682E" w:rsidP="00360F85">
      <w:pPr>
        <w:spacing w:after="0" w:line="240" w:lineRule="auto"/>
      </w:pPr>
      <w:r>
        <w:separator/>
      </w:r>
    </w:p>
  </w:footnote>
  <w:footnote w:type="continuationSeparator" w:id="0">
    <w:p w14:paraId="41182F9C" w14:textId="77777777" w:rsidR="00CF682E" w:rsidRDefault="00CF682E" w:rsidP="00360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D2C32"/>
    <w:multiLevelType w:val="hybridMultilevel"/>
    <w:tmpl w:val="88107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E630B95"/>
    <w:multiLevelType w:val="hybridMultilevel"/>
    <w:tmpl w:val="11E83960"/>
    <w:lvl w:ilvl="0" w:tplc="EC0E676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5890907">
    <w:abstractNumId w:val="1"/>
  </w:num>
  <w:num w:numId="2" w16cid:durableId="1457024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85"/>
    <w:rsid w:val="00032B4E"/>
    <w:rsid w:val="001150C1"/>
    <w:rsid w:val="00270943"/>
    <w:rsid w:val="002739F8"/>
    <w:rsid w:val="00360F85"/>
    <w:rsid w:val="00643473"/>
    <w:rsid w:val="00674D3D"/>
    <w:rsid w:val="00677149"/>
    <w:rsid w:val="0072654F"/>
    <w:rsid w:val="007320A0"/>
    <w:rsid w:val="007C5086"/>
    <w:rsid w:val="008D3CA4"/>
    <w:rsid w:val="00917D4D"/>
    <w:rsid w:val="00AA6AC5"/>
    <w:rsid w:val="00B14245"/>
    <w:rsid w:val="00B331AF"/>
    <w:rsid w:val="00BD3A20"/>
    <w:rsid w:val="00BF1CD0"/>
    <w:rsid w:val="00CF682E"/>
    <w:rsid w:val="00DB75E9"/>
    <w:rsid w:val="00DE64F7"/>
    <w:rsid w:val="00E160E1"/>
    <w:rsid w:val="00E62ABD"/>
    <w:rsid w:val="00F3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33DB1"/>
  <w15:chartTrackingRefBased/>
  <w15:docId w15:val="{429C5F5C-3806-4B28-8508-3F4AA614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41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4F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60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F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F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F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F85"/>
    <w:rPr>
      <w:rFonts w:eastAsiaTheme="majorEastAsia" w:cstheme="majorBidi"/>
      <w:color w:val="272727" w:themeColor="text1" w:themeTint="D8"/>
    </w:rPr>
  </w:style>
  <w:style w:type="paragraph" w:styleId="Title">
    <w:name w:val="Title"/>
    <w:basedOn w:val="Normal"/>
    <w:next w:val="Normal"/>
    <w:link w:val="TitleChar"/>
    <w:uiPriority w:val="10"/>
    <w:qFormat/>
    <w:rsid w:val="00360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F85"/>
    <w:pPr>
      <w:spacing w:before="160"/>
      <w:jc w:val="center"/>
    </w:pPr>
    <w:rPr>
      <w:i/>
      <w:iCs/>
      <w:color w:val="404040" w:themeColor="text1" w:themeTint="BF"/>
    </w:rPr>
  </w:style>
  <w:style w:type="character" w:customStyle="1" w:styleId="QuoteChar">
    <w:name w:val="Quote Char"/>
    <w:basedOn w:val="DefaultParagraphFont"/>
    <w:link w:val="Quote"/>
    <w:uiPriority w:val="29"/>
    <w:rsid w:val="00360F85"/>
    <w:rPr>
      <w:i/>
      <w:iCs/>
      <w:color w:val="404040" w:themeColor="text1" w:themeTint="BF"/>
    </w:rPr>
  </w:style>
  <w:style w:type="paragraph" w:styleId="ListParagraph">
    <w:name w:val="List Paragraph"/>
    <w:basedOn w:val="Normal"/>
    <w:uiPriority w:val="34"/>
    <w:qFormat/>
    <w:rsid w:val="00360F85"/>
    <w:pPr>
      <w:ind w:left="720"/>
      <w:contextualSpacing/>
    </w:pPr>
  </w:style>
  <w:style w:type="character" w:styleId="IntenseEmphasis">
    <w:name w:val="Intense Emphasis"/>
    <w:basedOn w:val="DefaultParagraphFont"/>
    <w:uiPriority w:val="21"/>
    <w:qFormat/>
    <w:rsid w:val="00360F85"/>
    <w:rPr>
      <w:i/>
      <w:iCs/>
      <w:color w:val="0F4761" w:themeColor="accent1" w:themeShade="BF"/>
    </w:rPr>
  </w:style>
  <w:style w:type="paragraph" w:styleId="IntenseQuote">
    <w:name w:val="Intense Quote"/>
    <w:basedOn w:val="Normal"/>
    <w:next w:val="Normal"/>
    <w:link w:val="IntenseQuoteChar"/>
    <w:uiPriority w:val="30"/>
    <w:qFormat/>
    <w:rsid w:val="00360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F85"/>
    <w:rPr>
      <w:i/>
      <w:iCs/>
      <w:color w:val="0F4761" w:themeColor="accent1" w:themeShade="BF"/>
    </w:rPr>
  </w:style>
  <w:style w:type="character" w:styleId="IntenseReference">
    <w:name w:val="Intense Reference"/>
    <w:basedOn w:val="DefaultParagraphFont"/>
    <w:uiPriority w:val="32"/>
    <w:qFormat/>
    <w:rsid w:val="00360F85"/>
    <w:rPr>
      <w:b/>
      <w:bCs/>
      <w:smallCaps/>
      <w:color w:val="0F4761" w:themeColor="accent1" w:themeShade="BF"/>
      <w:spacing w:val="5"/>
    </w:rPr>
  </w:style>
  <w:style w:type="paragraph" w:styleId="Header">
    <w:name w:val="header"/>
    <w:basedOn w:val="Normal"/>
    <w:link w:val="HeaderChar"/>
    <w:uiPriority w:val="99"/>
    <w:unhideWhenUsed/>
    <w:rsid w:val="00360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F85"/>
    <w:rPr>
      <w:kern w:val="0"/>
      <w:sz w:val="22"/>
      <w:szCs w:val="22"/>
      <w14:ligatures w14:val="none"/>
    </w:rPr>
  </w:style>
  <w:style w:type="paragraph" w:styleId="Footer">
    <w:name w:val="footer"/>
    <w:basedOn w:val="Normal"/>
    <w:link w:val="FooterChar"/>
    <w:uiPriority w:val="99"/>
    <w:unhideWhenUsed/>
    <w:rsid w:val="00360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F85"/>
    <w:rPr>
      <w:kern w:val="0"/>
      <w:sz w:val="22"/>
      <w:szCs w:val="22"/>
      <w14:ligatures w14:val="none"/>
    </w:rPr>
  </w:style>
  <w:style w:type="character" w:styleId="Hyperlink">
    <w:name w:val="Hyperlink"/>
    <w:basedOn w:val="DefaultParagraphFont"/>
    <w:uiPriority w:val="99"/>
    <w:unhideWhenUsed/>
    <w:rsid w:val="00360F85"/>
    <w:rPr>
      <w:color w:val="467886" w:themeColor="hyperlink"/>
      <w:u w:val="single"/>
    </w:rPr>
  </w:style>
  <w:style w:type="table" w:styleId="TableGrid">
    <w:name w:val="Table Grid"/>
    <w:basedOn w:val="TableNormal"/>
    <w:uiPriority w:val="39"/>
    <w:rsid w:val="00DE6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320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sane" TargetMode="External"/><Relationship Id="rId5" Type="http://schemas.openxmlformats.org/officeDocument/2006/relationships/footnotes" Target="footnotes.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 Joan (DPH)</dc:creator>
  <cp:keywords/>
  <dc:description/>
  <cp:lastModifiedBy>Harrison, Deborah (EHS)</cp:lastModifiedBy>
  <cp:revision>2</cp:revision>
  <dcterms:created xsi:type="dcterms:W3CDTF">2026-05-18T18:27:00Z</dcterms:created>
  <dcterms:modified xsi:type="dcterms:W3CDTF">2026-05-18T18:27:00Z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c38411cd11bb47235fce1ab5984265688e594caf0e28ffaf79175d0e723e5360</vt:lpwstr>
  </property>
</Properties>
</file>