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F668CF">
      <w:pPr>
        <w:framePr w:w="7739" w:hSpace="187" w:wrap="notBeside" w:vAnchor="page" w:hAnchor="page" w:x="2585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La Mancomunidad de Massachusetts</w:t>
      </w:r>
    </w:p>
    <w:p w14:paraId="6D27BA80" w14:textId="77777777" w:rsidR="000537DA" w:rsidRDefault="000537DA" w:rsidP="00F668CF">
      <w:pPr>
        <w:pStyle w:val="ExecOffice"/>
        <w:framePr w:w="7739" w:wrap="notBeside" w:vAnchor="page" w:x="2585" w:y="711"/>
      </w:pPr>
      <w:r>
        <w:t>Oficina Ejecutiva de Salud y Servicios Humanos</w:t>
      </w:r>
    </w:p>
    <w:p w14:paraId="59A576D2" w14:textId="77777777" w:rsidR="00EB7588" w:rsidRDefault="000537DA" w:rsidP="00F668CF">
      <w:pPr>
        <w:pStyle w:val="ExecOffice"/>
        <w:framePr w:w="7739" w:wrap="notBeside" w:vAnchor="page" w:x="2585" w:y="711"/>
      </w:pPr>
      <w:r>
        <w:t>Departamento de Salud Pública</w:t>
      </w:r>
    </w:p>
    <w:p w14:paraId="2672D03A" w14:textId="17C3CE95" w:rsidR="00EB7588" w:rsidRPr="00F668CF" w:rsidRDefault="00EB7588" w:rsidP="00F668CF">
      <w:pPr>
        <w:pStyle w:val="ExecOffice"/>
        <w:framePr w:w="7739" w:wrap="notBeside" w:vAnchor="page" w:x="2585" w:y="711"/>
        <w:rPr>
          <w:spacing w:val="-4"/>
        </w:rPr>
      </w:pPr>
      <w:r w:rsidRPr="00F668CF">
        <w:rPr>
          <w:spacing w:val="-4"/>
        </w:rPr>
        <w:t>Oficina de Enfermedades Infecciosas y Ciencias de Laboratorio</w:t>
      </w:r>
    </w:p>
    <w:p w14:paraId="0958205A" w14:textId="09648753" w:rsidR="006D06D9" w:rsidRPr="00C0428C" w:rsidRDefault="00EB7588" w:rsidP="00F668CF">
      <w:pPr>
        <w:pStyle w:val="ExecOffice"/>
        <w:framePr w:w="7739" w:wrap="notBeside" w:vAnchor="page" w:x="2585" w:y="711"/>
        <w:rPr>
          <w:lang w:val="en-US"/>
        </w:rPr>
      </w:pPr>
      <w:r w:rsidRPr="00C0428C">
        <w:rPr>
          <w:lang w:val="en-US"/>
        </w:rPr>
        <w:t>305 South Street, Jamaica Plain, MA 02130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63D3EB61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5F7BC246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C0428C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0428C">
                              <w:rPr>
                                <w:sz w:val="16"/>
                                <w:lang w:val="en-US"/>
                              </w:rPr>
                              <w:t>KATHLEEN E. WALSH</w:t>
                            </w:r>
                          </w:p>
                          <w:p w14:paraId="66075756" w14:textId="77777777" w:rsidR="002D1C21" w:rsidRPr="00C0428C" w:rsidRDefault="009D48CD" w:rsidP="0000218B">
                            <w:pPr>
                              <w:pStyle w:val="Governor"/>
                              <w:rPr>
                                <w:lang w:val="en-US"/>
                              </w:rPr>
                            </w:pPr>
                            <w:r w:rsidRPr="00C0428C">
                              <w:rPr>
                                <w:lang w:val="en-US"/>
                              </w:rPr>
                              <w:t xml:space="preserve">Secretaria </w:t>
                            </w:r>
                          </w:p>
                          <w:p w14:paraId="42AE7C46" w14:textId="55065DB8" w:rsidR="00FC6B42" w:rsidRPr="00C0428C" w:rsidRDefault="009C4428" w:rsidP="00F668CF">
                            <w:pPr>
                              <w:tabs>
                                <w:tab w:val="left" w:pos="270"/>
                              </w:tabs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C0428C">
                              <w:rPr>
                                <w:rFonts w:ascii="Arial Rounded MT Bold" w:hAnsi="Arial Rounded MT Bold"/>
                                <w:sz w:val="16"/>
                                <w:lang w:val="en-US"/>
                              </w:rPr>
                              <w:t xml:space="preserve">ROBERT GOLDSTEIN, MD, PhD </w:t>
                            </w:r>
                            <w:r w:rsidRPr="00C0428C">
                              <w:rPr>
                                <w:rFonts w:ascii="Arial Rounded MT Bold" w:hAnsi="Arial Rounded MT Bold"/>
                                <w:sz w:val="14"/>
                                <w:lang w:val="en-US"/>
                              </w:rPr>
                              <w:t>Comisionado</w:t>
                            </w:r>
                          </w:p>
                          <w:p w14:paraId="3AE250D6" w14:textId="77777777" w:rsidR="004813AC" w:rsidRPr="00C0428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14:paraId="1743FF8E" w14:textId="77777777" w:rsidR="004813AC" w:rsidRPr="00677E98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677E98">
                              <w:rPr>
                                <w:rFonts w:ascii="Arial" w:hAnsi="Arial"/>
                                <w:b/>
                                <w:sz w:val="14"/>
                                <w:lang w:val="en-US"/>
                              </w:rPr>
                              <w:t>Tel.: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" filled="f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C0428C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0428C">
                        <w:rPr>
                          <w:sz w:val="16"/>
                          <w:lang w:val="en-US"/>
                        </w:rPr>
                        <w:t>KATHLEEN E. WALSH</w:t>
                      </w:r>
                    </w:p>
                    <w:p w14:paraId="66075756" w14:textId="77777777" w:rsidR="002D1C21" w:rsidRPr="00C0428C" w:rsidRDefault="009D48CD" w:rsidP="0000218B">
                      <w:pPr>
                        <w:pStyle w:val="Governor"/>
                        <w:rPr>
                          <w:lang w:val="en-US"/>
                        </w:rPr>
                      </w:pPr>
                      <w:r w:rsidRPr="00C0428C">
                        <w:rPr>
                          <w:lang w:val="en-US"/>
                        </w:rPr>
                        <w:t xml:space="preserve">Secretaria </w:t>
                      </w:r>
                    </w:p>
                    <w:p w14:paraId="42AE7C46" w14:textId="55065DB8" w:rsidR="00FC6B42" w:rsidRPr="00C0428C" w:rsidRDefault="009C4428" w:rsidP="00F668CF">
                      <w:pPr>
                        <w:tabs>
                          <w:tab w:val="left" w:pos="270"/>
                        </w:tabs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  <w:lang w:val="en-US"/>
                        </w:rPr>
                      </w:pPr>
                      <w:r w:rsidRPr="00C0428C">
                        <w:rPr>
                          <w:rFonts w:ascii="Arial Rounded MT Bold" w:hAnsi="Arial Rounded MT Bold"/>
                          <w:sz w:val="16"/>
                          <w:lang w:val="en-US"/>
                        </w:rPr>
                        <w:t xml:space="preserve">ROBERT GOLDSTEIN, MD, PhD </w:t>
                      </w:r>
                      <w:r w:rsidRPr="00C0428C">
                        <w:rPr>
                          <w:rFonts w:ascii="Arial Rounded MT Bold" w:hAnsi="Arial Rounded MT Bold"/>
                          <w:sz w:val="14"/>
                          <w:lang w:val="en-US"/>
                        </w:rPr>
                        <w:t>Comisionado</w:t>
                      </w:r>
                    </w:p>
                    <w:p w14:paraId="3AE250D6" w14:textId="77777777" w:rsidR="004813AC" w:rsidRPr="00C0428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  <w:lang w:val="en-US"/>
                        </w:rPr>
                      </w:pPr>
                    </w:p>
                    <w:p w14:paraId="1743FF8E" w14:textId="77777777" w:rsidR="004813AC" w:rsidRPr="00677E98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</w:pPr>
                      <w:r w:rsidRPr="00677E98">
                        <w:rPr>
                          <w:rFonts w:ascii="Arial" w:hAnsi="Arial"/>
                          <w:b/>
                          <w:sz w:val="14"/>
                          <w:lang w:val="en-US"/>
                        </w:rPr>
                        <w:t>Tel.: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b/>
                          <w:sz w:val="14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1A6AE622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Gobernadora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Vicegobernadora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" filled="f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Gobernadora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Vicegobernadora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3DA64BB5" w14:textId="77777777" w:rsidR="00033154" w:rsidRDefault="00033154" w:rsidP="0072610D"/>
    <w:p w14:paraId="71F230C4" w14:textId="77777777" w:rsidR="002D5A3E" w:rsidRDefault="002D5A3E" w:rsidP="0072610D"/>
    <w:p w14:paraId="51D36658" w14:textId="77777777" w:rsidR="002D5A3E" w:rsidRDefault="002D5A3E" w:rsidP="002D5A3E"/>
    <w:p w14:paraId="33235B2F" w14:textId="2AB901A9" w:rsidR="002D5A3E" w:rsidRDefault="002D5A3E" w:rsidP="00530AA6">
      <w:pPr>
        <w:tabs>
          <w:tab w:val="left" w:pos="1440"/>
        </w:tabs>
        <w:rPr>
          <w:rFonts w:cs="Tahoma"/>
          <w:sz w:val="20"/>
        </w:rPr>
      </w:pPr>
      <w:r>
        <w:rPr>
          <w:sz w:val="20"/>
        </w:rPr>
        <w:t>Para:</w:t>
      </w:r>
      <w:r>
        <w:rPr>
          <w:sz w:val="20"/>
        </w:rPr>
        <w:tab/>
      </w:r>
      <w:proofErr w:type="gramStart"/>
      <w:r>
        <w:rPr>
          <w:sz w:val="20"/>
        </w:rPr>
        <w:t>Directores</w:t>
      </w:r>
      <w:proofErr w:type="gramEnd"/>
      <w:r>
        <w:rPr>
          <w:sz w:val="20"/>
        </w:rPr>
        <w:t xml:space="preserve"> de los campamentos</w:t>
      </w:r>
    </w:p>
    <w:p w14:paraId="7FDAF169" w14:textId="77777777" w:rsidR="00530AA6" w:rsidRPr="00530AA6" w:rsidRDefault="00530AA6" w:rsidP="00530AA6">
      <w:pPr>
        <w:tabs>
          <w:tab w:val="left" w:pos="1440"/>
        </w:tabs>
        <w:rPr>
          <w:rFonts w:cs="Tahoma"/>
          <w:sz w:val="20"/>
        </w:rPr>
      </w:pPr>
    </w:p>
    <w:p w14:paraId="116DD662" w14:textId="432F4801" w:rsidR="002D5A3E" w:rsidRPr="000B109D" w:rsidRDefault="002D5A3E" w:rsidP="00530AA6">
      <w:pPr>
        <w:tabs>
          <w:tab w:val="left" w:pos="1440"/>
        </w:tabs>
        <w:rPr>
          <w:rFonts w:cs="Tahoma"/>
          <w:sz w:val="20"/>
        </w:rPr>
      </w:pPr>
      <w:r>
        <w:rPr>
          <w:sz w:val="20"/>
        </w:rPr>
        <w:t>De:</w:t>
      </w:r>
      <w:r>
        <w:rPr>
          <w:sz w:val="20"/>
        </w:rPr>
        <w:tab/>
      </w:r>
      <w:proofErr w:type="spellStart"/>
      <w:r>
        <w:rPr>
          <w:sz w:val="20"/>
        </w:rPr>
        <w:t>Pejman</w:t>
      </w:r>
      <w:proofErr w:type="spellEnd"/>
      <w:r>
        <w:rPr>
          <w:sz w:val="20"/>
        </w:rPr>
        <w:t xml:space="preserve"> Talebian, MA, MPH, </w:t>
      </w:r>
      <w:proofErr w:type="gramStart"/>
      <w:r>
        <w:rPr>
          <w:sz w:val="20"/>
        </w:rPr>
        <w:t>Director</w:t>
      </w:r>
      <w:proofErr w:type="gramEnd"/>
      <w:r>
        <w:rPr>
          <w:sz w:val="20"/>
        </w:rPr>
        <w:t>, División de Inmunización</w:t>
      </w:r>
    </w:p>
    <w:p w14:paraId="3DC62400" w14:textId="77777777" w:rsidR="002D5A3E" w:rsidRDefault="002D5A3E" w:rsidP="00530AA6">
      <w:pPr>
        <w:tabs>
          <w:tab w:val="left" w:pos="1440"/>
        </w:tabs>
        <w:rPr>
          <w:rFonts w:cs="Tahoma"/>
          <w:sz w:val="20"/>
        </w:rPr>
      </w:pPr>
    </w:p>
    <w:p w14:paraId="755FE8E4" w14:textId="15E34289" w:rsidR="002D5A3E" w:rsidRPr="00D21011" w:rsidRDefault="002D5A3E" w:rsidP="00530AA6">
      <w:pPr>
        <w:tabs>
          <w:tab w:val="left" w:pos="1440"/>
        </w:tabs>
        <w:rPr>
          <w:rFonts w:cs="Tahoma"/>
          <w:sz w:val="20"/>
        </w:rPr>
      </w:pPr>
      <w:r>
        <w:rPr>
          <w:sz w:val="20"/>
        </w:rPr>
        <w:t>Fecha:</w:t>
      </w:r>
      <w:r>
        <w:rPr>
          <w:sz w:val="20"/>
        </w:rPr>
        <w:tab/>
        <w:t>26 de marzo de 2025</w:t>
      </w:r>
    </w:p>
    <w:p w14:paraId="7B766B4F" w14:textId="77777777" w:rsidR="002D5A3E" w:rsidRPr="00A300AE" w:rsidRDefault="002D5A3E" w:rsidP="00530AA6">
      <w:pPr>
        <w:tabs>
          <w:tab w:val="left" w:pos="1440"/>
        </w:tabs>
        <w:rPr>
          <w:rFonts w:cs="Tahoma"/>
          <w:sz w:val="16"/>
          <w:szCs w:val="16"/>
        </w:rPr>
      </w:pPr>
    </w:p>
    <w:p w14:paraId="08FFB8E7" w14:textId="59A19EE7" w:rsidR="002D5A3E" w:rsidRDefault="002D5A3E" w:rsidP="00530AA6">
      <w:pPr>
        <w:tabs>
          <w:tab w:val="left" w:pos="1440"/>
        </w:tabs>
        <w:ind w:left="1440" w:hanging="1440"/>
        <w:rPr>
          <w:rFonts w:cs="Tahoma"/>
          <w:sz w:val="20"/>
        </w:rPr>
      </w:pPr>
      <w:r>
        <w:rPr>
          <w:sz w:val="20"/>
        </w:rPr>
        <w:t>Asunto:</w:t>
      </w:r>
      <w:r>
        <w:rPr>
          <w:sz w:val="20"/>
        </w:rPr>
        <w:tab/>
        <w:t>Vacunas obligatorias para los niños que asisten a campamentos y el personal de los campamentos</w:t>
      </w:r>
    </w:p>
    <w:p w14:paraId="55652B7E" w14:textId="77777777" w:rsidR="002D5A3E" w:rsidRPr="00D21011" w:rsidRDefault="002D5A3E" w:rsidP="002D5A3E">
      <w:pPr>
        <w:rPr>
          <w:rFonts w:cs="Tahoma"/>
          <w:sz w:val="20"/>
        </w:rPr>
      </w:pPr>
    </w:p>
    <w:p w14:paraId="71FB2FDC" w14:textId="3E7FD3AF" w:rsidR="00663010" w:rsidRPr="00F668CF" w:rsidRDefault="00894B84" w:rsidP="00404738">
      <w:pPr>
        <w:autoSpaceDE w:val="0"/>
        <w:autoSpaceDN w:val="0"/>
        <w:adjustRightInd w:val="0"/>
        <w:rPr>
          <w:spacing w:val="-4"/>
          <w:sz w:val="20"/>
        </w:rPr>
      </w:pPr>
      <w:r w:rsidRPr="00F668CF">
        <w:rPr>
          <w:spacing w:val="-4"/>
          <w:sz w:val="20"/>
        </w:rPr>
        <w:t>Según los </w:t>
      </w:r>
      <w:hyperlink r:id="rId8" w:history="1">
        <w:r w:rsidRPr="00F668CF">
          <w:rPr>
            <w:rStyle w:val="Hyperlink"/>
            <w:spacing w:val="-4"/>
            <w:sz w:val="20"/>
          </w:rPr>
          <w:t>Centros para el Control y Prevención de Enfermedades de los Estados Unidos</w:t>
        </w:r>
      </w:hyperlink>
      <w:r w:rsidRPr="00F668CF">
        <w:rPr>
          <w:spacing w:val="-4"/>
          <w:sz w:val="20"/>
        </w:rPr>
        <w:t xml:space="preserve">, “cuando más del 95 % de las personas de una comunidad están vacunadas (cobertura &gt;95 %), la mayoría de las personas están protegidas gracias a la inmunidad comunitaria (inmunidad </w:t>
      </w:r>
      <w:r w:rsidR="00C0428C" w:rsidRPr="00F668CF">
        <w:rPr>
          <w:spacing w:val="-4"/>
          <w:sz w:val="20"/>
        </w:rPr>
        <w:t>colectiva</w:t>
      </w:r>
      <w:r w:rsidRPr="00F668CF">
        <w:rPr>
          <w:spacing w:val="-4"/>
          <w:sz w:val="20"/>
        </w:rPr>
        <w:t>)”. </w:t>
      </w:r>
      <w:r w:rsidRPr="00F668CF">
        <w:rPr>
          <w:rFonts w:ascii="Tahoma" w:hAnsi="Tahoma"/>
          <w:spacing w:val="-4"/>
          <w:sz w:val="20"/>
        </w:rPr>
        <w:t>﻿</w:t>
      </w:r>
      <w:r w:rsidRPr="00F668CF">
        <w:rPr>
          <w:spacing w:val="-4"/>
          <w:sz w:val="20"/>
        </w:rPr>
        <w:t xml:space="preserve">En 2024, se notificaron 285 casos de sarampión en los Estados Unidos, </w:t>
      </w:r>
      <w:r w:rsidRPr="00F668CF">
        <w:rPr>
          <w:sz w:val="20"/>
        </w:rPr>
        <w:t>incluidos un caso en MA y varios casos en los estados limítrofes. La mayoría de los casos notificados en los</w:t>
      </w:r>
      <w:r w:rsidRPr="00F668CF">
        <w:rPr>
          <w:spacing w:val="-4"/>
          <w:sz w:val="20"/>
        </w:rPr>
        <w:t xml:space="preserve"> Estados</w:t>
      </w:r>
      <w:r w:rsidR="00F668CF">
        <w:rPr>
          <w:spacing w:val="-4"/>
          <w:sz w:val="20"/>
        </w:rPr>
        <w:t> </w:t>
      </w:r>
      <w:r w:rsidRPr="00F668CF">
        <w:rPr>
          <w:spacing w:val="-4"/>
          <w:sz w:val="20"/>
        </w:rPr>
        <w:t xml:space="preserve">Unidos fueron en jóvenes (el 73 % tenían menos de 20 años) que no estaban vacunados o tenían antecedentes de vacunación desconocidos (89 %). Un solo caso de sarampión puede </w:t>
      </w:r>
      <w:r w:rsidR="00C0428C" w:rsidRPr="00F668CF">
        <w:rPr>
          <w:spacing w:val="-4"/>
          <w:sz w:val="20"/>
        </w:rPr>
        <w:t>dar lugar</w:t>
      </w:r>
      <w:r w:rsidRPr="00F668CF">
        <w:rPr>
          <w:spacing w:val="-4"/>
          <w:sz w:val="20"/>
        </w:rPr>
        <w:t xml:space="preserve"> a decenas, si no cientos, de personas con el riesgo consiguiente de enfermedad, consultas médicas para vacunación y pruebas</w:t>
      </w:r>
      <w:r w:rsidR="00C0428C" w:rsidRPr="00F668CF">
        <w:rPr>
          <w:spacing w:val="-4"/>
          <w:sz w:val="20"/>
        </w:rPr>
        <w:t>,</w:t>
      </w:r>
      <w:r w:rsidRPr="00F668CF">
        <w:rPr>
          <w:spacing w:val="-4"/>
          <w:sz w:val="20"/>
        </w:rPr>
        <w:t xml:space="preserve"> y </w:t>
      </w:r>
      <w:r w:rsidR="00C0428C" w:rsidRPr="00F668CF">
        <w:rPr>
          <w:spacing w:val="-4"/>
          <w:sz w:val="20"/>
        </w:rPr>
        <w:t xml:space="preserve">la </w:t>
      </w:r>
      <w:r w:rsidRPr="00F668CF">
        <w:rPr>
          <w:spacing w:val="-4"/>
          <w:sz w:val="20"/>
        </w:rPr>
        <w:t>pérdida de días de trabajo y escuela</w:t>
      </w:r>
      <w:r w:rsidR="00C0428C" w:rsidRPr="00F668CF">
        <w:rPr>
          <w:spacing w:val="-4"/>
          <w:sz w:val="20"/>
        </w:rPr>
        <w:t>. Esto puede requerir una cuarentena para quienes no tengan pruebas de haberse vacunado contra el sarampión</w:t>
      </w:r>
      <w:r w:rsidRPr="00F668CF">
        <w:rPr>
          <w:spacing w:val="-4"/>
          <w:sz w:val="20"/>
        </w:rPr>
        <w:t>. La</w:t>
      </w:r>
      <w:r w:rsidR="00C0428C" w:rsidRPr="00F668CF">
        <w:rPr>
          <w:spacing w:val="-4"/>
          <w:sz w:val="20"/>
        </w:rPr>
        <w:t xml:space="preserve"> forma de evitar esta situación, que puede dar lugar a la suspensión de un campamento de verano, es asegurarse de que los niños que asisten al campamento y el personal que trabaja allí tengan pruebas de haberse vacunado contra el sarampión.</w:t>
      </w:r>
    </w:p>
    <w:p w14:paraId="5511CE08" w14:textId="77777777" w:rsidR="00C0428C" w:rsidRPr="00404738" w:rsidRDefault="00C0428C" w:rsidP="00404738">
      <w:pPr>
        <w:autoSpaceDE w:val="0"/>
        <w:autoSpaceDN w:val="0"/>
        <w:adjustRightInd w:val="0"/>
        <w:rPr>
          <w:b/>
          <w:sz w:val="20"/>
        </w:rPr>
      </w:pPr>
    </w:p>
    <w:p w14:paraId="478C371E" w14:textId="0A5D6DB2" w:rsidR="009148F4" w:rsidRPr="00404738" w:rsidRDefault="009148F4" w:rsidP="00404738">
      <w:pPr>
        <w:rPr>
          <w:b/>
          <w:bCs/>
          <w:sz w:val="20"/>
          <w:szCs w:val="16"/>
        </w:rPr>
      </w:pPr>
      <w:r>
        <w:rPr>
          <w:b/>
          <w:sz w:val="20"/>
        </w:rPr>
        <w:t>Vacunas necesarias:</w:t>
      </w:r>
    </w:p>
    <w:p w14:paraId="692B4E57" w14:textId="6B52B505" w:rsidR="009148F4" w:rsidRPr="009148F4" w:rsidRDefault="009148F4" w:rsidP="009148F4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>Se actualizaron las Normas mínimas relativas a campamentos recreativos para niños, Título 105 del Código de Reglamentos de Massachusetts (CMR), Sección 430.152. Los requisitos de vacunación para los niños que asisten a</w:t>
      </w:r>
      <w:r w:rsidR="001D377F">
        <w:rPr>
          <w:sz w:val="20"/>
        </w:rPr>
        <w:t> </w:t>
      </w:r>
      <w:r>
        <w:rPr>
          <w:sz w:val="20"/>
        </w:rPr>
        <w:t xml:space="preserve">campamentos siguen los requisitos de vacunación escolar de Massachusetts, como se indica en la tabla </w:t>
      </w:r>
      <w:hyperlink r:id="rId9" w:history="1">
        <w:r>
          <w:rPr>
            <w:rStyle w:val="Hyperlink"/>
            <w:sz w:val="20"/>
          </w:rPr>
          <w:t>Requisitos de</w:t>
        </w:r>
        <w:r w:rsidR="00F668CF">
          <w:rPr>
            <w:rStyle w:val="Hyperlink"/>
            <w:sz w:val="20"/>
          </w:rPr>
          <w:t> </w:t>
        </w:r>
        <w:r>
          <w:rPr>
            <w:rStyle w:val="Hyperlink"/>
            <w:sz w:val="20"/>
          </w:rPr>
          <w:t>vacunación escolar de Massachusetts</w:t>
        </w:r>
      </w:hyperlink>
      <w:r>
        <w:rPr>
          <w:sz w:val="20"/>
        </w:rPr>
        <w:t xml:space="preserve">, que refleja el requisito más reciente: la vacuna </w:t>
      </w:r>
      <w:proofErr w:type="spellStart"/>
      <w:r>
        <w:rPr>
          <w:sz w:val="20"/>
        </w:rPr>
        <w:t>antimeningocócica</w:t>
      </w:r>
      <w:proofErr w:type="spellEnd"/>
      <w:r>
        <w:rPr>
          <w:sz w:val="20"/>
        </w:rPr>
        <w:t xml:space="preserve"> (MenACWY) para los alumnos que ingresan a 7.º y 11.º grado (en el último caso, al cumplir los 16 años o después; consulte las siguientes tablas para obtener más detalles). Los niños deben cumplir con los requisitos de vacunación correspondientes al grado al que ingresarán en el año escolar siguiente a su sesión de campamento. Los niños que asistan a un campamento y que aún no estén en edad escolar deberán cumplir con los requisitos de vacunación para guarderías/la educación preescolar incluidos en la tabla Requisitos de vacunación escolar.</w:t>
      </w:r>
    </w:p>
    <w:p w14:paraId="3D6954A5" w14:textId="77777777" w:rsidR="009148F4" w:rsidRPr="009148F4" w:rsidRDefault="009148F4" w:rsidP="009148F4">
      <w:pPr>
        <w:autoSpaceDE w:val="0"/>
        <w:autoSpaceDN w:val="0"/>
        <w:adjustRightInd w:val="0"/>
        <w:rPr>
          <w:sz w:val="20"/>
        </w:rPr>
      </w:pPr>
    </w:p>
    <w:p w14:paraId="0CE10D25" w14:textId="38FC792C" w:rsidR="009148F4" w:rsidRPr="009148F4" w:rsidRDefault="009148F4" w:rsidP="009148F4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Los campistas, el personal y los voluntarios mayores de 18 años deben cumplir con las vacunas descritas en el documento </w:t>
      </w:r>
      <w:hyperlink r:id="rId10" w:history="1">
        <w:r>
          <w:rPr>
            <w:rStyle w:val="Hyperlink"/>
            <w:sz w:val="20"/>
          </w:rPr>
          <w:t>Vacunación ocupacional para adultos</w:t>
        </w:r>
      </w:hyperlink>
      <w:r>
        <w:rPr>
          <w:sz w:val="20"/>
        </w:rPr>
        <w:t>.</w:t>
      </w:r>
    </w:p>
    <w:p w14:paraId="30C1F7B2" w14:textId="77777777" w:rsidR="009148F4" w:rsidRPr="009148F4" w:rsidRDefault="009148F4" w:rsidP="009148F4">
      <w:pPr>
        <w:autoSpaceDE w:val="0"/>
        <w:autoSpaceDN w:val="0"/>
        <w:adjustRightInd w:val="0"/>
        <w:rPr>
          <w:sz w:val="20"/>
        </w:rPr>
      </w:pPr>
    </w:p>
    <w:p w14:paraId="1C48246F" w14:textId="28BCCB57" w:rsidR="009148F4" w:rsidRPr="009148F4" w:rsidRDefault="009148F4" w:rsidP="009148F4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>En las siguientes páginas</w:t>
      </w:r>
      <w:r w:rsidR="009B412A">
        <w:rPr>
          <w:sz w:val="20"/>
        </w:rPr>
        <w:t>,</w:t>
      </w:r>
      <w:r>
        <w:rPr>
          <w:sz w:val="20"/>
        </w:rPr>
        <w:t xml:space="preserve"> se incluyen partes de la tabla Requisitos de vacunación escolar de Massachusetts y de la tabla Vacunación ocupacional para adultos que guardan relación con los campamentos.</w:t>
      </w:r>
    </w:p>
    <w:p w14:paraId="16AA75B7" w14:textId="77777777" w:rsidR="009148F4" w:rsidRPr="009148F4" w:rsidRDefault="009148F4" w:rsidP="009148F4">
      <w:pPr>
        <w:autoSpaceDE w:val="0"/>
        <w:autoSpaceDN w:val="0"/>
        <w:adjustRightInd w:val="0"/>
        <w:rPr>
          <w:sz w:val="20"/>
        </w:rPr>
      </w:pPr>
    </w:p>
    <w:p w14:paraId="1055B107" w14:textId="5C93163C" w:rsidR="00404738" w:rsidRPr="00530AA6" w:rsidRDefault="009148F4" w:rsidP="00530AA6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Si tiene alguna pregunta sobre las vacunas, las recomendaciones de vacunación o casos sospechosos o confirmados de enfermedades, escriba al Programa de Vacunación del Departamento de Salud Pública de Massachusetts (MDPH) a </w:t>
      </w:r>
      <w:hyperlink r:id="rId11" w:history="1">
        <w:r>
          <w:rPr>
            <w:rStyle w:val="Hyperlink"/>
            <w:sz w:val="20"/>
          </w:rPr>
          <w:t>ImmAssessmentUnit@mass.gov</w:t>
        </w:r>
      </w:hyperlink>
      <w:r>
        <w:rPr>
          <w:sz w:val="20"/>
        </w:rPr>
        <w:t>. Dirija las preguntas sobre cumplimiento a su asesor jurídico.</w:t>
      </w:r>
    </w:p>
    <w:p w14:paraId="0942ECFD" w14:textId="77777777" w:rsidR="00472194" w:rsidRPr="003806C2" w:rsidRDefault="00472194">
      <w:pPr>
        <w:rPr>
          <w:rFonts w:eastAsia="Lao UI"/>
          <w:b/>
          <w:bCs/>
          <w:spacing w:val="-1"/>
          <w:sz w:val="20"/>
        </w:rPr>
      </w:pPr>
    </w:p>
    <w:p w14:paraId="48549967" w14:textId="2F38D00A" w:rsidR="003C1234" w:rsidRPr="00A254BA" w:rsidRDefault="00472194">
      <w:pPr>
        <w:rPr>
          <w:rFonts w:eastAsia="Lao UI"/>
          <w:b/>
          <w:bCs/>
          <w:spacing w:val="-1"/>
          <w:sz w:val="20"/>
        </w:rPr>
        <w:sectPr w:rsidR="003C1234" w:rsidRPr="00A254BA">
          <w:pgSz w:w="12240" w:h="15840"/>
          <w:pgMar w:top="1440" w:right="1440" w:bottom="1440" w:left="1440" w:header="720" w:footer="720" w:gutter="0"/>
          <w:cols w:space="720"/>
        </w:sectPr>
      </w:pPr>
      <w:r>
        <w:rPr>
          <w:sz w:val="20"/>
        </w:rPr>
        <w:t>Consulte las páginas siguientes a fin de obtener información para los niveles comprendidos entre jardín de infantes y</w:t>
      </w:r>
      <w:r w:rsidR="00F668CF">
        <w:rPr>
          <w:sz w:val="20"/>
        </w:rPr>
        <w:t> </w:t>
      </w:r>
      <w:r>
        <w:rPr>
          <w:sz w:val="20"/>
        </w:rPr>
        <w:t>6.º grado, entre 7.º y 12.º grado, así como para los campistas, el personal y los voluntarios mayores de 18 años.</w:t>
      </w:r>
    </w:p>
    <w:p w14:paraId="7460BB4E" w14:textId="77777777" w:rsidR="00894B84" w:rsidRPr="00580852" w:rsidRDefault="00894B84" w:rsidP="00894B84">
      <w:pPr>
        <w:widowControl w:val="0"/>
        <w:rPr>
          <w:rFonts w:asciiTheme="minorHAnsi" w:eastAsia="Calibri" w:hAnsiTheme="minorHAnsi" w:cstheme="minorHAnsi"/>
          <w:sz w:val="22"/>
          <w:szCs w:val="22"/>
        </w:rPr>
      </w:pPr>
      <w:bookmarkStart w:id="0" w:name="_Hlk44023794"/>
      <w:r>
        <w:rPr>
          <w:rFonts w:asciiTheme="minorHAnsi" w:hAnsiTheme="minorHAnsi"/>
          <w:b/>
          <w:color w:val="0070C0"/>
          <w:sz w:val="22"/>
        </w:rPr>
        <w:lastRenderedPageBreak/>
        <w:t>De jardín de infantes a 6.º grado</w:t>
      </w:r>
      <w:r>
        <w:rPr>
          <w:rFonts w:asciiTheme="minorHAnsi" w:hAnsiTheme="minorHAnsi"/>
          <w:b/>
          <w:color w:val="0070C0"/>
          <w:sz w:val="32"/>
          <w:vertAlign w:val="superscript"/>
        </w:rPr>
        <w:t>¶†</w:t>
      </w:r>
    </w:p>
    <w:p w14:paraId="3DFE9499" w14:textId="77777777" w:rsidR="00894B84" w:rsidRPr="00580852" w:rsidRDefault="00894B84" w:rsidP="00894B84">
      <w:pPr>
        <w:widowControl w:val="0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En las aulas en las que no se organiza a los alumnos según niveles de grado, los requisitos de jardín de infantes se aplican a todos los alumnos ≥5 años.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5"/>
        <w:gridCol w:w="9085"/>
      </w:tblGrid>
      <w:tr w:rsidR="00A5118D" w:rsidRPr="00A5118D" w14:paraId="07CA5DBD" w14:textId="77777777" w:rsidTr="00F668CF">
        <w:trPr>
          <w:trHeight w:val="144"/>
        </w:trPr>
        <w:tc>
          <w:tcPr>
            <w:tcW w:w="790" w:type="pct"/>
            <w:shd w:val="clear" w:color="auto" w:fill="C5DBFB"/>
            <w:vAlign w:val="center"/>
          </w:tcPr>
          <w:p w14:paraId="6F052BCD" w14:textId="77777777" w:rsidR="00A5118D" w:rsidRPr="00A5118D" w:rsidRDefault="00A5118D" w:rsidP="00000038">
            <w:pPr>
              <w:ind w:left="43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</w:rPr>
              <w:t>DTaP</w:t>
            </w:r>
            <w:proofErr w:type="spellEnd"/>
            <w:r>
              <w:rPr>
                <w:rFonts w:asciiTheme="minorHAnsi" w:hAnsiTheme="minorHAnsi"/>
                <w:sz w:val="22"/>
              </w:rPr>
              <w:t>/</w:t>
            </w:r>
            <w:proofErr w:type="spellStart"/>
            <w:r>
              <w:rPr>
                <w:rFonts w:asciiTheme="minorHAnsi" w:hAnsiTheme="minorHAnsi"/>
                <w:sz w:val="22"/>
              </w:rPr>
              <w:t>Tdap</w:t>
            </w:r>
            <w:proofErr w:type="spellEnd"/>
          </w:p>
        </w:tc>
        <w:tc>
          <w:tcPr>
            <w:tcW w:w="4210" w:type="pct"/>
            <w:vAlign w:val="center"/>
          </w:tcPr>
          <w:p w14:paraId="346E5547" w14:textId="77777777" w:rsidR="00A5118D" w:rsidRPr="00A5118D" w:rsidRDefault="00A5118D" w:rsidP="00000038">
            <w:pPr>
              <w:ind w:left="4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5 dosis; </w:t>
            </w:r>
            <w:r>
              <w:rPr>
                <w:rFonts w:asciiTheme="minorHAnsi" w:hAnsiTheme="minorHAnsi"/>
                <w:sz w:val="22"/>
              </w:rPr>
              <w:t xml:space="preserve">se aceptan 4 dosis si la cuarta dosis se administra al cumplir los 4 años o después; la vacuna contra la difteria y el tétanos (DT) solo se acepta si se dispone de un certificado médico que indique una contraindicación para la vacuna </w:t>
            </w:r>
            <w:proofErr w:type="spellStart"/>
            <w:r>
              <w:rPr>
                <w:rFonts w:asciiTheme="minorHAnsi" w:hAnsiTheme="minorHAnsi"/>
                <w:sz w:val="22"/>
              </w:rPr>
              <w:t>DTaP</w:t>
            </w:r>
            <w:proofErr w:type="spellEnd"/>
          </w:p>
        </w:tc>
      </w:tr>
      <w:tr w:rsidR="00A5118D" w:rsidRPr="00A5118D" w14:paraId="0701E269" w14:textId="77777777" w:rsidTr="00F668CF">
        <w:trPr>
          <w:trHeight w:val="144"/>
        </w:trPr>
        <w:tc>
          <w:tcPr>
            <w:tcW w:w="790" w:type="pct"/>
            <w:shd w:val="clear" w:color="auto" w:fill="C5DBFB"/>
            <w:vAlign w:val="center"/>
          </w:tcPr>
          <w:p w14:paraId="797AC012" w14:textId="77777777" w:rsidR="00A5118D" w:rsidRPr="00A5118D" w:rsidRDefault="00A5118D" w:rsidP="00000038">
            <w:pPr>
              <w:ind w:left="4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Poliomielitis</w:t>
            </w:r>
          </w:p>
        </w:tc>
        <w:tc>
          <w:tcPr>
            <w:tcW w:w="4210" w:type="pct"/>
            <w:vAlign w:val="center"/>
          </w:tcPr>
          <w:p w14:paraId="75277D61" w14:textId="77777777" w:rsidR="00A5118D" w:rsidRPr="00A5118D" w:rsidRDefault="00A5118D" w:rsidP="00000038">
            <w:pPr>
              <w:ind w:left="4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4 dosis; </w:t>
            </w:r>
            <w:r>
              <w:rPr>
                <w:rFonts w:asciiTheme="minorHAnsi" w:hAnsiTheme="minorHAnsi"/>
                <w:sz w:val="22"/>
              </w:rPr>
              <w:t>la cuarta dosis debe administrarse al cumplir los 4 años o después y ≥6 meses después de la dosis anterior o se requiere una quinta dosis; se aceptan 3 dosis si la tercera dosis se administra al cumplir los 4 años o después y ≥6 meses después de la dosis anterior</w:t>
            </w:r>
          </w:p>
        </w:tc>
      </w:tr>
      <w:tr w:rsidR="00A5118D" w:rsidRPr="00A5118D" w14:paraId="4A3D9E4E" w14:textId="77777777" w:rsidTr="00F668CF">
        <w:trPr>
          <w:trHeight w:val="144"/>
        </w:trPr>
        <w:tc>
          <w:tcPr>
            <w:tcW w:w="790" w:type="pct"/>
            <w:shd w:val="clear" w:color="auto" w:fill="C5DBFB"/>
            <w:vAlign w:val="center"/>
          </w:tcPr>
          <w:p w14:paraId="6E578679" w14:textId="77777777" w:rsidR="00A5118D" w:rsidRPr="00A5118D" w:rsidRDefault="00A5118D" w:rsidP="00000038">
            <w:pPr>
              <w:ind w:left="4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Hepatitis B</w:t>
            </w:r>
          </w:p>
        </w:tc>
        <w:tc>
          <w:tcPr>
            <w:tcW w:w="4210" w:type="pct"/>
            <w:vAlign w:val="center"/>
          </w:tcPr>
          <w:p w14:paraId="2ECEAFDE" w14:textId="77777777" w:rsidR="00A5118D" w:rsidRPr="00A5118D" w:rsidRDefault="00A5118D" w:rsidP="00000038">
            <w:pPr>
              <w:ind w:left="4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3 dosis; </w:t>
            </w:r>
            <w:r>
              <w:rPr>
                <w:rFonts w:asciiTheme="minorHAnsi" w:hAnsiTheme="minorHAnsi"/>
                <w:sz w:val="22"/>
              </w:rPr>
              <w:t>se aceptan pruebas de laboratorio de inmunidad</w:t>
            </w:r>
          </w:p>
        </w:tc>
      </w:tr>
      <w:tr w:rsidR="00A5118D" w:rsidRPr="00A5118D" w14:paraId="55C22722" w14:textId="77777777" w:rsidTr="00F668CF">
        <w:trPr>
          <w:trHeight w:val="144"/>
        </w:trPr>
        <w:tc>
          <w:tcPr>
            <w:tcW w:w="790" w:type="pct"/>
            <w:shd w:val="clear" w:color="auto" w:fill="C5DBFB"/>
            <w:vAlign w:val="center"/>
          </w:tcPr>
          <w:p w14:paraId="38EEFB31" w14:textId="77777777" w:rsidR="00A5118D" w:rsidRPr="00F668CF" w:rsidRDefault="00A5118D" w:rsidP="00000038">
            <w:pPr>
              <w:ind w:left="43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F668CF">
              <w:rPr>
                <w:rFonts w:asciiTheme="minorHAnsi" w:hAnsiTheme="minorHAnsi"/>
                <w:spacing w:val="-4"/>
                <w:sz w:val="22"/>
              </w:rPr>
              <w:t>Sarampión, rubéola y parotiditis (MMR)</w:t>
            </w:r>
          </w:p>
        </w:tc>
        <w:tc>
          <w:tcPr>
            <w:tcW w:w="4210" w:type="pct"/>
            <w:vAlign w:val="center"/>
          </w:tcPr>
          <w:p w14:paraId="43274D02" w14:textId="77777777" w:rsidR="00A5118D" w:rsidRPr="00A5118D" w:rsidRDefault="00A5118D" w:rsidP="00000038">
            <w:pPr>
              <w:ind w:left="4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2 dosis; </w:t>
            </w:r>
            <w:r>
              <w:rPr>
                <w:rFonts w:asciiTheme="minorHAnsi" w:hAnsiTheme="minorHAnsi"/>
                <w:sz w:val="22"/>
              </w:rPr>
              <w:t>la primera dosis debe administrarse al cumplir 1 año o después y la segunda dosis debe administrarse ≥28 días después de la primera; se aceptan pruebas de laboratorio de inmunidad</w:t>
            </w:r>
          </w:p>
        </w:tc>
      </w:tr>
      <w:tr w:rsidR="00A5118D" w:rsidRPr="00A5118D" w14:paraId="493FC5E9" w14:textId="77777777" w:rsidTr="00F668CF">
        <w:trPr>
          <w:trHeight w:val="144"/>
        </w:trPr>
        <w:tc>
          <w:tcPr>
            <w:tcW w:w="790" w:type="pct"/>
            <w:shd w:val="clear" w:color="auto" w:fill="C5DBFB"/>
            <w:vAlign w:val="center"/>
          </w:tcPr>
          <w:p w14:paraId="1464224A" w14:textId="77777777" w:rsidR="00A5118D" w:rsidRPr="00A5118D" w:rsidRDefault="00A5118D" w:rsidP="00000038">
            <w:pPr>
              <w:ind w:left="4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Varicela</w:t>
            </w:r>
          </w:p>
        </w:tc>
        <w:tc>
          <w:tcPr>
            <w:tcW w:w="4210" w:type="pct"/>
            <w:vAlign w:val="center"/>
          </w:tcPr>
          <w:p w14:paraId="608429AD" w14:textId="77777777" w:rsidR="00A5118D" w:rsidRPr="00A5118D" w:rsidRDefault="00A5118D" w:rsidP="00000038">
            <w:pPr>
              <w:ind w:left="4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2 dosis; </w:t>
            </w:r>
            <w:r>
              <w:rPr>
                <w:rFonts w:asciiTheme="minorHAnsi" w:hAnsiTheme="minorHAnsi"/>
                <w:sz w:val="22"/>
              </w:rPr>
              <w:t>la primera dosis debe administrarse al cumplir 1 año o después y la segunda dosis debe administrarse ≥28 días después de la primera; se aceptan antecedentes fiables de varicela</w:t>
            </w:r>
            <w:r>
              <w:rPr>
                <w:rFonts w:asciiTheme="minorHAnsi" w:hAnsiTheme="minorHAnsi"/>
                <w:sz w:val="22"/>
                <w:vertAlign w:val="superscript"/>
              </w:rPr>
              <w:t>*</w:t>
            </w:r>
            <w:r>
              <w:rPr>
                <w:rFonts w:asciiTheme="minorHAnsi" w:hAnsiTheme="minorHAnsi"/>
                <w:sz w:val="22"/>
              </w:rPr>
              <w:t xml:space="preserve"> o pruebas de laboratorio de inmunidad</w:t>
            </w:r>
          </w:p>
        </w:tc>
      </w:tr>
    </w:tbl>
    <w:p w14:paraId="271DD90D" w14:textId="77777777" w:rsidR="00A5118D" w:rsidRDefault="00A5118D" w:rsidP="003C1234">
      <w:pPr>
        <w:widowControl w:val="0"/>
        <w:rPr>
          <w:rFonts w:asciiTheme="minorHAnsi" w:eastAsia="Calibri" w:hAnsiTheme="minorHAnsi" w:cstheme="minorHAnsi"/>
          <w:b/>
          <w:bCs/>
          <w:sz w:val="18"/>
          <w:szCs w:val="18"/>
        </w:rPr>
      </w:pPr>
    </w:p>
    <w:p w14:paraId="5B5EE662" w14:textId="6486EC23" w:rsidR="003C1234" w:rsidRPr="00580852" w:rsidRDefault="003C1234" w:rsidP="003C1234">
      <w:pPr>
        <w:widowControl w:val="0"/>
        <w:rPr>
          <w:rFonts w:asciiTheme="minorHAnsi" w:eastAsia="Calibri" w:hAnsiTheme="minorHAnsi" w:cstheme="minorHAnsi"/>
          <w:sz w:val="18"/>
          <w:szCs w:val="18"/>
        </w:rPr>
      </w:pPr>
      <w:r>
        <w:rPr>
          <w:rFonts w:asciiTheme="minorHAnsi" w:hAnsiTheme="minorHAnsi"/>
          <w:b/>
          <w:sz w:val="18"/>
        </w:rPr>
        <w:t>§</w:t>
      </w:r>
      <w:r>
        <w:rPr>
          <w:rFonts w:asciiTheme="minorHAnsi" w:hAnsiTheme="minorHAnsi"/>
          <w:sz w:val="18"/>
        </w:rPr>
        <w:t xml:space="preserve"> Dirija las preguntas sobre cumplimiento a su asesor jurídico.</w:t>
      </w:r>
    </w:p>
    <w:p w14:paraId="3177FB72" w14:textId="0741F365" w:rsidR="003C1234" w:rsidRPr="00914B3A" w:rsidRDefault="003C1234" w:rsidP="003C1234">
      <w:pPr>
        <w:widowControl w:val="0"/>
        <w:rPr>
          <w:rFonts w:asciiTheme="minorHAnsi" w:hAnsiTheme="minorHAnsi"/>
          <w:sz w:val="18"/>
        </w:rPr>
      </w:pPr>
      <w:r>
        <w:rPr>
          <w:rFonts w:asciiTheme="minorHAnsi" w:hAnsiTheme="minorHAnsi"/>
          <w:b/>
          <w:sz w:val="18"/>
        </w:rPr>
        <w:t xml:space="preserve">* </w:t>
      </w:r>
      <w:r w:rsidR="009B412A" w:rsidRPr="00914B3A">
        <w:rPr>
          <w:rFonts w:asciiTheme="minorHAnsi" w:hAnsiTheme="minorHAnsi"/>
          <w:sz w:val="18"/>
        </w:rPr>
        <w:t>Se consideran antecedentes fiables de varicela cuando existe un diagnóstico médico de la enfermedad o cuando un médico, enfermero practicante, asistente médico u otra persona autorizada interpreta como varicela la descripción proporcionada por el padre, madre o tutor.</w:t>
      </w:r>
    </w:p>
    <w:p w14:paraId="5F3BA1B7" w14:textId="77777777" w:rsidR="00677E98" w:rsidRPr="00677E98" w:rsidRDefault="00677E98" w:rsidP="00677E98">
      <w:pPr>
        <w:rPr>
          <w:rFonts w:asciiTheme="minorHAnsi" w:hAnsiTheme="minorHAnsi"/>
          <w:sz w:val="22"/>
        </w:rPr>
      </w:pPr>
    </w:p>
    <w:p w14:paraId="5423C82C" w14:textId="5F06819A" w:rsidR="00293BDE" w:rsidRPr="00677E98" w:rsidRDefault="003C1234" w:rsidP="00677E98">
      <w:pPr>
        <w:rPr>
          <w:rFonts w:asciiTheme="minorHAnsi" w:hAnsiTheme="minorHAnsi"/>
          <w:sz w:val="22"/>
        </w:rPr>
      </w:pPr>
      <w:r w:rsidRPr="00677E98">
        <w:rPr>
          <w:rFonts w:asciiTheme="minorHAnsi" w:hAnsiTheme="minorHAnsi"/>
          <w:sz w:val="22"/>
        </w:rPr>
        <w:t xml:space="preserve">Consulte las páginas siguientes para obtener información relativa a los niveles comprendidos entre 7.º y 12.º grado, </w:t>
      </w:r>
      <w:bookmarkStart w:id="1" w:name="_Hlk195183552"/>
      <w:r w:rsidR="00677E98">
        <w:rPr>
          <w:rFonts w:asciiTheme="minorHAnsi" w:hAnsiTheme="minorHAnsi"/>
          <w:sz w:val="22"/>
        </w:rPr>
        <w:br/>
      </w:r>
      <w:r w:rsidRPr="00677E98">
        <w:rPr>
          <w:rFonts w:asciiTheme="minorHAnsi" w:hAnsiTheme="minorHAnsi"/>
          <w:sz w:val="22"/>
        </w:rPr>
        <w:t>así como para los campistas, el</w:t>
      </w:r>
      <w:r w:rsidR="00F668CF" w:rsidRPr="00677E98">
        <w:rPr>
          <w:rFonts w:asciiTheme="minorHAnsi" w:hAnsiTheme="minorHAnsi"/>
          <w:sz w:val="22"/>
        </w:rPr>
        <w:t> </w:t>
      </w:r>
      <w:r w:rsidRPr="00677E98">
        <w:rPr>
          <w:rFonts w:asciiTheme="minorHAnsi" w:hAnsiTheme="minorHAnsi"/>
          <w:sz w:val="22"/>
        </w:rPr>
        <w:t>personal y los voluntarios mayores de 18 años.</w:t>
      </w:r>
      <w:bookmarkEnd w:id="1"/>
    </w:p>
    <w:bookmarkEnd w:id="0"/>
    <w:p w14:paraId="71D46AA7" w14:textId="77777777" w:rsidR="003C1234" w:rsidRPr="00677E98" w:rsidRDefault="003C1234">
      <w:pPr>
        <w:rPr>
          <w:rFonts w:asciiTheme="minorHAnsi" w:hAnsiTheme="minorHAnsi"/>
          <w:sz w:val="22"/>
        </w:rPr>
      </w:pPr>
      <w:r w:rsidRPr="00677E98">
        <w:rPr>
          <w:rFonts w:asciiTheme="minorHAnsi" w:hAnsiTheme="minorHAnsi"/>
          <w:sz w:val="22"/>
        </w:rPr>
        <w:br w:type="page"/>
      </w:r>
    </w:p>
    <w:p w14:paraId="79601D05" w14:textId="7A46310B" w:rsidR="00894B84" w:rsidRPr="00580852" w:rsidRDefault="00894B84" w:rsidP="00894B84">
      <w:pPr>
        <w:widowControl w:val="0"/>
        <w:rPr>
          <w:rFonts w:asciiTheme="minorHAnsi" w:eastAsia="Calibr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color w:val="0070C0"/>
          <w:sz w:val="22"/>
        </w:rPr>
        <w:lastRenderedPageBreak/>
        <w:t>De 7.º a 12.º grado</w:t>
      </w:r>
      <w:r>
        <w:rPr>
          <w:rFonts w:asciiTheme="minorHAnsi" w:hAnsiTheme="minorHAnsi"/>
          <w:b/>
          <w:color w:val="0070C0"/>
          <w:sz w:val="32"/>
          <w:vertAlign w:val="superscript"/>
        </w:rPr>
        <w:t>†</w:t>
      </w:r>
    </w:p>
    <w:p w14:paraId="45E83F47" w14:textId="0113D9D8" w:rsidR="00A5118D" w:rsidRPr="00580852" w:rsidRDefault="00894B84" w:rsidP="009148F4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sz w:val="22"/>
        </w:rPr>
        <w:t>En las aulas en las que no se organiza a los alumnos según niveles de grado, los requisitos de 7.º grado se aplican a todos los alumnos ≥12 años.</w:t>
      </w:r>
      <w: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4"/>
        <w:gridCol w:w="9126"/>
      </w:tblGrid>
      <w:tr w:rsidR="00A5118D" w:rsidRPr="00A5118D" w14:paraId="6D842EE7" w14:textId="77777777" w:rsidTr="00F668CF">
        <w:trPr>
          <w:trHeight w:val="144"/>
        </w:trPr>
        <w:tc>
          <w:tcPr>
            <w:tcW w:w="771" w:type="pct"/>
            <w:shd w:val="clear" w:color="auto" w:fill="C5DBFB"/>
            <w:vAlign w:val="center"/>
          </w:tcPr>
          <w:p w14:paraId="79D05683" w14:textId="77777777" w:rsidR="00A5118D" w:rsidRPr="00A5118D" w:rsidRDefault="00A5118D" w:rsidP="00000038">
            <w:pPr>
              <w:ind w:left="43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</w:rPr>
              <w:t>Tdap</w:t>
            </w:r>
            <w:proofErr w:type="spellEnd"/>
          </w:p>
        </w:tc>
        <w:tc>
          <w:tcPr>
            <w:tcW w:w="4229" w:type="pct"/>
            <w:vAlign w:val="center"/>
          </w:tcPr>
          <w:p w14:paraId="4893E9FB" w14:textId="4FE14F0F" w:rsidR="00A5118D" w:rsidRPr="00A5118D" w:rsidRDefault="00A5118D" w:rsidP="002E54E3">
            <w:pPr>
              <w:ind w:left="43" w:right="6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1 dosis; </w:t>
            </w:r>
            <w:r>
              <w:rPr>
                <w:rFonts w:asciiTheme="minorHAnsi" w:hAnsiTheme="minorHAnsi"/>
                <w:sz w:val="22"/>
              </w:rPr>
              <w:t xml:space="preserve">y antecedentes de serie primaria de </w:t>
            </w:r>
            <w:proofErr w:type="spellStart"/>
            <w:r>
              <w:rPr>
                <w:rFonts w:asciiTheme="minorHAnsi" w:hAnsiTheme="minorHAnsi"/>
                <w:sz w:val="22"/>
              </w:rPr>
              <w:t>DTaP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o vacunación de recuperación adecuada a la edad; puede considerarse la vacuna </w:t>
            </w:r>
            <w:proofErr w:type="spellStart"/>
            <w:r>
              <w:rPr>
                <w:rFonts w:asciiTheme="minorHAnsi" w:hAnsiTheme="minorHAnsi"/>
                <w:sz w:val="22"/>
              </w:rPr>
              <w:t>Tdap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administrada a los ≥7 años, pero se recomienda una dosis</w:t>
            </w:r>
            <w:r w:rsidR="002E54E3">
              <w:rPr>
                <w:rFonts w:asciiTheme="minorHAnsi" w:hAnsiTheme="minorHAnsi"/>
                <w:sz w:val="22"/>
              </w:rPr>
              <w:t> </w:t>
            </w:r>
            <w:r>
              <w:rPr>
                <w:rFonts w:asciiTheme="minorHAnsi" w:hAnsiTheme="minorHAnsi"/>
                <w:sz w:val="22"/>
              </w:rPr>
              <w:t xml:space="preserve">a los 11 o 12 años si la vacuna </w:t>
            </w:r>
            <w:proofErr w:type="spellStart"/>
            <w:r>
              <w:rPr>
                <w:rFonts w:asciiTheme="minorHAnsi" w:hAnsiTheme="minorHAnsi"/>
                <w:sz w:val="22"/>
              </w:rPr>
              <w:t>Tdap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se administró antes como parte de un calendario de recuperación; debe administrarse la vacuna </w:t>
            </w:r>
            <w:proofErr w:type="spellStart"/>
            <w:r>
              <w:rPr>
                <w:rFonts w:asciiTheme="minorHAnsi" w:hAnsiTheme="minorHAnsi"/>
                <w:sz w:val="22"/>
              </w:rPr>
              <w:t>Td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o </w:t>
            </w:r>
            <w:proofErr w:type="spellStart"/>
            <w:r>
              <w:rPr>
                <w:rFonts w:asciiTheme="minorHAnsi" w:hAnsiTheme="minorHAnsi"/>
                <w:sz w:val="22"/>
              </w:rPr>
              <w:t>Tdap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si han pasado ≥10 años desde la última administración de la vacuna </w:t>
            </w:r>
            <w:proofErr w:type="spellStart"/>
            <w:r>
              <w:rPr>
                <w:rFonts w:asciiTheme="minorHAnsi" w:hAnsiTheme="minorHAnsi"/>
                <w:sz w:val="22"/>
              </w:rPr>
              <w:t>Tdap</w:t>
            </w:r>
            <w:proofErr w:type="spellEnd"/>
          </w:p>
        </w:tc>
      </w:tr>
      <w:tr w:rsidR="00A5118D" w:rsidRPr="00A5118D" w14:paraId="4FBD2A8F" w14:textId="77777777" w:rsidTr="00F668CF">
        <w:trPr>
          <w:trHeight w:val="144"/>
        </w:trPr>
        <w:tc>
          <w:tcPr>
            <w:tcW w:w="771" w:type="pct"/>
            <w:shd w:val="clear" w:color="auto" w:fill="C5DBFB"/>
            <w:vAlign w:val="center"/>
          </w:tcPr>
          <w:p w14:paraId="03084344" w14:textId="77777777" w:rsidR="00A5118D" w:rsidRPr="00A5118D" w:rsidRDefault="00A5118D" w:rsidP="00000038">
            <w:pPr>
              <w:ind w:left="4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Poliomielitis</w:t>
            </w:r>
          </w:p>
        </w:tc>
        <w:tc>
          <w:tcPr>
            <w:tcW w:w="4229" w:type="pct"/>
            <w:vAlign w:val="center"/>
          </w:tcPr>
          <w:p w14:paraId="6F09382E" w14:textId="77777777" w:rsidR="00A5118D" w:rsidRPr="00A5118D" w:rsidRDefault="00A5118D" w:rsidP="002E54E3">
            <w:pPr>
              <w:ind w:left="43" w:right="6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4 dosis; </w:t>
            </w:r>
            <w:r>
              <w:rPr>
                <w:rFonts w:asciiTheme="minorHAnsi" w:hAnsiTheme="minorHAnsi"/>
                <w:sz w:val="22"/>
              </w:rPr>
              <w:t>la cuarta dosis debe administrarse al cumplir los 4 años o después y ≥6 meses después de la dosis anterior o se requiere una quinta dosis; se aceptan 3 dosis si la tercera dosis se administra al cumplir los 4 años o después y ≥6 meses después de la dosis anterior</w:t>
            </w:r>
          </w:p>
        </w:tc>
      </w:tr>
      <w:tr w:rsidR="00A5118D" w:rsidRPr="00A5118D" w14:paraId="6E02E0D0" w14:textId="77777777" w:rsidTr="00F668CF">
        <w:trPr>
          <w:trHeight w:val="144"/>
        </w:trPr>
        <w:tc>
          <w:tcPr>
            <w:tcW w:w="771" w:type="pct"/>
            <w:shd w:val="clear" w:color="auto" w:fill="C5DBFB"/>
            <w:vAlign w:val="center"/>
          </w:tcPr>
          <w:p w14:paraId="27168572" w14:textId="77777777" w:rsidR="00A5118D" w:rsidRPr="00A5118D" w:rsidRDefault="00A5118D" w:rsidP="00000038">
            <w:pPr>
              <w:ind w:left="4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Hepatitis B</w:t>
            </w:r>
          </w:p>
        </w:tc>
        <w:tc>
          <w:tcPr>
            <w:tcW w:w="4229" w:type="pct"/>
            <w:vAlign w:val="center"/>
          </w:tcPr>
          <w:p w14:paraId="260A238F" w14:textId="77777777" w:rsidR="00A5118D" w:rsidRPr="00A5118D" w:rsidRDefault="00A5118D" w:rsidP="002E54E3">
            <w:pPr>
              <w:ind w:left="43" w:right="6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3 dosis; </w:t>
            </w:r>
            <w:r>
              <w:rPr>
                <w:rFonts w:asciiTheme="minorHAnsi" w:hAnsiTheme="minorHAnsi"/>
                <w:sz w:val="22"/>
              </w:rPr>
              <w:t>se aceptan pruebas de laboratorio de inmunidad; se aceptan 2 dosis de la vacuna Heplisav-B administrada a los 18 años o después</w:t>
            </w:r>
          </w:p>
        </w:tc>
      </w:tr>
      <w:tr w:rsidR="00A5118D" w:rsidRPr="00A5118D" w14:paraId="24907442" w14:textId="77777777" w:rsidTr="00F668CF">
        <w:trPr>
          <w:trHeight w:val="144"/>
        </w:trPr>
        <w:tc>
          <w:tcPr>
            <w:tcW w:w="771" w:type="pct"/>
            <w:shd w:val="clear" w:color="auto" w:fill="C5DBFB"/>
            <w:vAlign w:val="center"/>
          </w:tcPr>
          <w:p w14:paraId="7F7790C8" w14:textId="77777777" w:rsidR="00A5118D" w:rsidRPr="00A5118D" w:rsidRDefault="00A5118D" w:rsidP="00000038">
            <w:pPr>
              <w:ind w:left="4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Sarampión, rubéola y parotiditis (MMR)</w:t>
            </w:r>
          </w:p>
        </w:tc>
        <w:tc>
          <w:tcPr>
            <w:tcW w:w="4229" w:type="pct"/>
            <w:vAlign w:val="center"/>
          </w:tcPr>
          <w:p w14:paraId="28FA475D" w14:textId="77777777" w:rsidR="00A5118D" w:rsidRPr="00A5118D" w:rsidRDefault="00A5118D" w:rsidP="002E54E3">
            <w:pPr>
              <w:ind w:left="43" w:right="6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2 dosis; </w:t>
            </w:r>
            <w:r>
              <w:rPr>
                <w:rFonts w:asciiTheme="minorHAnsi" w:hAnsiTheme="minorHAnsi"/>
                <w:sz w:val="22"/>
              </w:rPr>
              <w:t>la primera dosis debe administrarse al cumplir 1 año o después y la segunda dosis debe administrarse ≥28 días después de la primera; se aceptan pruebas de laboratorio de inmunidad</w:t>
            </w:r>
          </w:p>
        </w:tc>
      </w:tr>
      <w:tr w:rsidR="00A5118D" w:rsidRPr="00A5118D" w14:paraId="7035CB21" w14:textId="77777777" w:rsidTr="00F668CF">
        <w:trPr>
          <w:trHeight w:val="144"/>
        </w:trPr>
        <w:tc>
          <w:tcPr>
            <w:tcW w:w="771" w:type="pct"/>
            <w:shd w:val="clear" w:color="auto" w:fill="C5DBFB"/>
            <w:vAlign w:val="center"/>
          </w:tcPr>
          <w:p w14:paraId="54C8C7AA" w14:textId="77777777" w:rsidR="00A5118D" w:rsidRPr="00A5118D" w:rsidRDefault="00A5118D" w:rsidP="00000038">
            <w:pPr>
              <w:ind w:left="4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Varicela</w:t>
            </w:r>
          </w:p>
        </w:tc>
        <w:tc>
          <w:tcPr>
            <w:tcW w:w="4229" w:type="pct"/>
            <w:vAlign w:val="center"/>
          </w:tcPr>
          <w:p w14:paraId="35A0ADBC" w14:textId="77777777" w:rsidR="00A5118D" w:rsidRPr="00A5118D" w:rsidRDefault="00A5118D" w:rsidP="002E54E3">
            <w:pPr>
              <w:ind w:left="43" w:right="6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2 dosis; </w:t>
            </w:r>
            <w:r>
              <w:rPr>
                <w:rFonts w:asciiTheme="minorHAnsi" w:hAnsiTheme="minorHAnsi"/>
                <w:sz w:val="22"/>
              </w:rPr>
              <w:t>la primera dosis debe administrarse al cumplir 1 año o después y la segunda dosis debe administrarse ≥28 días después de la primera; se aceptan antecedentes fiables de varicela</w:t>
            </w:r>
            <w:r>
              <w:rPr>
                <w:rFonts w:asciiTheme="minorHAnsi" w:hAnsiTheme="minorHAnsi"/>
                <w:sz w:val="22"/>
                <w:vertAlign w:val="superscript"/>
              </w:rPr>
              <w:t>*</w:t>
            </w:r>
            <w:r>
              <w:rPr>
                <w:rFonts w:asciiTheme="minorHAnsi" w:hAnsiTheme="minorHAnsi"/>
                <w:sz w:val="22"/>
              </w:rPr>
              <w:t xml:space="preserve"> o pruebas de laboratorio de inmunidad</w:t>
            </w:r>
          </w:p>
        </w:tc>
      </w:tr>
      <w:tr w:rsidR="00A5118D" w:rsidRPr="00A5118D" w14:paraId="2B7C59A4" w14:textId="77777777" w:rsidTr="00F668CF">
        <w:trPr>
          <w:trHeight w:val="144"/>
        </w:trPr>
        <w:tc>
          <w:tcPr>
            <w:tcW w:w="771" w:type="pct"/>
            <w:shd w:val="clear" w:color="auto" w:fill="C5DBFB"/>
            <w:vAlign w:val="center"/>
          </w:tcPr>
          <w:p w14:paraId="5ABE95EA" w14:textId="77777777" w:rsidR="00A5118D" w:rsidRPr="00A5118D" w:rsidRDefault="00A5118D" w:rsidP="00000038">
            <w:pPr>
              <w:ind w:left="43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Enfermedad meningocócica</w:t>
            </w:r>
          </w:p>
          <w:p w14:paraId="5C8A259F" w14:textId="27AD42A0" w:rsidR="00A5118D" w:rsidRPr="00A5118D" w:rsidRDefault="00A5118D" w:rsidP="00000038">
            <w:pPr>
              <w:ind w:left="4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>De 7.º a 10.º</w:t>
            </w:r>
            <w:r w:rsidR="00F668CF">
              <w:rPr>
                <w:rFonts w:asciiTheme="minorHAnsi" w:hAnsiTheme="minorHAnsi"/>
                <w:b/>
                <w:sz w:val="22"/>
              </w:rPr>
              <w:t> </w:t>
            </w:r>
            <w:r>
              <w:rPr>
                <w:rFonts w:asciiTheme="minorHAnsi" w:hAnsiTheme="minorHAnsi"/>
                <w:b/>
                <w:sz w:val="22"/>
              </w:rPr>
              <w:t>grado</w:t>
            </w:r>
          </w:p>
        </w:tc>
        <w:tc>
          <w:tcPr>
            <w:tcW w:w="4229" w:type="pct"/>
            <w:vAlign w:val="center"/>
          </w:tcPr>
          <w:p w14:paraId="3AD22904" w14:textId="77777777" w:rsidR="00A5118D" w:rsidRPr="00A5118D" w:rsidRDefault="00A5118D" w:rsidP="002E54E3">
            <w:pPr>
              <w:ind w:left="43" w:right="6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>1 dosis</w:t>
            </w:r>
            <w:r>
              <w:rPr>
                <w:rFonts w:asciiTheme="minorHAnsi" w:hAnsiTheme="minorHAnsi"/>
                <w:sz w:val="22"/>
              </w:rPr>
              <w:t xml:space="preserve">; esta dosis debe administrarse al cumplir 10 años o después. Las vacunas </w:t>
            </w:r>
            <w:proofErr w:type="spellStart"/>
            <w:r>
              <w:rPr>
                <w:rFonts w:asciiTheme="minorHAnsi" w:hAnsiTheme="minorHAnsi"/>
                <w:sz w:val="22"/>
              </w:rPr>
              <w:t>antimeningocócicas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conjugadas, MenACWY (antes MCV4) y MenABCWY, cumplen con este requisito; la vacuna </w:t>
            </w:r>
            <w:proofErr w:type="spellStart"/>
            <w:r>
              <w:rPr>
                <w:rFonts w:asciiTheme="minorHAnsi" w:hAnsiTheme="minorHAnsi"/>
                <w:sz w:val="22"/>
              </w:rPr>
              <w:t>antimeningocócica</w:t>
            </w:r>
            <w:proofErr w:type="spellEnd"/>
            <w:r>
              <w:rPr>
                <w:rFonts w:asciiTheme="minorHAnsi" w:hAnsiTheme="minorHAnsi"/>
                <w:sz w:val="22"/>
              </w:rPr>
              <w:t> B monovalente (MenB) no es obligatoria y no cumple con este requisito</w:t>
            </w:r>
          </w:p>
        </w:tc>
      </w:tr>
      <w:tr w:rsidR="00A5118D" w:rsidRPr="00A5118D" w14:paraId="157B7AC2" w14:textId="77777777" w:rsidTr="00F668CF">
        <w:trPr>
          <w:trHeight w:val="144"/>
        </w:trPr>
        <w:tc>
          <w:tcPr>
            <w:tcW w:w="771" w:type="pct"/>
            <w:shd w:val="clear" w:color="auto" w:fill="C5DBFB"/>
            <w:vAlign w:val="center"/>
          </w:tcPr>
          <w:p w14:paraId="5C87C497" w14:textId="77777777" w:rsidR="00A5118D" w:rsidRPr="00A5118D" w:rsidRDefault="00A5118D" w:rsidP="00000038">
            <w:pPr>
              <w:ind w:left="4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Enfermedad meningocócica</w:t>
            </w:r>
          </w:p>
          <w:p w14:paraId="5F8DB0CA" w14:textId="77777777" w:rsidR="00A5118D" w:rsidRPr="00A5118D" w:rsidRDefault="00A5118D" w:rsidP="00000038">
            <w:pPr>
              <w:ind w:left="4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>11.º y 12.º grado</w:t>
            </w:r>
            <w:r>
              <w:rPr>
                <w:rFonts w:asciiTheme="minorHAnsi" w:hAnsiTheme="minorHAnsi"/>
                <w:b/>
                <w:sz w:val="22"/>
                <w:vertAlign w:val="superscript"/>
              </w:rPr>
              <w:t>‡</w:t>
            </w:r>
          </w:p>
          <w:p w14:paraId="59C430B7" w14:textId="77777777" w:rsidR="00A5118D" w:rsidRPr="00A5118D" w:rsidRDefault="00A5118D" w:rsidP="00000038">
            <w:pPr>
              <w:ind w:left="43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4229" w:type="pct"/>
            <w:vAlign w:val="center"/>
          </w:tcPr>
          <w:p w14:paraId="568DB592" w14:textId="3C4B39A3" w:rsidR="00A5118D" w:rsidRPr="00A5118D" w:rsidRDefault="00A5118D" w:rsidP="002E54E3">
            <w:pPr>
              <w:ind w:left="43" w:right="6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>2 dosis</w:t>
            </w:r>
            <w:r>
              <w:rPr>
                <w:rFonts w:asciiTheme="minorHAnsi" w:hAnsiTheme="minorHAnsi"/>
                <w:sz w:val="22"/>
              </w:rPr>
              <w:t>; la segunda dosis de la vacuna MenACWY (antes MCV4) debe administrarse al cumplir los 16 años o después y ≥8 semanas después de la dosis anterior; se acepta 1 dosis si se administró al</w:t>
            </w:r>
            <w:r w:rsidR="002E54E3">
              <w:rPr>
                <w:rFonts w:asciiTheme="minorHAnsi" w:hAnsiTheme="minorHAnsi"/>
                <w:sz w:val="22"/>
              </w:rPr>
              <w:t> </w:t>
            </w:r>
            <w:r>
              <w:rPr>
                <w:rFonts w:asciiTheme="minorHAnsi" w:hAnsiTheme="minorHAnsi"/>
                <w:sz w:val="22"/>
              </w:rPr>
              <w:t xml:space="preserve">cumplir los 16 años o después. Las vacunas </w:t>
            </w:r>
            <w:proofErr w:type="spellStart"/>
            <w:r>
              <w:rPr>
                <w:rFonts w:asciiTheme="minorHAnsi" w:hAnsiTheme="minorHAnsi"/>
                <w:sz w:val="22"/>
              </w:rPr>
              <w:t>antimeningocócicas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conjugadas, MenACWY (antes</w:t>
            </w:r>
            <w:r w:rsidR="002E54E3">
              <w:rPr>
                <w:rFonts w:asciiTheme="minorHAnsi" w:hAnsiTheme="minorHAnsi"/>
                <w:sz w:val="22"/>
              </w:rPr>
              <w:t> </w:t>
            </w:r>
            <w:r>
              <w:rPr>
                <w:rFonts w:asciiTheme="minorHAnsi" w:hAnsiTheme="minorHAnsi"/>
                <w:sz w:val="22"/>
              </w:rPr>
              <w:t>MCV4) y MenABCWY, cumplen con este requisito; la vacuna antimeningocócica B monovalente (MenB) no es obligatoria y no cumple con este requisito</w:t>
            </w:r>
          </w:p>
        </w:tc>
      </w:tr>
    </w:tbl>
    <w:p w14:paraId="7E21F4F0" w14:textId="4FB74BEA" w:rsidR="00293BDE" w:rsidRPr="00A5118D" w:rsidRDefault="00293BDE" w:rsidP="009148F4">
      <w:pPr>
        <w:autoSpaceDE w:val="0"/>
        <w:autoSpaceDN w:val="0"/>
        <w:adjustRightInd w:val="0"/>
        <w:rPr>
          <w:rFonts w:asciiTheme="minorHAnsi" w:hAnsiTheme="minorHAnsi" w:cstheme="minorHAnsi"/>
          <w:b/>
          <w:sz w:val="18"/>
          <w:szCs w:val="18"/>
        </w:rPr>
      </w:pPr>
    </w:p>
    <w:p w14:paraId="7DF3BE37" w14:textId="1DBE206F" w:rsidR="003C1234" w:rsidRPr="00580852" w:rsidRDefault="003C1234" w:rsidP="003C1234">
      <w:pPr>
        <w:widowControl w:val="0"/>
        <w:rPr>
          <w:rFonts w:asciiTheme="minorHAnsi" w:eastAsia="Calibri" w:hAnsiTheme="minorHAnsi" w:cstheme="minorHAnsi"/>
          <w:sz w:val="18"/>
          <w:szCs w:val="18"/>
        </w:rPr>
      </w:pPr>
      <w:r>
        <w:rPr>
          <w:rFonts w:asciiTheme="minorHAnsi" w:hAnsiTheme="minorHAnsi"/>
          <w:b/>
          <w:sz w:val="18"/>
        </w:rPr>
        <w:t xml:space="preserve">§ </w:t>
      </w:r>
      <w:r>
        <w:rPr>
          <w:rFonts w:asciiTheme="minorHAnsi" w:hAnsiTheme="minorHAnsi"/>
          <w:sz w:val="18"/>
        </w:rPr>
        <w:t>Dirija las preguntas sobre cumplimiento a su asesor jurídico.</w:t>
      </w:r>
    </w:p>
    <w:p w14:paraId="301BEE0D" w14:textId="0D707CD7" w:rsidR="003C1234" w:rsidRPr="00914B3A" w:rsidRDefault="003C1234" w:rsidP="003C1234">
      <w:pPr>
        <w:widowControl w:val="0"/>
        <w:rPr>
          <w:rFonts w:asciiTheme="minorHAnsi" w:hAnsiTheme="minorHAnsi"/>
          <w:sz w:val="18"/>
        </w:rPr>
      </w:pPr>
      <w:r>
        <w:rPr>
          <w:rFonts w:asciiTheme="minorHAnsi" w:hAnsiTheme="minorHAnsi"/>
          <w:b/>
          <w:sz w:val="18"/>
        </w:rPr>
        <w:t>*</w:t>
      </w:r>
      <w:r>
        <w:rPr>
          <w:rFonts w:asciiTheme="minorHAnsi" w:hAnsiTheme="minorHAnsi"/>
          <w:sz w:val="18"/>
        </w:rPr>
        <w:t xml:space="preserve"> </w:t>
      </w:r>
      <w:r w:rsidR="00914B3A" w:rsidRPr="00914B3A">
        <w:rPr>
          <w:rFonts w:asciiTheme="minorHAnsi" w:hAnsiTheme="minorHAnsi"/>
          <w:sz w:val="18"/>
        </w:rPr>
        <w:t>Se consideran antecedentes fiables de varicela cuando existe un diagnóstico médico de la enfermedad o cuando un médico, enfermero practicante, asistente médico u otra persona autorizada interpreta como varicela la descripción proporcionada por el padre, madre o tutor.</w:t>
      </w:r>
    </w:p>
    <w:p w14:paraId="3A882D5C" w14:textId="77777777" w:rsidR="003C1234" w:rsidRPr="00580852" w:rsidRDefault="003C1234" w:rsidP="003C1234">
      <w:pPr>
        <w:widowControl w:val="0"/>
        <w:rPr>
          <w:rFonts w:asciiTheme="minorHAnsi" w:eastAsia="Calibri" w:hAnsiTheme="minorHAnsi" w:cstheme="minorHAnsi"/>
          <w:sz w:val="18"/>
          <w:szCs w:val="18"/>
        </w:rPr>
      </w:pPr>
      <w:r>
        <w:rPr>
          <w:rFonts w:asciiTheme="minorHAnsi" w:hAnsiTheme="minorHAnsi"/>
          <w:b/>
          <w:sz w:val="18"/>
        </w:rPr>
        <w:t>‡</w:t>
      </w:r>
      <w:r>
        <w:rPr>
          <w:rFonts w:asciiTheme="minorHAnsi" w:hAnsiTheme="minorHAnsi"/>
          <w:sz w:val="18"/>
        </w:rPr>
        <w:t xml:space="preserve"> Los alumnos de 11.º grado que tienen 15 años cumplen con los requisitos hasta que cumplen 16 años.</w:t>
      </w:r>
    </w:p>
    <w:p w14:paraId="12DC0627" w14:textId="77777777" w:rsidR="003C1234" w:rsidRPr="00580852" w:rsidRDefault="003C1234" w:rsidP="009148F4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3207ACA1" w14:textId="3ACD2F40" w:rsidR="00530AA6" w:rsidRPr="00580852" w:rsidRDefault="00530AA6" w:rsidP="00530AA6">
      <w:pPr>
        <w:rPr>
          <w:rFonts w:asciiTheme="minorHAnsi" w:hAnsiTheme="minorHAnsi" w:cstheme="minorHAnsi"/>
          <w:spacing w:val="-1"/>
          <w:sz w:val="22"/>
          <w:szCs w:val="22"/>
        </w:rPr>
      </w:pPr>
      <w:r>
        <w:rPr>
          <w:rFonts w:asciiTheme="minorHAnsi" w:hAnsiTheme="minorHAnsi"/>
          <w:sz w:val="22"/>
        </w:rPr>
        <w:t>Consulte la página siguiente para obtener información relativa a los campistas, el personal y los voluntarios mayores de</w:t>
      </w:r>
      <w:r w:rsidR="00F668CF">
        <w:rPr>
          <w:rFonts w:asciiTheme="minorHAnsi" w:hAnsiTheme="minorHAnsi"/>
          <w:sz w:val="22"/>
        </w:rPr>
        <w:t> </w:t>
      </w:r>
      <w:r>
        <w:rPr>
          <w:rFonts w:asciiTheme="minorHAnsi" w:hAnsiTheme="minorHAnsi"/>
          <w:sz w:val="22"/>
        </w:rPr>
        <w:t>18 años.</w:t>
      </w:r>
    </w:p>
    <w:p w14:paraId="5744E2E6" w14:textId="08C16541" w:rsidR="00DA2E26" w:rsidRPr="00580852" w:rsidRDefault="00DA2E26">
      <w:pPr>
        <w:rPr>
          <w:rFonts w:asciiTheme="minorHAnsi" w:hAnsiTheme="minorHAnsi" w:cstheme="minorHAnsi"/>
          <w:b/>
          <w:sz w:val="22"/>
          <w:szCs w:val="22"/>
        </w:rPr>
      </w:pPr>
      <w:r>
        <w:br w:type="page"/>
      </w:r>
    </w:p>
    <w:p w14:paraId="3DD64C6B" w14:textId="0A0E0790" w:rsidR="009148F4" w:rsidRPr="00580852" w:rsidRDefault="009148F4" w:rsidP="00A729DB">
      <w:pPr>
        <w:rPr>
          <w:rFonts w:asciiTheme="minorHAnsi" w:hAnsiTheme="minorHAnsi" w:cstheme="minorHAnsi"/>
          <w:b/>
          <w:color w:val="0070C0"/>
          <w:sz w:val="22"/>
          <w:szCs w:val="22"/>
        </w:rPr>
      </w:pPr>
      <w:r>
        <w:rPr>
          <w:rFonts w:asciiTheme="minorHAnsi" w:hAnsiTheme="minorHAnsi"/>
          <w:b/>
          <w:color w:val="0070C0"/>
          <w:sz w:val="22"/>
        </w:rPr>
        <w:lastRenderedPageBreak/>
        <w:t>Campistas, personal y voluntarios mayores de 18 años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5"/>
        <w:gridCol w:w="9263"/>
      </w:tblGrid>
      <w:tr w:rsidR="00750FCE" w:rsidRPr="00580852" w14:paraId="6EAB2659" w14:textId="77777777" w:rsidTr="00F668CF">
        <w:trPr>
          <w:trHeight w:val="144"/>
        </w:trPr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BFB"/>
            <w:vAlign w:val="center"/>
          </w:tcPr>
          <w:p w14:paraId="17DD2AD4" w14:textId="6DD8E7E8" w:rsidR="00750FCE" w:rsidRPr="00580852" w:rsidRDefault="00750FCE" w:rsidP="00986146">
            <w:pPr>
              <w:ind w:left="4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Sarampión, rubéola y parotiditis (MMR)</w:t>
            </w:r>
          </w:p>
        </w:tc>
        <w:tc>
          <w:tcPr>
            <w:tcW w:w="42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618499" w14:textId="542CB942" w:rsidR="00A57773" w:rsidRPr="00580852" w:rsidRDefault="00750FCE" w:rsidP="00986146">
            <w:pPr>
              <w:ind w:left="4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>2 dosis;</w:t>
            </w:r>
            <w:r>
              <w:rPr>
                <w:rFonts w:asciiTheme="minorHAnsi" w:hAnsiTheme="minorHAnsi"/>
                <w:sz w:val="22"/>
              </w:rPr>
              <w:t xml:space="preserve"> cualquier persona nacida en 1957 o después;</w:t>
            </w:r>
          </w:p>
          <w:p w14:paraId="1AC0B9F8" w14:textId="6D1A642D" w:rsidR="00750FCE" w:rsidRPr="00580852" w:rsidRDefault="00750FCE" w:rsidP="00986146">
            <w:pPr>
              <w:ind w:left="4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>1 dosis;</w:t>
            </w:r>
            <w:r>
              <w:rPr>
                <w:rFonts w:asciiTheme="minorHAnsi" w:hAnsiTheme="minorHAnsi"/>
                <w:sz w:val="22"/>
              </w:rPr>
              <w:t xml:space="preserve"> cualquier persona nacida antes de 1957 fuera de los EE. UU.; cualquier persona nacida en los</w:t>
            </w:r>
            <w:r w:rsidR="00F668CF">
              <w:rPr>
                <w:rFonts w:asciiTheme="minorHAnsi" w:hAnsiTheme="minorHAnsi"/>
                <w:sz w:val="22"/>
              </w:rPr>
              <w:t> </w:t>
            </w:r>
            <w:r>
              <w:rPr>
                <w:rFonts w:asciiTheme="minorHAnsi" w:hAnsiTheme="minorHAnsi"/>
                <w:sz w:val="22"/>
              </w:rPr>
              <w:t>EE. UU. antes de 1957 se considera inmune; se aceptan pruebas de laboratorio de inmunidad ante</w:t>
            </w:r>
            <w:r w:rsidR="00F668CF">
              <w:rPr>
                <w:rFonts w:asciiTheme="minorHAnsi" w:hAnsiTheme="minorHAnsi"/>
                <w:sz w:val="22"/>
              </w:rPr>
              <w:t> </w:t>
            </w:r>
            <w:r>
              <w:rPr>
                <w:rFonts w:asciiTheme="minorHAnsi" w:hAnsiTheme="minorHAnsi"/>
                <w:sz w:val="22"/>
              </w:rPr>
              <w:t>sarampión, rubéola y parotiditis</w:t>
            </w:r>
          </w:p>
        </w:tc>
      </w:tr>
      <w:tr w:rsidR="00750FCE" w:rsidRPr="00580852" w14:paraId="33151DB9" w14:textId="77777777" w:rsidTr="00F668CF">
        <w:trPr>
          <w:trHeight w:val="144"/>
        </w:trPr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BFB"/>
            <w:vAlign w:val="center"/>
          </w:tcPr>
          <w:p w14:paraId="36EB1A92" w14:textId="7EC2C568" w:rsidR="00750FCE" w:rsidRPr="00580852" w:rsidRDefault="00750FCE" w:rsidP="00986146">
            <w:pPr>
              <w:ind w:left="4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Varicela</w:t>
            </w:r>
          </w:p>
        </w:tc>
        <w:tc>
          <w:tcPr>
            <w:tcW w:w="42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71ECA" w14:textId="179F6F21" w:rsidR="00750FCE" w:rsidRPr="00580852" w:rsidRDefault="00750FCE" w:rsidP="00986146">
            <w:pPr>
              <w:ind w:left="4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>2 dosis;</w:t>
            </w:r>
            <w:r>
              <w:rPr>
                <w:rFonts w:asciiTheme="minorHAnsi" w:hAnsiTheme="minorHAnsi"/>
                <w:sz w:val="22"/>
              </w:rPr>
              <w:t xml:space="preserve"> cualquier persona nacida en 1980 o después en los EE. UU. y cualquier persona nacida fuera de los EE. UU.; cualquier persona nacida antes de 1980 en los EE. UU. se considera inmune; se aceptan antecedentes fiables de varicela* o pruebas de laboratorio de inmunidad</w:t>
            </w:r>
          </w:p>
        </w:tc>
      </w:tr>
      <w:tr w:rsidR="00750FCE" w:rsidRPr="00580852" w14:paraId="4EAD23CC" w14:textId="77777777" w:rsidTr="00F668CF">
        <w:trPr>
          <w:trHeight w:val="144"/>
        </w:trPr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BFB"/>
            <w:vAlign w:val="center"/>
          </w:tcPr>
          <w:p w14:paraId="4C22233D" w14:textId="0A331C69" w:rsidR="00750FCE" w:rsidRPr="00580852" w:rsidRDefault="00750FCE" w:rsidP="00986146">
            <w:pPr>
              <w:ind w:left="4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Tdap</w:t>
            </w:r>
          </w:p>
        </w:tc>
        <w:tc>
          <w:tcPr>
            <w:tcW w:w="42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AEBD9D" w14:textId="792D89A4" w:rsidR="00750FCE" w:rsidRPr="00580852" w:rsidRDefault="00750FCE" w:rsidP="00986146">
            <w:pPr>
              <w:ind w:left="4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>1 dosis;</w:t>
            </w:r>
            <w:r>
              <w:rPr>
                <w:rFonts w:asciiTheme="minorHAnsi" w:hAnsiTheme="minorHAnsi"/>
                <w:sz w:val="22"/>
              </w:rPr>
              <w:t xml:space="preserve"> y antecedentes de serie primaria de DTaP o vacunación de recuperación adecuada a la edad; puede considerarse la vacuna Tdap administrada a los ≥7 años, pero se recomienda una dosis a los 11 o 12 años si la vacuna Tdap se administró antes como parte de un calendario de recuperación; debe administrarse la vacuna Td o Tdap si han pasado ≥10 años desde la administración de la vacuna Tdap</w:t>
            </w:r>
          </w:p>
        </w:tc>
      </w:tr>
      <w:tr w:rsidR="00750FCE" w:rsidRPr="00580852" w14:paraId="2809D322" w14:textId="77777777" w:rsidTr="00F668CF">
        <w:trPr>
          <w:trHeight w:val="144"/>
        </w:trPr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BFB"/>
            <w:vAlign w:val="center"/>
          </w:tcPr>
          <w:p w14:paraId="63433B4C" w14:textId="1D630C3F" w:rsidR="00750FCE" w:rsidRPr="00580852" w:rsidRDefault="00750FCE" w:rsidP="00986146">
            <w:pPr>
              <w:ind w:left="4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Hepatitis B</w:t>
            </w:r>
          </w:p>
        </w:tc>
        <w:tc>
          <w:tcPr>
            <w:tcW w:w="42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46CBEC" w14:textId="4CC23A9C" w:rsidR="00750FCE" w:rsidRPr="00580852" w:rsidRDefault="00750FCE" w:rsidP="00986146">
            <w:pPr>
              <w:ind w:left="4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>3 dosis;</w:t>
            </w:r>
            <w:r>
              <w:rPr>
                <w:rFonts w:asciiTheme="minorHAnsi" w:hAnsiTheme="minorHAnsi"/>
                <w:sz w:val="22"/>
              </w:rPr>
              <w:t xml:space="preserve"> (o 2 dosis de Heplisav-B) para todo el personal con tareas que incluyan primeros auxilios; se aceptan pruebas de laboratorio de inmunidad</w:t>
            </w:r>
          </w:p>
        </w:tc>
      </w:tr>
    </w:tbl>
    <w:p w14:paraId="5CFFC21D" w14:textId="77777777" w:rsidR="003911A7" w:rsidRPr="008142A2" w:rsidRDefault="003911A7" w:rsidP="009148F4">
      <w:pPr>
        <w:rPr>
          <w:rFonts w:asciiTheme="minorHAnsi" w:hAnsiTheme="minorHAnsi" w:cstheme="minorHAnsi"/>
          <w:b/>
          <w:sz w:val="18"/>
          <w:szCs w:val="18"/>
        </w:rPr>
      </w:pPr>
    </w:p>
    <w:p w14:paraId="557A8B37" w14:textId="21FF76AD" w:rsidR="00033154" w:rsidRPr="00580852" w:rsidRDefault="00750FCE" w:rsidP="009148F4">
      <w:pPr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/>
          <w:b/>
          <w:sz w:val="18"/>
        </w:rPr>
        <w:t xml:space="preserve">* </w:t>
      </w:r>
      <w:r w:rsidR="00914B3A" w:rsidRPr="00914B3A">
        <w:rPr>
          <w:rFonts w:asciiTheme="minorHAnsi" w:hAnsiTheme="minorHAnsi"/>
          <w:sz w:val="18"/>
        </w:rPr>
        <w:t>Se consideran antecedentes fiables de varicela cuando existe un diagnóstico médico de la enfermedad o cuando un médico, enfermero practicante, asistente médico u otra persona autorizada interpreta como varicela la descripción proporcionada por el padre, madre o tutor.</w:t>
      </w:r>
    </w:p>
    <w:sectPr w:rsidR="00033154" w:rsidRPr="00580852" w:rsidSect="004F64CB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5E252" w14:textId="77777777" w:rsidR="00B06C01" w:rsidRDefault="00B06C01" w:rsidP="009148F4">
      <w:r>
        <w:separator/>
      </w:r>
    </w:p>
  </w:endnote>
  <w:endnote w:type="continuationSeparator" w:id="0">
    <w:p w14:paraId="24C96E3B" w14:textId="77777777" w:rsidR="00B06C01" w:rsidRDefault="00B06C01" w:rsidP="0091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D8475" w14:textId="77777777" w:rsidR="00B06C01" w:rsidRDefault="00B06C01" w:rsidP="009148F4">
      <w:r>
        <w:separator/>
      </w:r>
    </w:p>
  </w:footnote>
  <w:footnote w:type="continuationSeparator" w:id="0">
    <w:p w14:paraId="08356E34" w14:textId="77777777" w:rsidR="00B06C01" w:rsidRDefault="00B06C01" w:rsidP="00914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44DAC"/>
    <w:multiLevelType w:val="hybridMultilevel"/>
    <w:tmpl w:val="2C5C5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819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NAFYBAO/WiqSe2drqk11710LAbez4EDChXfjJk+200YyrW4Hp/dTaEyOICUnYrYGqqKzNGw0/v2xrqWvbmd9BA==" w:salt="4VvjxFPnnfq0Pw9y3pucmg==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A1DE1"/>
    <w:rsid w:val="000B0914"/>
    <w:rsid w:val="000B7D96"/>
    <w:rsid w:val="000C3C90"/>
    <w:rsid w:val="000F315B"/>
    <w:rsid w:val="001125C0"/>
    <w:rsid w:val="0011549B"/>
    <w:rsid w:val="001331E7"/>
    <w:rsid w:val="0015268B"/>
    <w:rsid w:val="00177C77"/>
    <w:rsid w:val="001978F9"/>
    <w:rsid w:val="001B6693"/>
    <w:rsid w:val="001C48A3"/>
    <w:rsid w:val="001D377F"/>
    <w:rsid w:val="0021698C"/>
    <w:rsid w:val="00226D7D"/>
    <w:rsid w:val="00260D54"/>
    <w:rsid w:val="00262C88"/>
    <w:rsid w:val="00272BA9"/>
    <w:rsid w:val="00276957"/>
    <w:rsid w:val="00276DCC"/>
    <w:rsid w:val="0028196F"/>
    <w:rsid w:val="00293BDE"/>
    <w:rsid w:val="002A132F"/>
    <w:rsid w:val="002A1B71"/>
    <w:rsid w:val="002B01BF"/>
    <w:rsid w:val="002D1C21"/>
    <w:rsid w:val="002D5A3E"/>
    <w:rsid w:val="002E54E3"/>
    <w:rsid w:val="00301022"/>
    <w:rsid w:val="00305F93"/>
    <w:rsid w:val="00343B3A"/>
    <w:rsid w:val="00365A63"/>
    <w:rsid w:val="00375EAD"/>
    <w:rsid w:val="00380222"/>
    <w:rsid w:val="003806C2"/>
    <w:rsid w:val="00385812"/>
    <w:rsid w:val="003911A7"/>
    <w:rsid w:val="00392D0B"/>
    <w:rsid w:val="003A7AFC"/>
    <w:rsid w:val="003C1234"/>
    <w:rsid w:val="003C60EF"/>
    <w:rsid w:val="003C6FD8"/>
    <w:rsid w:val="003E28CC"/>
    <w:rsid w:val="003F31E6"/>
    <w:rsid w:val="00404738"/>
    <w:rsid w:val="00410392"/>
    <w:rsid w:val="00422C75"/>
    <w:rsid w:val="00440503"/>
    <w:rsid w:val="00445D76"/>
    <w:rsid w:val="0044657E"/>
    <w:rsid w:val="00446F2E"/>
    <w:rsid w:val="00472194"/>
    <w:rsid w:val="004813AC"/>
    <w:rsid w:val="004A12BB"/>
    <w:rsid w:val="004B37A0"/>
    <w:rsid w:val="004B5CFB"/>
    <w:rsid w:val="004D6B39"/>
    <w:rsid w:val="004D75E0"/>
    <w:rsid w:val="004E0C3F"/>
    <w:rsid w:val="004F64CB"/>
    <w:rsid w:val="00502495"/>
    <w:rsid w:val="00510975"/>
    <w:rsid w:val="00512956"/>
    <w:rsid w:val="00530145"/>
    <w:rsid w:val="00530AA6"/>
    <w:rsid w:val="005448AA"/>
    <w:rsid w:val="00554CCD"/>
    <w:rsid w:val="00580852"/>
    <w:rsid w:val="0058778A"/>
    <w:rsid w:val="00596BAC"/>
    <w:rsid w:val="005E277D"/>
    <w:rsid w:val="0063552C"/>
    <w:rsid w:val="006448D6"/>
    <w:rsid w:val="00663010"/>
    <w:rsid w:val="006637D6"/>
    <w:rsid w:val="00677E98"/>
    <w:rsid w:val="00691948"/>
    <w:rsid w:val="006C27F6"/>
    <w:rsid w:val="006D06D9"/>
    <w:rsid w:val="006D18DD"/>
    <w:rsid w:val="006D249C"/>
    <w:rsid w:val="006D77A6"/>
    <w:rsid w:val="006E0461"/>
    <w:rsid w:val="006E1AF6"/>
    <w:rsid w:val="00702109"/>
    <w:rsid w:val="0071142C"/>
    <w:rsid w:val="00716939"/>
    <w:rsid w:val="0072610D"/>
    <w:rsid w:val="00750FCE"/>
    <w:rsid w:val="00751E11"/>
    <w:rsid w:val="00757006"/>
    <w:rsid w:val="00766830"/>
    <w:rsid w:val="007B3F4B"/>
    <w:rsid w:val="007B7347"/>
    <w:rsid w:val="007D10F3"/>
    <w:rsid w:val="007E362A"/>
    <w:rsid w:val="007E4100"/>
    <w:rsid w:val="007F3CDB"/>
    <w:rsid w:val="008142A2"/>
    <w:rsid w:val="00894B84"/>
    <w:rsid w:val="008D4ED5"/>
    <w:rsid w:val="009148F4"/>
    <w:rsid w:val="00914B3A"/>
    <w:rsid w:val="009174E7"/>
    <w:rsid w:val="00934363"/>
    <w:rsid w:val="009528AB"/>
    <w:rsid w:val="009730E5"/>
    <w:rsid w:val="00974F4E"/>
    <w:rsid w:val="00986146"/>
    <w:rsid w:val="009908FF"/>
    <w:rsid w:val="00995505"/>
    <w:rsid w:val="009A5944"/>
    <w:rsid w:val="009B412A"/>
    <w:rsid w:val="009C39DB"/>
    <w:rsid w:val="009C4428"/>
    <w:rsid w:val="009D48CD"/>
    <w:rsid w:val="009D6A0A"/>
    <w:rsid w:val="00A0183D"/>
    <w:rsid w:val="00A1173D"/>
    <w:rsid w:val="00A254BA"/>
    <w:rsid w:val="00A37FE9"/>
    <w:rsid w:val="00A50004"/>
    <w:rsid w:val="00A5118D"/>
    <w:rsid w:val="00A57773"/>
    <w:rsid w:val="00A65101"/>
    <w:rsid w:val="00A729DB"/>
    <w:rsid w:val="00A750B1"/>
    <w:rsid w:val="00A750F2"/>
    <w:rsid w:val="00B06C01"/>
    <w:rsid w:val="00B13E2B"/>
    <w:rsid w:val="00B20035"/>
    <w:rsid w:val="00B21269"/>
    <w:rsid w:val="00B23859"/>
    <w:rsid w:val="00B3761A"/>
    <w:rsid w:val="00B403BF"/>
    <w:rsid w:val="00B608D9"/>
    <w:rsid w:val="00B72132"/>
    <w:rsid w:val="00B7538D"/>
    <w:rsid w:val="00B81FBF"/>
    <w:rsid w:val="00BA4055"/>
    <w:rsid w:val="00BA7FB6"/>
    <w:rsid w:val="00BD09FA"/>
    <w:rsid w:val="00BD73AB"/>
    <w:rsid w:val="00C0394F"/>
    <w:rsid w:val="00C0428C"/>
    <w:rsid w:val="00C20BFE"/>
    <w:rsid w:val="00C32A46"/>
    <w:rsid w:val="00C46D29"/>
    <w:rsid w:val="00CC1778"/>
    <w:rsid w:val="00CC3059"/>
    <w:rsid w:val="00CE575B"/>
    <w:rsid w:val="00CF3DE8"/>
    <w:rsid w:val="00CF497E"/>
    <w:rsid w:val="00D01243"/>
    <w:rsid w:val="00D03205"/>
    <w:rsid w:val="00D0493F"/>
    <w:rsid w:val="00D05ADD"/>
    <w:rsid w:val="00D16FBA"/>
    <w:rsid w:val="00D17215"/>
    <w:rsid w:val="00D255FE"/>
    <w:rsid w:val="00D56F91"/>
    <w:rsid w:val="00D66901"/>
    <w:rsid w:val="00D85D3E"/>
    <w:rsid w:val="00D8671C"/>
    <w:rsid w:val="00D91390"/>
    <w:rsid w:val="00DA19C4"/>
    <w:rsid w:val="00DA2E26"/>
    <w:rsid w:val="00DA57C3"/>
    <w:rsid w:val="00DC3855"/>
    <w:rsid w:val="00DC5472"/>
    <w:rsid w:val="00DF77CA"/>
    <w:rsid w:val="00E0133A"/>
    <w:rsid w:val="00E16816"/>
    <w:rsid w:val="00E242A8"/>
    <w:rsid w:val="00E274B8"/>
    <w:rsid w:val="00E67B13"/>
    <w:rsid w:val="00E72707"/>
    <w:rsid w:val="00E83451"/>
    <w:rsid w:val="00E860DE"/>
    <w:rsid w:val="00E97F38"/>
    <w:rsid w:val="00EA63FA"/>
    <w:rsid w:val="00EB7588"/>
    <w:rsid w:val="00EC5A1E"/>
    <w:rsid w:val="00ED6CDE"/>
    <w:rsid w:val="00F0586E"/>
    <w:rsid w:val="00F149CB"/>
    <w:rsid w:val="00F356AC"/>
    <w:rsid w:val="00F35B1E"/>
    <w:rsid w:val="00F43932"/>
    <w:rsid w:val="00F668CF"/>
    <w:rsid w:val="00FA575E"/>
    <w:rsid w:val="00FC6B42"/>
    <w:rsid w:val="00FF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99AB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419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219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255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0320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rsid w:val="009148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148F4"/>
    <w:rPr>
      <w:sz w:val="24"/>
    </w:rPr>
  </w:style>
  <w:style w:type="paragraph" w:styleId="Footer">
    <w:name w:val="footer"/>
    <w:basedOn w:val="Normal"/>
    <w:link w:val="FooterChar"/>
    <w:rsid w:val="009148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148F4"/>
    <w:rPr>
      <w:sz w:val="24"/>
    </w:rPr>
  </w:style>
  <w:style w:type="table" w:styleId="TableGrid">
    <w:name w:val="Table Grid"/>
    <w:aliases w:val="Table Grid1"/>
    <w:basedOn w:val="TableNormal"/>
    <w:rsid w:val="009148F4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tblPr/>
      <w:tcPr>
        <w:shd w:val="clear" w:color="auto" w:fill="70AD47" w:themeFill="accent6"/>
      </w:tcPr>
    </w:tblStylePr>
    <w:tblStylePr w:type="firstCol">
      <w:rPr>
        <w:color w:val="auto"/>
      </w:rPr>
      <w:tblPr/>
      <w:tcPr>
        <w:shd w:val="clear" w:color="auto" w:fill="ACB9CA" w:themeFill="text2" w:themeFillTint="66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FFFFF" w:themeFill="background1"/>
      </w:tcPr>
    </w:tblStylePr>
  </w:style>
  <w:style w:type="paragraph" w:styleId="BodyText">
    <w:name w:val="Body Text"/>
    <w:basedOn w:val="Normal"/>
    <w:link w:val="BodyTextChar"/>
    <w:uiPriority w:val="1"/>
    <w:qFormat/>
    <w:rsid w:val="009148F4"/>
    <w:pPr>
      <w:widowControl w:val="0"/>
      <w:spacing w:before="58"/>
      <w:ind w:left="192"/>
    </w:pPr>
    <w:rPr>
      <w:rFonts w:ascii="Lao UI" w:eastAsia="Lao UI" w:hAnsi="Lao UI" w:cstheme="minorBid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9148F4"/>
    <w:rPr>
      <w:rFonts w:ascii="Lao UI" w:eastAsia="Lao UI" w:hAnsi="Lao UI" w:cstheme="minorBidi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148F4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750FCE"/>
    <w:pPr>
      <w:ind w:left="720"/>
      <w:contextualSpacing/>
    </w:pPr>
  </w:style>
  <w:style w:type="paragraph" w:styleId="Revision">
    <w:name w:val="Revision"/>
    <w:hidden/>
    <w:uiPriority w:val="99"/>
    <w:semiHidden/>
    <w:rsid w:val="00502495"/>
    <w:rPr>
      <w:sz w:val="24"/>
    </w:rPr>
  </w:style>
  <w:style w:type="character" w:styleId="CommentReference">
    <w:name w:val="annotation reference"/>
    <w:basedOn w:val="DefaultParagraphFont"/>
    <w:rsid w:val="00422C7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2C7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22C75"/>
  </w:style>
  <w:style w:type="paragraph" w:styleId="CommentSubject">
    <w:name w:val="annotation subject"/>
    <w:basedOn w:val="CommentText"/>
    <w:next w:val="CommentText"/>
    <w:link w:val="CommentSubjectChar"/>
    <w:rsid w:val="00422C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22C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measles/data-research/index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mmAssessmentUnit@mass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mass.gov/doc/adult-occupational-immunizations-massachusetts-recommendations-and-requirements-0/downlo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ss.gov/doc/immunization-requirements-for-school-entry-0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1495</Words>
  <Characters>8523</Characters>
  <Application>Microsoft Office Word</Application>
  <DocSecurity>8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2025-06-10T17:48:00Z</dcterms:created>
  <dcterms:modified xsi:type="dcterms:W3CDTF">2025-09-03T19:18:00Z</dcterms:modified>
</cp:coreProperties>
</file>