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2FFE3" w14:textId="77777777" w:rsidR="00CE0AD2" w:rsidRDefault="00CE0AD2" w:rsidP="00CE0AD2">
      <w:pPr>
        <w:jc w:val="center"/>
        <w:rPr>
          <w:rFonts w:cs="Calibri"/>
          <w:b/>
          <w:bCs/>
        </w:rPr>
      </w:pPr>
    </w:p>
    <w:p w14:paraId="28E28E0E" w14:textId="77777777" w:rsidR="00CE0AD2" w:rsidRDefault="00CE0AD2" w:rsidP="00CE0AD2">
      <w:pPr>
        <w:jc w:val="center"/>
        <w:rPr>
          <w:rFonts w:cs="Calibri"/>
          <w:b/>
          <w:bCs/>
        </w:rPr>
      </w:pPr>
    </w:p>
    <w:p w14:paraId="47A5BE3C" w14:textId="77777777" w:rsidR="00CE0AD2" w:rsidRPr="00CE0AD2" w:rsidRDefault="00CE0AD2" w:rsidP="00CE0AD2">
      <w:pPr>
        <w:jc w:val="center"/>
        <w:rPr>
          <w:rFonts w:cs="Calibri"/>
          <w:b/>
          <w:bCs/>
        </w:rPr>
      </w:pPr>
    </w:p>
    <w:p w14:paraId="3416B1D6" w14:textId="77777777" w:rsidR="00CE0AD2" w:rsidRPr="00CE0AD2" w:rsidRDefault="00CE0AD2" w:rsidP="00CE0AD2">
      <w:pPr>
        <w:jc w:val="center"/>
        <w:rPr>
          <w:rFonts w:cs="Calibri"/>
          <w:b/>
          <w:bCs/>
        </w:rPr>
      </w:pPr>
    </w:p>
    <w:p w14:paraId="586A1DA1" w14:textId="77777777" w:rsidR="00CE0AD2" w:rsidRPr="00CE0AD2" w:rsidRDefault="00CE0AD2" w:rsidP="00CE0AD2">
      <w:pPr>
        <w:jc w:val="center"/>
        <w:rPr>
          <w:rFonts w:cs="Calibri"/>
          <w:b/>
          <w:bCs/>
        </w:rPr>
      </w:pPr>
    </w:p>
    <w:p w14:paraId="1A829C64" w14:textId="77777777" w:rsidR="00CE0AD2" w:rsidRPr="00CE0AD2" w:rsidRDefault="00CE0AD2" w:rsidP="00CE0AD2">
      <w:pPr>
        <w:jc w:val="center"/>
        <w:rPr>
          <w:rFonts w:cs="Calibri"/>
          <w:b/>
          <w:bCs/>
        </w:rPr>
      </w:pPr>
    </w:p>
    <w:p w14:paraId="5DED3631" w14:textId="77777777" w:rsidR="00CE0AD2" w:rsidRPr="00CE0AD2" w:rsidRDefault="00CE0AD2" w:rsidP="00CE0AD2">
      <w:pPr>
        <w:jc w:val="center"/>
        <w:rPr>
          <w:rFonts w:cs="Calibri"/>
          <w:b/>
          <w:bCs/>
        </w:rPr>
      </w:pPr>
    </w:p>
    <w:p w14:paraId="5C73C76C" w14:textId="1A46442F" w:rsidR="00CE0AD2" w:rsidRPr="00F934BD" w:rsidRDefault="00F934BD" w:rsidP="00CE0AD2">
      <w:pPr>
        <w:jc w:val="center"/>
        <w:rPr>
          <w:rFonts w:cs="Calibri"/>
          <w:b/>
          <w:bCs/>
          <w:color w:val="156082" w:themeColor="accent1"/>
          <w:sz w:val="44"/>
          <w:szCs w:val="44"/>
        </w:rPr>
      </w:pPr>
      <w:r w:rsidRPr="00F934BD">
        <w:rPr>
          <w:rFonts w:cs="Calibri"/>
          <w:b/>
          <w:bCs/>
          <w:color w:val="156082" w:themeColor="accent1"/>
          <w:sz w:val="44"/>
          <w:szCs w:val="44"/>
        </w:rPr>
        <w:t xml:space="preserve">Massachusetts </w:t>
      </w:r>
      <w:r w:rsidR="00CE0AD2" w:rsidRPr="00F934BD">
        <w:rPr>
          <w:rFonts w:cs="Calibri"/>
          <w:b/>
          <w:bCs/>
          <w:color w:val="156082" w:themeColor="accent1"/>
          <w:sz w:val="44"/>
          <w:szCs w:val="44"/>
        </w:rPr>
        <w:t>Special Commission on Access to Behavioral Health Services for Children and Families</w:t>
      </w:r>
    </w:p>
    <w:p w14:paraId="628AFD42" w14:textId="3D0B158A" w:rsidR="00CE0AD2" w:rsidRPr="00F934BD" w:rsidRDefault="00CE0AD2" w:rsidP="00CE0AD2">
      <w:pPr>
        <w:rPr>
          <w:rFonts w:cs="Calibri"/>
          <w:b/>
          <w:bCs/>
          <w:color w:val="156082" w:themeColor="accent1"/>
          <w:sz w:val="44"/>
          <w:szCs w:val="44"/>
        </w:rPr>
      </w:pPr>
    </w:p>
    <w:p w14:paraId="4050CAF9" w14:textId="77777777" w:rsidR="00CE0AD2" w:rsidRDefault="00CE0AD2" w:rsidP="00CE0AD2">
      <w:pPr>
        <w:rPr>
          <w:rFonts w:cs="Calibri"/>
          <w:b/>
          <w:bCs/>
          <w:color w:val="156082" w:themeColor="accent1"/>
          <w:sz w:val="40"/>
          <w:szCs w:val="40"/>
        </w:rPr>
      </w:pPr>
    </w:p>
    <w:p w14:paraId="0697D19F" w14:textId="30A2A688" w:rsidR="00CE0AD2" w:rsidRDefault="00CE0AD2" w:rsidP="00CE0AD2">
      <w:pPr>
        <w:jc w:val="center"/>
        <w:rPr>
          <w:rFonts w:cs="Calibri"/>
          <w:b/>
          <w:bCs/>
          <w:sz w:val="28"/>
          <w:szCs w:val="28"/>
        </w:rPr>
      </w:pPr>
      <w:r w:rsidRPr="00410451">
        <w:rPr>
          <w:rFonts w:cs="Calibri"/>
          <w:b/>
          <w:bCs/>
          <w:sz w:val="28"/>
          <w:szCs w:val="28"/>
        </w:rPr>
        <w:t>Established with the enactment of the FY2026 Budget</w:t>
      </w:r>
    </w:p>
    <w:p w14:paraId="7B47797D" w14:textId="77777777" w:rsidR="00854E37" w:rsidRPr="00410451" w:rsidRDefault="00854E37" w:rsidP="00CE0AD2">
      <w:pPr>
        <w:jc w:val="center"/>
        <w:rPr>
          <w:rFonts w:cs="Calibri"/>
          <w:b/>
          <w:bCs/>
          <w:sz w:val="28"/>
          <w:szCs w:val="28"/>
        </w:rPr>
      </w:pPr>
    </w:p>
    <w:p w14:paraId="1257E6BD" w14:textId="639B1293" w:rsidR="00CE0AD2" w:rsidRPr="00410451" w:rsidRDefault="00CE0AD2" w:rsidP="00CE0AD2">
      <w:pPr>
        <w:jc w:val="center"/>
        <w:rPr>
          <w:rFonts w:cs="Calibri"/>
          <w:b/>
          <w:bCs/>
          <w:sz w:val="28"/>
          <w:szCs w:val="28"/>
        </w:rPr>
      </w:pPr>
      <w:r w:rsidRPr="00410451">
        <w:rPr>
          <w:rFonts w:cs="Calibri"/>
          <w:b/>
          <w:bCs/>
          <w:sz w:val="28"/>
          <w:szCs w:val="28"/>
        </w:rPr>
        <w:t>Sub</w:t>
      </w:r>
      <w:r w:rsidRPr="00FF796F">
        <w:rPr>
          <w:rFonts w:cs="Calibri"/>
          <w:b/>
          <w:bCs/>
          <w:sz w:val="28"/>
          <w:szCs w:val="28"/>
        </w:rPr>
        <w:t>mitted June 30, 2026</w:t>
      </w:r>
    </w:p>
    <w:p w14:paraId="13D1D86F" w14:textId="3925A4BB" w:rsidR="00CE0AD2" w:rsidRPr="00CE0AD2" w:rsidRDefault="00CE0AD2" w:rsidP="00CE0AD2">
      <w:pPr>
        <w:jc w:val="center"/>
        <w:rPr>
          <w:rFonts w:cs="Calibri"/>
          <w:b/>
          <w:bCs/>
          <w:color w:val="156082" w:themeColor="accent1"/>
        </w:rPr>
      </w:pPr>
    </w:p>
    <w:p w14:paraId="2AD3FC0B" w14:textId="742D7305" w:rsidR="00CE0AD2" w:rsidRPr="00CE0AD2" w:rsidRDefault="00CE0AD2">
      <w:pPr>
        <w:rPr>
          <w:rFonts w:cs="Calibri"/>
          <w:b/>
          <w:bCs/>
        </w:rPr>
      </w:pPr>
      <w:r>
        <w:rPr>
          <w:rFonts w:cs="Calibri"/>
          <w:b/>
          <w:bCs/>
          <w:noProof/>
        </w:rPr>
        <w:drawing>
          <wp:anchor distT="0" distB="0" distL="114300" distR="114300" simplePos="0" relativeHeight="251658241" behindDoc="0" locked="0" layoutInCell="1" allowOverlap="1" wp14:anchorId="0AE10B07" wp14:editId="2666BCE6">
            <wp:simplePos x="0" y="0"/>
            <wp:positionH relativeFrom="margin">
              <wp:posOffset>2482850</wp:posOffset>
            </wp:positionH>
            <wp:positionV relativeFrom="margin">
              <wp:posOffset>7085339</wp:posOffset>
            </wp:positionV>
            <wp:extent cx="977900" cy="977900"/>
            <wp:effectExtent l="0" t="0" r="0" b="0"/>
            <wp:wrapSquare wrapText="bothSides"/>
            <wp:docPr id="28126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62576" name="Picture 281262576"/>
                    <pic:cNvPicPr/>
                  </pic:nvPicPr>
                  <pic:blipFill>
                    <a:blip r:embed="rId8">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14:sizeRelH relativeFrom="margin">
              <wp14:pctWidth>0</wp14:pctWidth>
            </wp14:sizeRelH>
            <wp14:sizeRelV relativeFrom="margin">
              <wp14:pctHeight>0</wp14:pctHeight>
            </wp14:sizeRelV>
          </wp:anchor>
        </w:drawing>
      </w:r>
      <w:r w:rsidRPr="00CE0AD2">
        <w:rPr>
          <w:rFonts w:cs="Calibri"/>
          <w:b/>
          <w:bCs/>
        </w:rPr>
        <w:br w:type="page"/>
      </w:r>
    </w:p>
    <w:p w14:paraId="7790B3F2" w14:textId="4DC657B1" w:rsidR="00CE0AD2" w:rsidRPr="00F934BD" w:rsidRDefault="00CE0AD2" w:rsidP="00CE0AD2">
      <w:pPr>
        <w:rPr>
          <w:rFonts w:cs="Calibri"/>
          <w:b/>
          <w:bCs/>
          <w:u w:val="single"/>
        </w:rPr>
      </w:pPr>
      <w:r w:rsidRPr="00F934BD">
        <w:rPr>
          <w:rFonts w:cs="Calibri"/>
          <w:b/>
          <w:bCs/>
          <w:u w:val="single"/>
        </w:rPr>
        <w:lastRenderedPageBreak/>
        <w:t>Table of Contents</w:t>
      </w:r>
    </w:p>
    <w:p w14:paraId="37D7AE49" w14:textId="7A4D4A05" w:rsidR="00CE0AD2" w:rsidRPr="007B1C9C" w:rsidRDefault="00CE0AD2" w:rsidP="00BE4783">
      <w:pPr>
        <w:pStyle w:val="ListParagraph"/>
        <w:numPr>
          <w:ilvl w:val="0"/>
          <w:numId w:val="5"/>
        </w:numPr>
        <w:rPr>
          <w:rFonts w:cs="Calibri"/>
        </w:rPr>
      </w:pPr>
      <w:r w:rsidRPr="007B1C9C">
        <w:rPr>
          <w:rFonts w:cs="Calibri"/>
        </w:rPr>
        <w:t>Executive Summary</w:t>
      </w:r>
    </w:p>
    <w:p w14:paraId="20C15018" w14:textId="55604ECD" w:rsidR="00CE0AD2" w:rsidRDefault="00F52BB3" w:rsidP="00BE4783">
      <w:pPr>
        <w:pStyle w:val="ListParagraph"/>
        <w:numPr>
          <w:ilvl w:val="0"/>
          <w:numId w:val="5"/>
        </w:numPr>
        <w:rPr>
          <w:rFonts w:cs="Calibri"/>
        </w:rPr>
      </w:pPr>
      <w:r>
        <w:rPr>
          <w:rFonts w:cs="Calibri"/>
        </w:rPr>
        <w:t>Commission</w:t>
      </w:r>
      <w:r w:rsidR="00C27DB5">
        <w:rPr>
          <w:rFonts w:cs="Calibri"/>
        </w:rPr>
        <w:t xml:space="preserve"> Overview</w:t>
      </w:r>
      <w:r>
        <w:rPr>
          <w:rFonts w:cs="Calibri"/>
        </w:rPr>
        <w:t xml:space="preserve"> </w:t>
      </w:r>
    </w:p>
    <w:p w14:paraId="472A43CC" w14:textId="5A6A1909" w:rsidR="00775C92" w:rsidRPr="00C53FFF" w:rsidRDefault="002A7580" w:rsidP="00BE4783">
      <w:pPr>
        <w:pStyle w:val="ListParagraph"/>
        <w:numPr>
          <w:ilvl w:val="0"/>
          <w:numId w:val="49"/>
        </w:numPr>
        <w:rPr>
          <w:rFonts w:cs="Calibri"/>
        </w:rPr>
      </w:pPr>
      <w:r w:rsidRPr="00C53FFF">
        <w:rPr>
          <w:rFonts w:cs="Calibri"/>
        </w:rPr>
        <w:t>Charge and Scope</w:t>
      </w:r>
    </w:p>
    <w:p w14:paraId="4E9F1CC4" w14:textId="03F34631" w:rsidR="002A7580" w:rsidRPr="00775C92" w:rsidRDefault="002A7580" w:rsidP="00BE4783">
      <w:pPr>
        <w:pStyle w:val="ListParagraph"/>
        <w:numPr>
          <w:ilvl w:val="0"/>
          <w:numId w:val="49"/>
        </w:numPr>
        <w:rPr>
          <w:rFonts w:cs="Calibri"/>
        </w:rPr>
      </w:pPr>
      <w:r w:rsidRPr="00775C92">
        <w:rPr>
          <w:rFonts w:cs="Calibri"/>
        </w:rPr>
        <w:t>Leadership and Structure</w:t>
      </w:r>
    </w:p>
    <w:p w14:paraId="61B78B91" w14:textId="1601B4D9" w:rsidR="00C53FFF" w:rsidRPr="00002750" w:rsidRDefault="00C53FFF" w:rsidP="00BE4783">
      <w:pPr>
        <w:pStyle w:val="ListParagraph"/>
        <w:numPr>
          <w:ilvl w:val="0"/>
          <w:numId w:val="5"/>
        </w:numPr>
        <w:rPr>
          <w:rFonts w:cs="Calibri"/>
        </w:rPr>
      </w:pPr>
      <w:r w:rsidRPr="00002750">
        <w:rPr>
          <w:rFonts w:cs="Calibri"/>
        </w:rPr>
        <w:t>Process and Organization of Work</w:t>
      </w:r>
    </w:p>
    <w:p w14:paraId="29135868" w14:textId="4A4D65E3" w:rsidR="00775C92" w:rsidRPr="00775C92" w:rsidRDefault="005C0EDB" w:rsidP="00BE4783">
      <w:pPr>
        <w:pStyle w:val="ListParagraph"/>
        <w:numPr>
          <w:ilvl w:val="0"/>
          <w:numId w:val="50"/>
        </w:numPr>
        <w:rPr>
          <w:rFonts w:cs="Calibri"/>
        </w:rPr>
      </w:pPr>
      <w:r w:rsidRPr="00775C92">
        <w:rPr>
          <w:rFonts w:cs="Calibri"/>
        </w:rPr>
        <w:t>Review of Prior Reports</w:t>
      </w:r>
    </w:p>
    <w:p w14:paraId="51344580" w14:textId="3DA030DC" w:rsidR="00702EF2" w:rsidRPr="00775C92" w:rsidRDefault="00702EF2" w:rsidP="00BE4783">
      <w:pPr>
        <w:pStyle w:val="ListParagraph"/>
        <w:numPr>
          <w:ilvl w:val="0"/>
          <w:numId w:val="50"/>
        </w:numPr>
        <w:rPr>
          <w:rFonts w:cs="Calibri"/>
        </w:rPr>
      </w:pPr>
      <w:r w:rsidRPr="00775C92">
        <w:rPr>
          <w:rFonts w:cs="Calibri"/>
        </w:rPr>
        <w:t>Formation of Workgroups</w:t>
      </w:r>
    </w:p>
    <w:p w14:paraId="37C65857" w14:textId="77777777" w:rsidR="00D50D3F" w:rsidRDefault="00E10550" w:rsidP="00BE4783">
      <w:pPr>
        <w:pStyle w:val="ListParagraph"/>
        <w:numPr>
          <w:ilvl w:val="0"/>
          <w:numId w:val="5"/>
        </w:numPr>
        <w:rPr>
          <w:rFonts w:cs="Calibri"/>
        </w:rPr>
      </w:pPr>
      <w:r>
        <w:rPr>
          <w:rFonts w:cs="Calibri"/>
        </w:rPr>
        <w:t xml:space="preserve">Policy </w:t>
      </w:r>
      <w:r w:rsidR="008E6B2B">
        <w:rPr>
          <w:rFonts w:cs="Calibri"/>
        </w:rPr>
        <w:t>Framework</w:t>
      </w:r>
    </w:p>
    <w:p w14:paraId="14AD2F64" w14:textId="487C1193" w:rsidR="00CE0AD2" w:rsidRPr="007B1C9C" w:rsidRDefault="004472F4" w:rsidP="00BE4783">
      <w:pPr>
        <w:pStyle w:val="ListParagraph"/>
        <w:numPr>
          <w:ilvl w:val="0"/>
          <w:numId w:val="5"/>
        </w:numPr>
        <w:rPr>
          <w:rFonts w:cs="Calibri"/>
        </w:rPr>
      </w:pPr>
      <w:r>
        <w:rPr>
          <w:rFonts w:cs="Calibri"/>
        </w:rPr>
        <w:t xml:space="preserve">Short-term </w:t>
      </w:r>
      <w:r w:rsidR="00CE0AD2" w:rsidRPr="007B1C9C">
        <w:rPr>
          <w:rFonts w:cs="Calibri"/>
        </w:rPr>
        <w:t>Recommendations</w:t>
      </w:r>
      <w:r w:rsidR="00800FAF">
        <w:rPr>
          <w:rFonts w:cs="Calibri"/>
        </w:rPr>
        <w:t xml:space="preserve"> &amp; Implementation Timeline</w:t>
      </w:r>
    </w:p>
    <w:p w14:paraId="5BE5EAA1" w14:textId="17D0AFB8" w:rsidR="00DF7021" w:rsidRPr="007B1C9C" w:rsidRDefault="004472F4" w:rsidP="00BE4783">
      <w:pPr>
        <w:pStyle w:val="ListParagraph"/>
        <w:numPr>
          <w:ilvl w:val="0"/>
          <w:numId w:val="5"/>
        </w:numPr>
        <w:rPr>
          <w:rFonts w:cs="Calibri"/>
        </w:rPr>
      </w:pPr>
      <w:r>
        <w:rPr>
          <w:rFonts w:cs="Calibri"/>
        </w:rPr>
        <w:t xml:space="preserve">Longer-term </w:t>
      </w:r>
      <w:r w:rsidR="00DF7021" w:rsidRPr="007B1C9C">
        <w:rPr>
          <w:rFonts w:cs="Calibri"/>
        </w:rPr>
        <w:t>Policy Recommendations Requiring State Investment</w:t>
      </w:r>
    </w:p>
    <w:p w14:paraId="47B4D65B" w14:textId="05F1A5B6" w:rsidR="00CE0AD2" w:rsidRPr="007B1C9C" w:rsidRDefault="003B0AAD" w:rsidP="00BE4783">
      <w:pPr>
        <w:pStyle w:val="ListParagraph"/>
        <w:numPr>
          <w:ilvl w:val="0"/>
          <w:numId w:val="5"/>
        </w:numPr>
        <w:rPr>
          <w:rFonts w:cs="Calibri"/>
        </w:rPr>
      </w:pPr>
      <w:r w:rsidRPr="007B1C9C">
        <w:rPr>
          <w:rFonts w:cs="Calibri"/>
        </w:rPr>
        <w:t>Appendi</w:t>
      </w:r>
      <w:r w:rsidR="007E6C2E">
        <w:rPr>
          <w:rFonts w:cs="Calibri"/>
        </w:rPr>
        <w:t>ces</w:t>
      </w:r>
    </w:p>
    <w:p w14:paraId="4AFFC4A2" w14:textId="3F5D4D72" w:rsidR="005E5DFD" w:rsidRPr="007B1C9C" w:rsidRDefault="005E5DFD" w:rsidP="00BE4783">
      <w:pPr>
        <w:pStyle w:val="ListParagraph"/>
        <w:numPr>
          <w:ilvl w:val="0"/>
          <w:numId w:val="51"/>
        </w:numPr>
        <w:ind w:left="1440"/>
        <w:rPr>
          <w:rFonts w:cs="Calibri"/>
        </w:rPr>
      </w:pPr>
      <w:r w:rsidRPr="007B1C9C">
        <w:rPr>
          <w:rFonts w:cs="Calibri"/>
        </w:rPr>
        <w:t>Appendix A</w:t>
      </w:r>
      <w:r w:rsidR="00645609">
        <w:rPr>
          <w:rFonts w:cs="Calibri"/>
        </w:rPr>
        <w:t xml:space="preserve"> –</w:t>
      </w:r>
      <w:r w:rsidRPr="007B1C9C">
        <w:rPr>
          <w:rFonts w:cs="Calibri"/>
        </w:rPr>
        <w:t xml:space="preserve"> </w:t>
      </w:r>
      <w:r w:rsidR="00726BC0">
        <w:rPr>
          <w:rFonts w:cs="Calibri"/>
        </w:rPr>
        <w:t xml:space="preserve">Full </w:t>
      </w:r>
      <w:r w:rsidR="00DD22F0">
        <w:rPr>
          <w:rFonts w:cs="Calibri"/>
        </w:rPr>
        <w:t>T</w:t>
      </w:r>
      <w:r w:rsidR="00726BC0">
        <w:rPr>
          <w:rFonts w:cs="Calibri"/>
        </w:rPr>
        <w:t xml:space="preserve">ext of </w:t>
      </w:r>
      <w:r w:rsidRPr="007B1C9C">
        <w:rPr>
          <w:rFonts w:cs="Calibri"/>
        </w:rPr>
        <w:t xml:space="preserve">Commission’s </w:t>
      </w:r>
      <w:r w:rsidR="00DD22F0">
        <w:rPr>
          <w:rFonts w:cs="Calibri"/>
        </w:rPr>
        <w:t>C</w:t>
      </w:r>
      <w:r w:rsidRPr="007B1C9C">
        <w:rPr>
          <w:rFonts w:cs="Calibri"/>
        </w:rPr>
        <w:t>harge</w:t>
      </w:r>
    </w:p>
    <w:p w14:paraId="435A8085" w14:textId="6F7EBE9F" w:rsidR="00726BC0" w:rsidRDefault="005E5DFD" w:rsidP="00BE4783">
      <w:pPr>
        <w:pStyle w:val="ListParagraph"/>
        <w:numPr>
          <w:ilvl w:val="0"/>
          <w:numId w:val="51"/>
        </w:numPr>
        <w:ind w:left="1440"/>
        <w:rPr>
          <w:rFonts w:cs="Calibri"/>
        </w:rPr>
      </w:pPr>
      <w:r w:rsidRPr="007B1C9C">
        <w:rPr>
          <w:rFonts w:cs="Calibri"/>
        </w:rPr>
        <w:t>Appendix B</w:t>
      </w:r>
      <w:r w:rsidR="00645609">
        <w:rPr>
          <w:rFonts w:cs="Calibri"/>
        </w:rPr>
        <w:t xml:space="preserve"> – </w:t>
      </w:r>
      <w:r w:rsidR="00726BC0">
        <w:rPr>
          <w:rFonts w:cs="Calibri"/>
        </w:rPr>
        <w:t xml:space="preserve">List of </w:t>
      </w:r>
      <w:r w:rsidRPr="007B1C9C">
        <w:rPr>
          <w:rFonts w:cs="Calibri"/>
        </w:rPr>
        <w:t xml:space="preserve">Commission </w:t>
      </w:r>
      <w:r w:rsidR="00DD22F0">
        <w:rPr>
          <w:rFonts w:cs="Calibri"/>
        </w:rPr>
        <w:t>M</w:t>
      </w:r>
      <w:r w:rsidRPr="007B1C9C">
        <w:rPr>
          <w:rFonts w:cs="Calibri"/>
        </w:rPr>
        <w:t>embers</w:t>
      </w:r>
    </w:p>
    <w:p w14:paraId="6ADB462B" w14:textId="51FB8EC4" w:rsidR="00E1053F" w:rsidRDefault="005E5DFD" w:rsidP="00BE4783">
      <w:pPr>
        <w:pStyle w:val="ListParagraph"/>
        <w:numPr>
          <w:ilvl w:val="0"/>
          <w:numId w:val="51"/>
        </w:numPr>
        <w:ind w:left="1440"/>
        <w:rPr>
          <w:rFonts w:cs="Calibri"/>
        </w:rPr>
      </w:pPr>
      <w:r w:rsidRPr="007B1C9C">
        <w:rPr>
          <w:rFonts w:cs="Calibri"/>
        </w:rPr>
        <w:t>Appendix C</w:t>
      </w:r>
      <w:r w:rsidR="00645609">
        <w:rPr>
          <w:rFonts w:cs="Calibri"/>
        </w:rPr>
        <w:t xml:space="preserve"> – </w:t>
      </w:r>
      <w:r w:rsidR="00E1053F" w:rsidRPr="00E1053F">
        <w:rPr>
          <w:rFonts w:cs="Calibri"/>
        </w:rPr>
        <w:t>Reports and Resources Reviewed by the Commission</w:t>
      </w:r>
    </w:p>
    <w:p w14:paraId="3321F911" w14:textId="06396B40" w:rsidR="00645609" w:rsidRDefault="005E5DFD" w:rsidP="00BE4783">
      <w:pPr>
        <w:pStyle w:val="ListParagraph"/>
        <w:numPr>
          <w:ilvl w:val="0"/>
          <w:numId w:val="51"/>
        </w:numPr>
        <w:ind w:left="1440"/>
        <w:rPr>
          <w:rFonts w:cs="Calibri"/>
        </w:rPr>
      </w:pPr>
      <w:r w:rsidRPr="007B1C9C">
        <w:rPr>
          <w:rFonts w:cs="Calibri"/>
        </w:rPr>
        <w:t xml:space="preserve">Appendix </w:t>
      </w:r>
      <w:r w:rsidR="00E1053F">
        <w:rPr>
          <w:rFonts w:cs="Calibri"/>
        </w:rPr>
        <w:t xml:space="preserve">D </w:t>
      </w:r>
      <w:r w:rsidR="00645609">
        <w:rPr>
          <w:rFonts w:cs="Calibri"/>
        </w:rPr>
        <w:t xml:space="preserve">– </w:t>
      </w:r>
      <w:r w:rsidRPr="007B1C9C">
        <w:rPr>
          <w:rFonts w:cs="Calibri"/>
        </w:rPr>
        <w:t xml:space="preserve">Workgroup #1 </w:t>
      </w:r>
      <w:r w:rsidR="00C44552">
        <w:rPr>
          <w:rFonts w:cs="Calibri"/>
        </w:rPr>
        <w:t>–</w:t>
      </w:r>
      <w:r w:rsidR="00726BC0">
        <w:rPr>
          <w:rFonts w:cs="Calibri"/>
        </w:rPr>
        <w:t xml:space="preserve"> </w:t>
      </w:r>
      <w:r w:rsidRPr="007B1C9C">
        <w:rPr>
          <w:rFonts w:cs="Calibri"/>
        </w:rPr>
        <w:t xml:space="preserve">Landscape </w:t>
      </w:r>
      <w:r w:rsidR="00AE264E">
        <w:rPr>
          <w:rFonts w:cs="Calibri"/>
        </w:rPr>
        <w:t xml:space="preserve">&amp; Funding </w:t>
      </w:r>
      <w:r w:rsidRPr="007B1C9C">
        <w:rPr>
          <w:rFonts w:cs="Calibri"/>
        </w:rPr>
        <w:t>Analysis</w:t>
      </w:r>
    </w:p>
    <w:p w14:paraId="27F935A3" w14:textId="145D9A9B" w:rsidR="00645609" w:rsidRDefault="005E5DFD" w:rsidP="00BE4783">
      <w:pPr>
        <w:pStyle w:val="ListParagraph"/>
        <w:numPr>
          <w:ilvl w:val="0"/>
          <w:numId w:val="51"/>
        </w:numPr>
        <w:ind w:left="1440" w:right="-180"/>
        <w:rPr>
          <w:rFonts w:cs="Calibri"/>
        </w:rPr>
      </w:pPr>
      <w:r w:rsidRPr="00645609">
        <w:rPr>
          <w:rFonts w:cs="Calibri"/>
        </w:rPr>
        <w:t xml:space="preserve">Appendix </w:t>
      </w:r>
      <w:r w:rsidR="00E1053F">
        <w:rPr>
          <w:rFonts w:cs="Calibri"/>
        </w:rPr>
        <w:t>E</w:t>
      </w:r>
      <w:r w:rsidR="00E1053F" w:rsidRPr="00645609">
        <w:rPr>
          <w:rFonts w:cs="Calibri"/>
        </w:rPr>
        <w:t xml:space="preserve"> </w:t>
      </w:r>
      <w:r w:rsidR="00645609" w:rsidRPr="00645609">
        <w:rPr>
          <w:rFonts w:cs="Calibri"/>
        </w:rPr>
        <w:t>–</w:t>
      </w:r>
      <w:r w:rsidRPr="00645609">
        <w:rPr>
          <w:rFonts w:cs="Calibri"/>
        </w:rPr>
        <w:t xml:space="preserve"> Workgroup #2 </w:t>
      </w:r>
      <w:r w:rsidR="00C44552">
        <w:rPr>
          <w:rFonts w:cs="Calibri"/>
        </w:rPr>
        <w:t>–</w:t>
      </w:r>
      <w:r w:rsidR="00726BC0" w:rsidRPr="00645609">
        <w:rPr>
          <w:rFonts w:cs="Calibri"/>
        </w:rPr>
        <w:t xml:space="preserve"> </w:t>
      </w:r>
      <w:r w:rsidRPr="00645609">
        <w:rPr>
          <w:rFonts w:cs="Calibri"/>
        </w:rPr>
        <w:t>Summary of Challenges and</w:t>
      </w:r>
      <w:r w:rsidR="00645609">
        <w:rPr>
          <w:rFonts w:cs="Calibri"/>
        </w:rPr>
        <w:t xml:space="preserve"> </w:t>
      </w:r>
      <w:r w:rsidRPr="00645609">
        <w:rPr>
          <w:rFonts w:cs="Calibri"/>
        </w:rPr>
        <w:t>Recommendations</w:t>
      </w:r>
    </w:p>
    <w:p w14:paraId="60FB95EB" w14:textId="090E8825" w:rsidR="00CE0AD2" w:rsidRPr="00645609" w:rsidRDefault="005E5DFD" w:rsidP="00BE4783">
      <w:pPr>
        <w:pStyle w:val="ListParagraph"/>
        <w:numPr>
          <w:ilvl w:val="0"/>
          <w:numId w:val="51"/>
        </w:numPr>
        <w:ind w:left="1440"/>
        <w:rPr>
          <w:rFonts w:cs="Calibri"/>
        </w:rPr>
      </w:pPr>
      <w:r w:rsidRPr="00645609">
        <w:rPr>
          <w:rFonts w:cs="Calibri"/>
        </w:rPr>
        <w:t xml:space="preserve">Appendix </w:t>
      </w:r>
      <w:r w:rsidR="00E1053F">
        <w:rPr>
          <w:rFonts w:cs="Calibri"/>
        </w:rPr>
        <w:t>F</w:t>
      </w:r>
      <w:r w:rsidR="00E1053F" w:rsidRPr="00645609">
        <w:rPr>
          <w:rFonts w:cs="Calibri"/>
        </w:rPr>
        <w:t xml:space="preserve"> </w:t>
      </w:r>
      <w:r w:rsidR="00645609" w:rsidRPr="00645609">
        <w:rPr>
          <w:rFonts w:cs="Calibri"/>
        </w:rPr>
        <w:t xml:space="preserve">– </w:t>
      </w:r>
      <w:r w:rsidRPr="00645609">
        <w:rPr>
          <w:rFonts w:cs="Calibri"/>
        </w:rPr>
        <w:t xml:space="preserve">Workgroup #3 </w:t>
      </w:r>
      <w:r w:rsidR="006819F7">
        <w:rPr>
          <w:rFonts w:cs="Calibri"/>
        </w:rPr>
        <w:t>–</w:t>
      </w:r>
      <w:r w:rsidR="00726BC0" w:rsidRPr="00645609">
        <w:rPr>
          <w:rFonts w:cs="Calibri"/>
        </w:rPr>
        <w:t xml:space="preserve"> </w:t>
      </w:r>
      <w:r w:rsidR="006819F7">
        <w:rPr>
          <w:rFonts w:cs="Calibri"/>
        </w:rPr>
        <w:t>Single Agency</w:t>
      </w:r>
      <w:r w:rsidR="00726BC0" w:rsidRPr="00645609">
        <w:rPr>
          <w:rFonts w:cs="Calibri"/>
        </w:rPr>
        <w:t xml:space="preserve"> </w:t>
      </w:r>
      <w:r w:rsidRPr="00645609">
        <w:rPr>
          <w:rFonts w:cs="Calibri"/>
        </w:rPr>
        <w:t xml:space="preserve">Evaluation </w:t>
      </w:r>
      <w:r w:rsidR="007B1C9C" w:rsidRPr="00645609">
        <w:rPr>
          <w:rFonts w:cs="Calibri"/>
        </w:rPr>
        <w:t>Report</w:t>
      </w:r>
    </w:p>
    <w:p w14:paraId="7B92F2B8" w14:textId="77777777" w:rsidR="00F934BD" w:rsidRDefault="00F934BD" w:rsidP="00CE0AD2">
      <w:pPr>
        <w:rPr>
          <w:rFonts w:cs="Calibri"/>
          <w:b/>
          <w:bCs/>
        </w:rPr>
      </w:pPr>
    </w:p>
    <w:p w14:paraId="49C7C4AF" w14:textId="05736E34" w:rsidR="009777A9" w:rsidRDefault="009777A9">
      <w:pPr>
        <w:rPr>
          <w:rFonts w:cs="Calibri"/>
          <w:b/>
          <w:bCs/>
          <w:u w:val="single"/>
        </w:rPr>
      </w:pPr>
      <w:r>
        <w:rPr>
          <w:rFonts w:cs="Calibri"/>
          <w:b/>
          <w:bCs/>
          <w:u w:val="single"/>
        </w:rPr>
        <w:br w:type="page"/>
      </w:r>
    </w:p>
    <w:p w14:paraId="4DFACC1E" w14:textId="5E0D92DB" w:rsidR="00CE0AD2" w:rsidRPr="00210844" w:rsidRDefault="00CE0AD2" w:rsidP="00BE4783">
      <w:pPr>
        <w:pStyle w:val="ListParagraph"/>
        <w:numPr>
          <w:ilvl w:val="0"/>
          <w:numId w:val="6"/>
        </w:numPr>
        <w:rPr>
          <w:rFonts w:cs="Calibri"/>
          <w:b/>
          <w:bCs/>
          <w:sz w:val="22"/>
          <w:szCs w:val="22"/>
          <w:u w:val="single"/>
        </w:rPr>
      </w:pPr>
      <w:r w:rsidRPr="00210844">
        <w:rPr>
          <w:rFonts w:cs="Calibri"/>
          <w:b/>
          <w:bCs/>
          <w:sz w:val="22"/>
          <w:szCs w:val="22"/>
          <w:u w:val="single"/>
        </w:rPr>
        <w:t>Executive Summary</w:t>
      </w:r>
    </w:p>
    <w:p w14:paraId="5A6E322E" w14:textId="04712F34" w:rsidR="008E0B62" w:rsidRPr="00210844" w:rsidRDefault="00CE0AD2" w:rsidP="00CE0AD2">
      <w:pPr>
        <w:rPr>
          <w:rFonts w:cs="Calibri"/>
          <w:sz w:val="22"/>
          <w:szCs w:val="22"/>
        </w:rPr>
      </w:pPr>
      <w:r w:rsidRPr="00210844">
        <w:rPr>
          <w:rFonts w:cs="Calibri"/>
          <w:sz w:val="22"/>
          <w:szCs w:val="22"/>
        </w:rPr>
        <w:t xml:space="preserve">The Special Commission on Access to Behavioral Health Services for Children and Families was convened </w:t>
      </w:r>
      <w:r w:rsidR="00915733">
        <w:rPr>
          <w:rFonts w:cs="Calibri"/>
          <w:sz w:val="22"/>
          <w:szCs w:val="22"/>
        </w:rPr>
        <w:t xml:space="preserve">with a two-fold </w:t>
      </w:r>
      <w:r w:rsidR="00DB1B7F">
        <w:rPr>
          <w:rFonts w:cs="Calibri"/>
          <w:sz w:val="22"/>
          <w:szCs w:val="22"/>
        </w:rPr>
        <w:t>goal</w:t>
      </w:r>
      <w:r w:rsidR="00C04B76">
        <w:rPr>
          <w:rFonts w:cs="Calibri"/>
          <w:sz w:val="22"/>
          <w:szCs w:val="22"/>
        </w:rPr>
        <w:t xml:space="preserve"> to</w:t>
      </w:r>
      <w:r w:rsidR="00DB1B7F">
        <w:rPr>
          <w:rFonts w:cs="Calibri"/>
          <w:sz w:val="22"/>
          <w:szCs w:val="22"/>
        </w:rPr>
        <w:t xml:space="preserve">: 1) </w:t>
      </w:r>
      <w:r w:rsidRPr="00210844">
        <w:rPr>
          <w:rFonts w:cs="Calibri"/>
          <w:sz w:val="22"/>
          <w:szCs w:val="22"/>
        </w:rPr>
        <w:t xml:space="preserve">examine </w:t>
      </w:r>
      <w:r w:rsidR="00F75844">
        <w:rPr>
          <w:rFonts w:cs="Calibri"/>
          <w:sz w:val="22"/>
          <w:szCs w:val="22"/>
        </w:rPr>
        <w:t>the</w:t>
      </w:r>
      <w:r w:rsidRPr="00210844">
        <w:rPr>
          <w:rFonts w:cs="Calibri"/>
          <w:sz w:val="22"/>
          <w:szCs w:val="22"/>
        </w:rPr>
        <w:t xml:space="preserve"> barriers that prevent children, youth, and families in Massachusetts from obtaining timely, appropriate, culturally</w:t>
      </w:r>
      <w:r w:rsidR="00A97BE1">
        <w:rPr>
          <w:rFonts w:cs="Calibri"/>
          <w:sz w:val="22"/>
          <w:szCs w:val="22"/>
        </w:rPr>
        <w:t>-</w:t>
      </w:r>
      <w:r w:rsidRPr="00210844">
        <w:rPr>
          <w:rFonts w:cs="Calibri"/>
          <w:sz w:val="22"/>
          <w:szCs w:val="22"/>
        </w:rPr>
        <w:t xml:space="preserve">responsive behavioral health care, and </w:t>
      </w:r>
      <w:r w:rsidR="00C04B76">
        <w:rPr>
          <w:rFonts w:cs="Calibri"/>
          <w:sz w:val="22"/>
          <w:szCs w:val="22"/>
        </w:rPr>
        <w:t>2)</w:t>
      </w:r>
      <w:r w:rsidR="00C04B76" w:rsidRPr="00210844">
        <w:rPr>
          <w:rFonts w:cs="Calibri"/>
          <w:sz w:val="22"/>
          <w:szCs w:val="22"/>
        </w:rPr>
        <w:t xml:space="preserve"> </w:t>
      </w:r>
      <w:r w:rsidRPr="00210844">
        <w:rPr>
          <w:rFonts w:cs="Calibri"/>
          <w:sz w:val="22"/>
          <w:szCs w:val="22"/>
        </w:rPr>
        <w:t>recommend</w:t>
      </w:r>
      <w:r w:rsidR="00AE5793">
        <w:rPr>
          <w:rFonts w:cs="Calibri"/>
          <w:sz w:val="22"/>
          <w:szCs w:val="22"/>
        </w:rPr>
        <w:t xml:space="preserve"> </w:t>
      </w:r>
      <w:r w:rsidRPr="00210844">
        <w:rPr>
          <w:rFonts w:cs="Calibri"/>
          <w:sz w:val="22"/>
          <w:szCs w:val="22"/>
        </w:rPr>
        <w:t>policy, operational, and investment strategies to strengthen the Commonwealth’s child and family behavioral health continuum</w:t>
      </w:r>
      <w:r w:rsidR="008E0B62" w:rsidRPr="00210844">
        <w:rPr>
          <w:rFonts w:cs="Calibri"/>
          <w:sz w:val="22"/>
          <w:szCs w:val="22"/>
        </w:rPr>
        <w:t>.</w:t>
      </w:r>
    </w:p>
    <w:p w14:paraId="19BEABD4" w14:textId="5F6DE76A" w:rsidR="00CE0AD2" w:rsidRPr="00210844" w:rsidRDefault="00CE0AD2" w:rsidP="00CE0AD2">
      <w:pPr>
        <w:rPr>
          <w:rFonts w:cs="Calibri"/>
          <w:sz w:val="22"/>
          <w:szCs w:val="22"/>
        </w:rPr>
      </w:pPr>
      <w:r w:rsidRPr="00210844">
        <w:rPr>
          <w:rFonts w:cs="Calibri"/>
          <w:sz w:val="22"/>
          <w:szCs w:val="22"/>
        </w:rPr>
        <w:t>The Commission’s work occur</w:t>
      </w:r>
      <w:r w:rsidR="00C400CD">
        <w:rPr>
          <w:rFonts w:cs="Calibri"/>
          <w:sz w:val="22"/>
          <w:szCs w:val="22"/>
        </w:rPr>
        <w:t>r</w:t>
      </w:r>
      <w:r w:rsidR="002A4447">
        <w:rPr>
          <w:rFonts w:cs="Calibri"/>
          <w:sz w:val="22"/>
          <w:szCs w:val="22"/>
        </w:rPr>
        <w:t>ed</w:t>
      </w:r>
      <w:r w:rsidRPr="00210844">
        <w:rPr>
          <w:rFonts w:cs="Calibri"/>
          <w:sz w:val="22"/>
          <w:szCs w:val="22"/>
        </w:rPr>
        <w:t xml:space="preserve"> in the context of </w:t>
      </w:r>
      <w:r w:rsidR="002B4E5F">
        <w:rPr>
          <w:rFonts w:cs="Calibri"/>
          <w:sz w:val="22"/>
          <w:szCs w:val="22"/>
        </w:rPr>
        <w:t>bu</w:t>
      </w:r>
      <w:r w:rsidR="00151CDD">
        <w:rPr>
          <w:rFonts w:cs="Calibri"/>
          <w:sz w:val="22"/>
          <w:szCs w:val="22"/>
        </w:rPr>
        <w:t>dgetary constraints</w:t>
      </w:r>
      <w:r w:rsidR="002B4E5F">
        <w:rPr>
          <w:rFonts w:cs="Calibri"/>
          <w:sz w:val="22"/>
          <w:szCs w:val="22"/>
        </w:rPr>
        <w:t>;</w:t>
      </w:r>
      <w:r w:rsidRPr="00210844">
        <w:rPr>
          <w:rFonts w:cs="Calibri"/>
          <w:sz w:val="22"/>
          <w:szCs w:val="22"/>
        </w:rPr>
        <w:t xml:space="preserve"> high and persistent demand for child and adolescent behavioral health services; workforce shortages across outpatient, community-based, crisis, residential, school-based, and intensive levels of care; uneven access to services by geography, insurance type, language, disability status, race and ethnicity, and family circumstance; and ongoing pressure on families, schools, emergency departments, state agencies, and community providers. Massachusetts</w:t>
      </w:r>
      <w:r w:rsidRPr="00210844" w:rsidDel="00446A09">
        <w:rPr>
          <w:rFonts w:cs="Calibri"/>
          <w:sz w:val="22"/>
          <w:szCs w:val="22"/>
        </w:rPr>
        <w:t xml:space="preserve"> </w:t>
      </w:r>
      <w:r w:rsidR="00446A09">
        <w:rPr>
          <w:rFonts w:cs="Calibri"/>
          <w:sz w:val="22"/>
          <w:szCs w:val="22"/>
        </w:rPr>
        <w:t>recently</w:t>
      </w:r>
      <w:r w:rsidRPr="00210844">
        <w:rPr>
          <w:rFonts w:cs="Calibri"/>
          <w:sz w:val="22"/>
          <w:szCs w:val="22"/>
        </w:rPr>
        <w:t xml:space="preserve"> made significant investments in behavioral health access, including the Behavioral Health Help Line, Community Behavioral Health Centers, Behavioral Health Urgent Care, and related reforms. The Commission’s recommendations are intended to build on th</w:t>
      </w:r>
      <w:r w:rsidR="00645338">
        <w:rPr>
          <w:rFonts w:cs="Calibri"/>
          <w:sz w:val="22"/>
          <w:szCs w:val="22"/>
        </w:rPr>
        <w:t>e</w:t>
      </w:r>
      <w:r w:rsidRPr="00210844">
        <w:rPr>
          <w:rFonts w:cs="Calibri"/>
          <w:sz w:val="22"/>
          <w:szCs w:val="22"/>
        </w:rPr>
        <w:t>se investments</w:t>
      </w:r>
      <w:r w:rsidR="00E7362F" w:rsidRPr="00210844">
        <w:rPr>
          <w:rFonts w:cs="Calibri"/>
          <w:sz w:val="22"/>
          <w:szCs w:val="22"/>
        </w:rPr>
        <w:t xml:space="preserve">, </w:t>
      </w:r>
      <w:r w:rsidRPr="00210844">
        <w:rPr>
          <w:rFonts w:cs="Calibri"/>
          <w:sz w:val="22"/>
          <w:szCs w:val="22"/>
        </w:rPr>
        <w:t>addressing remaining gaps in access, coordination, prevention, capacity, and accountability</w:t>
      </w:r>
      <w:r w:rsidR="00A203BB">
        <w:rPr>
          <w:rFonts w:cs="Calibri"/>
          <w:sz w:val="22"/>
          <w:szCs w:val="22"/>
        </w:rPr>
        <w:t xml:space="preserve">. Recommendations </w:t>
      </w:r>
      <w:r w:rsidR="00C76C47">
        <w:rPr>
          <w:rFonts w:cs="Calibri"/>
          <w:sz w:val="22"/>
          <w:szCs w:val="22"/>
        </w:rPr>
        <w:t>are</w:t>
      </w:r>
      <w:r w:rsidR="00A203BB">
        <w:rPr>
          <w:rFonts w:cs="Calibri"/>
          <w:sz w:val="22"/>
          <w:szCs w:val="22"/>
        </w:rPr>
        <w:t xml:space="preserve"> </w:t>
      </w:r>
      <w:r w:rsidR="00E7362F" w:rsidRPr="00210844">
        <w:rPr>
          <w:rFonts w:cs="Calibri"/>
          <w:sz w:val="22"/>
          <w:szCs w:val="22"/>
        </w:rPr>
        <w:t>prioritize</w:t>
      </w:r>
      <w:r w:rsidR="00A203BB">
        <w:rPr>
          <w:rFonts w:cs="Calibri"/>
          <w:sz w:val="22"/>
          <w:szCs w:val="22"/>
        </w:rPr>
        <w:t xml:space="preserve">d </w:t>
      </w:r>
      <w:r w:rsidR="00E7362F" w:rsidRPr="00210844">
        <w:rPr>
          <w:rFonts w:cs="Calibri"/>
          <w:sz w:val="22"/>
          <w:szCs w:val="22"/>
        </w:rPr>
        <w:t xml:space="preserve">based on </w:t>
      </w:r>
      <w:r w:rsidR="00C76C47">
        <w:rPr>
          <w:rFonts w:cs="Calibri"/>
          <w:sz w:val="22"/>
          <w:szCs w:val="22"/>
        </w:rPr>
        <w:t>their</w:t>
      </w:r>
      <w:r w:rsidR="00E7362F" w:rsidRPr="00210844">
        <w:rPr>
          <w:rFonts w:cs="Calibri"/>
          <w:sz w:val="22"/>
          <w:szCs w:val="22"/>
        </w:rPr>
        <w:t xml:space="preserve"> feasibility and potential impact, while acknowledging the current budgetary climate the</w:t>
      </w:r>
      <w:r w:rsidR="00D73495" w:rsidRPr="00210844">
        <w:rPr>
          <w:rFonts w:cs="Calibri"/>
          <w:sz w:val="22"/>
          <w:szCs w:val="22"/>
        </w:rPr>
        <w:t xml:space="preserve"> Commonwealth faces, as it </w:t>
      </w:r>
      <w:r w:rsidR="00E7362F" w:rsidRPr="00210844">
        <w:rPr>
          <w:rFonts w:cs="Calibri"/>
          <w:sz w:val="22"/>
          <w:szCs w:val="22"/>
        </w:rPr>
        <w:t xml:space="preserve">receives significantly less </w:t>
      </w:r>
      <w:r w:rsidR="00D73495" w:rsidRPr="00210844">
        <w:rPr>
          <w:rFonts w:cs="Calibri"/>
          <w:sz w:val="22"/>
          <w:szCs w:val="22"/>
        </w:rPr>
        <w:t xml:space="preserve">in anticipated </w:t>
      </w:r>
      <w:r w:rsidR="00E7362F" w:rsidRPr="00210844">
        <w:rPr>
          <w:rFonts w:cs="Calibri"/>
          <w:sz w:val="22"/>
          <w:szCs w:val="22"/>
        </w:rPr>
        <w:t>federal support</w:t>
      </w:r>
      <w:r w:rsidRPr="00210844">
        <w:rPr>
          <w:rFonts w:cs="Calibri"/>
          <w:sz w:val="22"/>
          <w:szCs w:val="22"/>
        </w:rPr>
        <w:t>.</w:t>
      </w:r>
    </w:p>
    <w:p w14:paraId="42D29338" w14:textId="06E731B4" w:rsidR="00CE0AD2" w:rsidRPr="00210844" w:rsidRDefault="00130AEB" w:rsidP="00CE0AD2">
      <w:pPr>
        <w:rPr>
          <w:rFonts w:cs="Calibri"/>
          <w:sz w:val="22"/>
          <w:szCs w:val="22"/>
        </w:rPr>
      </w:pPr>
      <w:r>
        <w:rPr>
          <w:rFonts w:cs="Calibri"/>
          <w:sz w:val="22"/>
          <w:szCs w:val="22"/>
        </w:rPr>
        <w:t>T</w:t>
      </w:r>
      <w:r w:rsidR="009777A9" w:rsidRPr="00210844">
        <w:rPr>
          <w:rFonts w:cs="Calibri"/>
          <w:sz w:val="22"/>
          <w:szCs w:val="22"/>
        </w:rPr>
        <w:t>he Commission</w:t>
      </w:r>
      <w:r w:rsidR="00FD35AF">
        <w:rPr>
          <w:rFonts w:cs="Calibri"/>
          <w:sz w:val="22"/>
          <w:szCs w:val="22"/>
        </w:rPr>
        <w:t xml:space="preserve"> held full Commission</w:t>
      </w:r>
      <w:r w:rsidR="009777A9" w:rsidRPr="00210844">
        <w:rPr>
          <w:rFonts w:cs="Calibri"/>
          <w:sz w:val="22"/>
          <w:szCs w:val="22"/>
        </w:rPr>
        <w:t xml:space="preserve"> </w:t>
      </w:r>
      <w:r w:rsidR="00CE0AD2" w:rsidRPr="00210844">
        <w:rPr>
          <w:rFonts w:cs="Calibri"/>
          <w:sz w:val="22"/>
          <w:szCs w:val="22"/>
        </w:rPr>
        <w:t>meetings</w:t>
      </w:r>
      <w:r w:rsidR="00FD35AF">
        <w:rPr>
          <w:rFonts w:cs="Calibri"/>
          <w:sz w:val="22"/>
          <w:szCs w:val="22"/>
        </w:rPr>
        <w:t xml:space="preserve"> and</w:t>
      </w:r>
      <w:r w:rsidR="00CE0AD2" w:rsidRPr="00210844" w:rsidDel="00FD35AF">
        <w:rPr>
          <w:rFonts w:cs="Calibri"/>
          <w:sz w:val="22"/>
          <w:szCs w:val="22"/>
        </w:rPr>
        <w:t xml:space="preserve"> </w:t>
      </w:r>
      <w:r w:rsidR="00FD35AF">
        <w:rPr>
          <w:rFonts w:cs="Calibri"/>
          <w:sz w:val="22"/>
          <w:szCs w:val="22"/>
        </w:rPr>
        <w:t>smaller</w:t>
      </w:r>
      <w:r w:rsidR="00CE0AD2" w:rsidRPr="00210844">
        <w:rPr>
          <w:rFonts w:cs="Calibri"/>
          <w:sz w:val="22"/>
          <w:szCs w:val="22"/>
        </w:rPr>
        <w:t xml:space="preserve"> workgroup discussions, </w:t>
      </w:r>
      <w:r w:rsidR="00FD35AF">
        <w:rPr>
          <w:rFonts w:cs="Calibri"/>
          <w:sz w:val="22"/>
          <w:szCs w:val="22"/>
        </w:rPr>
        <w:t xml:space="preserve">reviewed </w:t>
      </w:r>
      <w:r w:rsidR="00CE0AD2" w:rsidRPr="00210844">
        <w:rPr>
          <w:rFonts w:cs="Calibri"/>
          <w:sz w:val="22"/>
          <w:szCs w:val="22"/>
        </w:rPr>
        <w:t>prior reports</w:t>
      </w:r>
      <w:r w:rsidR="000014EC">
        <w:rPr>
          <w:rFonts w:cs="Calibri"/>
          <w:sz w:val="22"/>
          <w:szCs w:val="22"/>
        </w:rPr>
        <w:t xml:space="preserve"> thoroughly</w:t>
      </w:r>
      <w:r w:rsidR="00CE0AD2" w:rsidRPr="00210844">
        <w:rPr>
          <w:rFonts w:cs="Calibri"/>
          <w:sz w:val="22"/>
          <w:szCs w:val="22"/>
        </w:rPr>
        <w:t xml:space="preserve">, and </w:t>
      </w:r>
      <w:r w:rsidR="000014EC">
        <w:rPr>
          <w:rFonts w:cs="Calibri"/>
          <w:sz w:val="22"/>
          <w:szCs w:val="22"/>
        </w:rPr>
        <w:t xml:space="preserve">sought </w:t>
      </w:r>
      <w:r w:rsidR="00CE0AD2" w:rsidRPr="00210844">
        <w:rPr>
          <w:rFonts w:cs="Calibri"/>
          <w:sz w:val="22"/>
          <w:szCs w:val="22"/>
        </w:rPr>
        <w:t>stakeholder input</w:t>
      </w:r>
      <w:r>
        <w:rPr>
          <w:rFonts w:cs="Calibri"/>
          <w:sz w:val="22"/>
          <w:szCs w:val="22"/>
        </w:rPr>
        <w:t xml:space="preserve">. From this </w:t>
      </w:r>
      <w:r w:rsidR="00E33906">
        <w:rPr>
          <w:rFonts w:cs="Calibri"/>
          <w:sz w:val="22"/>
          <w:szCs w:val="22"/>
        </w:rPr>
        <w:t>work</w:t>
      </w:r>
      <w:r w:rsidR="00CE0AD2" w:rsidRPr="00210844">
        <w:rPr>
          <w:rFonts w:cs="Calibri"/>
          <w:sz w:val="22"/>
          <w:szCs w:val="22"/>
        </w:rPr>
        <w:t>, several themes emerged:</w:t>
      </w:r>
    </w:p>
    <w:p w14:paraId="2366B5D2" w14:textId="77777777" w:rsidR="00CE0AD2" w:rsidRPr="00210844" w:rsidRDefault="00CE0AD2" w:rsidP="00CE0AD2">
      <w:pPr>
        <w:numPr>
          <w:ilvl w:val="0"/>
          <w:numId w:val="1"/>
        </w:numPr>
        <w:rPr>
          <w:rFonts w:cs="Calibri"/>
          <w:sz w:val="22"/>
          <w:szCs w:val="22"/>
        </w:rPr>
      </w:pPr>
      <w:r w:rsidRPr="00210844">
        <w:rPr>
          <w:rFonts w:cs="Calibri"/>
          <w:sz w:val="22"/>
          <w:szCs w:val="22"/>
        </w:rPr>
        <w:t>Families need a simpler, more navigable system with a clear “front door” and warm handoffs across services.</w:t>
      </w:r>
    </w:p>
    <w:p w14:paraId="3659F109" w14:textId="77777777" w:rsidR="00CE0AD2" w:rsidRPr="00210844" w:rsidRDefault="00CE0AD2" w:rsidP="00CE0AD2">
      <w:pPr>
        <w:numPr>
          <w:ilvl w:val="0"/>
          <w:numId w:val="1"/>
        </w:numPr>
        <w:rPr>
          <w:rFonts w:cs="Calibri"/>
          <w:sz w:val="22"/>
          <w:szCs w:val="22"/>
        </w:rPr>
      </w:pPr>
      <w:r w:rsidRPr="00210844">
        <w:rPr>
          <w:rFonts w:cs="Calibri"/>
          <w:sz w:val="22"/>
          <w:szCs w:val="22"/>
        </w:rPr>
        <w:t>Children and youth need access to the right intensity of care at the right time, not only after crisis escalation.</w:t>
      </w:r>
    </w:p>
    <w:p w14:paraId="3380C581" w14:textId="77777777" w:rsidR="00CE0AD2" w:rsidRPr="00210844" w:rsidRDefault="00CE0AD2" w:rsidP="00CE0AD2">
      <w:pPr>
        <w:numPr>
          <w:ilvl w:val="0"/>
          <w:numId w:val="1"/>
        </w:numPr>
        <w:rPr>
          <w:rFonts w:cs="Calibri"/>
          <w:sz w:val="22"/>
          <w:szCs w:val="22"/>
        </w:rPr>
      </w:pPr>
      <w:r w:rsidRPr="00210844">
        <w:rPr>
          <w:rFonts w:cs="Calibri"/>
          <w:sz w:val="22"/>
          <w:szCs w:val="22"/>
        </w:rPr>
        <w:t>Workforce capacity and reimbursement are central constraints across the continuum.</w:t>
      </w:r>
    </w:p>
    <w:p w14:paraId="6E25BA88" w14:textId="77777777" w:rsidR="00CE0AD2" w:rsidRPr="00210844" w:rsidRDefault="00CE0AD2" w:rsidP="00CE0AD2">
      <w:pPr>
        <w:numPr>
          <w:ilvl w:val="0"/>
          <w:numId w:val="1"/>
        </w:numPr>
        <w:rPr>
          <w:rFonts w:cs="Calibri"/>
          <w:sz w:val="22"/>
          <w:szCs w:val="22"/>
        </w:rPr>
      </w:pPr>
      <w:r w:rsidRPr="00210844">
        <w:rPr>
          <w:rFonts w:cs="Calibri"/>
          <w:sz w:val="22"/>
          <w:szCs w:val="22"/>
        </w:rPr>
        <w:t>Schools, pediatric primary care, community-based organizations, and state agencies are essential access points and must be connected to the behavioral health system.</w:t>
      </w:r>
    </w:p>
    <w:p w14:paraId="3871D6FD" w14:textId="77777777" w:rsidR="00CE0AD2" w:rsidRPr="00210844" w:rsidRDefault="00CE0AD2" w:rsidP="00CE0AD2">
      <w:pPr>
        <w:numPr>
          <w:ilvl w:val="0"/>
          <w:numId w:val="1"/>
        </w:numPr>
        <w:rPr>
          <w:rFonts w:cs="Calibri"/>
          <w:sz w:val="22"/>
          <w:szCs w:val="22"/>
        </w:rPr>
      </w:pPr>
      <w:r w:rsidRPr="00210844">
        <w:rPr>
          <w:rFonts w:cs="Calibri"/>
          <w:sz w:val="22"/>
          <w:szCs w:val="22"/>
        </w:rPr>
        <w:t>Services must be designed around equity, cultural responsiveness, language access, disability access, and family voice.</w:t>
      </w:r>
    </w:p>
    <w:p w14:paraId="02516AD3" w14:textId="57C7D008" w:rsidR="00CE0AD2" w:rsidRPr="00210844" w:rsidRDefault="00CE0AD2" w:rsidP="00CE0AD2">
      <w:pPr>
        <w:numPr>
          <w:ilvl w:val="0"/>
          <w:numId w:val="1"/>
        </w:numPr>
        <w:rPr>
          <w:rFonts w:cs="Calibri"/>
          <w:sz w:val="22"/>
          <w:szCs w:val="22"/>
        </w:rPr>
      </w:pPr>
      <w:r w:rsidRPr="00210844">
        <w:rPr>
          <w:rFonts w:cs="Calibri"/>
          <w:sz w:val="22"/>
          <w:szCs w:val="22"/>
        </w:rPr>
        <w:t>The Commonwealth needs better data, transparency, and accountability to understand wait times, unmet need</w:t>
      </w:r>
      <w:r w:rsidR="006D6D56">
        <w:rPr>
          <w:rFonts w:cs="Calibri"/>
          <w:sz w:val="22"/>
          <w:szCs w:val="22"/>
        </w:rPr>
        <w:t>s</w:t>
      </w:r>
      <w:r w:rsidRPr="00210844">
        <w:rPr>
          <w:rFonts w:cs="Calibri"/>
          <w:sz w:val="22"/>
          <w:szCs w:val="22"/>
        </w:rPr>
        <w:t>, service availability, outcomes, and cross-agency performance.</w:t>
      </w:r>
    </w:p>
    <w:p w14:paraId="711600FC" w14:textId="3BF1D3ED" w:rsidR="00DF56C1" w:rsidRDefault="00344EFE">
      <w:pPr>
        <w:rPr>
          <w:rFonts w:cs="Calibri"/>
          <w:sz w:val="22"/>
          <w:szCs w:val="22"/>
        </w:rPr>
      </w:pPr>
      <w:r>
        <w:rPr>
          <w:rFonts w:cs="Calibri"/>
          <w:sz w:val="22"/>
          <w:szCs w:val="22"/>
        </w:rPr>
        <w:t>In an effort to be mindful of the current environment</w:t>
      </w:r>
      <w:r w:rsidR="00DD61A7">
        <w:rPr>
          <w:rFonts w:cs="Calibri"/>
          <w:sz w:val="22"/>
          <w:szCs w:val="22"/>
        </w:rPr>
        <w:t>,</w:t>
      </w:r>
      <w:r>
        <w:rPr>
          <w:rFonts w:cs="Calibri"/>
          <w:sz w:val="22"/>
          <w:szCs w:val="22"/>
        </w:rPr>
        <w:t xml:space="preserve"> </w:t>
      </w:r>
      <w:r w:rsidR="00E54768">
        <w:rPr>
          <w:rFonts w:cs="Calibri"/>
          <w:sz w:val="22"/>
          <w:szCs w:val="22"/>
        </w:rPr>
        <w:t>the</w:t>
      </w:r>
      <w:r w:rsidR="00CE0AD2" w:rsidRPr="00210844">
        <w:rPr>
          <w:rFonts w:cs="Calibri"/>
          <w:sz w:val="22"/>
          <w:szCs w:val="22"/>
        </w:rPr>
        <w:t xml:space="preserve"> Commission</w:t>
      </w:r>
      <w:r w:rsidR="00430FDB">
        <w:rPr>
          <w:rFonts w:cs="Calibri"/>
          <w:sz w:val="22"/>
          <w:szCs w:val="22"/>
        </w:rPr>
        <w:t xml:space="preserve">’s recommendations </w:t>
      </w:r>
      <w:r w:rsidR="00E54768">
        <w:rPr>
          <w:rFonts w:cs="Calibri"/>
          <w:sz w:val="22"/>
          <w:szCs w:val="22"/>
        </w:rPr>
        <w:t>are presented</w:t>
      </w:r>
      <w:r>
        <w:rPr>
          <w:rFonts w:cs="Calibri"/>
          <w:sz w:val="22"/>
          <w:szCs w:val="22"/>
        </w:rPr>
        <w:t xml:space="preserve"> in two categories.</w:t>
      </w:r>
      <w:r w:rsidR="00E54768">
        <w:rPr>
          <w:rFonts w:cs="Calibri"/>
          <w:sz w:val="22"/>
          <w:szCs w:val="22"/>
        </w:rPr>
        <w:t xml:space="preserve"> The first is a set of recommendations that can be </w:t>
      </w:r>
      <w:r w:rsidR="00A8218C">
        <w:rPr>
          <w:rFonts w:cs="Calibri"/>
          <w:sz w:val="22"/>
          <w:szCs w:val="22"/>
        </w:rPr>
        <w:t>acted on in the shorter term</w:t>
      </w:r>
      <w:r w:rsidR="00CE0AD2" w:rsidRPr="00210844">
        <w:rPr>
          <w:rFonts w:cs="Calibri"/>
          <w:sz w:val="22"/>
          <w:szCs w:val="22"/>
        </w:rPr>
        <w:t xml:space="preserve"> </w:t>
      </w:r>
      <w:r w:rsidR="00B9545F">
        <w:rPr>
          <w:rFonts w:cs="Calibri"/>
          <w:sz w:val="22"/>
          <w:szCs w:val="22"/>
        </w:rPr>
        <w:t xml:space="preserve">even with the </w:t>
      </w:r>
      <w:r w:rsidR="00CE0AD2" w:rsidRPr="00210844">
        <w:rPr>
          <w:rFonts w:cs="Calibri"/>
          <w:sz w:val="22"/>
          <w:szCs w:val="22"/>
        </w:rPr>
        <w:t xml:space="preserve">current </w:t>
      </w:r>
      <w:r w:rsidR="00F11AED">
        <w:rPr>
          <w:rFonts w:cs="Calibri"/>
          <w:sz w:val="22"/>
          <w:szCs w:val="22"/>
        </w:rPr>
        <w:t>fiscal challenges facing</w:t>
      </w:r>
      <w:r w:rsidR="00CE0AD2" w:rsidRPr="00210844">
        <w:rPr>
          <w:rFonts w:cs="Calibri"/>
          <w:sz w:val="22"/>
          <w:szCs w:val="22"/>
        </w:rPr>
        <w:t xml:space="preserve"> the </w:t>
      </w:r>
      <w:r w:rsidR="00F11AED">
        <w:rPr>
          <w:rFonts w:cs="Calibri"/>
          <w:sz w:val="22"/>
          <w:szCs w:val="22"/>
        </w:rPr>
        <w:t xml:space="preserve">Commonwealth and </w:t>
      </w:r>
      <w:r w:rsidR="005173EB">
        <w:rPr>
          <w:rFonts w:cs="Calibri"/>
          <w:sz w:val="22"/>
          <w:szCs w:val="22"/>
        </w:rPr>
        <w:t xml:space="preserve">federal </w:t>
      </w:r>
      <w:r w:rsidR="00F11AED">
        <w:rPr>
          <w:rFonts w:cs="Calibri"/>
          <w:sz w:val="22"/>
          <w:szCs w:val="22"/>
        </w:rPr>
        <w:t xml:space="preserve">political </w:t>
      </w:r>
      <w:r w:rsidR="005341FD">
        <w:rPr>
          <w:rFonts w:cs="Calibri"/>
          <w:sz w:val="22"/>
          <w:szCs w:val="22"/>
        </w:rPr>
        <w:t xml:space="preserve">environment. </w:t>
      </w:r>
      <w:r w:rsidR="00734A65">
        <w:rPr>
          <w:rFonts w:cs="Calibri"/>
          <w:sz w:val="22"/>
          <w:szCs w:val="22"/>
        </w:rPr>
        <w:t>The second set of recommendations</w:t>
      </w:r>
      <w:r w:rsidR="00783288">
        <w:rPr>
          <w:rFonts w:cs="Calibri"/>
          <w:sz w:val="22"/>
          <w:szCs w:val="22"/>
        </w:rPr>
        <w:t xml:space="preserve"> include priori</w:t>
      </w:r>
      <w:r w:rsidR="00D26233">
        <w:rPr>
          <w:rFonts w:cs="Calibri"/>
          <w:sz w:val="22"/>
          <w:szCs w:val="22"/>
        </w:rPr>
        <w:t>ties that the Commission believes are critical for addressing the broad behavioral health care needs for children and families</w:t>
      </w:r>
      <w:r w:rsidR="00DB15CE">
        <w:rPr>
          <w:rFonts w:cs="Calibri"/>
          <w:sz w:val="22"/>
          <w:szCs w:val="22"/>
        </w:rPr>
        <w:t xml:space="preserve"> but req</w:t>
      </w:r>
      <w:r w:rsidR="00063DB3">
        <w:rPr>
          <w:rFonts w:cs="Calibri"/>
          <w:sz w:val="22"/>
          <w:szCs w:val="22"/>
        </w:rPr>
        <w:t>uire</w:t>
      </w:r>
      <w:r w:rsidR="00321030">
        <w:rPr>
          <w:rFonts w:cs="Calibri"/>
          <w:sz w:val="22"/>
          <w:szCs w:val="22"/>
        </w:rPr>
        <w:t>s</w:t>
      </w:r>
      <w:r w:rsidR="00063DB3">
        <w:rPr>
          <w:rFonts w:cs="Calibri"/>
          <w:sz w:val="22"/>
          <w:szCs w:val="22"/>
        </w:rPr>
        <w:t xml:space="preserve"> </w:t>
      </w:r>
      <w:r w:rsidR="000B08D7">
        <w:rPr>
          <w:rFonts w:cs="Calibri"/>
          <w:sz w:val="22"/>
          <w:szCs w:val="22"/>
        </w:rPr>
        <w:t>substantial state investments</w:t>
      </w:r>
      <w:r w:rsidR="00321030">
        <w:rPr>
          <w:rFonts w:cs="Calibri"/>
          <w:sz w:val="22"/>
          <w:szCs w:val="22"/>
        </w:rPr>
        <w:t>.</w:t>
      </w:r>
      <w:r w:rsidR="00CA362B">
        <w:rPr>
          <w:rFonts w:cs="Calibri"/>
          <w:sz w:val="22"/>
          <w:szCs w:val="22"/>
        </w:rPr>
        <w:t xml:space="preserve"> </w:t>
      </w:r>
      <w:r w:rsidR="00AE0836">
        <w:rPr>
          <w:rFonts w:cs="Calibri"/>
          <w:sz w:val="22"/>
          <w:szCs w:val="22"/>
        </w:rPr>
        <w:t>Commission members felt strongly that these</w:t>
      </w:r>
      <w:r w:rsidR="00422F57">
        <w:rPr>
          <w:rFonts w:cs="Calibri"/>
          <w:sz w:val="22"/>
          <w:szCs w:val="22"/>
        </w:rPr>
        <w:t xml:space="preserve"> longer-term</w:t>
      </w:r>
      <w:r w:rsidR="00AE0836">
        <w:rPr>
          <w:rFonts w:cs="Calibri"/>
          <w:sz w:val="22"/>
          <w:szCs w:val="22"/>
        </w:rPr>
        <w:t xml:space="preserve"> recommendations be presented to the </w:t>
      </w:r>
      <w:r w:rsidR="00F32A23">
        <w:rPr>
          <w:rFonts w:cs="Calibri"/>
          <w:sz w:val="22"/>
          <w:szCs w:val="22"/>
        </w:rPr>
        <w:t>L</w:t>
      </w:r>
      <w:r w:rsidR="00AE0836">
        <w:rPr>
          <w:rFonts w:cs="Calibri"/>
          <w:sz w:val="22"/>
          <w:szCs w:val="22"/>
        </w:rPr>
        <w:t xml:space="preserve">egislature </w:t>
      </w:r>
      <w:r w:rsidR="00F16200">
        <w:rPr>
          <w:rFonts w:cs="Calibri"/>
          <w:sz w:val="22"/>
          <w:szCs w:val="22"/>
        </w:rPr>
        <w:t xml:space="preserve">so </w:t>
      </w:r>
      <w:r w:rsidR="005E3084">
        <w:rPr>
          <w:rFonts w:cs="Calibri"/>
          <w:sz w:val="22"/>
          <w:szCs w:val="22"/>
        </w:rPr>
        <w:t>that as resources become available investments can be made</w:t>
      </w:r>
      <w:r w:rsidR="00F16200">
        <w:rPr>
          <w:rFonts w:cs="Calibri"/>
          <w:sz w:val="22"/>
          <w:szCs w:val="22"/>
        </w:rPr>
        <w:t>.</w:t>
      </w:r>
    </w:p>
    <w:p w14:paraId="266B3831" w14:textId="77777777" w:rsidR="001E4600" w:rsidRDefault="001E4600">
      <w:pPr>
        <w:rPr>
          <w:rFonts w:cs="Calibri"/>
          <w:b/>
          <w:bCs/>
          <w:sz w:val="22"/>
          <w:szCs w:val="22"/>
          <w:u w:val="single"/>
        </w:rPr>
      </w:pPr>
      <w:r>
        <w:rPr>
          <w:rFonts w:cs="Calibri"/>
          <w:b/>
          <w:bCs/>
          <w:sz w:val="22"/>
          <w:szCs w:val="22"/>
          <w:u w:val="single"/>
        </w:rPr>
        <w:br w:type="page"/>
      </w:r>
    </w:p>
    <w:p w14:paraId="459709C0" w14:textId="7CCDFB99" w:rsidR="00F748C0" w:rsidRPr="00C27DB5" w:rsidRDefault="000112FC" w:rsidP="00BE4783">
      <w:pPr>
        <w:pStyle w:val="ListParagraph"/>
        <w:numPr>
          <w:ilvl w:val="0"/>
          <w:numId w:val="6"/>
        </w:numPr>
        <w:rPr>
          <w:rFonts w:cs="Calibri"/>
          <w:b/>
          <w:bCs/>
          <w:sz w:val="22"/>
          <w:szCs w:val="22"/>
          <w:u w:val="single"/>
        </w:rPr>
      </w:pPr>
      <w:r w:rsidRPr="00C27DB5">
        <w:rPr>
          <w:rFonts w:cs="Calibri"/>
          <w:b/>
          <w:bCs/>
          <w:sz w:val="22"/>
          <w:szCs w:val="22"/>
          <w:u w:val="single"/>
        </w:rPr>
        <w:t>Commission</w:t>
      </w:r>
      <w:r w:rsidR="007D0657" w:rsidRPr="00C27DB5">
        <w:rPr>
          <w:rFonts w:cs="Calibri"/>
          <w:b/>
          <w:bCs/>
          <w:sz w:val="22"/>
          <w:szCs w:val="22"/>
          <w:u w:val="single"/>
        </w:rPr>
        <w:t xml:space="preserve"> Overview</w:t>
      </w:r>
    </w:p>
    <w:p w14:paraId="0F2AFD4D" w14:textId="20E9C822" w:rsidR="00CE0AD2" w:rsidRPr="00A3796D" w:rsidRDefault="007D0657" w:rsidP="00A3796D">
      <w:pPr>
        <w:rPr>
          <w:rFonts w:cs="Calibri"/>
          <w:b/>
          <w:sz w:val="22"/>
          <w:szCs w:val="22"/>
          <w:u w:val="single"/>
        </w:rPr>
      </w:pPr>
      <w:r w:rsidRPr="00A3796D">
        <w:rPr>
          <w:rFonts w:cs="Calibri"/>
          <w:b/>
          <w:sz w:val="22"/>
          <w:szCs w:val="22"/>
          <w:u w:val="single"/>
        </w:rPr>
        <w:t>Charge</w:t>
      </w:r>
      <w:r w:rsidR="005E0F47" w:rsidRPr="00A3796D">
        <w:rPr>
          <w:rFonts w:cs="Calibri"/>
          <w:b/>
          <w:sz w:val="22"/>
          <w:szCs w:val="22"/>
          <w:u w:val="single"/>
        </w:rPr>
        <w:t xml:space="preserve"> and</w:t>
      </w:r>
      <w:r w:rsidR="00AA628C" w:rsidRPr="00A3796D">
        <w:rPr>
          <w:rFonts w:cs="Calibri"/>
          <w:b/>
          <w:sz w:val="22"/>
          <w:szCs w:val="22"/>
          <w:u w:val="single"/>
        </w:rPr>
        <w:t xml:space="preserve"> </w:t>
      </w:r>
      <w:r w:rsidR="000112FC" w:rsidRPr="00A3796D">
        <w:rPr>
          <w:rFonts w:cs="Calibri"/>
          <w:b/>
          <w:sz w:val="22"/>
          <w:szCs w:val="22"/>
          <w:u w:val="single"/>
        </w:rPr>
        <w:t>Scope</w:t>
      </w:r>
    </w:p>
    <w:p w14:paraId="1D7B1F9E" w14:textId="16F71F36" w:rsidR="00A418A0" w:rsidRDefault="008E0B62" w:rsidP="00A418A0">
      <w:pPr>
        <w:rPr>
          <w:rFonts w:cs="Calibri"/>
          <w:sz w:val="22"/>
          <w:szCs w:val="22"/>
        </w:rPr>
      </w:pPr>
      <w:r w:rsidRPr="00F748C0">
        <w:rPr>
          <w:rFonts w:cs="Calibri"/>
          <w:sz w:val="22"/>
          <w:szCs w:val="22"/>
        </w:rPr>
        <w:t xml:space="preserve">The </w:t>
      </w:r>
      <w:r w:rsidR="00C920D2" w:rsidRPr="00F748C0">
        <w:rPr>
          <w:rFonts w:cs="Calibri"/>
          <w:sz w:val="22"/>
          <w:szCs w:val="22"/>
        </w:rPr>
        <w:t>Special Commission</w:t>
      </w:r>
      <w:r w:rsidR="00C920D2" w:rsidRPr="00210844">
        <w:rPr>
          <w:rFonts w:cs="Calibri"/>
          <w:sz w:val="22"/>
          <w:szCs w:val="22"/>
        </w:rPr>
        <w:t xml:space="preserve"> on Access to Behavioral Health Services for Children and Families was </w:t>
      </w:r>
      <w:r w:rsidR="0016514F" w:rsidRPr="00210844">
        <w:rPr>
          <w:rFonts w:cs="Calibri"/>
          <w:sz w:val="22"/>
          <w:szCs w:val="22"/>
        </w:rPr>
        <w:t>e</w:t>
      </w:r>
      <w:r w:rsidR="0016514F" w:rsidRPr="00210844">
        <w:rPr>
          <w:sz w:val="22"/>
          <w:szCs w:val="22"/>
        </w:rPr>
        <w:t xml:space="preserve">stablished </w:t>
      </w:r>
      <w:r w:rsidR="007723B7" w:rsidRPr="007723B7">
        <w:rPr>
          <w:sz w:val="22"/>
          <w:szCs w:val="22"/>
        </w:rPr>
        <w:t xml:space="preserve">through the FY2026 Budget </w:t>
      </w:r>
      <w:r w:rsidR="00A418A0" w:rsidRPr="00210844">
        <w:rPr>
          <w:rFonts w:cs="Calibri"/>
          <w:sz w:val="22"/>
          <w:szCs w:val="22"/>
        </w:rPr>
        <w:t>to examine barriers that prevent children, youth, and families in Massachusetts from obtaining timely, appropriate, culturally-responsive behavioral health care, and to recommend policy, operational, and investment strategies to strengthen the Commonwealth’s child and family behavioral health continuum.</w:t>
      </w:r>
    </w:p>
    <w:p w14:paraId="346808B9" w14:textId="080EA31B" w:rsidR="0016514F" w:rsidRPr="00210844" w:rsidRDefault="0016514F" w:rsidP="00C920D2">
      <w:pPr>
        <w:rPr>
          <w:sz w:val="22"/>
          <w:szCs w:val="22"/>
        </w:rPr>
      </w:pPr>
      <w:r w:rsidRPr="00210844">
        <w:rPr>
          <w:sz w:val="22"/>
          <w:szCs w:val="22"/>
        </w:rPr>
        <w:t>Specifically, the Commission was responsible for examining:</w:t>
      </w:r>
    </w:p>
    <w:p w14:paraId="5026ED73" w14:textId="68EA755B" w:rsidR="002902C9" w:rsidRDefault="00411FC1" w:rsidP="00BE4783">
      <w:pPr>
        <w:pStyle w:val="ListParagraph"/>
        <w:numPr>
          <w:ilvl w:val="0"/>
          <w:numId w:val="7"/>
        </w:numPr>
        <w:rPr>
          <w:rFonts w:cs="Calibri"/>
          <w:sz w:val="22"/>
          <w:szCs w:val="22"/>
        </w:rPr>
      </w:pPr>
      <w:r w:rsidRPr="002902C9">
        <w:rPr>
          <w:rFonts w:cs="Calibri"/>
          <w:sz w:val="22"/>
          <w:szCs w:val="22"/>
        </w:rPr>
        <w:t>the behavioral health services, including services and treatment for substance use disorder and for autism spectrum disorder, available to children and adolescents under 22 years of age;</w:t>
      </w:r>
    </w:p>
    <w:p w14:paraId="59B3297D" w14:textId="77777777" w:rsidR="00C27DB5" w:rsidRDefault="00411FC1" w:rsidP="00BE4783">
      <w:pPr>
        <w:pStyle w:val="ListParagraph"/>
        <w:numPr>
          <w:ilvl w:val="0"/>
          <w:numId w:val="7"/>
        </w:numPr>
        <w:rPr>
          <w:rFonts w:cs="Calibri"/>
          <w:sz w:val="22"/>
          <w:szCs w:val="22"/>
        </w:rPr>
      </w:pPr>
      <w:r w:rsidRPr="002902C9">
        <w:rPr>
          <w:rFonts w:cs="Calibri"/>
          <w:sz w:val="22"/>
          <w:szCs w:val="22"/>
        </w:rPr>
        <w:t>common challenges that children, adolescents and families face in seeking behavioral health services including challenges associated with program eligibility criteria, affordability and cost-sharing, insurance or state program denials, application processes and service authorization processes, staffing, wait times and geography;</w:t>
      </w:r>
    </w:p>
    <w:p w14:paraId="5F17C3C0" w14:textId="72F9B7ED" w:rsidR="00C27DB5" w:rsidRDefault="00411FC1" w:rsidP="00BE4783">
      <w:pPr>
        <w:pStyle w:val="ListParagraph"/>
        <w:numPr>
          <w:ilvl w:val="0"/>
          <w:numId w:val="7"/>
        </w:numPr>
        <w:rPr>
          <w:rFonts w:cs="Calibri"/>
          <w:sz w:val="22"/>
          <w:szCs w:val="22"/>
        </w:rPr>
      </w:pPr>
      <w:r w:rsidRPr="002902C9">
        <w:rPr>
          <w:rFonts w:cs="Calibri"/>
          <w:sz w:val="22"/>
          <w:szCs w:val="22"/>
        </w:rPr>
        <w:t>recommended policies to address challenges and for streamlining access to behavioral health services for children, adolescents and families including adolescent continuing care inpatient and residential treatment services</w:t>
      </w:r>
      <w:r w:rsidR="00DC3275">
        <w:rPr>
          <w:rStyle w:val="FootnoteReference"/>
          <w:rFonts w:cs="Calibri"/>
          <w:sz w:val="22"/>
          <w:szCs w:val="22"/>
        </w:rPr>
        <w:footnoteReference w:id="1"/>
      </w:r>
      <w:r w:rsidRPr="002902C9">
        <w:rPr>
          <w:rFonts w:cs="Calibri"/>
          <w:sz w:val="22"/>
          <w:szCs w:val="22"/>
        </w:rPr>
        <w:t>;</w:t>
      </w:r>
    </w:p>
    <w:p w14:paraId="4735870A" w14:textId="77777777" w:rsidR="00C27DB5" w:rsidRDefault="00C27DB5" w:rsidP="00BE4783">
      <w:pPr>
        <w:pStyle w:val="ListParagraph"/>
        <w:numPr>
          <w:ilvl w:val="0"/>
          <w:numId w:val="7"/>
        </w:numPr>
        <w:rPr>
          <w:rFonts w:cs="Calibri"/>
          <w:sz w:val="22"/>
          <w:szCs w:val="22"/>
        </w:rPr>
      </w:pPr>
      <w:r>
        <w:rPr>
          <w:rFonts w:cs="Calibri"/>
          <w:sz w:val="22"/>
          <w:szCs w:val="22"/>
        </w:rPr>
        <w:t>s</w:t>
      </w:r>
      <w:r w:rsidR="00411FC1" w:rsidRPr="002902C9">
        <w:rPr>
          <w:rFonts w:cs="Calibri"/>
          <w:sz w:val="22"/>
          <w:szCs w:val="22"/>
        </w:rPr>
        <w:t>tate funding dedicated to behavioral health services for children across state agencies and MassHealth and an examination of the impact of how such funding is used to maximize the delivery of services and available federal resources;</w:t>
      </w:r>
    </w:p>
    <w:p w14:paraId="6260A78E" w14:textId="77777777" w:rsidR="00AA628C" w:rsidRDefault="00C27DB5" w:rsidP="00BE4783">
      <w:pPr>
        <w:pStyle w:val="ListParagraph"/>
        <w:numPr>
          <w:ilvl w:val="0"/>
          <w:numId w:val="7"/>
        </w:numPr>
        <w:rPr>
          <w:rFonts w:cs="Calibri"/>
          <w:sz w:val="22"/>
          <w:szCs w:val="22"/>
        </w:rPr>
      </w:pPr>
      <w:r>
        <w:rPr>
          <w:rFonts w:cs="Calibri"/>
          <w:sz w:val="22"/>
          <w:szCs w:val="22"/>
        </w:rPr>
        <w:t xml:space="preserve">the </w:t>
      </w:r>
      <w:r w:rsidR="00411FC1" w:rsidRPr="002902C9">
        <w:rPr>
          <w:rFonts w:cs="Calibri"/>
          <w:sz w:val="22"/>
          <w:szCs w:val="22"/>
        </w:rPr>
        <w:t>feasibility and effects of creating a single integrated children’s behavioral health agency;</w:t>
      </w:r>
    </w:p>
    <w:p w14:paraId="682EE44F" w14:textId="4ABD7C91" w:rsidR="0016514F" w:rsidRDefault="00AA628C" w:rsidP="00BE4783">
      <w:pPr>
        <w:pStyle w:val="ListParagraph"/>
        <w:numPr>
          <w:ilvl w:val="0"/>
          <w:numId w:val="7"/>
        </w:numPr>
        <w:rPr>
          <w:rFonts w:cs="Calibri"/>
          <w:sz w:val="22"/>
          <w:szCs w:val="22"/>
        </w:rPr>
      </w:pPr>
      <w:r w:rsidRPr="00AA628C">
        <w:rPr>
          <w:rFonts w:cs="Calibri"/>
          <w:sz w:val="22"/>
          <w:szCs w:val="22"/>
        </w:rPr>
        <w:t>a</w:t>
      </w:r>
      <w:r w:rsidR="009C036A" w:rsidRPr="00AA628C">
        <w:rPr>
          <w:rFonts w:cs="Calibri"/>
          <w:sz w:val="22"/>
          <w:szCs w:val="22"/>
        </w:rPr>
        <w:t xml:space="preserve"> </w:t>
      </w:r>
      <w:r w:rsidR="00411FC1" w:rsidRPr="00AA628C">
        <w:rPr>
          <w:rFonts w:cs="Calibri"/>
          <w:sz w:val="22"/>
          <w:szCs w:val="22"/>
        </w:rPr>
        <w:t>3-year strategic plan for the delivery of behavioral health services for children and families that considers all providers and payers</w:t>
      </w:r>
      <w:r w:rsidR="009C036A" w:rsidRPr="00AA628C">
        <w:rPr>
          <w:rFonts w:cs="Calibri"/>
          <w:sz w:val="22"/>
          <w:szCs w:val="22"/>
        </w:rPr>
        <w:t>.</w:t>
      </w:r>
    </w:p>
    <w:p w14:paraId="76F02F8D" w14:textId="77777777" w:rsidR="006A7800" w:rsidRPr="006A7800" w:rsidRDefault="006A7800" w:rsidP="006A7800">
      <w:pPr>
        <w:rPr>
          <w:rFonts w:cs="Calibri"/>
          <w:sz w:val="22"/>
          <w:szCs w:val="22"/>
        </w:rPr>
      </w:pPr>
      <w:r w:rsidRPr="006A7800">
        <w:rPr>
          <w:rFonts w:cs="Calibri"/>
          <w:sz w:val="22"/>
          <w:szCs w:val="22"/>
        </w:rPr>
        <w:t>(The full text of the Commission’s charge appears in Appendix A.)</w:t>
      </w:r>
    </w:p>
    <w:p w14:paraId="6E005C03" w14:textId="509601DB" w:rsidR="001C756D" w:rsidRDefault="00E76FAD" w:rsidP="006A7800">
      <w:pPr>
        <w:rPr>
          <w:rFonts w:cs="Calibri"/>
          <w:sz w:val="22"/>
          <w:szCs w:val="22"/>
        </w:rPr>
      </w:pPr>
      <w:r>
        <w:rPr>
          <w:rFonts w:cs="Calibri"/>
          <w:sz w:val="22"/>
          <w:szCs w:val="22"/>
        </w:rPr>
        <w:t>The Commission</w:t>
      </w:r>
      <w:r w:rsidR="00FE6783">
        <w:rPr>
          <w:rFonts w:cs="Calibri"/>
          <w:sz w:val="22"/>
          <w:szCs w:val="22"/>
        </w:rPr>
        <w:t xml:space="preserve"> wa</w:t>
      </w:r>
      <w:r>
        <w:rPr>
          <w:rFonts w:cs="Calibri"/>
          <w:sz w:val="22"/>
          <w:szCs w:val="22"/>
        </w:rPr>
        <w:t xml:space="preserve">s </w:t>
      </w:r>
      <w:r w:rsidR="00FE6783">
        <w:rPr>
          <w:rFonts w:cs="Calibri"/>
          <w:sz w:val="22"/>
          <w:szCs w:val="22"/>
        </w:rPr>
        <w:t xml:space="preserve">tasked with summarizing its </w:t>
      </w:r>
      <w:r>
        <w:rPr>
          <w:rFonts w:cs="Calibri"/>
          <w:sz w:val="22"/>
          <w:szCs w:val="22"/>
        </w:rPr>
        <w:t>findings an</w:t>
      </w:r>
      <w:r w:rsidRPr="00E76FAD">
        <w:rPr>
          <w:rFonts w:cs="Calibri"/>
          <w:sz w:val="22"/>
          <w:szCs w:val="22"/>
        </w:rPr>
        <w:t>d</w:t>
      </w:r>
      <w:r>
        <w:rPr>
          <w:rFonts w:cs="Calibri"/>
          <w:sz w:val="22"/>
          <w:szCs w:val="22"/>
        </w:rPr>
        <w:t xml:space="preserve"> r</w:t>
      </w:r>
      <w:r w:rsidRPr="00E76FAD">
        <w:rPr>
          <w:rFonts w:cs="Calibri"/>
          <w:sz w:val="22"/>
          <w:szCs w:val="22"/>
        </w:rPr>
        <w:t>ecommendations for improving access to behavioral health services for children and families</w:t>
      </w:r>
      <w:r>
        <w:rPr>
          <w:rFonts w:cs="Calibri"/>
          <w:sz w:val="22"/>
          <w:szCs w:val="22"/>
        </w:rPr>
        <w:t xml:space="preserve"> </w:t>
      </w:r>
      <w:r w:rsidR="006A7800">
        <w:rPr>
          <w:rFonts w:cs="Calibri"/>
          <w:sz w:val="22"/>
          <w:szCs w:val="22"/>
        </w:rPr>
        <w:t>in a report</w:t>
      </w:r>
      <w:r w:rsidR="006B47A2">
        <w:rPr>
          <w:rFonts w:cs="Calibri"/>
          <w:sz w:val="22"/>
          <w:szCs w:val="22"/>
        </w:rPr>
        <w:t xml:space="preserve"> submitted </w:t>
      </w:r>
      <w:r w:rsidR="006A7800" w:rsidRPr="00210844">
        <w:rPr>
          <w:rFonts w:cs="Calibri"/>
          <w:sz w:val="22"/>
          <w:szCs w:val="22"/>
        </w:rPr>
        <w:t>to the Clerks of the House of Representatives and Senate, the Joint Committee on Mental Health, Substance Use and Recovery, the Joint Committee on Children, Families and Persons with Disabilities, the Joint Committee on Health Care Financing, and the Senate and House Committees on Ways and Means not later than June 30, 2026.</w:t>
      </w:r>
    </w:p>
    <w:p w14:paraId="77A93755" w14:textId="77777777" w:rsidR="005E0F47" w:rsidRDefault="005E0F47" w:rsidP="001C756D">
      <w:pPr>
        <w:rPr>
          <w:rFonts w:cs="Calibri"/>
          <w:sz w:val="22"/>
          <w:szCs w:val="22"/>
        </w:rPr>
      </w:pPr>
    </w:p>
    <w:p w14:paraId="2685E573" w14:textId="77777777" w:rsidR="00FC26D7" w:rsidRDefault="00FC26D7" w:rsidP="001C756D">
      <w:pPr>
        <w:rPr>
          <w:rFonts w:cs="Calibri"/>
          <w:sz w:val="22"/>
          <w:szCs w:val="22"/>
        </w:rPr>
      </w:pPr>
    </w:p>
    <w:p w14:paraId="313680A2" w14:textId="10CC15FC" w:rsidR="005E0F47" w:rsidRPr="00A3796D" w:rsidRDefault="00C07F68" w:rsidP="00A3796D">
      <w:pPr>
        <w:rPr>
          <w:rFonts w:cs="Calibri"/>
          <w:b/>
          <w:bCs/>
          <w:sz w:val="22"/>
          <w:szCs w:val="22"/>
          <w:u w:val="single"/>
        </w:rPr>
      </w:pPr>
      <w:r w:rsidRPr="00A3796D">
        <w:rPr>
          <w:rFonts w:cs="Calibri"/>
          <w:b/>
          <w:bCs/>
          <w:sz w:val="22"/>
          <w:szCs w:val="22"/>
          <w:u w:val="single"/>
        </w:rPr>
        <w:t xml:space="preserve">Leadership and </w:t>
      </w:r>
      <w:r w:rsidR="003A280E" w:rsidRPr="00A3796D">
        <w:rPr>
          <w:rFonts w:cs="Calibri"/>
          <w:b/>
          <w:bCs/>
          <w:sz w:val="22"/>
          <w:szCs w:val="22"/>
          <w:u w:val="single"/>
        </w:rPr>
        <w:t>Structure</w:t>
      </w:r>
    </w:p>
    <w:p w14:paraId="21CFD982" w14:textId="605E29E8" w:rsidR="008E0B62" w:rsidRPr="00210844" w:rsidRDefault="00C920D2" w:rsidP="008E0B62">
      <w:pPr>
        <w:rPr>
          <w:rFonts w:cs="Calibri"/>
          <w:sz w:val="22"/>
          <w:szCs w:val="22"/>
        </w:rPr>
      </w:pPr>
      <w:r w:rsidRPr="00210844">
        <w:rPr>
          <w:rFonts w:cs="Calibri"/>
          <w:sz w:val="22"/>
          <w:szCs w:val="22"/>
        </w:rPr>
        <w:t xml:space="preserve">The </w:t>
      </w:r>
      <w:r w:rsidR="008E0B62" w:rsidRPr="00210844">
        <w:rPr>
          <w:rFonts w:cs="Calibri"/>
          <w:sz w:val="22"/>
          <w:szCs w:val="22"/>
        </w:rPr>
        <w:t>Commission was chaired by Executive Office of Health and Human Services</w:t>
      </w:r>
      <w:r w:rsidR="00EA22B4" w:rsidRPr="00210844">
        <w:rPr>
          <w:rFonts w:cs="Calibri"/>
          <w:sz w:val="22"/>
          <w:szCs w:val="22"/>
        </w:rPr>
        <w:t xml:space="preserve"> (EOHHS)</w:t>
      </w:r>
      <w:r w:rsidR="008E0B62" w:rsidRPr="00210844">
        <w:rPr>
          <w:rFonts w:cs="Calibri"/>
          <w:sz w:val="22"/>
          <w:szCs w:val="22"/>
        </w:rPr>
        <w:t xml:space="preserve"> Undersecretary </w:t>
      </w:r>
      <w:r w:rsidR="00EA22B4" w:rsidRPr="00210844">
        <w:rPr>
          <w:rFonts w:cs="Calibri"/>
          <w:sz w:val="22"/>
          <w:szCs w:val="22"/>
        </w:rPr>
        <w:t xml:space="preserve">for Health, </w:t>
      </w:r>
      <w:r w:rsidR="008E0B62" w:rsidRPr="00210844">
        <w:rPr>
          <w:rFonts w:cs="Calibri"/>
          <w:sz w:val="22"/>
          <w:szCs w:val="22"/>
        </w:rPr>
        <w:t xml:space="preserve">Amy Rosenthal, acting as the designee of the </w:t>
      </w:r>
      <w:r w:rsidR="0091774C" w:rsidRPr="00210844">
        <w:rPr>
          <w:rFonts w:cs="Calibri"/>
          <w:sz w:val="22"/>
          <w:szCs w:val="22"/>
        </w:rPr>
        <w:t xml:space="preserve">EOHHS </w:t>
      </w:r>
      <w:r w:rsidR="008E0B62" w:rsidRPr="00210844">
        <w:rPr>
          <w:rFonts w:cs="Calibri"/>
          <w:sz w:val="22"/>
          <w:szCs w:val="22"/>
        </w:rPr>
        <w:t>Secretary</w:t>
      </w:r>
      <w:r w:rsidR="00862081">
        <w:rPr>
          <w:rFonts w:cs="Calibri"/>
          <w:sz w:val="22"/>
          <w:szCs w:val="22"/>
        </w:rPr>
        <w:t>, and was c</w:t>
      </w:r>
      <w:r w:rsidR="008E0B62" w:rsidRPr="00210844">
        <w:rPr>
          <w:rFonts w:cs="Calibri"/>
          <w:sz w:val="22"/>
          <w:szCs w:val="22"/>
        </w:rPr>
        <w:t xml:space="preserve">omprised of a diverse panel of </w:t>
      </w:r>
      <w:r w:rsidR="00C4034D">
        <w:rPr>
          <w:rFonts w:cs="Calibri"/>
          <w:sz w:val="22"/>
          <w:szCs w:val="22"/>
        </w:rPr>
        <w:t>policy experts</w:t>
      </w:r>
      <w:r w:rsidR="008E0B62" w:rsidRPr="00210844">
        <w:rPr>
          <w:rFonts w:cs="Calibri"/>
          <w:sz w:val="22"/>
          <w:szCs w:val="22"/>
        </w:rPr>
        <w:t xml:space="preserve"> (see full list in Appendix B).</w:t>
      </w:r>
    </w:p>
    <w:p w14:paraId="2EEDBD33" w14:textId="521D90D7" w:rsidR="00CB19E0" w:rsidRPr="00210844" w:rsidRDefault="008E0B62" w:rsidP="008E0B62">
      <w:pPr>
        <w:rPr>
          <w:rFonts w:cs="Calibri"/>
          <w:sz w:val="22"/>
          <w:szCs w:val="22"/>
        </w:rPr>
      </w:pPr>
      <w:r w:rsidRPr="00210844">
        <w:rPr>
          <w:rFonts w:cs="Calibri"/>
          <w:sz w:val="22"/>
          <w:szCs w:val="22"/>
        </w:rPr>
        <w:t xml:space="preserve">The Commission </w:t>
      </w:r>
      <w:r w:rsidR="00C07F68">
        <w:rPr>
          <w:rFonts w:cs="Calibri"/>
          <w:sz w:val="22"/>
          <w:szCs w:val="22"/>
        </w:rPr>
        <w:t xml:space="preserve">convened </w:t>
      </w:r>
      <w:r w:rsidR="00F86C50" w:rsidRPr="00210844">
        <w:rPr>
          <w:rFonts w:cs="Calibri"/>
          <w:sz w:val="22"/>
          <w:szCs w:val="22"/>
        </w:rPr>
        <w:t>eight</w:t>
      </w:r>
      <w:r w:rsidRPr="00210844">
        <w:rPr>
          <w:rFonts w:cs="Calibri"/>
          <w:sz w:val="22"/>
          <w:szCs w:val="22"/>
        </w:rPr>
        <w:t xml:space="preserve"> </w:t>
      </w:r>
      <w:r w:rsidR="00D307CF">
        <w:rPr>
          <w:rFonts w:cs="Calibri"/>
          <w:sz w:val="22"/>
          <w:szCs w:val="22"/>
        </w:rPr>
        <w:t xml:space="preserve">virtual, </w:t>
      </w:r>
      <w:r w:rsidR="00C07F68">
        <w:rPr>
          <w:rFonts w:cs="Calibri"/>
          <w:sz w:val="22"/>
          <w:szCs w:val="22"/>
        </w:rPr>
        <w:t>public mee</w:t>
      </w:r>
      <w:r w:rsidRPr="00210844">
        <w:rPr>
          <w:rFonts w:cs="Calibri"/>
          <w:sz w:val="22"/>
          <w:szCs w:val="22"/>
        </w:rPr>
        <w:t>ti</w:t>
      </w:r>
      <w:r w:rsidR="00C07F68">
        <w:rPr>
          <w:rFonts w:cs="Calibri"/>
          <w:sz w:val="22"/>
          <w:szCs w:val="22"/>
        </w:rPr>
        <w:t>ng</w:t>
      </w:r>
      <w:r w:rsidRPr="00210844">
        <w:rPr>
          <w:rFonts w:cs="Calibri"/>
          <w:sz w:val="22"/>
          <w:szCs w:val="22"/>
        </w:rPr>
        <w:t>s from November 2025 through June 2026</w:t>
      </w:r>
      <w:r w:rsidR="006A7800">
        <w:rPr>
          <w:rFonts w:cs="Calibri"/>
          <w:sz w:val="22"/>
          <w:szCs w:val="22"/>
        </w:rPr>
        <w:t>.</w:t>
      </w:r>
      <w:r w:rsidR="001A1FE7">
        <w:rPr>
          <w:rFonts w:cs="Calibri"/>
          <w:sz w:val="22"/>
          <w:szCs w:val="22"/>
        </w:rPr>
        <w:t xml:space="preserve"> </w:t>
      </w:r>
      <w:r w:rsidRPr="00210844">
        <w:rPr>
          <w:rFonts w:cs="Calibri"/>
          <w:sz w:val="22"/>
          <w:szCs w:val="22"/>
        </w:rPr>
        <w:t xml:space="preserve">All meetings were subject to the Open Meeting Law and minutes were taken and approved for each meeting. All materials considered by </w:t>
      </w:r>
      <w:r w:rsidR="00AE49E3">
        <w:rPr>
          <w:rFonts w:cs="Calibri"/>
          <w:sz w:val="22"/>
          <w:szCs w:val="22"/>
        </w:rPr>
        <w:t xml:space="preserve">the </w:t>
      </w:r>
      <w:r w:rsidR="009A2753" w:rsidRPr="00210844">
        <w:rPr>
          <w:rFonts w:cs="Calibri"/>
          <w:sz w:val="22"/>
          <w:szCs w:val="22"/>
        </w:rPr>
        <w:t>Commission,</w:t>
      </w:r>
      <w:r w:rsidRPr="00210844">
        <w:rPr>
          <w:rFonts w:cs="Calibri"/>
          <w:sz w:val="22"/>
          <w:szCs w:val="22"/>
        </w:rPr>
        <w:t xml:space="preserve"> as well as minutes of the </w:t>
      </w:r>
      <w:r w:rsidR="009A2753" w:rsidRPr="00210844">
        <w:rPr>
          <w:rFonts w:cs="Calibri"/>
          <w:sz w:val="22"/>
          <w:szCs w:val="22"/>
        </w:rPr>
        <w:t xml:space="preserve">Commission’s </w:t>
      </w:r>
      <w:r w:rsidRPr="00210844">
        <w:rPr>
          <w:rFonts w:cs="Calibri"/>
          <w:sz w:val="22"/>
          <w:szCs w:val="22"/>
        </w:rPr>
        <w:t>meetings</w:t>
      </w:r>
      <w:r w:rsidR="009A2753" w:rsidRPr="00210844">
        <w:rPr>
          <w:rFonts w:cs="Calibri"/>
          <w:sz w:val="22"/>
          <w:szCs w:val="22"/>
        </w:rPr>
        <w:t>,</w:t>
      </w:r>
      <w:r w:rsidRPr="00210844">
        <w:rPr>
          <w:rFonts w:cs="Calibri"/>
          <w:sz w:val="22"/>
          <w:szCs w:val="22"/>
        </w:rPr>
        <w:t xml:space="preserve"> were posted on a publicly</w:t>
      </w:r>
      <w:r w:rsidR="00903522">
        <w:rPr>
          <w:rFonts w:cs="Calibri"/>
          <w:sz w:val="22"/>
          <w:szCs w:val="22"/>
        </w:rPr>
        <w:t xml:space="preserve"> </w:t>
      </w:r>
      <w:r w:rsidRPr="00210844">
        <w:rPr>
          <w:rFonts w:cs="Calibri"/>
          <w:sz w:val="22"/>
          <w:szCs w:val="22"/>
        </w:rPr>
        <w:t xml:space="preserve">available </w:t>
      </w:r>
      <w:r w:rsidR="00D051AF">
        <w:rPr>
          <w:rFonts w:cs="Calibri"/>
          <w:sz w:val="22"/>
          <w:szCs w:val="22"/>
        </w:rPr>
        <w:t xml:space="preserve">Mass.gov </w:t>
      </w:r>
      <w:r w:rsidRPr="00210844">
        <w:rPr>
          <w:rFonts w:cs="Calibri"/>
          <w:sz w:val="22"/>
          <w:szCs w:val="22"/>
        </w:rPr>
        <w:t>webpage:</w:t>
      </w:r>
    </w:p>
    <w:p w14:paraId="4A8B5B2C" w14:textId="0D9EF141" w:rsidR="008E0B62" w:rsidRPr="00210844" w:rsidRDefault="00CB19E0" w:rsidP="008E0B62">
      <w:pPr>
        <w:rPr>
          <w:rFonts w:cs="Calibri"/>
          <w:sz w:val="22"/>
          <w:szCs w:val="22"/>
        </w:rPr>
      </w:pPr>
      <w:hyperlink r:id="rId9" w:history="1">
        <w:r w:rsidRPr="00210844">
          <w:rPr>
            <w:rStyle w:val="Hyperlink"/>
            <w:rFonts w:cs="Calibri"/>
            <w:sz w:val="22"/>
            <w:szCs w:val="22"/>
          </w:rPr>
          <w:t>https://www.mass.gov/special-commission-on-access-to-behavioral-health-services-for-children-and-families</w:t>
        </w:r>
      </w:hyperlink>
    </w:p>
    <w:p w14:paraId="5AA8FADA" w14:textId="6338C9FB" w:rsidR="00BC6A92" w:rsidRDefault="00BC6A92">
      <w:pPr>
        <w:rPr>
          <w:rFonts w:cs="Calibri"/>
          <w:sz w:val="22"/>
          <w:szCs w:val="22"/>
        </w:rPr>
      </w:pPr>
    </w:p>
    <w:p w14:paraId="47AE2555" w14:textId="77777777" w:rsidR="00F04D92" w:rsidRDefault="00F04D92">
      <w:pPr>
        <w:rPr>
          <w:rFonts w:cs="Calibri"/>
          <w:sz w:val="22"/>
          <w:szCs w:val="22"/>
        </w:rPr>
      </w:pPr>
    </w:p>
    <w:p w14:paraId="31A90DA1" w14:textId="77777777" w:rsidR="002025AA" w:rsidRDefault="002025AA">
      <w:pPr>
        <w:rPr>
          <w:rFonts w:cs="Calibri"/>
          <w:b/>
          <w:bCs/>
          <w:sz w:val="22"/>
          <w:szCs w:val="22"/>
          <w:u w:val="single"/>
        </w:rPr>
      </w:pPr>
      <w:r>
        <w:rPr>
          <w:rFonts w:cs="Calibri"/>
          <w:b/>
          <w:bCs/>
          <w:sz w:val="22"/>
          <w:szCs w:val="22"/>
          <w:u w:val="single"/>
        </w:rPr>
        <w:br w:type="page"/>
      </w:r>
    </w:p>
    <w:p w14:paraId="7F4429DB" w14:textId="002F4CFC" w:rsidR="00CE0AD2" w:rsidRDefault="00CC3F6C" w:rsidP="00BE4783">
      <w:pPr>
        <w:pStyle w:val="ListParagraph"/>
        <w:numPr>
          <w:ilvl w:val="0"/>
          <w:numId w:val="6"/>
        </w:numPr>
        <w:rPr>
          <w:rFonts w:cs="Calibri"/>
          <w:b/>
          <w:bCs/>
          <w:sz w:val="22"/>
          <w:szCs w:val="22"/>
          <w:u w:val="single"/>
        </w:rPr>
      </w:pPr>
      <w:r w:rsidRPr="002E6513">
        <w:rPr>
          <w:rFonts w:cs="Calibri"/>
          <w:b/>
          <w:bCs/>
          <w:sz w:val="22"/>
          <w:szCs w:val="22"/>
          <w:u w:val="single"/>
        </w:rPr>
        <w:t>Process and Organization of W</w:t>
      </w:r>
      <w:r w:rsidR="00295864" w:rsidRPr="002E6513">
        <w:rPr>
          <w:rFonts w:cs="Calibri"/>
          <w:b/>
          <w:bCs/>
          <w:sz w:val="22"/>
          <w:szCs w:val="22"/>
          <w:u w:val="single"/>
        </w:rPr>
        <w:t>o</w:t>
      </w:r>
      <w:r w:rsidRPr="002E6513">
        <w:rPr>
          <w:rFonts w:cs="Calibri"/>
          <w:b/>
          <w:bCs/>
          <w:sz w:val="22"/>
          <w:szCs w:val="22"/>
          <w:u w:val="single"/>
        </w:rPr>
        <w:t>rk</w:t>
      </w:r>
    </w:p>
    <w:p w14:paraId="139DDFF7" w14:textId="60CA6B61" w:rsidR="000D27D9" w:rsidRPr="00A3796D" w:rsidRDefault="002E6513" w:rsidP="00A3796D">
      <w:pPr>
        <w:rPr>
          <w:rFonts w:cs="Calibri"/>
          <w:b/>
          <w:bCs/>
          <w:sz w:val="22"/>
          <w:szCs w:val="22"/>
          <w:u w:val="single"/>
        </w:rPr>
      </w:pPr>
      <w:r w:rsidRPr="00A3796D">
        <w:rPr>
          <w:rFonts w:cs="Calibri"/>
          <w:b/>
          <w:bCs/>
          <w:sz w:val="22"/>
          <w:szCs w:val="22"/>
          <w:u w:val="single"/>
        </w:rPr>
        <w:t>Review of Prior Reports</w:t>
      </w:r>
      <w:r w:rsidR="00AD0538" w:rsidRPr="00A3796D">
        <w:rPr>
          <w:rFonts w:cs="Calibri"/>
          <w:b/>
          <w:bCs/>
          <w:sz w:val="22"/>
          <w:szCs w:val="22"/>
          <w:u w:val="single"/>
        </w:rPr>
        <w:t xml:space="preserve"> and Formation of Workgroups</w:t>
      </w:r>
    </w:p>
    <w:p w14:paraId="7E28BD19" w14:textId="03B51690" w:rsidR="00D14CFA" w:rsidRPr="00210844" w:rsidRDefault="00CE0AD2" w:rsidP="00CE0AD2">
      <w:pPr>
        <w:rPr>
          <w:rFonts w:cs="Calibri"/>
          <w:sz w:val="22"/>
          <w:szCs w:val="22"/>
        </w:rPr>
      </w:pPr>
      <w:r w:rsidRPr="00210844">
        <w:rPr>
          <w:rFonts w:cs="Calibri"/>
          <w:sz w:val="22"/>
          <w:szCs w:val="22"/>
        </w:rPr>
        <w:t xml:space="preserve">The Commission </w:t>
      </w:r>
      <w:r w:rsidR="001F2F9C">
        <w:rPr>
          <w:rFonts w:cs="Calibri"/>
          <w:sz w:val="22"/>
          <w:szCs w:val="22"/>
        </w:rPr>
        <w:t xml:space="preserve">initiated </w:t>
      </w:r>
      <w:r w:rsidR="00871256">
        <w:rPr>
          <w:rFonts w:cs="Calibri"/>
          <w:sz w:val="22"/>
          <w:szCs w:val="22"/>
        </w:rPr>
        <w:t xml:space="preserve">its </w:t>
      </w:r>
      <w:r w:rsidR="00F63412">
        <w:rPr>
          <w:rFonts w:cs="Calibri"/>
          <w:sz w:val="22"/>
          <w:szCs w:val="22"/>
        </w:rPr>
        <w:t>assessment</w:t>
      </w:r>
      <w:r w:rsidR="00871256">
        <w:rPr>
          <w:rFonts w:cs="Calibri"/>
          <w:sz w:val="22"/>
          <w:szCs w:val="22"/>
        </w:rPr>
        <w:t xml:space="preserve"> with a detailed </w:t>
      </w:r>
      <w:r w:rsidRPr="00210844">
        <w:rPr>
          <w:rFonts w:cs="Calibri"/>
          <w:sz w:val="22"/>
          <w:szCs w:val="22"/>
        </w:rPr>
        <w:t>review</w:t>
      </w:r>
      <w:r w:rsidR="00871256">
        <w:rPr>
          <w:rFonts w:cs="Calibri"/>
          <w:sz w:val="22"/>
          <w:szCs w:val="22"/>
        </w:rPr>
        <w:t xml:space="preserve"> of</w:t>
      </w:r>
      <w:r w:rsidRPr="00210844">
        <w:rPr>
          <w:rFonts w:cs="Calibri"/>
          <w:sz w:val="22"/>
          <w:szCs w:val="22"/>
        </w:rPr>
        <w:t xml:space="preserve"> prior reports, stakeholder recommendations relevant to child and family behavioral health</w:t>
      </w:r>
      <w:r w:rsidR="00EC2A67">
        <w:rPr>
          <w:rFonts w:cs="Calibri"/>
          <w:sz w:val="22"/>
          <w:szCs w:val="22"/>
        </w:rPr>
        <w:t>, and state initiatives</w:t>
      </w:r>
      <w:r w:rsidR="00FF3819">
        <w:rPr>
          <w:rFonts w:cs="Calibri"/>
          <w:sz w:val="22"/>
          <w:szCs w:val="22"/>
        </w:rPr>
        <w:t xml:space="preserve"> developed by</w:t>
      </w:r>
      <w:r w:rsidR="00EC2A67">
        <w:rPr>
          <w:rFonts w:cs="Calibri"/>
          <w:sz w:val="22"/>
          <w:szCs w:val="22"/>
        </w:rPr>
        <w:t xml:space="preserve"> a variety of s</w:t>
      </w:r>
      <w:r w:rsidR="00FF3819">
        <w:rPr>
          <w:rFonts w:cs="Calibri"/>
          <w:sz w:val="22"/>
          <w:szCs w:val="22"/>
        </w:rPr>
        <w:t>tate agencies, including the</w:t>
      </w:r>
      <w:r w:rsidR="00FF3819" w:rsidRPr="00F150DB">
        <w:rPr>
          <w:rFonts w:cs="Calibri"/>
          <w:sz w:val="22"/>
          <w:szCs w:val="22"/>
        </w:rPr>
        <w:t xml:space="preserve"> D</w:t>
      </w:r>
      <w:r w:rsidR="00FF3819">
        <w:rPr>
          <w:rFonts w:cs="Calibri"/>
          <w:sz w:val="22"/>
          <w:szCs w:val="22"/>
        </w:rPr>
        <w:t xml:space="preserve">epartment of </w:t>
      </w:r>
      <w:r w:rsidR="00FF3819" w:rsidRPr="00F150DB">
        <w:rPr>
          <w:rFonts w:cs="Calibri"/>
          <w:sz w:val="22"/>
          <w:szCs w:val="22"/>
        </w:rPr>
        <w:t>M</w:t>
      </w:r>
      <w:r w:rsidR="00FF3819">
        <w:rPr>
          <w:rFonts w:cs="Calibri"/>
          <w:sz w:val="22"/>
          <w:szCs w:val="22"/>
        </w:rPr>
        <w:t xml:space="preserve">ental </w:t>
      </w:r>
      <w:r w:rsidR="00FF3819" w:rsidRPr="00F150DB">
        <w:rPr>
          <w:rFonts w:cs="Calibri"/>
          <w:sz w:val="22"/>
          <w:szCs w:val="22"/>
        </w:rPr>
        <w:t>H</w:t>
      </w:r>
      <w:r w:rsidR="00FF3819">
        <w:rPr>
          <w:rFonts w:cs="Calibri"/>
          <w:sz w:val="22"/>
          <w:szCs w:val="22"/>
        </w:rPr>
        <w:t>ealth (DMH)</w:t>
      </w:r>
      <w:r w:rsidR="00FF3819" w:rsidRPr="00F150DB">
        <w:rPr>
          <w:rFonts w:cs="Calibri"/>
          <w:sz w:val="22"/>
          <w:szCs w:val="22"/>
        </w:rPr>
        <w:t xml:space="preserve">, </w:t>
      </w:r>
      <w:r w:rsidR="00FF3819">
        <w:rPr>
          <w:rFonts w:cs="Calibri"/>
          <w:sz w:val="22"/>
          <w:szCs w:val="22"/>
        </w:rPr>
        <w:t xml:space="preserve">the </w:t>
      </w:r>
      <w:r w:rsidR="00FF3819" w:rsidRPr="00F150DB">
        <w:rPr>
          <w:rFonts w:cs="Calibri"/>
          <w:sz w:val="22"/>
          <w:szCs w:val="22"/>
        </w:rPr>
        <w:t>D</w:t>
      </w:r>
      <w:r w:rsidR="00FF3819">
        <w:rPr>
          <w:rFonts w:cs="Calibri"/>
          <w:sz w:val="22"/>
          <w:szCs w:val="22"/>
        </w:rPr>
        <w:t xml:space="preserve">epartment of </w:t>
      </w:r>
      <w:r w:rsidR="00FF3819" w:rsidRPr="00F150DB">
        <w:rPr>
          <w:rFonts w:cs="Calibri"/>
          <w:sz w:val="22"/>
          <w:szCs w:val="22"/>
        </w:rPr>
        <w:t>D</w:t>
      </w:r>
      <w:r w:rsidR="00FF3819">
        <w:rPr>
          <w:rFonts w:cs="Calibri"/>
          <w:sz w:val="22"/>
          <w:szCs w:val="22"/>
        </w:rPr>
        <w:t xml:space="preserve">evelopmental </w:t>
      </w:r>
      <w:r w:rsidR="00FF3819" w:rsidRPr="00F150DB">
        <w:rPr>
          <w:rFonts w:cs="Calibri"/>
          <w:sz w:val="22"/>
          <w:szCs w:val="22"/>
        </w:rPr>
        <w:t>S</w:t>
      </w:r>
      <w:r w:rsidR="00FF3819">
        <w:rPr>
          <w:rFonts w:cs="Calibri"/>
          <w:sz w:val="22"/>
          <w:szCs w:val="22"/>
        </w:rPr>
        <w:t>ervices (DDS)</w:t>
      </w:r>
      <w:r w:rsidR="00FF3819" w:rsidRPr="00F150DB">
        <w:rPr>
          <w:rFonts w:cs="Calibri"/>
          <w:sz w:val="22"/>
          <w:szCs w:val="22"/>
        </w:rPr>
        <w:t xml:space="preserve">, </w:t>
      </w:r>
      <w:r w:rsidR="00FF3819">
        <w:rPr>
          <w:rFonts w:cs="Calibri"/>
          <w:sz w:val="22"/>
          <w:szCs w:val="22"/>
        </w:rPr>
        <w:t xml:space="preserve">the </w:t>
      </w:r>
      <w:r w:rsidR="00FF3819" w:rsidRPr="00F150DB">
        <w:rPr>
          <w:rFonts w:cs="Calibri"/>
          <w:sz w:val="22"/>
          <w:szCs w:val="22"/>
        </w:rPr>
        <w:t>D</w:t>
      </w:r>
      <w:r w:rsidR="00FF3819">
        <w:rPr>
          <w:rFonts w:cs="Calibri"/>
          <w:sz w:val="22"/>
          <w:szCs w:val="22"/>
        </w:rPr>
        <w:t xml:space="preserve">epartment of </w:t>
      </w:r>
      <w:r w:rsidR="00FF3819" w:rsidRPr="00F150DB">
        <w:rPr>
          <w:rFonts w:cs="Calibri"/>
          <w:sz w:val="22"/>
          <w:szCs w:val="22"/>
        </w:rPr>
        <w:t>C</w:t>
      </w:r>
      <w:r w:rsidR="00FF3819">
        <w:rPr>
          <w:rFonts w:cs="Calibri"/>
          <w:sz w:val="22"/>
          <w:szCs w:val="22"/>
        </w:rPr>
        <w:t xml:space="preserve">hildren and </w:t>
      </w:r>
      <w:r w:rsidR="00FF3819" w:rsidRPr="00F150DB">
        <w:rPr>
          <w:rFonts w:cs="Calibri"/>
          <w:sz w:val="22"/>
          <w:szCs w:val="22"/>
        </w:rPr>
        <w:t>F</w:t>
      </w:r>
      <w:r w:rsidR="00FF3819">
        <w:rPr>
          <w:rFonts w:cs="Calibri"/>
          <w:sz w:val="22"/>
          <w:szCs w:val="22"/>
        </w:rPr>
        <w:t>amilies (DCF)</w:t>
      </w:r>
      <w:r w:rsidR="00FF3819" w:rsidRPr="00F150DB">
        <w:rPr>
          <w:rFonts w:cs="Calibri"/>
          <w:sz w:val="22"/>
          <w:szCs w:val="22"/>
        </w:rPr>
        <w:t>,</w:t>
      </w:r>
      <w:r w:rsidR="00567576">
        <w:rPr>
          <w:rFonts w:cs="Calibri"/>
          <w:sz w:val="22"/>
          <w:szCs w:val="22"/>
        </w:rPr>
        <w:t xml:space="preserve"> the</w:t>
      </w:r>
      <w:r w:rsidR="00FF3819" w:rsidRPr="00F150DB">
        <w:rPr>
          <w:rFonts w:cs="Calibri"/>
          <w:sz w:val="22"/>
          <w:szCs w:val="22"/>
        </w:rPr>
        <w:t xml:space="preserve"> D</w:t>
      </w:r>
      <w:r w:rsidR="00FF3819">
        <w:rPr>
          <w:rFonts w:cs="Calibri"/>
          <w:sz w:val="22"/>
          <w:szCs w:val="22"/>
        </w:rPr>
        <w:t xml:space="preserve">epartment of </w:t>
      </w:r>
      <w:r w:rsidR="00FF3819" w:rsidRPr="00F150DB">
        <w:rPr>
          <w:rFonts w:cs="Calibri"/>
          <w:sz w:val="22"/>
          <w:szCs w:val="22"/>
        </w:rPr>
        <w:t>Y</w:t>
      </w:r>
      <w:r w:rsidR="00FF3819">
        <w:rPr>
          <w:rFonts w:cs="Calibri"/>
          <w:sz w:val="22"/>
          <w:szCs w:val="22"/>
        </w:rPr>
        <w:t xml:space="preserve">outh </w:t>
      </w:r>
      <w:r w:rsidR="00FF3819" w:rsidRPr="00F150DB">
        <w:rPr>
          <w:rFonts w:cs="Calibri"/>
          <w:sz w:val="22"/>
          <w:szCs w:val="22"/>
        </w:rPr>
        <w:t>S</w:t>
      </w:r>
      <w:r w:rsidR="00FF3819">
        <w:rPr>
          <w:rFonts w:cs="Calibri"/>
          <w:sz w:val="22"/>
          <w:szCs w:val="22"/>
        </w:rPr>
        <w:t>ervices (DYS)</w:t>
      </w:r>
      <w:r w:rsidR="00FF3819" w:rsidRPr="00F150DB">
        <w:rPr>
          <w:rFonts w:cs="Calibri"/>
          <w:sz w:val="22"/>
          <w:szCs w:val="22"/>
        </w:rPr>
        <w:t>,</w:t>
      </w:r>
      <w:r w:rsidR="00FF3819">
        <w:rPr>
          <w:rFonts w:cs="Calibri"/>
          <w:sz w:val="22"/>
          <w:szCs w:val="22"/>
        </w:rPr>
        <w:t xml:space="preserve"> </w:t>
      </w:r>
      <w:r w:rsidR="00567576">
        <w:rPr>
          <w:rFonts w:cs="Calibri"/>
          <w:sz w:val="22"/>
          <w:szCs w:val="22"/>
        </w:rPr>
        <w:t xml:space="preserve">the </w:t>
      </w:r>
      <w:r w:rsidR="00FF3819" w:rsidRPr="00F150DB">
        <w:rPr>
          <w:rFonts w:cs="Calibri"/>
          <w:sz w:val="22"/>
          <w:szCs w:val="22"/>
        </w:rPr>
        <w:t>D</w:t>
      </w:r>
      <w:r w:rsidR="00FF3819">
        <w:rPr>
          <w:rFonts w:cs="Calibri"/>
          <w:sz w:val="22"/>
          <w:szCs w:val="22"/>
        </w:rPr>
        <w:t xml:space="preserve">epartment of </w:t>
      </w:r>
      <w:r w:rsidR="00FF3819" w:rsidRPr="00F150DB">
        <w:rPr>
          <w:rFonts w:cs="Calibri"/>
          <w:sz w:val="22"/>
          <w:szCs w:val="22"/>
        </w:rPr>
        <w:t>P</w:t>
      </w:r>
      <w:r w:rsidR="00FF3819">
        <w:rPr>
          <w:rFonts w:cs="Calibri"/>
          <w:sz w:val="22"/>
          <w:szCs w:val="22"/>
        </w:rPr>
        <w:t xml:space="preserve">ublic </w:t>
      </w:r>
      <w:r w:rsidR="00FF3819" w:rsidRPr="00F150DB">
        <w:rPr>
          <w:rFonts w:cs="Calibri"/>
          <w:sz w:val="22"/>
          <w:szCs w:val="22"/>
        </w:rPr>
        <w:t>H</w:t>
      </w:r>
      <w:r w:rsidR="00FF3819">
        <w:rPr>
          <w:rFonts w:cs="Calibri"/>
          <w:sz w:val="22"/>
          <w:szCs w:val="22"/>
        </w:rPr>
        <w:t>ealth (DPH)</w:t>
      </w:r>
      <w:r w:rsidR="00FF3819" w:rsidRPr="00F150DB">
        <w:rPr>
          <w:rFonts w:cs="Calibri"/>
          <w:sz w:val="22"/>
          <w:szCs w:val="22"/>
        </w:rPr>
        <w:t xml:space="preserve">, </w:t>
      </w:r>
      <w:r w:rsidR="00567576">
        <w:rPr>
          <w:rFonts w:cs="Calibri"/>
          <w:sz w:val="22"/>
          <w:szCs w:val="22"/>
        </w:rPr>
        <w:t xml:space="preserve">the </w:t>
      </w:r>
      <w:r w:rsidR="00FF3819" w:rsidRPr="00F150DB">
        <w:rPr>
          <w:rFonts w:cs="Calibri"/>
          <w:sz w:val="22"/>
          <w:szCs w:val="22"/>
        </w:rPr>
        <w:t>D</w:t>
      </w:r>
      <w:r w:rsidR="00FF3819">
        <w:rPr>
          <w:rFonts w:cs="Calibri"/>
          <w:sz w:val="22"/>
          <w:szCs w:val="22"/>
        </w:rPr>
        <w:t xml:space="preserve">ivision of </w:t>
      </w:r>
      <w:r w:rsidR="00FF3819" w:rsidRPr="00F150DB">
        <w:rPr>
          <w:rFonts w:cs="Calibri"/>
          <w:sz w:val="22"/>
          <w:szCs w:val="22"/>
        </w:rPr>
        <w:t>I</w:t>
      </w:r>
      <w:r w:rsidR="00FF3819">
        <w:rPr>
          <w:rFonts w:cs="Calibri"/>
          <w:sz w:val="22"/>
          <w:szCs w:val="22"/>
        </w:rPr>
        <w:t>nsurance (DOI)</w:t>
      </w:r>
      <w:r w:rsidR="00FF3819" w:rsidRPr="00F150DB">
        <w:rPr>
          <w:rFonts w:cs="Calibri"/>
          <w:sz w:val="22"/>
          <w:szCs w:val="22"/>
        </w:rPr>
        <w:t xml:space="preserve">, MassHealth, </w:t>
      </w:r>
      <w:r w:rsidR="00567576">
        <w:rPr>
          <w:rFonts w:cs="Calibri"/>
          <w:sz w:val="22"/>
          <w:szCs w:val="22"/>
        </w:rPr>
        <w:t xml:space="preserve">the </w:t>
      </w:r>
      <w:r w:rsidR="00FF3819" w:rsidRPr="00CA6C2B">
        <w:rPr>
          <w:rFonts w:cs="Calibri"/>
          <w:sz w:val="22"/>
          <w:szCs w:val="22"/>
        </w:rPr>
        <w:t>Department of Early Education and Care</w:t>
      </w:r>
      <w:r w:rsidR="00FF3819">
        <w:rPr>
          <w:rFonts w:cs="Calibri"/>
          <w:sz w:val="22"/>
          <w:szCs w:val="22"/>
        </w:rPr>
        <w:t xml:space="preserve"> (</w:t>
      </w:r>
      <w:r w:rsidR="00FF3819" w:rsidRPr="00F150DB">
        <w:rPr>
          <w:rFonts w:cs="Calibri"/>
          <w:sz w:val="22"/>
          <w:szCs w:val="22"/>
        </w:rPr>
        <w:t>EEC</w:t>
      </w:r>
      <w:r w:rsidR="00FF3819">
        <w:rPr>
          <w:rFonts w:cs="Calibri"/>
          <w:sz w:val="22"/>
          <w:szCs w:val="22"/>
        </w:rPr>
        <w:t>)</w:t>
      </w:r>
      <w:r w:rsidR="00FF3819" w:rsidRPr="00F150DB">
        <w:rPr>
          <w:rFonts w:cs="Calibri"/>
          <w:sz w:val="22"/>
          <w:szCs w:val="22"/>
        </w:rPr>
        <w:t>,</w:t>
      </w:r>
      <w:r w:rsidR="00FF3819">
        <w:rPr>
          <w:rFonts w:cs="Calibri"/>
          <w:sz w:val="22"/>
          <w:szCs w:val="22"/>
        </w:rPr>
        <w:t xml:space="preserve"> </w:t>
      </w:r>
      <w:r w:rsidR="00FF3819" w:rsidRPr="00F150DB">
        <w:rPr>
          <w:rFonts w:cs="Calibri"/>
          <w:sz w:val="22"/>
          <w:szCs w:val="22"/>
        </w:rPr>
        <w:t xml:space="preserve">and </w:t>
      </w:r>
      <w:r w:rsidR="00567576">
        <w:rPr>
          <w:rFonts w:cs="Calibri"/>
          <w:sz w:val="22"/>
          <w:szCs w:val="22"/>
        </w:rPr>
        <w:t xml:space="preserve">the </w:t>
      </w:r>
      <w:r w:rsidR="00FF3819">
        <w:rPr>
          <w:rFonts w:cs="Calibri"/>
          <w:sz w:val="22"/>
          <w:szCs w:val="22"/>
        </w:rPr>
        <w:t>Department of Elementary and Secondary Education (</w:t>
      </w:r>
      <w:r w:rsidR="00FF3819" w:rsidRPr="00F150DB">
        <w:rPr>
          <w:rFonts w:cs="Calibri"/>
          <w:sz w:val="22"/>
          <w:szCs w:val="22"/>
        </w:rPr>
        <w:t>DESE)</w:t>
      </w:r>
      <w:r w:rsidRPr="00210844">
        <w:rPr>
          <w:rFonts w:cs="Calibri"/>
          <w:sz w:val="22"/>
          <w:szCs w:val="22"/>
        </w:rPr>
        <w:t xml:space="preserve">. This </w:t>
      </w:r>
      <w:r w:rsidR="00B56D78">
        <w:rPr>
          <w:rFonts w:cs="Calibri"/>
          <w:sz w:val="22"/>
          <w:szCs w:val="22"/>
        </w:rPr>
        <w:t>review o</w:t>
      </w:r>
      <w:r w:rsidRPr="00210844">
        <w:rPr>
          <w:rFonts w:cs="Calibri"/>
          <w:sz w:val="22"/>
          <w:szCs w:val="22"/>
        </w:rPr>
        <w:t>f prior findings</w:t>
      </w:r>
      <w:r w:rsidR="00B56D78">
        <w:rPr>
          <w:rFonts w:cs="Calibri"/>
          <w:sz w:val="22"/>
          <w:szCs w:val="22"/>
        </w:rPr>
        <w:t xml:space="preserve"> included</w:t>
      </w:r>
      <w:r w:rsidRPr="00210844">
        <w:rPr>
          <w:rFonts w:cs="Calibri"/>
          <w:sz w:val="22"/>
          <w:szCs w:val="22"/>
        </w:rPr>
        <w:t xml:space="preserve"> </w:t>
      </w:r>
      <w:r w:rsidR="00B56D78">
        <w:rPr>
          <w:rFonts w:cs="Calibri"/>
          <w:sz w:val="22"/>
          <w:szCs w:val="22"/>
        </w:rPr>
        <w:t xml:space="preserve">those </w:t>
      </w:r>
      <w:r w:rsidRPr="00210844">
        <w:rPr>
          <w:rFonts w:cs="Calibri"/>
          <w:sz w:val="22"/>
          <w:szCs w:val="22"/>
        </w:rPr>
        <w:t>on emergency department boarding, gaps in community-based services, youth mental health needs, family navigation barriers, insurance and reimbursement challenges, workforce shortages, and disparities in access</w:t>
      </w:r>
      <w:r w:rsidR="00D54137">
        <w:rPr>
          <w:rFonts w:cs="Calibri"/>
          <w:sz w:val="22"/>
          <w:szCs w:val="22"/>
        </w:rPr>
        <w:t>.</w:t>
      </w:r>
      <w:r w:rsidR="00B9269A">
        <w:rPr>
          <w:rFonts w:cs="Calibri"/>
          <w:sz w:val="22"/>
          <w:szCs w:val="22"/>
        </w:rPr>
        <w:t xml:space="preserve"> </w:t>
      </w:r>
      <w:r w:rsidR="00EF0F18">
        <w:rPr>
          <w:rFonts w:cs="Calibri"/>
          <w:sz w:val="22"/>
          <w:szCs w:val="22"/>
        </w:rPr>
        <w:t xml:space="preserve">See </w:t>
      </w:r>
      <w:r w:rsidR="00286DC3">
        <w:rPr>
          <w:rFonts w:cs="Calibri"/>
          <w:sz w:val="22"/>
          <w:szCs w:val="22"/>
        </w:rPr>
        <w:t>App</w:t>
      </w:r>
      <w:r w:rsidR="00EF0F18">
        <w:rPr>
          <w:rFonts w:cs="Calibri"/>
          <w:sz w:val="22"/>
          <w:szCs w:val="22"/>
        </w:rPr>
        <w:t>e</w:t>
      </w:r>
      <w:r w:rsidR="00286DC3">
        <w:rPr>
          <w:rFonts w:cs="Calibri"/>
          <w:sz w:val="22"/>
          <w:szCs w:val="22"/>
        </w:rPr>
        <w:t>ndix C for a full list of reports and resources reviewed by the</w:t>
      </w:r>
      <w:r w:rsidR="00EF0F18">
        <w:rPr>
          <w:rFonts w:cs="Calibri"/>
          <w:sz w:val="22"/>
          <w:szCs w:val="22"/>
        </w:rPr>
        <w:t xml:space="preserve"> Commission</w:t>
      </w:r>
      <w:r w:rsidR="006A27A5">
        <w:rPr>
          <w:rFonts w:cs="Calibri"/>
          <w:sz w:val="22"/>
          <w:szCs w:val="22"/>
        </w:rPr>
        <w:t>.</w:t>
      </w:r>
    </w:p>
    <w:p w14:paraId="1929479F" w14:textId="06DB3EE8" w:rsidR="009B5692" w:rsidRPr="00210844" w:rsidRDefault="00CE0AD2" w:rsidP="00CE0AD2">
      <w:pPr>
        <w:rPr>
          <w:rFonts w:cs="Calibri"/>
          <w:sz w:val="22"/>
          <w:szCs w:val="22"/>
        </w:rPr>
      </w:pPr>
      <w:r w:rsidRPr="00210844">
        <w:rPr>
          <w:rFonts w:cs="Calibri"/>
          <w:sz w:val="22"/>
          <w:szCs w:val="22"/>
        </w:rPr>
        <w:t xml:space="preserve">The Commission also considered how recent behavioral health </w:t>
      </w:r>
      <w:r w:rsidR="00762DF9">
        <w:rPr>
          <w:rFonts w:cs="Calibri"/>
          <w:sz w:val="22"/>
          <w:szCs w:val="22"/>
        </w:rPr>
        <w:t>initiatives</w:t>
      </w:r>
      <w:r w:rsidRPr="00210844">
        <w:rPr>
          <w:rFonts w:cs="Calibri"/>
          <w:sz w:val="22"/>
          <w:szCs w:val="22"/>
        </w:rPr>
        <w:t>, including the Behavioral Health Help Line, Community Behavioral Health Centers, and Behavioral Health Urgent Care, intersect with the child and family service continuum. These initiatives create a stronger statewide infrastructure for access, assessment, urgent care, crisis response, and referral. However, the Commission identified a need to ensure that children and families experience these reforms as a coordinated, developmentally appropriate, family-centered system rather than as separate programs.</w:t>
      </w:r>
    </w:p>
    <w:p w14:paraId="32EC40A1" w14:textId="1A565AC8" w:rsidR="004E069D" w:rsidRDefault="00AD0538" w:rsidP="004E069D">
      <w:pPr>
        <w:rPr>
          <w:rFonts w:cs="Calibri"/>
          <w:sz w:val="22"/>
          <w:szCs w:val="22"/>
        </w:rPr>
      </w:pPr>
      <w:r w:rsidRPr="00AD0538">
        <w:rPr>
          <w:rFonts w:cs="Calibri"/>
          <w:sz w:val="22"/>
          <w:szCs w:val="22"/>
        </w:rPr>
        <w:t>Additionally, t</w:t>
      </w:r>
      <w:r w:rsidR="00CE0AD2" w:rsidRPr="00AD0538">
        <w:rPr>
          <w:rFonts w:cs="Calibri"/>
          <w:sz w:val="22"/>
          <w:szCs w:val="22"/>
        </w:rPr>
        <w:t xml:space="preserve">o </w:t>
      </w:r>
      <w:r w:rsidR="00E64846">
        <w:rPr>
          <w:rFonts w:cs="Calibri"/>
          <w:sz w:val="22"/>
          <w:szCs w:val="22"/>
        </w:rPr>
        <w:t xml:space="preserve">work as efficiently as possible, </w:t>
      </w:r>
      <w:r w:rsidR="00CE0AD2" w:rsidRPr="00210844">
        <w:rPr>
          <w:rFonts w:cs="Calibri"/>
          <w:sz w:val="22"/>
          <w:szCs w:val="22"/>
        </w:rPr>
        <w:t xml:space="preserve">the Commission organized </w:t>
      </w:r>
      <w:r w:rsidR="004E069D">
        <w:rPr>
          <w:rFonts w:cs="Calibri"/>
          <w:sz w:val="22"/>
          <w:szCs w:val="22"/>
        </w:rPr>
        <w:t>itself in</w:t>
      </w:r>
      <w:r>
        <w:rPr>
          <w:rFonts w:cs="Calibri"/>
          <w:sz w:val="22"/>
          <w:szCs w:val="22"/>
        </w:rPr>
        <w:t>to</w:t>
      </w:r>
      <w:r w:rsidR="004E069D">
        <w:rPr>
          <w:rFonts w:cs="Calibri"/>
          <w:sz w:val="22"/>
          <w:szCs w:val="22"/>
        </w:rPr>
        <w:t xml:space="preserve"> </w:t>
      </w:r>
      <w:r w:rsidR="005B4D63">
        <w:rPr>
          <w:rFonts w:cs="Calibri"/>
          <w:sz w:val="22"/>
          <w:szCs w:val="22"/>
        </w:rPr>
        <w:t>thre</w:t>
      </w:r>
      <w:r w:rsidR="00924C68">
        <w:rPr>
          <w:rFonts w:cs="Calibri"/>
          <w:sz w:val="22"/>
          <w:szCs w:val="22"/>
        </w:rPr>
        <w:t xml:space="preserve">e </w:t>
      </w:r>
      <w:r w:rsidR="00CE0AD2" w:rsidRPr="00210844">
        <w:rPr>
          <w:rFonts w:cs="Calibri"/>
          <w:sz w:val="22"/>
          <w:szCs w:val="22"/>
        </w:rPr>
        <w:t>workgroups</w:t>
      </w:r>
      <w:r w:rsidR="00924C68">
        <w:rPr>
          <w:rFonts w:cs="Calibri"/>
          <w:sz w:val="22"/>
          <w:szCs w:val="22"/>
        </w:rPr>
        <w:t xml:space="preserve">, based on </w:t>
      </w:r>
      <w:r w:rsidR="00887311">
        <w:rPr>
          <w:rFonts w:cs="Calibri"/>
          <w:sz w:val="22"/>
          <w:szCs w:val="22"/>
        </w:rPr>
        <w:t xml:space="preserve">the specific areas of interest outlined in the </w:t>
      </w:r>
      <w:r w:rsidR="00924C68">
        <w:rPr>
          <w:rFonts w:cs="Calibri"/>
          <w:sz w:val="22"/>
          <w:szCs w:val="22"/>
        </w:rPr>
        <w:t>Commission’s charge</w:t>
      </w:r>
      <w:r w:rsidR="004E069D" w:rsidRPr="004E069D">
        <w:rPr>
          <w:rFonts w:cs="Calibri"/>
          <w:sz w:val="22"/>
          <w:szCs w:val="22"/>
        </w:rPr>
        <w:t>:</w:t>
      </w:r>
    </w:p>
    <w:p w14:paraId="23842208" w14:textId="1344C05D" w:rsidR="004E069D" w:rsidRPr="00B83954" w:rsidRDefault="00121B94" w:rsidP="00BE4783">
      <w:pPr>
        <w:pStyle w:val="ListParagraph"/>
        <w:numPr>
          <w:ilvl w:val="0"/>
          <w:numId w:val="8"/>
        </w:numPr>
        <w:rPr>
          <w:rFonts w:cs="Calibri"/>
          <w:sz w:val="22"/>
          <w:szCs w:val="22"/>
        </w:rPr>
      </w:pPr>
      <w:r w:rsidRPr="00AA4F13">
        <w:rPr>
          <w:rFonts w:cs="Calibri"/>
          <w:sz w:val="22"/>
          <w:szCs w:val="22"/>
          <w:u w:val="single"/>
        </w:rPr>
        <w:t>Workgroup #1:</w:t>
      </w:r>
      <w:r w:rsidRPr="00B83954">
        <w:rPr>
          <w:rFonts w:cs="Calibri"/>
          <w:sz w:val="22"/>
          <w:szCs w:val="22"/>
        </w:rPr>
        <w:t xml:space="preserve"> </w:t>
      </w:r>
      <w:r w:rsidR="004E069D" w:rsidRPr="00B83954">
        <w:rPr>
          <w:rFonts w:cs="Calibri"/>
          <w:sz w:val="22"/>
          <w:szCs w:val="22"/>
        </w:rPr>
        <w:t>Landscape &amp; Funding</w:t>
      </w:r>
      <w:r w:rsidR="003678D9">
        <w:rPr>
          <w:rFonts w:cs="Calibri"/>
          <w:sz w:val="22"/>
          <w:szCs w:val="22"/>
        </w:rPr>
        <w:t xml:space="preserve"> Analysis</w:t>
      </w:r>
    </w:p>
    <w:p w14:paraId="118EFD0E" w14:textId="2B1A7A29" w:rsidR="004E069D" w:rsidRPr="00B83954" w:rsidRDefault="00121B94" w:rsidP="00BE4783">
      <w:pPr>
        <w:pStyle w:val="ListParagraph"/>
        <w:numPr>
          <w:ilvl w:val="0"/>
          <w:numId w:val="8"/>
        </w:numPr>
        <w:rPr>
          <w:rFonts w:cs="Calibri"/>
          <w:sz w:val="22"/>
          <w:szCs w:val="22"/>
        </w:rPr>
      </w:pPr>
      <w:r w:rsidRPr="00AA4F13">
        <w:rPr>
          <w:rFonts w:cs="Calibri"/>
          <w:sz w:val="22"/>
          <w:szCs w:val="22"/>
          <w:u w:val="single"/>
        </w:rPr>
        <w:t>Workgroup #2:</w:t>
      </w:r>
      <w:r w:rsidR="00B83954" w:rsidRPr="00B83954">
        <w:rPr>
          <w:rFonts w:cs="Calibri"/>
          <w:sz w:val="22"/>
          <w:szCs w:val="22"/>
        </w:rPr>
        <w:t xml:space="preserve"> </w:t>
      </w:r>
      <w:r w:rsidR="004E069D" w:rsidRPr="00B83954">
        <w:rPr>
          <w:rFonts w:cs="Calibri"/>
          <w:sz w:val="22"/>
          <w:szCs w:val="22"/>
        </w:rPr>
        <w:t>Challenges &amp; Policy Recommendations</w:t>
      </w:r>
    </w:p>
    <w:p w14:paraId="0394A3FC" w14:textId="654109D0" w:rsidR="004E069D" w:rsidRPr="00B83954" w:rsidRDefault="00B83954" w:rsidP="00BE4783">
      <w:pPr>
        <w:pStyle w:val="ListParagraph"/>
        <w:numPr>
          <w:ilvl w:val="0"/>
          <w:numId w:val="8"/>
        </w:numPr>
        <w:rPr>
          <w:rFonts w:cs="Calibri"/>
          <w:sz w:val="22"/>
          <w:szCs w:val="22"/>
        </w:rPr>
      </w:pPr>
      <w:r w:rsidRPr="00AA4F13">
        <w:rPr>
          <w:rFonts w:cs="Calibri"/>
          <w:sz w:val="22"/>
          <w:szCs w:val="22"/>
          <w:u w:val="single"/>
        </w:rPr>
        <w:t>Workgroup #3:</w:t>
      </w:r>
      <w:r w:rsidRPr="00B83954">
        <w:rPr>
          <w:rFonts w:cs="Calibri"/>
          <w:sz w:val="22"/>
          <w:szCs w:val="22"/>
        </w:rPr>
        <w:t xml:space="preserve"> </w:t>
      </w:r>
      <w:r w:rsidR="00B229E1">
        <w:rPr>
          <w:rFonts w:cs="Calibri"/>
          <w:sz w:val="22"/>
          <w:szCs w:val="22"/>
        </w:rPr>
        <w:t xml:space="preserve">Feasibility </w:t>
      </w:r>
      <w:r w:rsidR="004033C5">
        <w:rPr>
          <w:rFonts w:cs="Calibri"/>
          <w:sz w:val="22"/>
          <w:szCs w:val="22"/>
        </w:rPr>
        <w:t>and Effe</w:t>
      </w:r>
      <w:r w:rsidR="00914E5A">
        <w:rPr>
          <w:rFonts w:cs="Calibri"/>
          <w:sz w:val="22"/>
          <w:szCs w:val="22"/>
        </w:rPr>
        <w:t>cts of</w:t>
      </w:r>
      <w:r w:rsidR="00B229E1">
        <w:rPr>
          <w:rFonts w:cs="Calibri"/>
          <w:sz w:val="22"/>
          <w:szCs w:val="22"/>
        </w:rPr>
        <w:t xml:space="preserve"> </w:t>
      </w:r>
      <w:r w:rsidR="00914E5A">
        <w:rPr>
          <w:rFonts w:cs="Calibri"/>
          <w:sz w:val="22"/>
          <w:szCs w:val="22"/>
        </w:rPr>
        <w:t xml:space="preserve">Creating a </w:t>
      </w:r>
      <w:r w:rsidR="00B229E1">
        <w:rPr>
          <w:rFonts w:cs="Calibri"/>
          <w:sz w:val="22"/>
          <w:szCs w:val="22"/>
        </w:rPr>
        <w:t>Single</w:t>
      </w:r>
      <w:r w:rsidR="00914E5A">
        <w:rPr>
          <w:rFonts w:cs="Calibri"/>
          <w:sz w:val="22"/>
          <w:szCs w:val="22"/>
        </w:rPr>
        <w:t xml:space="preserve"> Integrated</w:t>
      </w:r>
      <w:r w:rsidR="00B229E1">
        <w:rPr>
          <w:rFonts w:cs="Calibri"/>
          <w:sz w:val="22"/>
          <w:szCs w:val="22"/>
        </w:rPr>
        <w:t xml:space="preserve"> Ch</w:t>
      </w:r>
      <w:r w:rsidR="004E069D" w:rsidRPr="00B83954">
        <w:rPr>
          <w:rFonts w:cs="Calibri"/>
          <w:sz w:val="22"/>
          <w:szCs w:val="22"/>
        </w:rPr>
        <w:t>i</w:t>
      </w:r>
      <w:r w:rsidR="00B229E1">
        <w:rPr>
          <w:rFonts w:cs="Calibri"/>
          <w:sz w:val="22"/>
          <w:szCs w:val="22"/>
        </w:rPr>
        <w:t>ldren’s Behavioral Health Agency</w:t>
      </w:r>
    </w:p>
    <w:p w14:paraId="7DD5A208" w14:textId="7682CA11" w:rsidR="001925B4" w:rsidRDefault="008C4981">
      <w:pPr>
        <w:rPr>
          <w:rFonts w:cs="Calibri"/>
          <w:sz w:val="22"/>
          <w:szCs w:val="22"/>
        </w:rPr>
      </w:pPr>
      <w:r>
        <w:rPr>
          <w:rFonts w:cs="Calibri"/>
          <w:sz w:val="22"/>
          <w:szCs w:val="22"/>
        </w:rPr>
        <w:t>Commission m</w:t>
      </w:r>
      <w:r w:rsidR="00E64846">
        <w:rPr>
          <w:rFonts w:cs="Calibri"/>
          <w:sz w:val="22"/>
          <w:szCs w:val="22"/>
        </w:rPr>
        <w:t xml:space="preserve">embers self-selected </w:t>
      </w:r>
      <w:r w:rsidR="00C5595D">
        <w:rPr>
          <w:rFonts w:cs="Calibri"/>
          <w:sz w:val="22"/>
          <w:szCs w:val="22"/>
        </w:rPr>
        <w:t>into one</w:t>
      </w:r>
      <w:r w:rsidR="004E069D" w:rsidRPr="004E069D">
        <w:rPr>
          <w:rFonts w:cs="Calibri"/>
          <w:sz w:val="22"/>
          <w:szCs w:val="22"/>
        </w:rPr>
        <w:t xml:space="preserve"> </w:t>
      </w:r>
      <w:r w:rsidR="00E64846">
        <w:rPr>
          <w:rFonts w:cs="Calibri"/>
          <w:sz w:val="22"/>
          <w:szCs w:val="22"/>
        </w:rPr>
        <w:t xml:space="preserve">of the </w:t>
      </w:r>
      <w:r w:rsidR="004E069D">
        <w:rPr>
          <w:rFonts w:cs="Calibri"/>
          <w:sz w:val="22"/>
          <w:szCs w:val="22"/>
        </w:rPr>
        <w:t>work</w:t>
      </w:r>
      <w:r w:rsidR="004E069D" w:rsidRPr="004E069D">
        <w:rPr>
          <w:rFonts w:cs="Calibri"/>
          <w:sz w:val="22"/>
          <w:szCs w:val="22"/>
        </w:rPr>
        <w:t>group</w:t>
      </w:r>
      <w:r w:rsidR="00E64846">
        <w:rPr>
          <w:rFonts w:cs="Calibri"/>
          <w:sz w:val="22"/>
          <w:szCs w:val="22"/>
        </w:rPr>
        <w:t xml:space="preserve">s, </w:t>
      </w:r>
      <w:r w:rsidR="004E069D">
        <w:rPr>
          <w:rFonts w:cs="Calibri"/>
          <w:sz w:val="22"/>
          <w:szCs w:val="22"/>
        </w:rPr>
        <w:t>me</w:t>
      </w:r>
      <w:r w:rsidR="00E64846">
        <w:rPr>
          <w:rFonts w:cs="Calibri"/>
          <w:sz w:val="22"/>
          <w:szCs w:val="22"/>
        </w:rPr>
        <w:t>e</w:t>
      </w:r>
      <w:r w:rsidR="004E069D">
        <w:rPr>
          <w:rFonts w:cs="Calibri"/>
          <w:sz w:val="22"/>
          <w:szCs w:val="22"/>
        </w:rPr>
        <w:t>t</w:t>
      </w:r>
      <w:r w:rsidR="00E64846">
        <w:rPr>
          <w:rFonts w:cs="Calibri"/>
          <w:sz w:val="22"/>
          <w:szCs w:val="22"/>
        </w:rPr>
        <w:t>ing</w:t>
      </w:r>
      <w:r w:rsidR="004E069D">
        <w:rPr>
          <w:rFonts w:cs="Calibri"/>
          <w:sz w:val="22"/>
          <w:szCs w:val="22"/>
        </w:rPr>
        <w:t xml:space="preserve"> </w:t>
      </w:r>
      <w:r w:rsidR="00121B94">
        <w:rPr>
          <w:rFonts w:cs="Calibri"/>
          <w:sz w:val="22"/>
          <w:szCs w:val="22"/>
        </w:rPr>
        <w:t xml:space="preserve">in </w:t>
      </w:r>
      <w:r w:rsidR="004E069D" w:rsidRPr="004E069D">
        <w:rPr>
          <w:rFonts w:cs="Calibri"/>
          <w:sz w:val="22"/>
          <w:szCs w:val="22"/>
        </w:rPr>
        <w:t xml:space="preserve">between </w:t>
      </w:r>
      <w:r w:rsidR="0058517C">
        <w:rPr>
          <w:rFonts w:cs="Calibri"/>
          <w:sz w:val="22"/>
          <w:szCs w:val="22"/>
        </w:rPr>
        <w:t xml:space="preserve">the Commission’s </w:t>
      </w:r>
      <w:r w:rsidR="00121B94">
        <w:rPr>
          <w:rFonts w:cs="Calibri"/>
          <w:sz w:val="22"/>
          <w:szCs w:val="22"/>
        </w:rPr>
        <w:t xml:space="preserve">broader </w:t>
      </w:r>
      <w:r w:rsidR="004E069D" w:rsidRPr="004E069D">
        <w:rPr>
          <w:rFonts w:cs="Calibri"/>
          <w:sz w:val="22"/>
          <w:szCs w:val="22"/>
        </w:rPr>
        <w:t>meetings</w:t>
      </w:r>
      <w:r w:rsidR="00E64846">
        <w:rPr>
          <w:rFonts w:cs="Calibri"/>
          <w:sz w:val="22"/>
          <w:szCs w:val="22"/>
        </w:rPr>
        <w:t xml:space="preserve"> and</w:t>
      </w:r>
      <w:r w:rsidR="004E069D" w:rsidRPr="004E069D">
        <w:rPr>
          <w:rFonts w:cs="Calibri"/>
          <w:sz w:val="22"/>
          <w:szCs w:val="22"/>
        </w:rPr>
        <w:t xml:space="preserve"> reporting back </w:t>
      </w:r>
      <w:r w:rsidR="00E64846">
        <w:rPr>
          <w:rFonts w:cs="Calibri"/>
          <w:sz w:val="22"/>
          <w:szCs w:val="22"/>
        </w:rPr>
        <w:t xml:space="preserve">both status updates and full report-outs </w:t>
      </w:r>
      <w:r w:rsidR="004E069D" w:rsidRPr="004E069D">
        <w:rPr>
          <w:rFonts w:cs="Calibri"/>
          <w:sz w:val="22"/>
          <w:szCs w:val="22"/>
        </w:rPr>
        <w:t xml:space="preserve">to the </w:t>
      </w:r>
      <w:r w:rsidR="00E64846">
        <w:rPr>
          <w:rFonts w:cs="Calibri"/>
          <w:sz w:val="22"/>
          <w:szCs w:val="22"/>
        </w:rPr>
        <w:t>f</w:t>
      </w:r>
      <w:r w:rsidR="004E069D" w:rsidRPr="004E069D">
        <w:rPr>
          <w:rFonts w:cs="Calibri"/>
          <w:sz w:val="22"/>
          <w:szCs w:val="22"/>
        </w:rPr>
        <w:t>ull Commission.</w:t>
      </w:r>
    </w:p>
    <w:p w14:paraId="51E910F5" w14:textId="3F27A96D" w:rsidR="00B83954" w:rsidRDefault="00F95438">
      <w:pPr>
        <w:rPr>
          <w:rFonts w:cs="Calibri"/>
          <w:sz w:val="22"/>
          <w:szCs w:val="22"/>
        </w:rPr>
      </w:pPr>
      <w:r>
        <w:rPr>
          <w:rFonts w:cs="Calibri"/>
          <w:sz w:val="22"/>
          <w:szCs w:val="22"/>
        </w:rPr>
        <w:t>(Work products for each of the workgroups appear in Appendices</w:t>
      </w:r>
      <w:r w:rsidR="00A5097C">
        <w:rPr>
          <w:rFonts w:cs="Calibri"/>
          <w:sz w:val="22"/>
          <w:szCs w:val="22"/>
        </w:rPr>
        <w:t xml:space="preserve"> D, </w:t>
      </w:r>
      <w:r w:rsidR="00AE3217">
        <w:rPr>
          <w:rFonts w:cs="Calibri"/>
          <w:sz w:val="22"/>
          <w:szCs w:val="22"/>
        </w:rPr>
        <w:t xml:space="preserve">E, </w:t>
      </w:r>
      <w:r w:rsidR="00A5097C">
        <w:rPr>
          <w:rFonts w:cs="Calibri"/>
          <w:sz w:val="22"/>
          <w:szCs w:val="22"/>
        </w:rPr>
        <w:t xml:space="preserve">&amp; </w:t>
      </w:r>
      <w:r w:rsidR="00AE3217">
        <w:rPr>
          <w:rFonts w:cs="Calibri"/>
          <w:sz w:val="22"/>
          <w:szCs w:val="22"/>
        </w:rPr>
        <w:t>F</w:t>
      </w:r>
      <w:r>
        <w:rPr>
          <w:rFonts w:cs="Calibri"/>
          <w:sz w:val="22"/>
          <w:szCs w:val="22"/>
        </w:rPr>
        <w:t>)</w:t>
      </w:r>
    </w:p>
    <w:p w14:paraId="1E57896E" w14:textId="77777777" w:rsidR="001A6BB7" w:rsidRDefault="001A6BB7">
      <w:pPr>
        <w:rPr>
          <w:rFonts w:cs="Calibri"/>
          <w:b/>
          <w:bCs/>
          <w:sz w:val="22"/>
          <w:szCs w:val="22"/>
          <w:u w:val="single"/>
        </w:rPr>
      </w:pPr>
      <w:r>
        <w:rPr>
          <w:rFonts w:cs="Calibri"/>
          <w:b/>
          <w:bCs/>
          <w:sz w:val="22"/>
          <w:szCs w:val="22"/>
          <w:u w:val="single"/>
        </w:rPr>
        <w:br w:type="page"/>
      </w:r>
    </w:p>
    <w:p w14:paraId="15A68C29" w14:textId="38F0E0C8" w:rsidR="00CE0AD2" w:rsidRPr="00210844" w:rsidRDefault="00E10550" w:rsidP="00BE4783">
      <w:pPr>
        <w:pStyle w:val="ListParagraph"/>
        <w:numPr>
          <w:ilvl w:val="0"/>
          <w:numId w:val="6"/>
        </w:numPr>
        <w:rPr>
          <w:rFonts w:cs="Calibri"/>
          <w:b/>
          <w:bCs/>
          <w:sz w:val="22"/>
          <w:szCs w:val="22"/>
          <w:u w:val="single"/>
        </w:rPr>
      </w:pPr>
      <w:r>
        <w:rPr>
          <w:rFonts w:cs="Calibri"/>
          <w:b/>
          <w:bCs/>
          <w:sz w:val="22"/>
          <w:szCs w:val="22"/>
          <w:u w:val="single"/>
        </w:rPr>
        <w:t xml:space="preserve">Policy </w:t>
      </w:r>
      <w:r w:rsidR="008E6B2B">
        <w:rPr>
          <w:rFonts w:cs="Calibri"/>
          <w:b/>
          <w:bCs/>
          <w:sz w:val="22"/>
          <w:szCs w:val="22"/>
          <w:u w:val="single"/>
        </w:rPr>
        <w:t>Fr</w:t>
      </w:r>
      <w:r w:rsidR="0085422C">
        <w:rPr>
          <w:rFonts w:cs="Calibri"/>
          <w:b/>
          <w:bCs/>
          <w:sz w:val="22"/>
          <w:szCs w:val="22"/>
          <w:u w:val="single"/>
        </w:rPr>
        <w:t>a</w:t>
      </w:r>
      <w:r w:rsidR="008E6B2B">
        <w:rPr>
          <w:rFonts w:cs="Calibri"/>
          <w:b/>
          <w:bCs/>
          <w:sz w:val="22"/>
          <w:szCs w:val="22"/>
          <w:u w:val="single"/>
        </w:rPr>
        <w:t>mework</w:t>
      </w:r>
    </w:p>
    <w:p w14:paraId="59A61C01" w14:textId="1F4F3D2F" w:rsidR="008D638D" w:rsidRDefault="001A6BB7" w:rsidP="00C65B03">
      <w:pPr>
        <w:rPr>
          <w:rFonts w:cs="Calibri"/>
          <w:sz w:val="22"/>
          <w:szCs w:val="22"/>
        </w:rPr>
      </w:pPr>
      <w:r>
        <w:rPr>
          <w:rFonts w:cs="Calibri"/>
          <w:sz w:val="22"/>
          <w:szCs w:val="22"/>
        </w:rPr>
        <w:t>Based on the</w:t>
      </w:r>
      <w:r w:rsidR="00F62131">
        <w:rPr>
          <w:rFonts w:cs="Calibri"/>
          <w:sz w:val="22"/>
          <w:szCs w:val="22"/>
        </w:rPr>
        <w:t xml:space="preserve"> work of the Challenges &amp; Recommendations workgroup, </w:t>
      </w:r>
      <w:r>
        <w:rPr>
          <w:rFonts w:cs="Calibri"/>
          <w:sz w:val="22"/>
          <w:szCs w:val="22"/>
        </w:rPr>
        <w:t>the Commission developed</w:t>
      </w:r>
      <w:r w:rsidR="00AE5FCD">
        <w:rPr>
          <w:rFonts w:cs="Calibri"/>
          <w:sz w:val="22"/>
          <w:szCs w:val="22"/>
        </w:rPr>
        <w:t xml:space="preserve"> a framework for organizing its recommendations</w:t>
      </w:r>
      <w:r w:rsidR="000034E2">
        <w:rPr>
          <w:rFonts w:cs="Calibri"/>
          <w:sz w:val="22"/>
          <w:szCs w:val="22"/>
        </w:rPr>
        <w:t xml:space="preserve">, consisting of </w:t>
      </w:r>
      <w:r w:rsidR="006B070E" w:rsidRPr="008F760B">
        <w:rPr>
          <w:rFonts w:cs="Calibri"/>
          <w:sz w:val="22"/>
          <w:szCs w:val="22"/>
          <w:u w:val="single"/>
        </w:rPr>
        <w:t>tw</w:t>
      </w:r>
      <w:r w:rsidR="006B070E" w:rsidRPr="00DC4615">
        <w:rPr>
          <w:rFonts w:cs="Calibri"/>
          <w:sz w:val="22"/>
          <w:szCs w:val="22"/>
          <w:u w:val="single"/>
        </w:rPr>
        <w:t>o</w:t>
      </w:r>
      <w:r w:rsidR="006B070E" w:rsidRPr="00081F72">
        <w:rPr>
          <w:rFonts w:cs="Calibri"/>
          <w:sz w:val="22"/>
          <w:szCs w:val="22"/>
          <w:u w:val="single"/>
        </w:rPr>
        <w:t xml:space="preserve"> </w:t>
      </w:r>
      <w:r w:rsidR="006B070E" w:rsidRPr="00DC4615">
        <w:rPr>
          <w:rFonts w:cs="Calibri"/>
          <w:sz w:val="22"/>
          <w:szCs w:val="22"/>
          <w:u w:val="single"/>
        </w:rPr>
        <w:t>ov</w:t>
      </w:r>
      <w:r w:rsidR="006B070E" w:rsidRPr="008F760B">
        <w:rPr>
          <w:rFonts w:cs="Calibri"/>
          <w:sz w:val="22"/>
          <w:szCs w:val="22"/>
          <w:u w:val="single"/>
        </w:rPr>
        <w:t xml:space="preserve">erarching policy </w:t>
      </w:r>
      <w:r w:rsidR="006122C0">
        <w:rPr>
          <w:rFonts w:cs="Calibri"/>
          <w:sz w:val="22"/>
          <w:szCs w:val="22"/>
          <w:u w:val="single"/>
        </w:rPr>
        <w:t>commitments</w:t>
      </w:r>
      <w:r w:rsidR="006122C0" w:rsidRPr="00FB55FB">
        <w:rPr>
          <w:rFonts w:cs="Calibri"/>
          <w:sz w:val="22"/>
          <w:szCs w:val="22"/>
        </w:rPr>
        <w:t xml:space="preserve"> </w:t>
      </w:r>
      <w:r w:rsidR="00131153">
        <w:rPr>
          <w:rFonts w:cs="Calibri"/>
          <w:sz w:val="22"/>
          <w:szCs w:val="22"/>
        </w:rPr>
        <w:t>(i.e.</w:t>
      </w:r>
      <w:r w:rsidR="00106E11">
        <w:rPr>
          <w:rFonts w:cs="Calibri"/>
          <w:sz w:val="22"/>
          <w:szCs w:val="22"/>
        </w:rPr>
        <w:t>,</w:t>
      </w:r>
      <w:r w:rsidR="00131153">
        <w:rPr>
          <w:rFonts w:cs="Calibri"/>
          <w:sz w:val="22"/>
          <w:szCs w:val="22"/>
        </w:rPr>
        <w:t xml:space="preserve"> the commitm</w:t>
      </w:r>
      <w:r w:rsidR="00585F9C">
        <w:rPr>
          <w:rFonts w:cs="Calibri"/>
          <w:sz w:val="22"/>
          <w:szCs w:val="22"/>
        </w:rPr>
        <w:t xml:space="preserve">ent that all </w:t>
      </w:r>
      <w:r w:rsidR="0051008B">
        <w:rPr>
          <w:rFonts w:cs="Calibri"/>
          <w:sz w:val="22"/>
          <w:szCs w:val="22"/>
        </w:rPr>
        <w:t>initiatives are family-centered</w:t>
      </w:r>
      <w:r w:rsidR="00C8799D">
        <w:rPr>
          <w:rFonts w:cs="Calibri"/>
          <w:sz w:val="22"/>
          <w:szCs w:val="22"/>
        </w:rPr>
        <w:t xml:space="preserve"> and family-driven and that there is equity accountability for all future initiatives) </w:t>
      </w:r>
      <w:r w:rsidR="006B070E" w:rsidRPr="00FB55FB">
        <w:rPr>
          <w:rFonts w:cs="Calibri"/>
          <w:sz w:val="22"/>
          <w:szCs w:val="22"/>
        </w:rPr>
        <w:t xml:space="preserve">that permeate </w:t>
      </w:r>
      <w:r w:rsidR="006B070E" w:rsidRPr="00081F72">
        <w:rPr>
          <w:rFonts w:cs="Calibri"/>
          <w:sz w:val="22"/>
          <w:szCs w:val="22"/>
          <w:u w:val="single"/>
        </w:rPr>
        <w:t xml:space="preserve">four </w:t>
      </w:r>
      <w:r w:rsidR="006B070E" w:rsidRPr="00474D4C">
        <w:rPr>
          <w:rFonts w:cs="Calibri"/>
          <w:sz w:val="22"/>
          <w:szCs w:val="22"/>
          <w:u w:val="single"/>
        </w:rPr>
        <w:t>t</w:t>
      </w:r>
      <w:r w:rsidR="006B070E" w:rsidRPr="008F760B">
        <w:rPr>
          <w:rFonts w:cs="Calibri"/>
          <w:sz w:val="22"/>
          <w:szCs w:val="22"/>
          <w:u w:val="single"/>
        </w:rPr>
        <w:t xml:space="preserve">argeted policy </w:t>
      </w:r>
      <w:r w:rsidR="007F33A9">
        <w:rPr>
          <w:rFonts w:cs="Calibri"/>
          <w:sz w:val="22"/>
          <w:szCs w:val="22"/>
          <w:u w:val="single"/>
        </w:rPr>
        <w:t>areas</w:t>
      </w:r>
      <w:r w:rsidR="007214E2" w:rsidRPr="00081F72">
        <w:rPr>
          <w:rFonts w:cs="Calibri"/>
          <w:sz w:val="22"/>
          <w:szCs w:val="22"/>
        </w:rPr>
        <w:t xml:space="preserve"> (i.e. Workforce, Payment Policy</w:t>
      </w:r>
      <w:r w:rsidR="006801C6" w:rsidRPr="00081F72">
        <w:rPr>
          <w:rFonts w:cs="Calibri"/>
          <w:sz w:val="22"/>
          <w:szCs w:val="22"/>
        </w:rPr>
        <w:t>, State Agency Coordination, and Front-Door &amp; System Navigation)</w:t>
      </w:r>
      <w:r w:rsidR="002B29B2" w:rsidRPr="0027595B">
        <w:rPr>
          <w:rFonts w:cs="Calibri"/>
          <w:sz w:val="22"/>
          <w:szCs w:val="22"/>
        </w:rPr>
        <w:t>.</w:t>
      </w:r>
    </w:p>
    <w:p w14:paraId="45BBBEF6" w14:textId="1BA8515F" w:rsidR="004129DC" w:rsidRDefault="004129DC" w:rsidP="004129DC">
      <w:pPr>
        <w:rPr>
          <w:rFonts w:cs="Calibri"/>
          <w:sz w:val="22"/>
          <w:szCs w:val="22"/>
        </w:rPr>
      </w:pPr>
      <w:r>
        <w:rPr>
          <w:rFonts w:cs="Calibri"/>
          <w:sz w:val="22"/>
          <w:szCs w:val="22"/>
        </w:rPr>
        <w:t xml:space="preserve">Within each of the policy commitments and policy areas, the Commission included recommendations that were considered both </w:t>
      </w:r>
      <w:r w:rsidRPr="004508FA">
        <w:rPr>
          <w:rFonts w:cs="Calibri"/>
          <w:sz w:val="22"/>
          <w:szCs w:val="22"/>
          <w:u w:val="single"/>
        </w:rPr>
        <w:t>highly impactful</w:t>
      </w:r>
      <w:r>
        <w:rPr>
          <w:rFonts w:cs="Calibri"/>
          <w:sz w:val="22"/>
          <w:szCs w:val="22"/>
        </w:rPr>
        <w:t xml:space="preserve"> and </w:t>
      </w:r>
      <w:r w:rsidRPr="004508FA">
        <w:rPr>
          <w:rFonts w:cs="Calibri"/>
          <w:sz w:val="22"/>
          <w:szCs w:val="22"/>
          <w:u w:val="single"/>
        </w:rPr>
        <w:t>feasible</w:t>
      </w:r>
      <w:r>
        <w:rPr>
          <w:rFonts w:cs="Calibri"/>
          <w:sz w:val="22"/>
          <w:szCs w:val="22"/>
        </w:rPr>
        <w:t xml:space="preserve">, given the </w:t>
      </w:r>
      <w:r w:rsidRPr="00FB55FB">
        <w:rPr>
          <w:rFonts w:cs="Calibri"/>
          <w:sz w:val="22"/>
          <w:szCs w:val="22"/>
        </w:rPr>
        <w:t xml:space="preserve">current budgetary climate, which is anticipated to get worse in the coming years as the </w:t>
      </w:r>
      <w:r>
        <w:rPr>
          <w:rFonts w:cs="Calibri"/>
          <w:sz w:val="22"/>
          <w:szCs w:val="22"/>
        </w:rPr>
        <w:t xml:space="preserve">Commonwealth receives </w:t>
      </w:r>
      <w:r w:rsidRPr="00FB55FB">
        <w:rPr>
          <w:rFonts w:cs="Calibri"/>
          <w:sz w:val="22"/>
          <w:szCs w:val="22"/>
        </w:rPr>
        <w:t xml:space="preserve">significantly less federal </w:t>
      </w:r>
      <w:r>
        <w:rPr>
          <w:rFonts w:cs="Calibri"/>
          <w:sz w:val="22"/>
          <w:szCs w:val="22"/>
        </w:rPr>
        <w:t>support.</w:t>
      </w:r>
    </w:p>
    <w:p w14:paraId="4E99B078" w14:textId="6B463AA7" w:rsidR="004129DC" w:rsidRPr="00210844" w:rsidRDefault="004129DC" w:rsidP="00BE4783">
      <w:pPr>
        <w:numPr>
          <w:ilvl w:val="0"/>
          <w:numId w:val="3"/>
        </w:numPr>
        <w:rPr>
          <w:rFonts w:cs="Calibri"/>
          <w:sz w:val="22"/>
          <w:szCs w:val="22"/>
        </w:rPr>
      </w:pPr>
      <w:r w:rsidRPr="00E66C60">
        <w:rPr>
          <w:rFonts w:cs="Calibri"/>
          <w:b/>
          <w:bCs/>
          <w:sz w:val="22"/>
          <w:szCs w:val="22"/>
          <w:u w:val="single"/>
        </w:rPr>
        <w:t>Impact</w:t>
      </w:r>
      <w:r>
        <w:rPr>
          <w:rFonts w:cs="Calibri"/>
          <w:b/>
          <w:bCs/>
          <w:sz w:val="22"/>
          <w:szCs w:val="22"/>
          <w:u w:val="single"/>
        </w:rPr>
        <w:t>ful</w:t>
      </w:r>
      <w:r w:rsidRPr="00E66C60">
        <w:rPr>
          <w:rFonts w:cs="Calibri"/>
          <w:b/>
          <w:bCs/>
          <w:sz w:val="22"/>
          <w:szCs w:val="22"/>
          <w:u w:val="single"/>
        </w:rPr>
        <w:t>:</w:t>
      </w:r>
      <w:r w:rsidRPr="00210844">
        <w:rPr>
          <w:rFonts w:cs="Calibri"/>
          <w:sz w:val="22"/>
          <w:szCs w:val="22"/>
        </w:rPr>
        <w:t xml:space="preserve"> Will the investment materially improve timely access, reduce crisis escalation, reduce emergency department boarding, support family stability, improve equity, or strengthen outcomes?</w:t>
      </w:r>
    </w:p>
    <w:p w14:paraId="7913C1E8" w14:textId="352733D8" w:rsidR="004129DC" w:rsidRPr="00210844" w:rsidRDefault="004129DC" w:rsidP="00BE4783">
      <w:pPr>
        <w:numPr>
          <w:ilvl w:val="0"/>
          <w:numId w:val="3"/>
        </w:numPr>
        <w:rPr>
          <w:rFonts w:cs="Calibri"/>
          <w:sz w:val="22"/>
          <w:szCs w:val="22"/>
        </w:rPr>
      </w:pPr>
      <w:r w:rsidRPr="00E66C60">
        <w:rPr>
          <w:rFonts w:cs="Calibri"/>
          <w:b/>
          <w:bCs/>
          <w:sz w:val="22"/>
          <w:szCs w:val="22"/>
          <w:u w:val="single"/>
        </w:rPr>
        <w:t>Feasib</w:t>
      </w:r>
      <w:r>
        <w:rPr>
          <w:rFonts w:cs="Calibri"/>
          <w:b/>
          <w:bCs/>
          <w:sz w:val="22"/>
          <w:szCs w:val="22"/>
          <w:u w:val="single"/>
        </w:rPr>
        <w:t>le</w:t>
      </w:r>
      <w:r w:rsidRPr="00E66C60">
        <w:rPr>
          <w:rFonts w:cs="Calibri"/>
          <w:b/>
          <w:bCs/>
          <w:sz w:val="22"/>
          <w:szCs w:val="22"/>
          <w:u w:val="single"/>
        </w:rPr>
        <w:t>:</w:t>
      </w:r>
      <w:r w:rsidRPr="00210844">
        <w:rPr>
          <w:rFonts w:cs="Calibri"/>
          <w:sz w:val="22"/>
          <w:szCs w:val="22"/>
        </w:rPr>
        <w:t xml:space="preserve"> Can the Commonwealth implement the investment within existing administrative structures, workforce capacity, provider networks, and federal funding?</w:t>
      </w:r>
    </w:p>
    <w:p w14:paraId="72288DCA" w14:textId="3DEAF377" w:rsidR="00E06498" w:rsidRPr="00210844" w:rsidRDefault="00861BEE" w:rsidP="00E06498">
      <w:pPr>
        <w:rPr>
          <w:rFonts w:cs="Calibri"/>
          <w:sz w:val="22"/>
          <w:szCs w:val="22"/>
          <w:u w:val="single"/>
        </w:rPr>
      </w:pPr>
      <w:r>
        <w:rPr>
          <w:noProof/>
        </w:rPr>
        <w:drawing>
          <wp:anchor distT="0" distB="0" distL="114300" distR="114300" simplePos="0" relativeHeight="251659608" behindDoc="0" locked="0" layoutInCell="1" allowOverlap="1" wp14:anchorId="13B77E9C" wp14:editId="07B90053">
            <wp:simplePos x="0" y="0"/>
            <wp:positionH relativeFrom="column">
              <wp:posOffset>457200</wp:posOffset>
            </wp:positionH>
            <wp:positionV relativeFrom="paragraph">
              <wp:posOffset>1018540</wp:posOffset>
            </wp:positionV>
            <wp:extent cx="5943600" cy="3448050"/>
            <wp:effectExtent l="0" t="0" r="0" b="0"/>
            <wp:wrapNone/>
            <wp:docPr id="381375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7516" name=""/>
                    <pic:cNvPicPr/>
                  </pic:nvPicPr>
                  <pic:blipFill rotWithShape="1">
                    <a:blip r:embed="rId10">
                      <a:extLst>
                        <a:ext uri="{96DAC541-7B7A-43D3-8B79-37D633B846F1}">
                          <asvg:svgBlip xmlns:asvg="http://schemas.microsoft.com/office/drawing/2016/SVG/main" r:embed="rId11"/>
                        </a:ext>
                      </a:extLst>
                    </a:blip>
                    <a:srcRect t="14103" b="8548"/>
                    <a:stretch>
                      <a:fillRect/>
                    </a:stretch>
                  </pic:blipFill>
                  <pic:spPr bwMode="auto">
                    <a:xfrm>
                      <a:off x="0" y="0"/>
                      <a:ext cx="5943600" cy="344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6498" w:rsidRPr="00210844">
        <w:rPr>
          <w:rFonts w:cs="Calibri"/>
          <w:sz w:val="22"/>
          <w:szCs w:val="22"/>
        </w:rPr>
        <w:t xml:space="preserve">The graphic below illustrates the </w:t>
      </w:r>
      <w:r w:rsidR="00E06498">
        <w:rPr>
          <w:rFonts w:cs="Calibri"/>
          <w:sz w:val="22"/>
          <w:szCs w:val="22"/>
        </w:rPr>
        <w:t xml:space="preserve">overarching policy </w:t>
      </w:r>
      <w:r w:rsidR="006801C6">
        <w:rPr>
          <w:rFonts w:cs="Calibri"/>
          <w:sz w:val="22"/>
          <w:szCs w:val="22"/>
        </w:rPr>
        <w:t>commitments</w:t>
      </w:r>
      <w:r w:rsidR="00963F29">
        <w:rPr>
          <w:rFonts w:cs="Calibri"/>
          <w:sz w:val="22"/>
          <w:szCs w:val="22"/>
        </w:rPr>
        <w:t xml:space="preserve"> and</w:t>
      </w:r>
      <w:r w:rsidR="00E06498" w:rsidRPr="00671903">
        <w:rPr>
          <w:rFonts w:cs="Calibri"/>
          <w:sz w:val="22"/>
          <w:szCs w:val="22"/>
        </w:rPr>
        <w:t xml:space="preserve"> </w:t>
      </w:r>
      <w:r w:rsidR="006801C6">
        <w:rPr>
          <w:rFonts w:cs="Calibri"/>
          <w:sz w:val="22"/>
          <w:szCs w:val="22"/>
        </w:rPr>
        <w:t>policy areas</w:t>
      </w:r>
      <w:r w:rsidR="00E06498" w:rsidRPr="00671903">
        <w:rPr>
          <w:rFonts w:cs="Calibri"/>
          <w:sz w:val="22"/>
          <w:szCs w:val="22"/>
        </w:rPr>
        <w:t>, as well as the specific recommendations th</w:t>
      </w:r>
      <w:r w:rsidR="00E06498">
        <w:rPr>
          <w:rFonts w:cs="Calibri"/>
          <w:sz w:val="22"/>
          <w:szCs w:val="22"/>
        </w:rPr>
        <w:t>at th</w:t>
      </w:r>
      <w:r w:rsidR="00E06498" w:rsidRPr="00671903">
        <w:rPr>
          <w:rFonts w:cs="Calibri"/>
          <w:sz w:val="22"/>
          <w:szCs w:val="22"/>
        </w:rPr>
        <w:t xml:space="preserve">e Commission </w:t>
      </w:r>
      <w:r w:rsidR="00E06498">
        <w:rPr>
          <w:rFonts w:cs="Calibri"/>
          <w:sz w:val="22"/>
          <w:szCs w:val="22"/>
        </w:rPr>
        <w:t>considers both impactful and feasible in the current climate.</w:t>
      </w:r>
      <w:r w:rsidR="00062F75">
        <w:rPr>
          <w:rFonts w:cs="Calibri"/>
          <w:sz w:val="22"/>
          <w:szCs w:val="22"/>
        </w:rPr>
        <w:t xml:space="preserve"> While the</w:t>
      </w:r>
      <w:r w:rsidR="004538F3">
        <w:rPr>
          <w:rFonts w:cs="Calibri"/>
          <w:sz w:val="22"/>
          <w:szCs w:val="22"/>
        </w:rPr>
        <w:t>se short-term</w:t>
      </w:r>
      <w:r w:rsidR="00062F75">
        <w:rPr>
          <w:rFonts w:cs="Calibri"/>
          <w:sz w:val="22"/>
          <w:szCs w:val="22"/>
        </w:rPr>
        <w:t xml:space="preserve"> recommendations outlined below may </w:t>
      </w:r>
      <w:r w:rsidR="00062F75" w:rsidRPr="00062F75">
        <w:rPr>
          <w:rFonts w:cs="Calibri"/>
          <w:sz w:val="22"/>
          <w:szCs w:val="22"/>
        </w:rPr>
        <w:t xml:space="preserve">still require investments </w:t>
      </w:r>
      <w:r w:rsidR="00062F75">
        <w:rPr>
          <w:rFonts w:cs="Calibri"/>
          <w:sz w:val="22"/>
          <w:szCs w:val="22"/>
        </w:rPr>
        <w:t xml:space="preserve">from the state, they </w:t>
      </w:r>
      <w:r w:rsidR="00446B16">
        <w:rPr>
          <w:rFonts w:cs="Calibri"/>
          <w:sz w:val="22"/>
          <w:szCs w:val="22"/>
        </w:rPr>
        <w:t>we</w:t>
      </w:r>
      <w:r w:rsidR="00062F75" w:rsidRPr="00062F75">
        <w:rPr>
          <w:rFonts w:cs="Calibri"/>
          <w:sz w:val="22"/>
          <w:szCs w:val="22"/>
        </w:rPr>
        <w:t xml:space="preserve">re </w:t>
      </w:r>
      <w:r w:rsidR="00446B16">
        <w:rPr>
          <w:rFonts w:cs="Calibri"/>
          <w:sz w:val="22"/>
          <w:szCs w:val="22"/>
        </w:rPr>
        <w:t xml:space="preserve">deemed to be </w:t>
      </w:r>
      <w:r w:rsidR="00062F75">
        <w:rPr>
          <w:rFonts w:cs="Calibri"/>
          <w:sz w:val="22"/>
          <w:szCs w:val="22"/>
        </w:rPr>
        <w:t>the most feasible in the curr</w:t>
      </w:r>
      <w:r w:rsidR="00062F75" w:rsidRPr="00062F75">
        <w:rPr>
          <w:rFonts w:cs="Calibri"/>
          <w:sz w:val="22"/>
          <w:szCs w:val="22"/>
        </w:rPr>
        <w:t>e</w:t>
      </w:r>
      <w:r w:rsidR="00062F75">
        <w:rPr>
          <w:rFonts w:cs="Calibri"/>
          <w:sz w:val="22"/>
          <w:szCs w:val="22"/>
        </w:rPr>
        <w:t xml:space="preserve">nt budgetary climate. </w:t>
      </w:r>
    </w:p>
    <w:p w14:paraId="2AD2749F" w14:textId="7B2FC1A2" w:rsidR="00E06498" w:rsidRPr="00210844" w:rsidRDefault="00E06498" w:rsidP="00E06498">
      <w:pPr>
        <w:rPr>
          <w:rFonts w:cs="Calibri"/>
          <w:sz w:val="22"/>
          <w:szCs w:val="22"/>
          <w:u w:val="single"/>
        </w:rPr>
      </w:pPr>
      <w:r w:rsidRPr="0002494A">
        <w:rPr>
          <w:rFonts w:cs="Calibri"/>
          <w:sz w:val="22"/>
          <w:szCs w:val="22"/>
        </w:rPr>
        <w:t xml:space="preserve"> </w:t>
      </w:r>
    </w:p>
    <w:p w14:paraId="108269CD" w14:textId="3EA7F1D5" w:rsidR="00E06498" w:rsidRDefault="00491688" w:rsidP="00C65B03">
      <w:pPr>
        <w:rPr>
          <w:rFonts w:cs="Calibri"/>
          <w:sz w:val="22"/>
          <w:szCs w:val="22"/>
        </w:rPr>
      </w:pPr>
      <w:r w:rsidRPr="00DC4541">
        <w:rPr>
          <w:rFonts w:cs="Calibri"/>
          <w:noProof/>
          <w:sz w:val="22"/>
          <w:szCs w:val="22"/>
        </w:rPr>
        <w:t xml:space="preserve"> </w:t>
      </w:r>
      <w:r w:rsidR="00861BEE" w:rsidRPr="00DC4541">
        <w:rPr>
          <w:rFonts w:cs="Calibri"/>
          <w:noProof/>
          <w:sz w:val="22"/>
          <w:szCs w:val="22"/>
        </w:rPr>
        <w:t xml:space="preserve"> </w:t>
      </w:r>
      <w:r w:rsidR="00443748" w:rsidRPr="00DC4541">
        <w:rPr>
          <w:rFonts w:cs="Calibri"/>
          <w:noProof/>
          <w:sz w:val="22"/>
          <w:szCs w:val="22"/>
        </w:rPr>
        <mc:AlternateContent>
          <mc:Choice Requires="wps">
            <w:drawing>
              <wp:anchor distT="45720" distB="45720" distL="114300" distR="114300" simplePos="0" relativeHeight="251658584" behindDoc="0" locked="0" layoutInCell="1" allowOverlap="1" wp14:anchorId="2DFC43CD" wp14:editId="7A5C8011">
                <wp:simplePos x="0" y="0"/>
                <wp:positionH relativeFrom="column">
                  <wp:posOffset>-340075</wp:posOffset>
                </wp:positionH>
                <wp:positionV relativeFrom="paragraph">
                  <wp:posOffset>147657</wp:posOffset>
                </wp:positionV>
                <wp:extent cx="1125122" cy="412118"/>
                <wp:effectExtent l="0" t="5715" r="12700" b="12700"/>
                <wp:wrapNone/>
                <wp:docPr id="15573680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25122" cy="412118"/>
                        </a:xfrm>
                        <a:prstGeom prst="rect">
                          <a:avLst/>
                        </a:prstGeom>
                        <a:solidFill>
                          <a:schemeClr val="accent1">
                            <a:lumMod val="20000"/>
                            <a:lumOff val="80000"/>
                          </a:schemeClr>
                        </a:solidFill>
                        <a:ln w="9525">
                          <a:solidFill>
                            <a:srgbClr val="000000"/>
                          </a:solidFill>
                          <a:miter lim="800000"/>
                          <a:headEnd/>
                          <a:tailEnd/>
                        </a:ln>
                      </wps:spPr>
                      <wps:txbx>
                        <w:txbxContent>
                          <w:p w14:paraId="371E242B" w14:textId="57D14BB6" w:rsidR="00DC4541" w:rsidRPr="006F11FF" w:rsidRDefault="00DC4541" w:rsidP="00D134DF">
                            <w:pPr>
                              <w:spacing w:after="0" w:line="240" w:lineRule="auto"/>
                              <w:jc w:val="center"/>
                              <w:rPr>
                                <w:b/>
                                <w:bCs/>
                                <w:sz w:val="22"/>
                                <w:szCs w:val="22"/>
                              </w:rPr>
                            </w:pPr>
                            <w:r w:rsidRPr="00D134DF">
                              <w:rPr>
                                <w:b/>
                                <w:bCs/>
                                <w:sz w:val="22"/>
                                <w:szCs w:val="22"/>
                              </w:rPr>
                              <w:t xml:space="preserve">Policy </w:t>
                            </w:r>
                            <w:r w:rsidR="00443748">
                              <w:rPr>
                                <w:b/>
                                <w:bCs/>
                                <w:sz w:val="22"/>
                                <w:szCs w:val="22"/>
                              </w:rPr>
                              <w:t>Commitments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DFC43CD" id="_x0000_t202" coordsize="21600,21600" o:spt="202" path="m,l,21600r21600,l21600,xe">
                <v:stroke joinstyle="miter"/>
                <v:path gradientshapeok="t" o:connecttype="rect"/>
              </v:shapetype>
              <v:shape id="Text Box 1" o:spid="_x0000_s1026" type="#_x0000_t202" style="position:absolute;margin-left:-26.8pt;margin-top:11.65pt;width:88.6pt;height:32.45pt;rotation:-90;z-index:251658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" fillcolor="#c1e4f5 [660]">
                <v:textbox>
                  <w:txbxContent>
                    <w:p w14:paraId="371E242B" w14:textId="57D14BB6" w:rsidR="00DC4541" w:rsidRPr="006F11FF" w:rsidRDefault="00DC4541" w:rsidP="00D134DF">
                      <w:pPr>
                        <w:spacing w:after="0" w:line="240" w:lineRule="auto"/>
                        <w:jc w:val="center"/>
                        <w:rPr>
                          <w:b/>
                          <w:bCs/>
                          <w:sz w:val="22"/>
                          <w:szCs w:val="22"/>
                        </w:rPr>
                      </w:pPr>
                      <w:r w:rsidRPr="00D134DF">
                        <w:rPr>
                          <w:b/>
                          <w:bCs/>
                          <w:sz w:val="22"/>
                          <w:szCs w:val="22"/>
                        </w:rPr>
                        <w:t xml:space="preserve">Policy </w:t>
                      </w:r>
                      <w:r w:rsidR="00443748">
                        <w:rPr>
                          <w:b/>
                          <w:bCs/>
                          <w:sz w:val="22"/>
                          <w:szCs w:val="22"/>
                        </w:rPr>
                        <w:t>Commitments</w:t>
                      </w:r>
                    </w:p>
                  </w:txbxContent>
                </v:textbox>
              </v:shape>
            </w:pict>
          </mc:Fallback>
        </mc:AlternateContent>
      </w:r>
    </w:p>
    <w:p w14:paraId="69E037FB" w14:textId="2FB4E905" w:rsidR="00E06498" w:rsidRDefault="00E06498" w:rsidP="00C65B03">
      <w:pPr>
        <w:rPr>
          <w:rFonts w:cs="Calibri"/>
          <w:sz w:val="22"/>
          <w:szCs w:val="22"/>
        </w:rPr>
      </w:pPr>
    </w:p>
    <w:p w14:paraId="13060856" w14:textId="592B199A" w:rsidR="00E06498" w:rsidRDefault="00E06498" w:rsidP="00C65B03">
      <w:pPr>
        <w:rPr>
          <w:rFonts w:cs="Calibri"/>
          <w:sz w:val="22"/>
          <w:szCs w:val="22"/>
        </w:rPr>
      </w:pPr>
    </w:p>
    <w:p w14:paraId="0CECE2DE" w14:textId="09495802" w:rsidR="00DC4541" w:rsidRDefault="00DC4541" w:rsidP="00C65B03">
      <w:pPr>
        <w:rPr>
          <w:rFonts w:cs="Calibri"/>
          <w:sz w:val="22"/>
          <w:szCs w:val="22"/>
        </w:rPr>
      </w:pPr>
    </w:p>
    <w:p w14:paraId="6B5C193F" w14:textId="2B622AD6" w:rsidR="00DC4541" w:rsidRDefault="00DC4541" w:rsidP="00C65B03">
      <w:pPr>
        <w:rPr>
          <w:rFonts w:cs="Calibri"/>
          <w:sz w:val="22"/>
          <w:szCs w:val="22"/>
        </w:rPr>
      </w:pPr>
    </w:p>
    <w:p w14:paraId="4FEA30AA" w14:textId="2397DDB0" w:rsidR="00DC4541" w:rsidRDefault="00106E11" w:rsidP="00C65B03">
      <w:pPr>
        <w:rPr>
          <w:rFonts w:cs="Calibri"/>
          <w:sz w:val="22"/>
          <w:szCs w:val="22"/>
        </w:rPr>
      </w:pPr>
      <w:r w:rsidRPr="00DC4541">
        <w:rPr>
          <w:rFonts w:cs="Calibri"/>
          <w:noProof/>
          <w:sz w:val="22"/>
          <w:szCs w:val="22"/>
        </w:rPr>
        <mc:AlternateContent>
          <mc:Choice Requires="wps">
            <w:drawing>
              <wp:anchor distT="45720" distB="45720" distL="114300" distR="114300" simplePos="0" relativeHeight="251658240" behindDoc="0" locked="0" layoutInCell="1" allowOverlap="1" wp14:anchorId="3EB02C0C" wp14:editId="0525A9D2">
                <wp:simplePos x="0" y="0"/>
                <wp:positionH relativeFrom="column">
                  <wp:posOffset>-700087</wp:posOffset>
                </wp:positionH>
                <wp:positionV relativeFrom="paragraph">
                  <wp:posOffset>307863</wp:posOffset>
                </wp:positionV>
                <wp:extent cx="1844594" cy="411200"/>
                <wp:effectExtent l="0" t="7303" r="15558" b="15557"/>
                <wp:wrapNone/>
                <wp:docPr id="100726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44594" cy="411200"/>
                        </a:xfrm>
                        <a:prstGeom prst="rect">
                          <a:avLst/>
                        </a:prstGeom>
                        <a:solidFill>
                          <a:schemeClr val="accent1">
                            <a:lumMod val="20000"/>
                            <a:lumOff val="80000"/>
                          </a:schemeClr>
                        </a:solidFill>
                        <a:ln w="9525">
                          <a:solidFill>
                            <a:srgbClr val="000000"/>
                          </a:solidFill>
                          <a:miter lim="800000"/>
                          <a:headEnd/>
                          <a:tailEnd/>
                        </a:ln>
                      </wps:spPr>
                      <wps:txbx>
                        <w:txbxContent>
                          <w:p w14:paraId="1588F623" w14:textId="6349D4FC" w:rsidR="00DC4541" w:rsidRPr="002643A5" w:rsidRDefault="00DC4541" w:rsidP="00D134DF">
                            <w:pPr>
                              <w:jc w:val="center"/>
                              <w:rPr>
                                <w:b/>
                                <w:bCs/>
                                <w:sz w:val="22"/>
                                <w:szCs w:val="22"/>
                              </w:rPr>
                            </w:pPr>
                            <w:r w:rsidRPr="002643A5">
                              <w:rPr>
                                <w:b/>
                                <w:bCs/>
                                <w:sz w:val="22"/>
                                <w:szCs w:val="22"/>
                              </w:rPr>
                              <w:t>Policy Areas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B02C0C" id="Text Box 2" o:spid="_x0000_s1027" type="#_x0000_t202" style="position:absolute;margin-left:-55.1pt;margin-top:24.25pt;width:145.25pt;height:32.4pt;rotation:-90;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" fillcolor="#c1e4f5 [660]">
                <v:textbox>
                  <w:txbxContent>
                    <w:p w14:paraId="1588F623" w14:textId="6349D4FC" w:rsidR="00DC4541" w:rsidRPr="002643A5" w:rsidRDefault="00DC4541" w:rsidP="00D134DF">
                      <w:pPr>
                        <w:jc w:val="center"/>
                        <w:rPr>
                          <w:b/>
                          <w:bCs/>
                          <w:sz w:val="22"/>
                          <w:szCs w:val="22"/>
                        </w:rPr>
                      </w:pPr>
                      <w:r w:rsidRPr="002643A5">
                        <w:rPr>
                          <w:b/>
                          <w:bCs/>
                          <w:sz w:val="22"/>
                          <w:szCs w:val="22"/>
                        </w:rPr>
                        <w:t>Policy Areas</w:t>
                      </w:r>
                    </w:p>
                  </w:txbxContent>
                </v:textbox>
              </v:shape>
            </w:pict>
          </mc:Fallback>
        </mc:AlternateContent>
      </w:r>
    </w:p>
    <w:p w14:paraId="176CE20D" w14:textId="30E1A1AB" w:rsidR="00DC4541" w:rsidRDefault="00DC4541" w:rsidP="00C65B03">
      <w:pPr>
        <w:rPr>
          <w:rFonts w:cs="Calibri"/>
          <w:sz w:val="22"/>
          <w:szCs w:val="22"/>
        </w:rPr>
      </w:pPr>
    </w:p>
    <w:p w14:paraId="7F5ED89D" w14:textId="61D7A851" w:rsidR="00DC4541" w:rsidRDefault="00DC4541" w:rsidP="00C65B03">
      <w:pPr>
        <w:rPr>
          <w:rFonts w:cs="Calibri"/>
          <w:sz w:val="22"/>
          <w:szCs w:val="22"/>
        </w:rPr>
      </w:pPr>
    </w:p>
    <w:p w14:paraId="3534D822" w14:textId="6213C1C5" w:rsidR="00DC4541" w:rsidRDefault="00DC4541" w:rsidP="00C65B03">
      <w:pPr>
        <w:rPr>
          <w:rFonts w:cs="Calibri"/>
          <w:sz w:val="22"/>
          <w:szCs w:val="22"/>
        </w:rPr>
      </w:pPr>
    </w:p>
    <w:p w14:paraId="73EEE6A0" w14:textId="397EE7EA" w:rsidR="00DC4541" w:rsidRDefault="00DC4541" w:rsidP="00C65B03">
      <w:pPr>
        <w:rPr>
          <w:rFonts w:cs="Calibri"/>
          <w:sz w:val="22"/>
          <w:szCs w:val="22"/>
        </w:rPr>
      </w:pPr>
    </w:p>
    <w:p w14:paraId="0D862B03" w14:textId="77777777" w:rsidR="00415893" w:rsidRDefault="00415893" w:rsidP="009B5208">
      <w:pPr>
        <w:pStyle w:val="ListParagraph"/>
        <w:ind w:left="360"/>
        <w:rPr>
          <w:rFonts w:cs="Calibri"/>
          <w:sz w:val="22"/>
          <w:szCs w:val="22"/>
        </w:rPr>
      </w:pPr>
    </w:p>
    <w:p w14:paraId="6FD7C257" w14:textId="77777777" w:rsidR="009E41D3" w:rsidRPr="00415893" w:rsidRDefault="009E41D3" w:rsidP="009B5208">
      <w:pPr>
        <w:pStyle w:val="ListParagraph"/>
        <w:ind w:left="360"/>
        <w:rPr>
          <w:rFonts w:cs="Calibri"/>
          <w:sz w:val="22"/>
          <w:szCs w:val="22"/>
        </w:rPr>
      </w:pPr>
    </w:p>
    <w:p w14:paraId="06483088" w14:textId="5C88F75A" w:rsidR="0003360F" w:rsidRPr="00F07110" w:rsidRDefault="00D50D3F" w:rsidP="00BE4783">
      <w:pPr>
        <w:pStyle w:val="ListParagraph"/>
        <w:numPr>
          <w:ilvl w:val="0"/>
          <w:numId w:val="6"/>
        </w:numPr>
        <w:rPr>
          <w:rFonts w:cs="Calibri"/>
          <w:sz w:val="22"/>
          <w:szCs w:val="22"/>
        </w:rPr>
      </w:pPr>
      <w:r w:rsidRPr="00A3796D">
        <w:rPr>
          <w:rFonts w:cs="Calibri"/>
          <w:b/>
          <w:bCs/>
          <w:sz w:val="22"/>
          <w:szCs w:val="22"/>
          <w:u w:val="single"/>
        </w:rPr>
        <w:t>Short-term Recommendations &amp; Implementation Timeline</w:t>
      </w:r>
    </w:p>
    <w:p w14:paraId="458CB4B6" w14:textId="77777777" w:rsidR="00026928" w:rsidRPr="00A3796D" w:rsidRDefault="00026928" w:rsidP="00CF5715">
      <w:pPr>
        <w:pStyle w:val="ListParagraph"/>
        <w:ind w:left="360"/>
      </w:pPr>
    </w:p>
    <w:p w14:paraId="6D6FE2CD" w14:textId="1F01FFC8" w:rsidR="00706581" w:rsidRPr="00872C95" w:rsidRDefault="00706581" w:rsidP="00CE0AD2">
      <w:pPr>
        <w:rPr>
          <w:rFonts w:cs="Calibri"/>
          <w:b/>
          <w:bCs/>
          <w:sz w:val="22"/>
          <w:szCs w:val="22"/>
          <w:shd w:val="clear" w:color="auto" w:fill="CAEDFB" w:themeFill="accent4" w:themeFillTint="33"/>
        </w:rPr>
      </w:pPr>
      <w:r w:rsidRPr="00F07110">
        <w:rPr>
          <w:rFonts w:cs="Calibri"/>
          <w:b/>
          <w:bCs/>
          <w:sz w:val="22"/>
          <w:szCs w:val="22"/>
          <w:u w:val="single"/>
          <w:shd w:val="clear" w:color="auto" w:fill="CAEDFB" w:themeFill="accent4" w:themeFillTint="33"/>
        </w:rPr>
        <w:t>Rec</w:t>
      </w:r>
      <w:r>
        <w:rPr>
          <w:rFonts w:cs="Calibri"/>
          <w:b/>
          <w:bCs/>
          <w:sz w:val="22"/>
          <w:szCs w:val="22"/>
          <w:u w:val="single"/>
          <w:shd w:val="clear" w:color="auto" w:fill="CAEDFB" w:themeFill="accent4" w:themeFillTint="33"/>
        </w:rPr>
        <w:t>ommendation 1:</w:t>
      </w:r>
      <w:r w:rsidRPr="00872C95">
        <w:rPr>
          <w:rFonts w:cs="Calibri"/>
          <w:b/>
          <w:bCs/>
          <w:sz w:val="22"/>
          <w:szCs w:val="22"/>
          <w:shd w:val="clear" w:color="auto" w:fill="CAEDFB" w:themeFill="accent4" w:themeFillTint="33"/>
        </w:rPr>
        <w:t xml:space="preserve"> </w:t>
      </w:r>
      <w:r w:rsidR="00277FA3" w:rsidRPr="00872C95">
        <w:rPr>
          <w:rFonts w:cs="Calibri"/>
          <w:b/>
          <w:bCs/>
          <w:sz w:val="22"/>
          <w:szCs w:val="22"/>
          <w:shd w:val="clear" w:color="auto" w:fill="CAEDFB" w:themeFill="accent4" w:themeFillTint="33"/>
        </w:rPr>
        <w:t xml:space="preserve">Ensure the youth and family behavioral health system is designed </w:t>
      </w:r>
      <w:r w:rsidR="00662EBA">
        <w:rPr>
          <w:rFonts w:cs="Calibri"/>
          <w:b/>
          <w:bCs/>
          <w:sz w:val="22"/>
          <w:szCs w:val="22"/>
          <w:shd w:val="clear" w:color="auto" w:fill="CAEDFB" w:themeFill="accent4" w:themeFillTint="33"/>
        </w:rPr>
        <w:t>in collaboration with families</w:t>
      </w:r>
      <w:r w:rsidR="005A5CC4" w:rsidRPr="00872C95">
        <w:rPr>
          <w:rFonts w:cs="Calibri"/>
          <w:b/>
          <w:bCs/>
          <w:sz w:val="22"/>
          <w:szCs w:val="22"/>
          <w:shd w:val="clear" w:color="auto" w:fill="CAEDFB" w:themeFill="accent4" w:themeFillTint="33"/>
        </w:rPr>
        <w:t>.</w:t>
      </w:r>
    </w:p>
    <w:p w14:paraId="4FD96DE5" w14:textId="77777777" w:rsidR="000173E9" w:rsidRDefault="000A2590" w:rsidP="001F039A">
      <w:pPr>
        <w:rPr>
          <w:rFonts w:cs="Calibri"/>
          <w:sz w:val="22"/>
          <w:szCs w:val="22"/>
        </w:rPr>
      </w:pPr>
      <w:r>
        <w:rPr>
          <w:rFonts w:cs="Calibri"/>
          <w:sz w:val="22"/>
          <w:szCs w:val="22"/>
        </w:rPr>
        <w:t xml:space="preserve">Despite a relative </w:t>
      </w:r>
      <w:r w:rsidR="00AA0C36">
        <w:rPr>
          <w:rFonts w:cs="Calibri"/>
          <w:sz w:val="22"/>
          <w:szCs w:val="22"/>
        </w:rPr>
        <w:t xml:space="preserve">wealth of </w:t>
      </w:r>
      <w:r w:rsidR="00FE7DE2">
        <w:rPr>
          <w:rFonts w:cs="Calibri"/>
          <w:sz w:val="22"/>
          <w:szCs w:val="22"/>
        </w:rPr>
        <w:t xml:space="preserve">behavioral health </w:t>
      </w:r>
      <w:r w:rsidR="00BB7927">
        <w:rPr>
          <w:rFonts w:cs="Calibri"/>
          <w:sz w:val="22"/>
          <w:szCs w:val="22"/>
        </w:rPr>
        <w:t>services and supports</w:t>
      </w:r>
      <w:r w:rsidR="0031003B">
        <w:rPr>
          <w:rFonts w:cs="Calibri"/>
          <w:sz w:val="22"/>
          <w:szCs w:val="22"/>
        </w:rPr>
        <w:t xml:space="preserve"> in Massachusetts</w:t>
      </w:r>
      <w:r w:rsidR="00D81C4C">
        <w:rPr>
          <w:rFonts w:cs="Calibri"/>
          <w:sz w:val="22"/>
          <w:szCs w:val="22"/>
        </w:rPr>
        <w:t xml:space="preserve">, </w:t>
      </w:r>
      <w:r w:rsidR="00377C58">
        <w:rPr>
          <w:rFonts w:cs="Calibri"/>
          <w:sz w:val="22"/>
          <w:szCs w:val="22"/>
        </w:rPr>
        <w:t xml:space="preserve">many </w:t>
      </w:r>
      <w:r w:rsidR="00BB7927">
        <w:rPr>
          <w:rFonts w:cs="Calibri"/>
          <w:sz w:val="22"/>
          <w:szCs w:val="22"/>
        </w:rPr>
        <w:t>youth and famil</w:t>
      </w:r>
      <w:r w:rsidR="00377C58">
        <w:rPr>
          <w:rFonts w:cs="Calibri"/>
          <w:sz w:val="22"/>
          <w:szCs w:val="22"/>
        </w:rPr>
        <w:t>ies</w:t>
      </w:r>
      <w:r w:rsidR="00D81C4C">
        <w:rPr>
          <w:rFonts w:cs="Calibri"/>
          <w:sz w:val="22"/>
          <w:szCs w:val="22"/>
        </w:rPr>
        <w:t xml:space="preserve"> </w:t>
      </w:r>
      <w:r w:rsidR="006A64E2">
        <w:rPr>
          <w:rFonts w:cs="Calibri"/>
          <w:sz w:val="22"/>
          <w:szCs w:val="22"/>
        </w:rPr>
        <w:t>struggle to</w:t>
      </w:r>
      <w:r w:rsidR="0031003B">
        <w:rPr>
          <w:rFonts w:cs="Calibri"/>
          <w:sz w:val="22"/>
          <w:szCs w:val="22"/>
        </w:rPr>
        <w:t xml:space="preserve"> </w:t>
      </w:r>
      <w:r w:rsidR="00C9166B">
        <w:rPr>
          <w:rFonts w:cs="Calibri"/>
          <w:sz w:val="22"/>
          <w:szCs w:val="22"/>
        </w:rPr>
        <w:t>understand</w:t>
      </w:r>
      <w:r w:rsidR="005550CA">
        <w:rPr>
          <w:rFonts w:cs="Calibri"/>
          <w:sz w:val="22"/>
          <w:szCs w:val="22"/>
        </w:rPr>
        <w:t xml:space="preserve"> </w:t>
      </w:r>
      <w:r w:rsidR="00BA7152">
        <w:rPr>
          <w:rFonts w:cs="Calibri"/>
          <w:sz w:val="22"/>
          <w:szCs w:val="22"/>
        </w:rPr>
        <w:t xml:space="preserve">and navigate </w:t>
      </w:r>
      <w:r w:rsidR="00776A10">
        <w:rPr>
          <w:rFonts w:cs="Calibri"/>
          <w:sz w:val="22"/>
          <w:szCs w:val="22"/>
        </w:rPr>
        <w:t>an inherently</w:t>
      </w:r>
      <w:r w:rsidR="005550CA">
        <w:rPr>
          <w:rFonts w:cs="Calibri"/>
          <w:sz w:val="22"/>
          <w:szCs w:val="22"/>
        </w:rPr>
        <w:t xml:space="preserve"> complex </w:t>
      </w:r>
      <w:r w:rsidR="00776A10">
        <w:rPr>
          <w:rFonts w:cs="Calibri"/>
          <w:sz w:val="22"/>
          <w:szCs w:val="22"/>
        </w:rPr>
        <w:t xml:space="preserve">and fragmented </w:t>
      </w:r>
      <w:r w:rsidR="00E224DD">
        <w:rPr>
          <w:rFonts w:cs="Calibri"/>
          <w:sz w:val="22"/>
          <w:szCs w:val="22"/>
        </w:rPr>
        <w:t>behavioral health system</w:t>
      </w:r>
      <w:r w:rsidR="00776A10">
        <w:rPr>
          <w:rFonts w:cs="Calibri"/>
          <w:sz w:val="22"/>
          <w:szCs w:val="22"/>
        </w:rPr>
        <w:t xml:space="preserve">. As a result, many youth and families are unfortunately unable to access appropriate and impactful care to address their unique needs. </w:t>
      </w:r>
    </w:p>
    <w:p w14:paraId="0578CFB8" w14:textId="2F6F3239" w:rsidR="001F039A" w:rsidRDefault="003D2EE4" w:rsidP="001F039A">
      <w:pPr>
        <w:rPr>
          <w:rFonts w:cs="Calibri"/>
          <w:sz w:val="22"/>
          <w:szCs w:val="22"/>
        </w:rPr>
      </w:pPr>
      <w:r>
        <w:rPr>
          <w:rFonts w:cs="Calibri"/>
          <w:sz w:val="22"/>
          <w:szCs w:val="22"/>
        </w:rPr>
        <w:t xml:space="preserve">As the Commonwealth </w:t>
      </w:r>
      <w:r w:rsidR="002317A9">
        <w:rPr>
          <w:rFonts w:cs="Calibri"/>
          <w:sz w:val="22"/>
          <w:szCs w:val="22"/>
        </w:rPr>
        <w:t>pursues</w:t>
      </w:r>
      <w:r>
        <w:rPr>
          <w:rFonts w:cs="Calibri"/>
          <w:sz w:val="22"/>
          <w:szCs w:val="22"/>
        </w:rPr>
        <w:t xml:space="preserve"> policy </w:t>
      </w:r>
      <w:r w:rsidR="00160EBC">
        <w:rPr>
          <w:rFonts w:cs="Calibri"/>
          <w:sz w:val="22"/>
          <w:szCs w:val="22"/>
        </w:rPr>
        <w:t xml:space="preserve">reform to </w:t>
      </w:r>
      <w:r w:rsidR="00716ADD">
        <w:rPr>
          <w:rFonts w:cs="Calibri"/>
          <w:sz w:val="22"/>
          <w:szCs w:val="22"/>
        </w:rPr>
        <w:t>improve the behavioral health system,</w:t>
      </w:r>
      <w:r w:rsidR="008C76CD">
        <w:rPr>
          <w:rFonts w:cs="Calibri"/>
          <w:sz w:val="22"/>
          <w:szCs w:val="22"/>
        </w:rPr>
        <w:t xml:space="preserve"> </w:t>
      </w:r>
      <w:r w:rsidR="002317A9">
        <w:rPr>
          <w:rFonts w:cs="Calibri"/>
          <w:sz w:val="22"/>
          <w:szCs w:val="22"/>
        </w:rPr>
        <w:t xml:space="preserve">all efforts should be taken to utilize existing forums to engage families and gather feedback on system challenges, proposed solutions, and </w:t>
      </w:r>
      <w:r w:rsidR="003B53E2">
        <w:rPr>
          <w:rFonts w:cs="Calibri"/>
          <w:sz w:val="22"/>
          <w:szCs w:val="22"/>
        </w:rPr>
        <w:t>external-facing information</w:t>
      </w:r>
      <w:r w:rsidR="00EE6710">
        <w:rPr>
          <w:rFonts w:cs="Calibri"/>
          <w:sz w:val="22"/>
          <w:szCs w:val="22"/>
        </w:rPr>
        <w:t xml:space="preserve">. </w:t>
      </w:r>
      <w:r w:rsidR="00A1680E">
        <w:rPr>
          <w:rFonts w:cs="Calibri"/>
          <w:sz w:val="22"/>
          <w:szCs w:val="22"/>
        </w:rPr>
        <w:t xml:space="preserve">This will ensure that </w:t>
      </w:r>
      <w:r w:rsidR="00EE4037">
        <w:rPr>
          <w:rFonts w:cs="Calibri"/>
          <w:sz w:val="22"/>
          <w:szCs w:val="22"/>
        </w:rPr>
        <w:t xml:space="preserve">all </w:t>
      </w:r>
      <w:r w:rsidR="00B91EEC">
        <w:rPr>
          <w:rFonts w:cs="Calibri"/>
          <w:sz w:val="22"/>
          <w:szCs w:val="22"/>
        </w:rPr>
        <w:t xml:space="preserve">initiatives </w:t>
      </w:r>
      <w:r w:rsidR="00D37F6A">
        <w:rPr>
          <w:rFonts w:cs="Calibri"/>
          <w:sz w:val="22"/>
          <w:szCs w:val="22"/>
        </w:rPr>
        <w:t xml:space="preserve">are targeted to address </w:t>
      </w:r>
      <w:r w:rsidR="003564FC">
        <w:rPr>
          <w:rFonts w:cs="Calibri"/>
          <w:sz w:val="22"/>
          <w:szCs w:val="22"/>
        </w:rPr>
        <w:t xml:space="preserve">the </w:t>
      </w:r>
      <w:r w:rsidR="00AC7767">
        <w:rPr>
          <w:rFonts w:cs="Calibri"/>
          <w:sz w:val="22"/>
          <w:szCs w:val="22"/>
        </w:rPr>
        <w:t xml:space="preserve">needs of highest </w:t>
      </w:r>
      <w:r w:rsidR="00562D9F">
        <w:rPr>
          <w:rFonts w:cs="Calibri"/>
          <w:sz w:val="22"/>
          <w:szCs w:val="22"/>
        </w:rPr>
        <w:t xml:space="preserve">importance to youth and families, and </w:t>
      </w:r>
      <w:r w:rsidR="00890173">
        <w:rPr>
          <w:rFonts w:cs="Calibri"/>
          <w:sz w:val="22"/>
          <w:szCs w:val="22"/>
        </w:rPr>
        <w:t xml:space="preserve">that </w:t>
      </w:r>
      <w:r w:rsidR="004B11C3">
        <w:rPr>
          <w:rFonts w:cs="Calibri"/>
          <w:sz w:val="22"/>
          <w:szCs w:val="22"/>
        </w:rPr>
        <w:t xml:space="preserve">all improvement efforts are </w:t>
      </w:r>
      <w:r w:rsidR="00C06694">
        <w:rPr>
          <w:rFonts w:cs="Calibri"/>
          <w:sz w:val="22"/>
          <w:szCs w:val="22"/>
        </w:rPr>
        <w:t xml:space="preserve">structured to optimize </w:t>
      </w:r>
      <w:r w:rsidR="00291E50">
        <w:rPr>
          <w:rFonts w:cs="Calibri"/>
          <w:sz w:val="22"/>
          <w:szCs w:val="22"/>
        </w:rPr>
        <w:t>the family</w:t>
      </w:r>
      <w:r w:rsidR="0032731B">
        <w:rPr>
          <w:rFonts w:cs="Calibri"/>
          <w:sz w:val="22"/>
          <w:szCs w:val="22"/>
        </w:rPr>
        <w:t xml:space="preserve"> care</w:t>
      </w:r>
      <w:r w:rsidR="00291E50">
        <w:rPr>
          <w:rFonts w:cs="Calibri"/>
          <w:sz w:val="22"/>
          <w:szCs w:val="22"/>
        </w:rPr>
        <w:t xml:space="preserve"> experience</w:t>
      </w:r>
      <w:r w:rsidR="0032731B">
        <w:rPr>
          <w:rFonts w:cs="Calibri"/>
          <w:sz w:val="22"/>
          <w:szCs w:val="22"/>
        </w:rPr>
        <w:t>.</w:t>
      </w:r>
      <w:r w:rsidR="00AC7767">
        <w:rPr>
          <w:rFonts w:cs="Calibri"/>
          <w:sz w:val="22"/>
          <w:szCs w:val="22"/>
        </w:rPr>
        <w:t xml:space="preserve"> </w:t>
      </w:r>
    </w:p>
    <w:p w14:paraId="64E24457" w14:textId="77777777" w:rsidR="0032731B" w:rsidRDefault="0032731B" w:rsidP="001F039A">
      <w:pPr>
        <w:rPr>
          <w:rFonts w:cs="Calibri"/>
          <w:sz w:val="22"/>
          <w:szCs w:val="22"/>
        </w:rPr>
      </w:pPr>
    </w:p>
    <w:p w14:paraId="034FD7BD" w14:textId="26D8CD6C" w:rsidR="0047287E" w:rsidRPr="00CF5715" w:rsidRDefault="0047287E" w:rsidP="0047287E">
      <w:pPr>
        <w:rPr>
          <w:rFonts w:cs="Calibri"/>
          <w:b/>
          <w:bCs/>
          <w:sz w:val="22"/>
          <w:szCs w:val="22"/>
          <w:shd w:val="clear" w:color="auto" w:fill="CAEDFB" w:themeFill="accent4" w:themeFillTint="33"/>
        </w:rPr>
      </w:pPr>
      <w:r>
        <w:rPr>
          <w:rFonts w:cs="Calibri"/>
          <w:b/>
          <w:bCs/>
          <w:sz w:val="22"/>
          <w:szCs w:val="22"/>
          <w:u w:val="single"/>
          <w:shd w:val="clear" w:color="auto" w:fill="CAEDFB" w:themeFill="accent4" w:themeFillTint="33"/>
        </w:rPr>
        <w:t>Recommendation 2:</w:t>
      </w:r>
      <w:r w:rsidRPr="00CF5715">
        <w:rPr>
          <w:rFonts w:cs="Calibri"/>
          <w:b/>
          <w:bCs/>
          <w:sz w:val="22"/>
          <w:szCs w:val="22"/>
          <w:shd w:val="clear" w:color="auto" w:fill="CAEDFB" w:themeFill="accent4" w:themeFillTint="33"/>
        </w:rPr>
        <w:t xml:space="preserve"> Ensure </w:t>
      </w:r>
      <w:r w:rsidR="00ED3CB2" w:rsidRPr="00CF5715">
        <w:rPr>
          <w:rFonts w:cs="Calibri"/>
          <w:b/>
          <w:bCs/>
          <w:sz w:val="22"/>
          <w:szCs w:val="22"/>
          <w:shd w:val="clear" w:color="auto" w:fill="CAEDFB" w:themeFill="accent4" w:themeFillTint="33"/>
        </w:rPr>
        <w:t>the</w:t>
      </w:r>
      <w:r w:rsidR="00656FAB" w:rsidRPr="00CF5715">
        <w:rPr>
          <w:rFonts w:cs="Calibri"/>
          <w:b/>
          <w:bCs/>
          <w:sz w:val="22"/>
          <w:szCs w:val="22"/>
          <w:shd w:val="clear" w:color="auto" w:fill="CAEDFB" w:themeFill="accent4" w:themeFillTint="33"/>
        </w:rPr>
        <w:t xml:space="preserve">re </w:t>
      </w:r>
      <w:r w:rsidR="00694B53" w:rsidRPr="00CF5715">
        <w:rPr>
          <w:rFonts w:cs="Calibri"/>
          <w:b/>
          <w:bCs/>
          <w:sz w:val="22"/>
          <w:szCs w:val="22"/>
          <w:shd w:val="clear" w:color="auto" w:fill="CAEDFB" w:themeFill="accent4" w:themeFillTint="33"/>
        </w:rPr>
        <w:t xml:space="preserve">is </w:t>
      </w:r>
      <w:r w:rsidR="00C66EB1" w:rsidRPr="00CF5715">
        <w:rPr>
          <w:rFonts w:cs="Calibri"/>
          <w:b/>
          <w:bCs/>
          <w:sz w:val="22"/>
          <w:szCs w:val="22"/>
          <w:shd w:val="clear" w:color="auto" w:fill="CAEDFB" w:themeFill="accent4" w:themeFillTint="33"/>
        </w:rPr>
        <w:t>an</w:t>
      </w:r>
      <w:r w:rsidR="00694B53" w:rsidRPr="00CF5715">
        <w:rPr>
          <w:rFonts w:cs="Calibri"/>
          <w:b/>
          <w:bCs/>
          <w:sz w:val="22"/>
          <w:szCs w:val="22"/>
          <w:shd w:val="clear" w:color="auto" w:fill="CAEDFB" w:themeFill="accent4" w:themeFillTint="33"/>
        </w:rPr>
        <w:t xml:space="preserve"> appropriate</w:t>
      </w:r>
      <w:r w:rsidR="00ED244A" w:rsidRPr="00CF5715">
        <w:rPr>
          <w:rFonts w:cs="Calibri"/>
          <w:b/>
          <w:bCs/>
          <w:sz w:val="22"/>
          <w:szCs w:val="22"/>
          <w:shd w:val="clear" w:color="auto" w:fill="CAEDFB" w:themeFill="accent4" w:themeFillTint="33"/>
        </w:rPr>
        <w:t xml:space="preserve"> equity</w:t>
      </w:r>
      <w:r w:rsidR="00656FAB" w:rsidRPr="00CF5715">
        <w:rPr>
          <w:rFonts w:cs="Calibri"/>
          <w:b/>
          <w:bCs/>
          <w:sz w:val="22"/>
          <w:szCs w:val="22"/>
          <w:shd w:val="clear" w:color="auto" w:fill="CAEDFB" w:themeFill="accent4" w:themeFillTint="33"/>
        </w:rPr>
        <w:t xml:space="preserve"> </w:t>
      </w:r>
      <w:r w:rsidR="00CB4FC8" w:rsidRPr="00CF5715">
        <w:rPr>
          <w:rFonts w:cs="Calibri"/>
          <w:b/>
          <w:bCs/>
          <w:sz w:val="22"/>
          <w:szCs w:val="22"/>
          <w:shd w:val="clear" w:color="auto" w:fill="CAEDFB" w:themeFill="accent4" w:themeFillTint="33"/>
        </w:rPr>
        <w:t>accountability</w:t>
      </w:r>
      <w:r w:rsidR="006317C4" w:rsidRPr="00CF5715">
        <w:rPr>
          <w:rFonts w:cs="Calibri"/>
          <w:b/>
          <w:bCs/>
          <w:sz w:val="22"/>
          <w:szCs w:val="22"/>
          <w:shd w:val="clear" w:color="auto" w:fill="CAEDFB" w:themeFill="accent4" w:themeFillTint="33"/>
        </w:rPr>
        <w:t xml:space="preserve"> </w:t>
      </w:r>
      <w:r w:rsidR="00AA72A8" w:rsidRPr="00CF5715">
        <w:rPr>
          <w:rFonts w:cs="Calibri"/>
          <w:b/>
          <w:bCs/>
          <w:sz w:val="22"/>
          <w:szCs w:val="22"/>
          <w:shd w:val="clear" w:color="auto" w:fill="CAEDFB" w:themeFill="accent4" w:themeFillTint="33"/>
        </w:rPr>
        <w:t>structured</w:t>
      </w:r>
      <w:r w:rsidR="0000212B" w:rsidRPr="00CF5715">
        <w:rPr>
          <w:rFonts w:cs="Calibri"/>
          <w:b/>
          <w:bCs/>
          <w:sz w:val="22"/>
          <w:szCs w:val="22"/>
          <w:shd w:val="clear" w:color="auto" w:fill="CAEDFB" w:themeFill="accent4" w:themeFillTint="33"/>
        </w:rPr>
        <w:t xml:space="preserve"> </w:t>
      </w:r>
      <w:r w:rsidR="00306C04" w:rsidRPr="00CF5715">
        <w:rPr>
          <w:rFonts w:cs="Calibri"/>
          <w:b/>
          <w:bCs/>
          <w:sz w:val="22"/>
          <w:szCs w:val="22"/>
          <w:shd w:val="clear" w:color="auto" w:fill="CAEDFB" w:themeFill="accent4" w:themeFillTint="33"/>
        </w:rPr>
        <w:t>throughout the</w:t>
      </w:r>
      <w:r w:rsidR="00337B4C" w:rsidRPr="00CF5715">
        <w:rPr>
          <w:rFonts w:cs="Calibri"/>
          <w:b/>
          <w:bCs/>
          <w:sz w:val="22"/>
          <w:szCs w:val="22"/>
          <w:shd w:val="clear" w:color="auto" w:fill="CAEDFB" w:themeFill="accent4" w:themeFillTint="33"/>
        </w:rPr>
        <w:t xml:space="preserve"> youth and family behavioral health system</w:t>
      </w:r>
      <w:r w:rsidRPr="00CF5715">
        <w:rPr>
          <w:rFonts w:cs="Calibri"/>
          <w:b/>
          <w:bCs/>
          <w:sz w:val="22"/>
          <w:szCs w:val="22"/>
          <w:shd w:val="clear" w:color="auto" w:fill="CAEDFB" w:themeFill="accent4" w:themeFillTint="33"/>
        </w:rPr>
        <w:t>.</w:t>
      </w:r>
    </w:p>
    <w:p w14:paraId="347C99B1" w14:textId="3D8B6E61" w:rsidR="0047287E" w:rsidRDefault="0087650A" w:rsidP="001F039A">
      <w:pPr>
        <w:rPr>
          <w:rFonts w:cs="Calibri"/>
          <w:sz w:val="22"/>
          <w:szCs w:val="22"/>
        </w:rPr>
      </w:pPr>
      <w:r w:rsidRPr="00DC49F6">
        <w:rPr>
          <w:rFonts w:cs="Calibri"/>
          <w:sz w:val="22"/>
          <w:szCs w:val="22"/>
        </w:rPr>
        <w:t>Access barriers are</w:t>
      </w:r>
      <w:r w:rsidRPr="0087650A">
        <w:rPr>
          <w:rFonts w:cs="Calibri"/>
          <w:sz w:val="22"/>
          <w:szCs w:val="22"/>
        </w:rPr>
        <w:t xml:space="preserve"> not evenly distributed. Families with limited English proficiency, families of color, immigrant families, children with disabilities, LGBTQIA+ youth, families in rural areas, low-income families, and families involved with multiple state systems often face additional barriers, including lack of culturally</w:t>
      </w:r>
      <w:r w:rsidR="00C505F4">
        <w:rPr>
          <w:rFonts w:cs="Calibri"/>
          <w:sz w:val="22"/>
          <w:szCs w:val="22"/>
        </w:rPr>
        <w:t>-</w:t>
      </w:r>
      <w:r w:rsidRPr="0087650A">
        <w:rPr>
          <w:rFonts w:cs="Calibri"/>
          <w:sz w:val="22"/>
          <w:szCs w:val="22"/>
        </w:rPr>
        <w:t>responsive providers, transportation challenges, stigma, digital access gaps, eligibility complexity, and mistrust of systems.</w:t>
      </w:r>
    </w:p>
    <w:p w14:paraId="70C40943" w14:textId="58C9C1BE" w:rsidR="0087650A" w:rsidRDefault="00067076" w:rsidP="001F039A">
      <w:pPr>
        <w:rPr>
          <w:rFonts w:cs="Calibri"/>
          <w:sz w:val="22"/>
          <w:szCs w:val="22"/>
        </w:rPr>
      </w:pPr>
      <w:r>
        <w:rPr>
          <w:rFonts w:cs="Calibri"/>
          <w:sz w:val="22"/>
          <w:szCs w:val="22"/>
        </w:rPr>
        <w:t xml:space="preserve">To </w:t>
      </w:r>
      <w:r w:rsidR="008A50E2">
        <w:rPr>
          <w:rFonts w:cs="Calibri"/>
          <w:sz w:val="22"/>
          <w:szCs w:val="22"/>
        </w:rPr>
        <w:t xml:space="preserve">address these </w:t>
      </w:r>
      <w:r w:rsidR="003C3A3B">
        <w:rPr>
          <w:rFonts w:cs="Calibri"/>
          <w:sz w:val="22"/>
          <w:szCs w:val="22"/>
        </w:rPr>
        <w:t>barriers</w:t>
      </w:r>
      <w:r w:rsidR="00330F8D">
        <w:rPr>
          <w:rFonts w:cs="Calibri"/>
          <w:sz w:val="22"/>
          <w:szCs w:val="22"/>
        </w:rPr>
        <w:t xml:space="preserve">, </w:t>
      </w:r>
      <w:r w:rsidR="00FE4560">
        <w:rPr>
          <w:rFonts w:cs="Calibri"/>
          <w:sz w:val="22"/>
          <w:szCs w:val="22"/>
        </w:rPr>
        <w:t>the Commonwealth should implement a cross-agency equity accountability framework across youth and family behavioral health programs to</w:t>
      </w:r>
      <w:r w:rsidR="00B1680C">
        <w:rPr>
          <w:rFonts w:cs="Calibri"/>
          <w:sz w:val="22"/>
          <w:szCs w:val="22"/>
        </w:rPr>
        <w:t xml:space="preserve"> </w:t>
      </w:r>
      <w:r w:rsidR="00E91684">
        <w:rPr>
          <w:rFonts w:cs="Calibri"/>
          <w:sz w:val="22"/>
          <w:szCs w:val="22"/>
        </w:rPr>
        <w:t>identify and prevent d</w:t>
      </w:r>
      <w:r w:rsidR="00330F8D">
        <w:rPr>
          <w:rFonts w:cs="Calibri"/>
          <w:sz w:val="22"/>
          <w:szCs w:val="22"/>
        </w:rPr>
        <w:t>isparities in contracting and service outcomes, establish a core set of training, competence, and service capacities for all youth behavioral health programs, and explore opportunities for public data reporting</w:t>
      </w:r>
      <w:r w:rsidR="00794E0E">
        <w:rPr>
          <w:rFonts w:cs="Calibri"/>
          <w:sz w:val="22"/>
          <w:szCs w:val="22"/>
        </w:rPr>
        <w:t xml:space="preserve"> </w:t>
      </w:r>
      <w:r w:rsidR="00E44638">
        <w:rPr>
          <w:rFonts w:cs="Calibri"/>
          <w:sz w:val="22"/>
          <w:szCs w:val="22"/>
        </w:rPr>
        <w:t xml:space="preserve">to </w:t>
      </w:r>
      <w:r w:rsidR="00E35905">
        <w:rPr>
          <w:rFonts w:cs="Calibri"/>
          <w:sz w:val="22"/>
          <w:szCs w:val="22"/>
        </w:rPr>
        <w:t xml:space="preserve">share insights into </w:t>
      </w:r>
      <w:r w:rsidR="00C37816">
        <w:rPr>
          <w:rFonts w:cs="Calibri"/>
          <w:sz w:val="22"/>
          <w:szCs w:val="22"/>
        </w:rPr>
        <w:t>system performance</w:t>
      </w:r>
      <w:r w:rsidR="00114438">
        <w:rPr>
          <w:rFonts w:cs="Calibri"/>
          <w:sz w:val="22"/>
          <w:szCs w:val="22"/>
        </w:rPr>
        <w:t>.</w:t>
      </w:r>
    </w:p>
    <w:p w14:paraId="354ED996" w14:textId="27B9A797" w:rsidR="00250299" w:rsidRDefault="00250299" w:rsidP="00CE0AD2">
      <w:pPr>
        <w:rPr>
          <w:rFonts w:cs="Calibri"/>
          <w:b/>
          <w:bCs/>
          <w:sz w:val="22"/>
          <w:szCs w:val="22"/>
          <w:u w:val="single"/>
          <w:shd w:val="clear" w:color="auto" w:fill="CAEDFB" w:themeFill="accent4" w:themeFillTint="33"/>
        </w:rPr>
      </w:pPr>
    </w:p>
    <w:p w14:paraId="6FAFBBF1" w14:textId="51E48CB8" w:rsidR="00CE0AD2" w:rsidRPr="00210844" w:rsidRDefault="00CE0AD2" w:rsidP="00CE0AD2">
      <w:pPr>
        <w:rPr>
          <w:rFonts w:cs="Calibri"/>
          <w:b/>
          <w:bCs/>
          <w:sz w:val="22"/>
          <w:szCs w:val="22"/>
        </w:rPr>
      </w:pPr>
      <w:r w:rsidRPr="00AA48F2">
        <w:rPr>
          <w:rFonts w:cs="Calibri"/>
          <w:b/>
          <w:bCs/>
          <w:sz w:val="22"/>
          <w:szCs w:val="22"/>
          <w:u w:val="single"/>
          <w:shd w:val="clear" w:color="auto" w:fill="CAEDFB" w:themeFill="accent4" w:themeFillTint="33"/>
        </w:rPr>
        <w:t xml:space="preserve">Recommendation </w:t>
      </w:r>
      <w:r w:rsidR="002D14EC">
        <w:rPr>
          <w:rFonts w:cs="Calibri"/>
          <w:b/>
          <w:bCs/>
          <w:sz w:val="22"/>
          <w:szCs w:val="22"/>
          <w:u w:val="single"/>
          <w:shd w:val="clear" w:color="auto" w:fill="CAEDFB" w:themeFill="accent4" w:themeFillTint="33"/>
        </w:rPr>
        <w:t>3</w:t>
      </w:r>
      <w:r w:rsidRPr="00AA48F2">
        <w:rPr>
          <w:rFonts w:cs="Calibri"/>
          <w:b/>
          <w:bCs/>
          <w:sz w:val="22"/>
          <w:szCs w:val="22"/>
          <w:u w:val="single"/>
          <w:shd w:val="clear" w:color="auto" w:fill="CAEDFB" w:themeFill="accent4" w:themeFillTint="33"/>
        </w:rPr>
        <w:t>:</w:t>
      </w:r>
      <w:r w:rsidRPr="00AA48F2">
        <w:rPr>
          <w:rFonts w:cs="Calibri"/>
          <w:b/>
          <w:bCs/>
          <w:sz w:val="22"/>
          <w:szCs w:val="22"/>
          <w:shd w:val="clear" w:color="auto" w:fill="CAEDFB" w:themeFill="accent4" w:themeFillTint="33"/>
        </w:rPr>
        <w:t xml:space="preserve"> </w:t>
      </w:r>
      <w:r w:rsidR="007B3164">
        <w:rPr>
          <w:rFonts w:cs="Calibri"/>
          <w:b/>
          <w:bCs/>
          <w:sz w:val="22"/>
          <w:szCs w:val="22"/>
          <w:shd w:val="clear" w:color="auto" w:fill="CAEDFB" w:themeFill="accent4" w:themeFillTint="33"/>
        </w:rPr>
        <w:t xml:space="preserve">Implement a coordinated strategy </w:t>
      </w:r>
      <w:r w:rsidR="00DE7158">
        <w:rPr>
          <w:rFonts w:cs="Calibri"/>
          <w:b/>
          <w:bCs/>
          <w:sz w:val="22"/>
          <w:szCs w:val="22"/>
          <w:shd w:val="clear" w:color="auto" w:fill="CAEDFB" w:themeFill="accent4" w:themeFillTint="33"/>
        </w:rPr>
        <w:t xml:space="preserve">to </w:t>
      </w:r>
      <w:r w:rsidR="00876DE0">
        <w:rPr>
          <w:rFonts w:cs="Calibri"/>
          <w:b/>
          <w:bCs/>
          <w:sz w:val="22"/>
          <w:szCs w:val="22"/>
          <w:shd w:val="clear" w:color="auto" w:fill="CAEDFB" w:themeFill="accent4" w:themeFillTint="33"/>
        </w:rPr>
        <w:t>stabilize and grow the</w:t>
      </w:r>
      <w:r w:rsidR="00DE7158">
        <w:rPr>
          <w:rFonts w:cs="Calibri"/>
          <w:b/>
          <w:bCs/>
          <w:sz w:val="22"/>
          <w:szCs w:val="22"/>
          <w:shd w:val="clear" w:color="auto" w:fill="CAEDFB" w:themeFill="accent4" w:themeFillTint="33"/>
        </w:rPr>
        <w:t xml:space="preserve"> </w:t>
      </w:r>
      <w:r w:rsidR="00D5371A">
        <w:rPr>
          <w:rFonts w:cs="Calibri"/>
          <w:b/>
          <w:bCs/>
          <w:sz w:val="22"/>
          <w:szCs w:val="22"/>
          <w:shd w:val="clear" w:color="auto" w:fill="CAEDFB" w:themeFill="accent4" w:themeFillTint="33"/>
        </w:rPr>
        <w:t>youth behavioral health workforce</w:t>
      </w:r>
    </w:p>
    <w:p w14:paraId="460098C1" w14:textId="462E1CD2" w:rsidR="00214105" w:rsidRDefault="00E96009" w:rsidP="00093267">
      <w:pPr>
        <w:rPr>
          <w:rFonts w:cs="Calibri"/>
          <w:sz w:val="22"/>
          <w:szCs w:val="22"/>
        </w:rPr>
      </w:pPr>
      <w:r w:rsidRPr="00E96009">
        <w:rPr>
          <w:rFonts w:cs="Calibri"/>
          <w:sz w:val="22"/>
          <w:szCs w:val="22"/>
        </w:rPr>
        <w:t xml:space="preserve">Workforce shortages limit access across the continuum. Providers report difficulty recruiting and retaining </w:t>
      </w:r>
      <w:r w:rsidR="009C6CB3">
        <w:rPr>
          <w:rFonts w:cs="Calibri"/>
          <w:sz w:val="22"/>
          <w:szCs w:val="22"/>
        </w:rPr>
        <w:t>high-quality,</w:t>
      </w:r>
      <w:r w:rsidRPr="00E96009">
        <w:rPr>
          <w:rFonts w:cs="Calibri"/>
          <w:sz w:val="22"/>
          <w:szCs w:val="22"/>
        </w:rPr>
        <w:t xml:space="preserve"> culturally</w:t>
      </w:r>
      <w:r w:rsidR="00864066">
        <w:rPr>
          <w:rFonts w:cs="Calibri"/>
          <w:sz w:val="22"/>
          <w:szCs w:val="22"/>
        </w:rPr>
        <w:t>-</w:t>
      </w:r>
      <w:r w:rsidR="009C6CB3">
        <w:rPr>
          <w:rFonts w:cs="Calibri"/>
          <w:sz w:val="22"/>
          <w:szCs w:val="22"/>
        </w:rPr>
        <w:t>responsive</w:t>
      </w:r>
      <w:r w:rsidRPr="00E96009">
        <w:rPr>
          <w:rFonts w:cs="Calibri"/>
          <w:sz w:val="22"/>
          <w:szCs w:val="22"/>
        </w:rPr>
        <w:t xml:space="preserve"> </w:t>
      </w:r>
      <w:r w:rsidR="009C6CB3">
        <w:rPr>
          <w:rFonts w:cs="Calibri"/>
          <w:sz w:val="22"/>
          <w:szCs w:val="22"/>
        </w:rPr>
        <w:t>staff</w:t>
      </w:r>
      <w:r w:rsidR="000027BC">
        <w:rPr>
          <w:rFonts w:cs="Calibri"/>
          <w:sz w:val="22"/>
          <w:szCs w:val="22"/>
        </w:rPr>
        <w:t xml:space="preserve"> across the continuum of services</w:t>
      </w:r>
      <w:r w:rsidR="008A2EB9">
        <w:rPr>
          <w:rFonts w:cs="Calibri"/>
          <w:sz w:val="22"/>
          <w:szCs w:val="22"/>
        </w:rPr>
        <w:t xml:space="preserve">, citing </w:t>
      </w:r>
      <w:r w:rsidR="005C743C">
        <w:rPr>
          <w:rFonts w:cs="Calibri"/>
          <w:sz w:val="22"/>
          <w:szCs w:val="22"/>
        </w:rPr>
        <w:t>concerns with payment rates</w:t>
      </w:r>
      <w:r w:rsidRPr="00E96009">
        <w:rPr>
          <w:rFonts w:cs="Calibri"/>
          <w:sz w:val="22"/>
          <w:szCs w:val="22"/>
        </w:rPr>
        <w:t xml:space="preserve">, administrative </w:t>
      </w:r>
      <w:r w:rsidR="00711F02">
        <w:rPr>
          <w:rFonts w:cs="Calibri"/>
          <w:sz w:val="22"/>
          <w:szCs w:val="22"/>
        </w:rPr>
        <w:t xml:space="preserve">barriers, </w:t>
      </w:r>
      <w:r w:rsidRPr="00E96009">
        <w:rPr>
          <w:rFonts w:cs="Calibri"/>
          <w:sz w:val="22"/>
          <w:szCs w:val="22"/>
        </w:rPr>
        <w:t xml:space="preserve">burnout, </w:t>
      </w:r>
      <w:r w:rsidR="00481E28">
        <w:rPr>
          <w:rFonts w:cs="Calibri"/>
          <w:sz w:val="22"/>
          <w:szCs w:val="22"/>
        </w:rPr>
        <w:t xml:space="preserve">training and </w:t>
      </w:r>
      <w:r w:rsidR="00214105">
        <w:rPr>
          <w:rFonts w:cs="Calibri"/>
          <w:sz w:val="22"/>
          <w:szCs w:val="22"/>
        </w:rPr>
        <w:t xml:space="preserve">career </w:t>
      </w:r>
      <w:r w:rsidR="00481E28">
        <w:rPr>
          <w:rFonts w:cs="Calibri"/>
          <w:sz w:val="22"/>
          <w:szCs w:val="22"/>
        </w:rPr>
        <w:t>development</w:t>
      </w:r>
      <w:r w:rsidRPr="00E96009">
        <w:rPr>
          <w:rFonts w:cs="Calibri"/>
          <w:sz w:val="22"/>
          <w:szCs w:val="22"/>
        </w:rPr>
        <w:t>, and competition from other sectors.</w:t>
      </w:r>
    </w:p>
    <w:p w14:paraId="73BCD8C6" w14:textId="07B7E1D0" w:rsidR="00E96009" w:rsidRDefault="00214105" w:rsidP="00CE0AD2">
      <w:pPr>
        <w:rPr>
          <w:rFonts w:cs="Calibri"/>
          <w:sz w:val="22"/>
          <w:szCs w:val="22"/>
        </w:rPr>
      </w:pPr>
      <w:r>
        <w:rPr>
          <w:rFonts w:cs="Calibri"/>
          <w:sz w:val="22"/>
          <w:szCs w:val="22"/>
        </w:rPr>
        <w:t>The Commonwealth should implement a coordinated workforce strateg</w:t>
      </w:r>
      <w:r w:rsidR="00F2550E">
        <w:rPr>
          <w:rFonts w:cs="Calibri"/>
          <w:sz w:val="22"/>
          <w:szCs w:val="22"/>
        </w:rPr>
        <w:t>y for youth</w:t>
      </w:r>
      <w:r w:rsidR="0002762B">
        <w:rPr>
          <w:rFonts w:cs="Calibri"/>
          <w:sz w:val="22"/>
          <w:szCs w:val="22"/>
        </w:rPr>
        <w:t>-focused</w:t>
      </w:r>
      <w:r w:rsidR="00F2550E">
        <w:rPr>
          <w:rFonts w:cs="Calibri"/>
          <w:sz w:val="22"/>
          <w:szCs w:val="22"/>
        </w:rPr>
        <w:t xml:space="preserve"> behavioral health </w:t>
      </w:r>
      <w:r w:rsidR="0015604F">
        <w:rPr>
          <w:rFonts w:cs="Calibri"/>
          <w:sz w:val="22"/>
          <w:szCs w:val="22"/>
        </w:rPr>
        <w:t>staff across state agencies to optimize</w:t>
      </w:r>
      <w:r w:rsidR="004A046C">
        <w:rPr>
          <w:rFonts w:cs="Calibri"/>
          <w:sz w:val="22"/>
          <w:szCs w:val="22"/>
        </w:rPr>
        <w:t xml:space="preserve"> provider rates and individual salaries</w:t>
      </w:r>
      <w:r w:rsidR="0058543F">
        <w:rPr>
          <w:rFonts w:cs="Calibri"/>
          <w:sz w:val="22"/>
          <w:szCs w:val="22"/>
        </w:rPr>
        <w:t>;</w:t>
      </w:r>
      <w:r w:rsidR="004A046C">
        <w:rPr>
          <w:rFonts w:cs="Calibri"/>
          <w:sz w:val="22"/>
          <w:szCs w:val="22"/>
        </w:rPr>
        <w:t xml:space="preserve"> training resources</w:t>
      </w:r>
      <w:r w:rsidR="00F16DFB">
        <w:rPr>
          <w:rFonts w:cs="Calibri"/>
          <w:sz w:val="22"/>
          <w:szCs w:val="22"/>
        </w:rPr>
        <w:t>,</w:t>
      </w:r>
      <w:r w:rsidR="004A046C">
        <w:rPr>
          <w:rFonts w:cs="Calibri"/>
          <w:sz w:val="22"/>
          <w:szCs w:val="22"/>
        </w:rPr>
        <w:t xml:space="preserve"> including for the care of children with developmental, medical, </w:t>
      </w:r>
      <w:r w:rsidR="005E7B9B">
        <w:rPr>
          <w:rFonts w:cs="Calibri"/>
          <w:sz w:val="22"/>
          <w:szCs w:val="22"/>
        </w:rPr>
        <w:t>and behavioral complexity</w:t>
      </w:r>
      <w:r w:rsidR="00F16DFB">
        <w:rPr>
          <w:rFonts w:cs="Calibri"/>
          <w:sz w:val="22"/>
          <w:szCs w:val="22"/>
        </w:rPr>
        <w:t>;</w:t>
      </w:r>
      <w:r w:rsidR="005E7B9B">
        <w:rPr>
          <w:rFonts w:cs="Calibri"/>
          <w:sz w:val="22"/>
          <w:szCs w:val="22"/>
        </w:rPr>
        <w:t xml:space="preserve"> diversity and cultural competency,</w:t>
      </w:r>
      <w:r w:rsidR="007B5979">
        <w:rPr>
          <w:rFonts w:cs="Calibri"/>
          <w:sz w:val="22"/>
          <w:szCs w:val="22"/>
        </w:rPr>
        <w:t xml:space="preserve"> loan repayment, scholarship, apprenticeship, and certification opportunities</w:t>
      </w:r>
      <w:r w:rsidR="00F16DFB">
        <w:rPr>
          <w:rFonts w:cs="Calibri"/>
          <w:sz w:val="22"/>
          <w:szCs w:val="22"/>
        </w:rPr>
        <w:t>;</w:t>
      </w:r>
      <w:r w:rsidR="007B5979">
        <w:rPr>
          <w:rFonts w:cs="Calibri"/>
          <w:sz w:val="22"/>
          <w:szCs w:val="22"/>
        </w:rPr>
        <w:t xml:space="preserve"> pipeline programming</w:t>
      </w:r>
      <w:r w:rsidR="00F16DFB">
        <w:rPr>
          <w:rFonts w:cs="Calibri"/>
          <w:sz w:val="22"/>
          <w:szCs w:val="22"/>
        </w:rPr>
        <w:t>;</w:t>
      </w:r>
      <w:r w:rsidR="007B5979">
        <w:rPr>
          <w:rFonts w:cs="Calibri"/>
          <w:sz w:val="22"/>
          <w:szCs w:val="22"/>
        </w:rPr>
        <w:t xml:space="preserve"> and recruitment and retention.</w:t>
      </w:r>
    </w:p>
    <w:p w14:paraId="6B92A53C" w14:textId="77777777" w:rsidR="00E96009" w:rsidRDefault="00E96009" w:rsidP="00CE0AD2">
      <w:pPr>
        <w:rPr>
          <w:rFonts w:cs="Calibri"/>
          <w:sz w:val="22"/>
          <w:szCs w:val="22"/>
        </w:rPr>
      </w:pPr>
    </w:p>
    <w:p w14:paraId="5A6356D9" w14:textId="263A0506" w:rsidR="007B5979" w:rsidRPr="00210844" w:rsidRDefault="007B5979" w:rsidP="007B5979">
      <w:pPr>
        <w:rPr>
          <w:rFonts w:cs="Calibri"/>
          <w:b/>
          <w:bCs/>
          <w:sz w:val="22"/>
          <w:szCs w:val="22"/>
        </w:rPr>
      </w:pPr>
      <w:r w:rsidRPr="00AA48F2">
        <w:rPr>
          <w:rFonts w:cs="Calibri"/>
          <w:b/>
          <w:bCs/>
          <w:sz w:val="22"/>
          <w:szCs w:val="22"/>
          <w:u w:val="single"/>
          <w:shd w:val="clear" w:color="auto" w:fill="CAEDFB" w:themeFill="accent4" w:themeFillTint="33"/>
        </w:rPr>
        <w:t xml:space="preserve">Recommendation </w:t>
      </w:r>
      <w:r>
        <w:rPr>
          <w:rFonts w:cs="Calibri"/>
          <w:b/>
          <w:bCs/>
          <w:sz w:val="22"/>
          <w:szCs w:val="22"/>
          <w:u w:val="single"/>
          <w:shd w:val="clear" w:color="auto" w:fill="CAEDFB" w:themeFill="accent4" w:themeFillTint="33"/>
        </w:rPr>
        <w:t>4</w:t>
      </w:r>
      <w:r w:rsidRPr="00AA48F2">
        <w:rPr>
          <w:rFonts w:cs="Calibri"/>
          <w:b/>
          <w:bCs/>
          <w:sz w:val="22"/>
          <w:szCs w:val="22"/>
          <w:u w:val="single"/>
          <w:shd w:val="clear" w:color="auto" w:fill="CAEDFB" w:themeFill="accent4" w:themeFillTint="33"/>
        </w:rPr>
        <w:t>:</w:t>
      </w:r>
      <w:r w:rsidRPr="00AA48F2">
        <w:rPr>
          <w:rFonts w:cs="Calibri"/>
          <w:b/>
          <w:bCs/>
          <w:sz w:val="22"/>
          <w:szCs w:val="22"/>
          <w:shd w:val="clear" w:color="auto" w:fill="CAEDFB" w:themeFill="accent4" w:themeFillTint="33"/>
        </w:rPr>
        <w:t xml:space="preserve"> </w:t>
      </w:r>
      <w:r>
        <w:rPr>
          <w:rFonts w:cs="Calibri"/>
          <w:b/>
          <w:bCs/>
          <w:sz w:val="22"/>
          <w:szCs w:val="22"/>
          <w:shd w:val="clear" w:color="auto" w:fill="CAEDFB" w:themeFill="accent4" w:themeFillTint="33"/>
        </w:rPr>
        <w:t xml:space="preserve">Coordinate across payers to maximize available resources and improve the </w:t>
      </w:r>
      <w:r w:rsidR="00953906">
        <w:rPr>
          <w:rFonts w:cs="Calibri"/>
          <w:b/>
          <w:bCs/>
          <w:sz w:val="22"/>
          <w:szCs w:val="22"/>
          <w:shd w:val="clear" w:color="auto" w:fill="CAEDFB" w:themeFill="accent4" w:themeFillTint="33"/>
        </w:rPr>
        <w:t>experience for families seeking behavioral health care</w:t>
      </w:r>
    </w:p>
    <w:p w14:paraId="3007A36A" w14:textId="3B821286" w:rsidR="007B5979" w:rsidRDefault="0004425E" w:rsidP="007B5979">
      <w:pPr>
        <w:rPr>
          <w:rFonts w:cs="Calibri"/>
          <w:sz w:val="22"/>
          <w:szCs w:val="22"/>
        </w:rPr>
      </w:pPr>
      <w:r>
        <w:rPr>
          <w:rFonts w:cs="Calibri"/>
          <w:sz w:val="22"/>
          <w:szCs w:val="22"/>
        </w:rPr>
        <w:t xml:space="preserve">Providers and families alike </w:t>
      </w:r>
      <w:r w:rsidR="00583278">
        <w:rPr>
          <w:rFonts w:cs="Calibri"/>
          <w:sz w:val="22"/>
          <w:szCs w:val="22"/>
        </w:rPr>
        <w:t xml:space="preserve">report </w:t>
      </w:r>
      <w:r w:rsidR="005B48E3">
        <w:rPr>
          <w:rFonts w:cs="Calibri"/>
          <w:sz w:val="22"/>
          <w:szCs w:val="22"/>
        </w:rPr>
        <w:t xml:space="preserve">payment-related </w:t>
      </w:r>
      <w:r w:rsidR="000C1B1F">
        <w:rPr>
          <w:rFonts w:cs="Calibri"/>
          <w:sz w:val="22"/>
          <w:szCs w:val="22"/>
        </w:rPr>
        <w:t xml:space="preserve">barriers to </w:t>
      </w:r>
      <w:r w:rsidR="006368A9">
        <w:rPr>
          <w:rFonts w:cs="Calibri"/>
          <w:sz w:val="22"/>
          <w:szCs w:val="22"/>
        </w:rPr>
        <w:t>behavioral health care</w:t>
      </w:r>
      <w:r w:rsidR="005B48E3">
        <w:rPr>
          <w:rFonts w:cs="Calibri"/>
          <w:sz w:val="22"/>
          <w:szCs w:val="22"/>
        </w:rPr>
        <w:t xml:space="preserve">, including </w:t>
      </w:r>
      <w:r w:rsidR="009E5EA1">
        <w:rPr>
          <w:rFonts w:cs="Calibri"/>
          <w:sz w:val="22"/>
          <w:szCs w:val="22"/>
        </w:rPr>
        <w:t xml:space="preserve">health insurance coverage </w:t>
      </w:r>
      <w:r w:rsidR="00056DF2">
        <w:rPr>
          <w:rFonts w:cs="Calibri"/>
          <w:sz w:val="22"/>
          <w:szCs w:val="22"/>
        </w:rPr>
        <w:t>gaps</w:t>
      </w:r>
      <w:r w:rsidR="00EB5B4C">
        <w:rPr>
          <w:rFonts w:cs="Calibri"/>
          <w:sz w:val="22"/>
          <w:szCs w:val="22"/>
        </w:rPr>
        <w:t xml:space="preserve"> or payment denials</w:t>
      </w:r>
      <w:r w:rsidR="00F40B25">
        <w:rPr>
          <w:rFonts w:cs="Calibri"/>
          <w:sz w:val="22"/>
          <w:szCs w:val="22"/>
        </w:rPr>
        <w:t xml:space="preserve">, </w:t>
      </w:r>
      <w:r w:rsidR="0019770C">
        <w:rPr>
          <w:rFonts w:cs="Calibri"/>
          <w:sz w:val="22"/>
          <w:szCs w:val="22"/>
        </w:rPr>
        <w:t>cost-sharing obligations, administrative complexity,</w:t>
      </w:r>
      <w:r w:rsidR="0042665F">
        <w:rPr>
          <w:rFonts w:cs="Calibri"/>
          <w:sz w:val="22"/>
          <w:szCs w:val="22"/>
        </w:rPr>
        <w:t xml:space="preserve"> and inconsiste</w:t>
      </w:r>
      <w:r w:rsidR="00D36548">
        <w:rPr>
          <w:rFonts w:cs="Calibri"/>
          <w:sz w:val="22"/>
          <w:szCs w:val="22"/>
        </w:rPr>
        <w:t>nt expectations</w:t>
      </w:r>
      <w:r w:rsidR="00193E0D">
        <w:rPr>
          <w:rFonts w:cs="Calibri"/>
          <w:sz w:val="22"/>
          <w:szCs w:val="22"/>
        </w:rPr>
        <w:t xml:space="preserve"> and practices</w:t>
      </w:r>
      <w:r w:rsidR="0042665F">
        <w:rPr>
          <w:rFonts w:cs="Calibri"/>
          <w:sz w:val="22"/>
          <w:szCs w:val="22"/>
        </w:rPr>
        <w:t xml:space="preserve"> across different </w:t>
      </w:r>
      <w:r w:rsidR="00831907">
        <w:rPr>
          <w:rFonts w:cs="Calibri"/>
          <w:sz w:val="22"/>
          <w:szCs w:val="22"/>
        </w:rPr>
        <w:t xml:space="preserve">payers. </w:t>
      </w:r>
    </w:p>
    <w:p w14:paraId="3014F885" w14:textId="4E2C7F81" w:rsidR="007B5979" w:rsidRDefault="007B5979" w:rsidP="003D0D49">
      <w:pPr>
        <w:rPr>
          <w:rFonts w:cs="Calibri"/>
          <w:sz w:val="22"/>
          <w:szCs w:val="22"/>
        </w:rPr>
      </w:pPr>
      <w:r>
        <w:rPr>
          <w:rFonts w:cs="Calibri"/>
          <w:sz w:val="22"/>
          <w:szCs w:val="22"/>
        </w:rPr>
        <w:t xml:space="preserve">The </w:t>
      </w:r>
      <w:r w:rsidR="00F26B31">
        <w:rPr>
          <w:rFonts w:cs="Calibri"/>
          <w:sz w:val="22"/>
          <w:szCs w:val="22"/>
        </w:rPr>
        <w:t xml:space="preserve">address these issues, the Commonwealth should </w:t>
      </w:r>
      <w:r w:rsidR="00AD4A04">
        <w:rPr>
          <w:rFonts w:cs="Calibri"/>
          <w:sz w:val="22"/>
          <w:szCs w:val="22"/>
        </w:rPr>
        <w:t>coordinate across payers to minimize/</w:t>
      </w:r>
      <w:r w:rsidR="00102A23">
        <w:rPr>
          <w:rFonts w:cs="Calibri"/>
          <w:sz w:val="22"/>
          <w:szCs w:val="22"/>
        </w:rPr>
        <w:t>eliminate payment</w:t>
      </w:r>
      <w:r w:rsidR="003D0D49" w:rsidRPr="003D0D49">
        <w:rPr>
          <w:rFonts w:cs="Calibri"/>
          <w:sz w:val="22"/>
          <w:szCs w:val="22"/>
        </w:rPr>
        <w:t xml:space="preserve">-related gaps in youth </w:t>
      </w:r>
      <w:r w:rsidR="00987184">
        <w:rPr>
          <w:rFonts w:cs="Calibri"/>
          <w:sz w:val="22"/>
          <w:szCs w:val="22"/>
        </w:rPr>
        <w:t>behavioral health</w:t>
      </w:r>
      <w:r w:rsidR="003D0D49" w:rsidRPr="003D0D49">
        <w:rPr>
          <w:rFonts w:cs="Calibri"/>
          <w:sz w:val="22"/>
          <w:szCs w:val="22"/>
        </w:rPr>
        <w:t xml:space="preserve">  service coverage</w:t>
      </w:r>
      <w:r w:rsidR="00987184">
        <w:rPr>
          <w:rFonts w:cs="Calibri"/>
          <w:sz w:val="22"/>
          <w:szCs w:val="22"/>
        </w:rPr>
        <w:t xml:space="preserve">, </w:t>
      </w:r>
      <w:r w:rsidR="00F54A5A">
        <w:rPr>
          <w:rFonts w:cs="Calibri"/>
          <w:sz w:val="22"/>
          <w:szCs w:val="22"/>
        </w:rPr>
        <w:t>u</w:t>
      </w:r>
      <w:r w:rsidR="003D0D49" w:rsidRPr="003D0D49">
        <w:rPr>
          <w:rFonts w:cs="Calibri"/>
          <w:sz w:val="22"/>
          <w:szCs w:val="22"/>
        </w:rPr>
        <w:t>nnecessary administrative barriers</w:t>
      </w:r>
      <w:r w:rsidR="00090C12">
        <w:rPr>
          <w:rFonts w:cs="Calibri"/>
          <w:sz w:val="22"/>
          <w:szCs w:val="22"/>
        </w:rPr>
        <w:t xml:space="preserve"> </w:t>
      </w:r>
      <w:r w:rsidR="003D0D49" w:rsidRPr="003D0D49">
        <w:rPr>
          <w:rFonts w:cs="Calibri"/>
          <w:sz w:val="22"/>
          <w:szCs w:val="22"/>
        </w:rPr>
        <w:t>to accessing care (e.g., prior auth, billing complexity)</w:t>
      </w:r>
      <w:r w:rsidR="00090C12">
        <w:rPr>
          <w:rFonts w:cs="Calibri"/>
          <w:sz w:val="22"/>
          <w:szCs w:val="22"/>
        </w:rPr>
        <w:t xml:space="preserve">, </w:t>
      </w:r>
      <w:r w:rsidR="003D0D49" w:rsidRPr="003D0D49">
        <w:rPr>
          <w:rFonts w:cs="Calibri"/>
          <w:sz w:val="22"/>
          <w:szCs w:val="22"/>
        </w:rPr>
        <w:t>avoidable cost-shifting to the state (both from federal and commercial  payers)</w:t>
      </w:r>
      <w:r w:rsidR="00090C12">
        <w:rPr>
          <w:rFonts w:cs="Calibri"/>
          <w:sz w:val="22"/>
          <w:szCs w:val="22"/>
        </w:rPr>
        <w:t xml:space="preserve">, and </w:t>
      </w:r>
      <w:r w:rsidR="003D0D49" w:rsidRPr="003D0D49">
        <w:rPr>
          <w:rFonts w:cs="Calibri"/>
          <w:sz w:val="22"/>
          <w:szCs w:val="22"/>
        </w:rPr>
        <w:t>misalignment of services offered across public and commercial plans</w:t>
      </w:r>
      <w:r w:rsidR="00090C12">
        <w:rPr>
          <w:rFonts w:cs="Calibri"/>
          <w:sz w:val="22"/>
          <w:szCs w:val="22"/>
        </w:rPr>
        <w:t>.</w:t>
      </w:r>
    </w:p>
    <w:p w14:paraId="45CF76C9" w14:textId="77777777" w:rsidR="00090C12" w:rsidRDefault="00090C12" w:rsidP="003D0D49">
      <w:pPr>
        <w:rPr>
          <w:rFonts w:cs="Calibri"/>
          <w:sz w:val="22"/>
          <w:szCs w:val="22"/>
        </w:rPr>
      </w:pPr>
    </w:p>
    <w:p w14:paraId="2904A78E" w14:textId="7D5AAA76" w:rsidR="00090C12" w:rsidRPr="00210844" w:rsidRDefault="00090C12" w:rsidP="00090C12">
      <w:pPr>
        <w:rPr>
          <w:rFonts w:cs="Calibri"/>
          <w:b/>
          <w:bCs/>
          <w:sz w:val="22"/>
          <w:szCs w:val="22"/>
        </w:rPr>
      </w:pPr>
      <w:r w:rsidRPr="00AA48F2">
        <w:rPr>
          <w:rFonts w:cs="Calibri"/>
          <w:b/>
          <w:bCs/>
          <w:sz w:val="22"/>
          <w:szCs w:val="22"/>
          <w:u w:val="single"/>
          <w:shd w:val="clear" w:color="auto" w:fill="CAEDFB" w:themeFill="accent4" w:themeFillTint="33"/>
        </w:rPr>
        <w:t xml:space="preserve">Recommendation </w:t>
      </w:r>
      <w:r>
        <w:rPr>
          <w:rFonts w:cs="Calibri"/>
          <w:b/>
          <w:bCs/>
          <w:sz w:val="22"/>
          <w:szCs w:val="22"/>
          <w:u w:val="single"/>
          <w:shd w:val="clear" w:color="auto" w:fill="CAEDFB" w:themeFill="accent4" w:themeFillTint="33"/>
        </w:rPr>
        <w:t>5</w:t>
      </w:r>
      <w:r w:rsidRPr="00AA48F2">
        <w:rPr>
          <w:rFonts w:cs="Calibri"/>
          <w:b/>
          <w:bCs/>
          <w:sz w:val="22"/>
          <w:szCs w:val="22"/>
          <w:u w:val="single"/>
          <w:shd w:val="clear" w:color="auto" w:fill="CAEDFB" w:themeFill="accent4" w:themeFillTint="33"/>
        </w:rPr>
        <w:t>:</w:t>
      </w:r>
      <w:r w:rsidRPr="00AA48F2">
        <w:rPr>
          <w:rFonts w:cs="Calibri"/>
          <w:b/>
          <w:bCs/>
          <w:sz w:val="22"/>
          <w:szCs w:val="22"/>
          <w:shd w:val="clear" w:color="auto" w:fill="CAEDFB" w:themeFill="accent4" w:themeFillTint="33"/>
        </w:rPr>
        <w:t xml:space="preserve"> </w:t>
      </w:r>
      <w:r>
        <w:rPr>
          <w:rFonts w:cs="Calibri"/>
          <w:b/>
          <w:bCs/>
          <w:sz w:val="22"/>
          <w:szCs w:val="22"/>
          <w:shd w:val="clear" w:color="auto" w:fill="CAEDFB" w:themeFill="accent4" w:themeFillTint="33"/>
        </w:rPr>
        <w:t xml:space="preserve">Coordinate across </w:t>
      </w:r>
      <w:r w:rsidR="00010E04">
        <w:rPr>
          <w:rFonts w:cs="Calibri"/>
          <w:b/>
          <w:bCs/>
          <w:sz w:val="22"/>
          <w:szCs w:val="22"/>
          <w:shd w:val="clear" w:color="auto" w:fill="CAEDFB" w:themeFill="accent4" w:themeFillTint="33"/>
        </w:rPr>
        <w:t xml:space="preserve">state agencies to </w:t>
      </w:r>
      <w:r w:rsidR="00E01A0C">
        <w:rPr>
          <w:rFonts w:cs="Calibri"/>
          <w:b/>
          <w:bCs/>
          <w:sz w:val="22"/>
          <w:szCs w:val="22"/>
          <w:shd w:val="clear" w:color="auto" w:fill="CAEDFB" w:themeFill="accent4" w:themeFillTint="33"/>
        </w:rPr>
        <w:t xml:space="preserve">maximize </w:t>
      </w:r>
      <w:r w:rsidR="00E075B5">
        <w:rPr>
          <w:rFonts w:cs="Calibri"/>
          <w:b/>
          <w:bCs/>
          <w:sz w:val="22"/>
          <w:szCs w:val="22"/>
          <w:shd w:val="clear" w:color="auto" w:fill="CAEDFB" w:themeFill="accent4" w:themeFillTint="33"/>
        </w:rPr>
        <w:t xml:space="preserve">available resources and streamline the experience for youth and families accessing </w:t>
      </w:r>
      <w:r w:rsidR="001F603A">
        <w:rPr>
          <w:rFonts w:cs="Calibri"/>
          <w:b/>
          <w:bCs/>
          <w:sz w:val="22"/>
          <w:szCs w:val="22"/>
          <w:shd w:val="clear" w:color="auto" w:fill="CAEDFB" w:themeFill="accent4" w:themeFillTint="33"/>
        </w:rPr>
        <w:t>behavioral health supports</w:t>
      </w:r>
    </w:p>
    <w:p w14:paraId="0C0681E6" w14:textId="3B3116F2" w:rsidR="003F18BE" w:rsidRDefault="003F18BE" w:rsidP="00090C12">
      <w:pPr>
        <w:rPr>
          <w:rFonts w:cs="Calibri"/>
          <w:sz w:val="22"/>
          <w:szCs w:val="22"/>
        </w:rPr>
      </w:pPr>
      <w:r w:rsidRPr="003F18BE">
        <w:rPr>
          <w:rFonts w:cs="Calibri"/>
          <w:sz w:val="22"/>
          <w:szCs w:val="22"/>
        </w:rPr>
        <w:t xml:space="preserve">Children with behavioral health needs often interact with multiple systems, including </w:t>
      </w:r>
      <w:r w:rsidR="00AA2E2B">
        <w:rPr>
          <w:rFonts w:cs="Calibri"/>
          <w:sz w:val="22"/>
          <w:szCs w:val="22"/>
        </w:rPr>
        <w:t>many of our</w:t>
      </w:r>
      <w:r w:rsidR="004723E9">
        <w:rPr>
          <w:rFonts w:cs="Calibri"/>
          <w:sz w:val="22"/>
          <w:szCs w:val="22"/>
        </w:rPr>
        <w:t xml:space="preserve"> </w:t>
      </w:r>
      <w:r w:rsidR="003E4435">
        <w:rPr>
          <w:rFonts w:cs="Calibri"/>
          <w:sz w:val="22"/>
          <w:szCs w:val="22"/>
        </w:rPr>
        <w:t>state agencies</w:t>
      </w:r>
      <w:r w:rsidR="00295929">
        <w:rPr>
          <w:rFonts w:cs="Calibri"/>
          <w:sz w:val="22"/>
          <w:szCs w:val="22"/>
        </w:rPr>
        <w:t xml:space="preserve">, such as </w:t>
      </w:r>
      <w:r w:rsidR="000E1A02">
        <w:rPr>
          <w:rFonts w:cs="Calibri"/>
          <w:sz w:val="22"/>
          <w:szCs w:val="22"/>
        </w:rPr>
        <w:t>Medicaid</w:t>
      </w:r>
      <w:r w:rsidRPr="003F18BE">
        <w:rPr>
          <w:rFonts w:cs="Calibri"/>
          <w:sz w:val="22"/>
          <w:szCs w:val="22"/>
        </w:rPr>
        <w:t>, child welfare,</w:t>
      </w:r>
      <w:r w:rsidR="00DF264E">
        <w:rPr>
          <w:rFonts w:cs="Calibri"/>
          <w:sz w:val="22"/>
          <w:szCs w:val="22"/>
        </w:rPr>
        <w:t xml:space="preserve"> public health,</w:t>
      </w:r>
      <w:r w:rsidRPr="003F18BE">
        <w:rPr>
          <w:rFonts w:cs="Calibri"/>
          <w:sz w:val="22"/>
          <w:szCs w:val="22"/>
        </w:rPr>
        <w:t xml:space="preserve"> juvenile justice, disability services, </w:t>
      </w:r>
      <w:r w:rsidR="0007395A">
        <w:rPr>
          <w:rFonts w:cs="Calibri"/>
          <w:sz w:val="22"/>
          <w:szCs w:val="22"/>
        </w:rPr>
        <w:t xml:space="preserve">and </w:t>
      </w:r>
      <w:r w:rsidRPr="003F18BE">
        <w:rPr>
          <w:rFonts w:cs="Calibri"/>
          <w:sz w:val="22"/>
          <w:szCs w:val="22"/>
        </w:rPr>
        <w:t xml:space="preserve">education. </w:t>
      </w:r>
      <w:r w:rsidR="0007395A">
        <w:rPr>
          <w:rFonts w:cs="Calibri"/>
          <w:sz w:val="22"/>
          <w:szCs w:val="22"/>
        </w:rPr>
        <w:t>Despite the robust services</w:t>
      </w:r>
      <w:r w:rsidR="000C6286">
        <w:rPr>
          <w:rFonts w:cs="Calibri"/>
          <w:sz w:val="22"/>
          <w:szCs w:val="22"/>
        </w:rPr>
        <w:t xml:space="preserve"> our state agencies </w:t>
      </w:r>
      <w:r w:rsidR="00890508">
        <w:rPr>
          <w:rFonts w:cs="Calibri"/>
          <w:sz w:val="22"/>
          <w:szCs w:val="22"/>
        </w:rPr>
        <w:t>offer, f</w:t>
      </w:r>
      <w:r w:rsidRPr="003F18BE">
        <w:rPr>
          <w:rFonts w:cs="Calibri"/>
          <w:sz w:val="22"/>
          <w:szCs w:val="22"/>
        </w:rPr>
        <w:t xml:space="preserve">amilies </w:t>
      </w:r>
      <w:r w:rsidR="00890508">
        <w:rPr>
          <w:rFonts w:cs="Calibri"/>
          <w:sz w:val="22"/>
          <w:szCs w:val="22"/>
        </w:rPr>
        <w:t xml:space="preserve">often </w:t>
      </w:r>
      <w:r w:rsidR="00DF2190">
        <w:rPr>
          <w:rFonts w:cs="Calibri"/>
          <w:sz w:val="22"/>
          <w:szCs w:val="22"/>
        </w:rPr>
        <w:t>report</w:t>
      </w:r>
      <w:r w:rsidR="00517070">
        <w:rPr>
          <w:rFonts w:cs="Calibri"/>
          <w:sz w:val="22"/>
          <w:szCs w:val="22"/>
        </w:rPr>
        <w:t xml:space="preserve"> </w:t>
      </w:r>
      <w:r w:rsidR="00BE4DE9">
        <w:rPr>
          <w:rFonts w:cs="Calibri"/>
          <w:sz w:val="22"/>
          <w:szCs w:val="22"/>
        </w:rPr>
        <w:t>fragment</w:t>
      </w:r>
      <w:r w:rsidR="008C7872">
        <w:rPr>
          <w:rFonts w:cs="Calibri"/>
          <w:sz w:val="22"/>
          <w:szCs w:val="22"/>
        </w:rPr>
        <w:t xml:space="preserve">ed </w:t>
      </w:r>
      <w:r w:rsidR="004C3D56">
        <w:rPr>
          <w:rFonts w:cs="Calibri"/>
          <w:sz w:val="22"/>
          <w:szCs w:val="22"/>
        </w:rPr>
        <w:t>experience</w:t>
      </w:r>
      <w:r w:rsidR="003E2A33">
        <w:rPr>
          <w:rFonts w:cs="Calibri"/>
          <w:sz w:val="22"/>
          <w:szCs w:val="22"/>
        </w:rPr>
        <w:t>s accessing support</w:t>
      </w:r>
      <w:r w:rsidR="004C3D56">
        <w:rPr>
          <w:rFonts w:cs="Calibri"/>
          <w:sz w:val="22"/>
          <w:szCs w:val="22"/>
        </w:rPr>
        <w:t xml:space="preserve"> </w:t>
      </w:r>
      <w:r w:rsidR="00E92561">
        <w:rPr>
          <w:rFonts w:cs="Calibri"/>
          <w:sz w:val="22"/>
          <w:szCs w:val="22"/>
        </w:rPr>
        <w:t xml:space="preserve">across our state agencies, with different eligibility criteria, intake processes, </w:t>
      </w:r>
      <w:r w:rsidR="003E765E">
        <w:rPr>
          <w:rFonts w:cs="Calibri"/>
          <w:sz w:val="22"/>
          <w:szCs w:val="22"/>
        </w:rPr>
        <w:t>and service offerings.</w:t>
      </w:r>
    </w:p>
    <w:p w14:paraId="218E0F56" w14:textId="38CD8206" w:rsidR="00A93746" w:rsidRDefault="00510C7D" w:rsidP="00090C12">
      <w:pPr>
        <w:rPr>
          <w:rFonts w:cs="Calibri"/>
          <w:sz w:val="22"/>
          <w:szCs w:val="22"/>
        </w:rPr>
      </w:pPr>
      <w:r>
        <w:rPr>
          <w:rFonts w:cs="Calibri"/>
          <w:sz w:val="22"/>
          <w:szCs w:val="22"/>
        </w:rPr>
        <w:t>Additionally, t</w:t>
      </w:r>
      <w:r w:rsidR="00A93746" w:rsidRPr="00210844">
        <w:rPr>
          <w:rFonts w:cs="Calibri"/>
          <w:sz w:val="22"/>
          <w:szCs w:val="22"/>
        </w:rPr>
        <w:t xml:space="preserve">he Commission identified a need to clarify how major access, urgent response, and intensive service initiatives fit together for children and families. Families do not experience programs as separate policy initiatives. </w:t>
      </w:r>
      <w:r w:rsidR="00A93746">
        <w:rPr>
          <w:rFonts w:cs="Calibri"/>
          <w:sz w:val="22"/>
          <w:szCs w:val="22"/>
        </w:rPr>
        <w:t xml:space="preserve">The </w:t>
      </w:r>
      <w:r w:rsidR="00A93746" w:rsidRPr="00210844">
        <w:rPr>
          <w:rFonts w:cs="Calibri"/>
          <w:sz w:val="22"/>
          <w:szCs w:val="22"/>
        </w:rPr>
        <w:t>B</w:t>
      </w:r>
      <w:r w:rsidR="00A93746">
        <w:rPr>
          <w:rFonts w:cs="Calibri"/>
          <w:sz w:val="22"/>
          <w:szCs w:val="22"/>
        </w:rPr>
        <w:t xml:space="preserve">ehavioral </w:t>
      </w:r>
      <w:r w:rsidR="00A93746" w:rsidRPr="00210844">
        <w:rPr>
          <w:rFonts w:cs="Calibri"/>
          <w:sz w:val="22"/>
          <w:szCs w:val="22"/>
        </w:rPr>
        <w:t>H</w:t>
      </w:r>
      <w:r w:rsidR="00A93746">
        <w:rPr>
          <w:rFonts w:cs="Calibri"/>
          <w:sz w:val="22"/>
          <w:szCs w:val="22"/>
        </w:rPr>
        <w:t xml:space="preserve">ealth </w:t>
      </w:r>
      <w:r w:rsidR="00A93746" w:rsidRPr="00210844">
        <w:rPr>
          <w:rFonts w:cs="Calibri"/>
          <w:sz w:val="22"/>
          <w:szCs w:val="22"/>
        </w:rPr>
        <w:t>H</w:t>
      </w:r>
      <w:r w:rsidR="00A93746">
        <w:rPr>
          <w:rFonts w:cs="Calibri"/>
          <w:sz w:val="22"/>
          <w:szCs w:val="22"/>
        </w:rPr>
        <w:t xml:space="preserve">elp </w:t>
      </w:r>
      <w:r w:rsidR="00A93746" w:rsidRPr="00210844">
        <w:rPr>
          <w:rFonts w:cs="Calibri"/>
          <w:sz w:val="22"/>
          <w:szCs w:val="22"/>
        </w:rPr>
        <w:t>L</w:t>
      </w:r>
      <w:r w:rsidR="00A93746">
        <w:rPr>
          <w:rFonts w:cs="Calibri"/>
          <w:sz w:val="22"/>
          <w:szCs w:val="22"/>
        </w:rPr>
        <w:t>ine (BHHL</w:t>
      </w:r>
      <w:r w:rsidR="00A93746" w:rsidRPr="00B52638">
        <w:rPr>
          <w:rFonts w:cs="Calibri"/>
          <w:sz w:val="22"/>
          <w:szCs w:val="22"/>
        </w:rPr>
        <w:t xml:space="preserve">), </w:t>
      </w:r>
      <w:r w:rsidR="00375592" w:rsidRPr="00B52638">
        <w:rPr>
          <w:rFonts w:cs="Calibri"/>
          <w:sz w:val="22"/>
          <w:szCs w:val="22"/>
        </w:rPr>
        <w:t xml:space="preserve">Massachusetts Youth Care: Closer to Home (MY Care), </w:t>
      </w:r>
      <w:r w:rsidR="00B52638" w:rsidRPr="00B52638">
        <w:rPr>
          <w:rFonts w:cs="Calibri"/>
          <w:sz w:val="22"/>
          <w:szCs w:val="22"/>
        </w:rPr>
        <w:t>f</w:t>
      </w:r>
      <w:r w:rsidR="00181101" w:rsidRPr="00B52638">
        <w:rPr>
          <w:rFonts w:cs="Calibri"/>
          <w:sz w:val="22"/>
          <w:szCs w:val="22"/>
        </w:rPr>
        <w:t xml:space="preserve">ormerly known as </w:t>
      </w:r>
      <w:r w:rsidR="00A93746" w:rsidRPr="00B52638">
        <w:rPr>
          <w:rFonts w:cs="Calibri"/>
          <w:sz w:val="22"/>
          <w:szCs w:val="22"/>
        </w:rPr>
        <w:t>the RISE initiative, a</w:t>
      </w:r>
      <w:r w:rsidR="00A93746" w:rsidRPr="00210844">
        <w:rPr>
          <w:rFonts w:cs="Calibri"/>
          <w:sz w:val="22"/>
          <w:szCs w:val="22"/>
        </w:rPr>
        <w:t xml:space="preserve">nd </w:t>
      </w:r>
      <w:r w:rsidR="00A93746">
        <w:rPr>
          <w:rFonts w:cs="Calibri"/>
          <w:sz w:val="22"/>
          <w:szCs w:val="22"/>
        </w:rPr>
        <w:t xml:space="preserve">the </w:t>
      </w:r>
      <w:r w:rsidR="00A93746" w:rsidRPr="00210844">
        <w:rPr>
          <w:rFonts w:cs="Calibri"/>
          <w:sz w:val="22"/>
          <w:szCs w:val="22"/>
        </w:rPr>
        <w:t>I</w:t>
      </w:r>
      <w:r w:rsidR="00A93746">
        <w:rPr>
          <w:rFonts w:cs="Calibri"/>
          <w:sz w:val="22"/>
          <w:szCs w:val="22"/>
        </w:rPr>
        <w:t xml:space="preserve">nteragency </w:t>
      </w:r>
      <w:r w:rsidR="00A93746" w:rsidRPr="00210844">
        <w:rPr>
          <w:rFonts w:cs="Calibri"/>
          <w:sz w:val="22"/>
          <w:szCs w:val="22"/>
        </w:rPr>
        <w:t>R</w:t>
      </w:r>
      <w:r w:rsidR="00A93746">
        <w:rPr>
          <w:rFonts w:cs="Calibri"/>
          <w:sz w:val="22"/>
          <w:szCs w:val="22"/>
        </w:rPr>
        <w:t xml:space="preserve">esponse </w:t>
      </w:r>
      <w:r w:rsidR="00A93746" w:rsidRPr="00210844">
        <w:rPr>
          <w:rFonts w:cs="Calibri"/>
          <w:sz w:val="22"/>
          <w:szCs w:val="22"/>
        </w:rPr>
        <w:t>T</w:t>
      </w:r>
      <w:r w:rsidR="00A93746">
        <w:rPr>
          <w:rFonts w:cs="Calibri"/>
          <w:sz w:val="22"/>
          <w:szCs w:val="22"/>
        </w:rPr>
        <w:t>eam</w:t>
      </w:r>
      <w:r w:rsidR="00A93746" w:rsidRPr="00210844">
        <w:rPr>
          <w:rFonts w:cs="Calibri"/>
          <w:sz w:val="22"/>
          <w:szCs w:val="22"/>
        </w:rPr>
        <w:t xml:space="preserve"> </w:t>
      </w:r>
      <w:r w:rsidR="00A93746">
        <w:rPr>
          <w:rFonts w:cs="Calibri"/>
          <w:sz w:val="22"/>
          <w:szCs w:val="22"/>
        </w:rPr>
        <w:t xml:space="preserve">(IRT) </w:t>
      </w:r>
      <w:r w:rsidR="00A93746" w:rsidRPr="00210844">
        <w:rPr>
          <w:rFonts w:cs="Calibri"/>
          <w:sz w:val="22"/>
          <w:szCs w:val="22"/>
        </w:rPr>
        <w:t>should</w:t>
      </w:r>
      <w:r w:rsidR="00A93746">
        <w:rPr>
          <w:rFonts w:cs="Calibri"/>
          <w:sz w:val="22"/>
          <w:szCs w:val="22"/>
        </w:rPr>
        <w:t>,</w:t>
      </w:r>
      <w:r w:rsidR="00A93746" w:rsidRPr="00210844">
        <w:rPr>
          <w:rFonts w:cs="Calibri"/>
          <w:sz w:val="22"/>
          <w:szCs w:val="22"/>
        </w:rPr>
        <w:t xml:space="preserve"> therefore</w:t>
      </w:r>
      <w:r w:rsidR="00A93746">
        <w:rPr>
          <w:rFonts w:cs="Calibri"/>
          <w:sz w:val="22"/>
          <w:szCs w:val="22"/>
        </w:rPr>
        <w:t>,</w:t>
      </w:r>
      <w:r w:rsidR="00A93746" w:rsidRPr="00210844">
        <w:rPr>
          <w:rFonts w:cs="Calibri"/>
          <w:sz w:val="22"/>
          <w:szCs w:val="22"/>
        </w:rPr>
        <w:t xml:space="preserve"> be described as parts of a connected continuum.</w:t>
      </w:r>
    </w:p>
    <w:p w14:paraId="0D6DFBC0" w14:textId="61BDBF38" w:rsidR="00B51B7F" w:rsidRDefault="00484D0B" w:rsidP="003D0D49">
      <w:pPr>
        <w:rPr>
          <w:rFonts w:cs="Calibri"/>
          <w:sz w:val="22"/>
          <w:szCs w:val="22"/>
        </w:rPr>
      </w:pPr>
      <w:r>
        <w:rPr>
          <w:rFonts w:cs="Calibri"/>
          <w:sz w:val="22"/>
          <w:szCs w:val="22"/>
        </w:rPr>
        <w:t xml:space="preserve">To improve the </w:t>
      </w:r>
      <w:r w:rsidR="003F03B1">
        <w:rPr>
          <w:rFonts w:cs="Calibri"/>
          <w:sz w:val="22"/>
          <w:szCs w:val="22"/>
        </w:rPr>
        <w:t xml:space="preserve">experience for families and </w:t>
      </w:r>
      <w:r w:rsidR="00460556">
        <w:rPr>
          <w:rFonts w:cs="Calibri"/>
          <w:sz w:val="22"/>
          <w:szCs w:val="22"/>
        </w:rPr>
        <w:t xml:space="preserve">maximize finite resources, </w:t>
      </w:r>
      <w:r w:rsidR="003F03B1">
        <w:rPr>
          <w:rFonts w:cs="Calibri"/>
          <w:sz w:val="22"/>
          <w:szCs w:val="22"/>
        </w:rPr>
        <w:t>t</w:t>
      </w:r>
      <w:r w:rsidR="00F805B5">
        <w:rPr>
          <w:rFonts w:cs="Calibri"/>
          <w:sz w:val="22"/>
          <w:szCs w:val="22"/>
        </w:rPr>
        <w:t>he Commonwealth should</w:t>
      </w:r>
      <w:r w:rsidR="00510C7D">
        <w:rPr>
          <w:rFonts w:cs="Calibri"/>
          <w:sz w:val="22"/>
          <w:szCs w:val="22"/>
        </w:rPr>
        <w:t xml:space="preserve"> improve</w:t>
      </w:r>
      <w:r w:rsidR="00F805B5">
        <w:rPr>
          <w:rFonts w:cs="Calibri"/>
          <w:sz w:val="22"/>
          <w:szCs w:val="22"/>
        </w:rPr>
        <w:t xml:space="preserve"> </w:t>
      </w:r>
      <w:r w:rsidR="00F150DB">
        <w:rPr>
          <w:rFonts w:cs="Calibri"/>
          <w:sz w:val="22"/>
          <w:szCs w:val="22"/>
        </w:rPr>
        <w:t>c</w:t>
      </w:r>
      <w:r w:rsidR="00F150DB" w:rsidRPr="00F150DB">
        <w:rPr>
          <w:rFonts w:cs="Calibri"/>
          <w:sz w:val="22"/>
          <w:szCs w:val="22"/>
        </w:rPr>
        <w:t>oordinat</w:t>
      </w:r>
      <w:r w:rsidR="00510C7D">
        <w:rPr>
          <w:rFonts w:cs="Calibri"/>
          <w:sz w:val="22"/>
          <w:szCs w:val="22"/>
        </w:rPr>
        <w:t>ion</w:t>
      </w:r>
      <w:r w:rsidR="00F150DB" w:rsidRPr="00F150DB">
        <w:rPr>
          <w:rFonts w:cs="Calibri"/>
          <w:sz w:val="22"/>
          <w:szCs w:val="22"/>
        </w:rPr>
        <w:t xml:space="preserve"> across state agencies</w:t>
      </w:r>
      <w:r w:rsidR="00460556">
        <w:rPr>
          <w:rFonts w:cs="Calibri"/>
          <w:sz w:val="22"/>
          <w:szCs w:val="22"/>
        </w:rPr>
        <w:t xml:space="preserve"> </w:t>
      </w:r>
      <w:r w:rsidR="00F150DB" w:rsidRPr="00F150DB">
        <w:rPr>
          <w:rFonts w:cs="Calibri"/>
          <w:sz w:val="22"/>
          <w:szCs w:val="22"/>
        </w:rPr>
        <w:t>(including DMH, DDS, DCF, DYS,</w:t>
      </w:r>
      <w:r w:rsidR="00F150DB">
        <w:rPr>
          <w:rFonts w:cs="Calibri"/>
          <w:sz w:val="22"/>
          <w:szCs w:val="22"/>
        </w:rPr>
        <w:t xml:space="preserve"> </w:t>
      </w:r>
      <w:r w:rsidR="00F150DB" w:rsidRPr="00F150DB">
        <w:rPr>
          <w:rFonts w:cs="Calibri"/>
          <w:sz w:val="22"/>
          <w:szCs w:val="22"/>
        </w:rPr>
        <w:t>DPH, DOI, MassHealth, EEC,</w:t>
      </w:r>
      <w:r w:rsidR="00F150DB">
        <w:rPr>
          <w:rFonts w:cs="Calibri"/>
          <w:sz w:val="22"/>
          <w:szCs w:val="22"/>
        </w:rPr>
        <w:t xml:space="preserve"> </w:t>
      </w:r>
      <w:r w:rsidR="00F150DB" w:rsidRPr="00F150DB">
        <w:rPr>
          <w:rFonts w:cs="Calibri"/>
          <w:sz w:val="22"/>
          <w:szCs w:val="22"/>
        </w:rPr>
        <w:t>and DESE) to:</w:t>
      </w:r>
      <w:r w:rsidR="00F150DB">
        <w:rPr>
          <w:rFonts w:cs="Calibri"/>
          <w:sz w:val="22"/>
          <w:szCs w:val="22"/>
        </w:rPr>
        <w:t xml:space="preserve"> </w:t>
      </w:r>
      <w:r w:rsidR="00F150DB" w:rsidRPr="00F150DB">
        <w:rPr>
          <w:rFonts w:cs="Calibri"/>
          <w:sz w:val="22"/>
          <w:szCs w:val="22"/>
        </w:rPr>
        <w:t>streamline referral</w:t>
      </w:r>
      <w:r w:rsidR="00987186">
        <w:rPr>
          <w:rFonts w:cs="Calibri"/>
          <w:sz w:val="22"/>
          <w:szCs w:val="22"/>
        </w:rPr>
        <w:t xml:space="preserve">, </w:t>
      </w:r>
      <w:r w:rsidR="00F150DB" w:rsidRPr="00F150DB">
        <w:rPr>
          <w:rFonts w:cs="Calibri"/>
          <w:sz w:val="22"/>
          <w:szCs w:val="22"/>
        </w:rPr>
        <w:t>intake</w:t>
      </w:r>
      <w:r w:rsidR="00987186">
        <w:rPr>
          <w:rFonts w:cs="Calibri"/>
          <w:sz w:val="22"/>
          <w:szCs w:val="22"/>
        </w:rPr>
        <w:t xml:space="preserve">, </w:t>
      </w:r>
      <w:r w:rsidR="00F150DB" w:rsidRPr="00F150DB">
        <w:rPr>
          <w:rFonts w:cs="Calibri"/>
          <w:sz w:val="22"/>
          <w:szCs w:val="22"/>
        </w:rPr>
        <w:t>entry</w:t>
      </w:r>
      <w:r w:rsidR="00987186">
        <w:rPr>
          <w:rFonts w:cs="Calibri"/>
          <w:sz w:val="22"/>
          <w:szCs w:val="22"/>
        </w:rPr>
        <w:t xml:space="preserve">, and </w:t>
      </w:r>
      <w:r w:rsidR="00F150DB" w:rsidRPr="00F150DB">
        <w:rPr>
          <w:rFonts w:cs="Calibri"/>
          <w:sz w:val="22"/>
          <w:szCs w:val="22"/>
        </w:rPr>
        <w:t>transition processes</w:t>
      </w:r>
      <w:r w:rsidR="009D79B4">
        <w:rPr>
          <w:rFonts w:cs="Calibri"/>
          <w:sz w:val="22"/>
          <w:szCs w:val="22"/>
        </w:rPr>
        <w:t xml:space="preserve"> and</w:t>
      </w:r>
      <w:r w:rsidR="00987186">
        <w:rPr>
          <w:rFonts w:cs="Calibri"/>
          <w:sz w:val="22"/>
          <w:szCs w:val="22"/>
        </w:rPr>
        <w:t xml:space="preserve"> </w:t>
      </w:r>
      <w:r w:rsidR="00F150DB" w:rsidRPr="00F150DB">
        <w:rPr>
          <w:rFonts w:cs="Calibri"/>
          <w:sz w:val="22"/>
          <w:szCs w:val="22"/>
        </w:rPr>
        <w:t>optimize available support/service</w:t>
      </w:r>
      <w:r w:rsidR="00502E02">
        <w:rPr>
          <w:rFonts w:cs="Calibri"/>
          <w:sz w:val="22"/>
          <w:szCs w:val="22"/>
        </w:rPr>
        <w:t xml:space="preserve"> </w:t>
      </w:r>
      <w:r w:rsidR="00F150DB" w:rsidRPr="00F150DB">
        <w:rPr>
          <w:rFonts w:cs="Calibri"/>
          <w:sz w:val="22"/>
          <w:szCs w:val="22"/>
        </w:rPr>
        <w:t>resources, including bedded and residential programming and</w:t>
      </w:r>
      <w:r w:rsidR="00CD79B6">
        <w:rPr>
          <w:rFonts w:cs="Calibri"/>
          <w:sz w:val="22"/>
          <w:szCs w:val="22"/>
        </w:rPr>
        <w:t xml:space="preserve"> </w:t>
      </w:r>
      <w:r w:rsidR="00F150DB" w:rsidRPr="00F150DB">
        <w:rPr>
          <w:rFonts w:cs="Calibri"/>
          <w:sz w:val="22"/>
          <w:szCs w:val="22"/>
        </w:rPr>
        <w:t>diversionary services</w:t>
      </w:r>
      <w:r w:rsidR="009D79B4">
        <w:rPr>
          <w:rFonts w:cs="Calibri"/>
          <w:sz w:val="22"/>
          <w:szCs w:val="22"/>
        </w:rPr>
        <w:t>.</w:t>
      </w:r>
      <w:r w:rsidR="00652F1A">
        <w:rPr>
          <w:rStyle w:val="FootnoteReference"/>
          <w:rFonts w:cs="Calibri"/>
          <w:sz w:val="22"/>
          <w:szCs w:val="22"/>
        </w:rPr>
        <w:footnoteReference w:id="2"/>
      </w:r>
      <w:r w:rsidR="009D79B4">
        <w:rPr>
          <w:rFonts w:cs="Calibri"/>
          <w:sz w:val="22"/>
          <w:szCs w:val="22"/>
        </w:rPr>
        <w:t xml:space="preserve"> Additionally, </w:t>
      </w:r>
      <w:r w:rsidR="00AF6705">
        <w:rPr>
          <w:rFonts w:cs="Calibri"/>
          <w:sz w:val="22"/>
          <w:szCs w:val="22"/>
        </w:rPr>
        <w:t>efforts should be made to minimize c</w:t>
      </w:r>
      <w:r w:rsidR="00AF6705" w:rsidRPr="008D5D82">
        <w:rPr>
          <w:rFonts w:cs="Calibri"/>
          <w:sz w:val="22"/>
          <w:szCs w:val="22"/>
        </w:rPr>
        <w:t>ross-agency regulatory and contracting barriers</w:t>
      </w:r>
      <w:r w:rsidR="00AF6705">
        <w:rPr>
          <w:rFonts w:cs="Calibri"/>
          <w:sz w:val="22"/>
          <w:szCs w:val="22"/>
        </w:rPr>
        <w:t xml:space="preserve">, which can </w:t>
      </w:r>
      <w:r w:rsidR="00AF6705" w:rsidRPr="00CC005A">
        <w:rPr>
          <w:rFonts w:cs="Calibri"/>
          <w:sz w:val="22"/>
          <w:szCs w:val="22"/>
        </w:rPr>
        <w:t>prevent children from being served in some settings</w:t>
      </w:r>
      <w:r w:rsidR="00AF6705">
        <w:rPr>
          <w:rFonts w:cs="Calibri"/>
          <w:sz w:val="22"/>
          <w:szCs w:val="22"/>
        </w:rPr>
        <w:t xml:space="preserve">. Finally, </w:t>
      </w:r>
      <w:r w:rsidR="009B5658">
        <w:rPr>
          <w:rFonts w:cs="Calibri"/>
          <w:sz w:val="22"/>
          <w:szCs w:val="22"/>
        </w:rPr>
        <w:t xml:space="preserve">state agencies in </w:t>
      </w:r>
      <w:r w:rsidR="009D79B4">
        <w:rPr>
          <w:rFonts w:cs="Calibri"/>
          <w:sz w:val="22"/>
          <w:szCs w:val="22"/>
        </w:rPr>
        <w:t xml:space="preserve">the Commonwealth should </w:t>
      </w:r>
      <w:r w:rsidR="009B5658">
        <w:rPr>
          <w:rFonts w:cs="Calibri"/>
          <w:sz w:val="22"/>
          <w:szCs w:val="22"/>
        </w:rPr>
        <w:t xml:space="preserve">work together to </w:t>
      </w:r>
      <w:r w:rsidR="009D79B4">
        <w:rPr>
          <w:rFonts w:cs="Calibri"/>
          <w:sz w:val="22"/>
          <w:szCs w:val="22"/>
        </w:rPr>
        <w:t>e</w:t>
      </w:r>
      <w:r w:rsidR="00F150DB" w:rsidRPr="00F150DB">
        <w:rPr>
          <w:rFonts w:cs="Calibri"/>
          <w:sz w:val="22"/>
          <w:szCs w:val="22"/>
        </w:rPr>
        <w:t>nsure a full continuum of supports for</w:t>
      </w:r>
      <w:r w:rsidR="009D79B4">
        <w:rPr>
          <w:rFonts w:cs="Calibri"/>
          <w:sz w:val="22"/>
          <w:szCs w:val="22"/>
        </w:rPr>
        <w:t xml:space="preserve"> </w:t>
      </w:r>
      <w:r w:rsidR="00F150DB" w:rsidRPr="00F150DB">
        <w:rPr>
          <w:rFonts w:cs="Calibri"/>
          <w:sz w:val="22"/>
          <w:szCs w:val="22"/>
        </w:rPr>
        <w:t>all youth, regardless of specific diagnosis/issue, including for children</w:t>
      </w:r>
      <w:r w:rsidR="009D79B4">
        <w:rPr>
          <w:rFonts w:cs="Calibri"/>
          <w:sz w:val="22"/>
          <w:szCs w:val="22"/>
        </w:rPr>
        <w:t xml:space="preserve"> </w:t>
      </w:r>
      <w:r w:rsidR="00F150DB" w:rsidRPr="00F150DB">
        <w:rPr>
          <w:rFonts w:cs="Calibri"/>
          <w:sz w:val="22"/>
          <w:szCs w:val="22"/>
        </w:rPr>
        <w:t>with developmental, medical,</w:t>
      </w:r>
      <w:r w:rsidR="001B7600">
        <w:rPr>
          <w:rFonts w:cs="Calibri"/>
          <w:sz w:val="22"/>
          <w:szCs w:val="22"/>
        </w:rPr>
        <w:t xml:space="preserve"> and</w:t>
      </w:r>
      <w:r w:rsidR="009D79B4">
        <w:rPr>
          <w:rFonts w:cs="Calibri"/>
          <w:sz w:val="22"/>
          <w:szCs w:val="22"/>
        </w:rPr>
        <w:t xml:space="preserve"> </w:t>
      </w:r>
      <w:r w:rsidR="00F150DB" w:rsidRPr="00F150DB">
        <w:rPr>
          <w:rFonts w:cs="Calibri"/>
          <w:sz w:val="22"/>
          <w:szCs w:val="22"/>
        </w:rPr>
        <w:t>behavioral complexity</w:t>
      </w:r>
      <w:r w:rsidR="009B5658">
        <w:rPr>
          <w:rFonts w:cs="Calibri"/>
          <w:sz w:val="22"/>
          <w:szCs w:val="22"/>
        </w:rPr>
        <w:t>.</w:t>
      </w:r>
      <w:r w:rsidR="008D5D82">
        <w:rPr>
          <w:rFonts w:cs="Calibri"/>
          <w:sz w:val="22"/>
          <w:szCs w:val="22"/>
        </w:rPr>
        <w:t xml:space="preserve"> </w:t>
      </w:r>
    </w:p>
    <w:p w14:paraId="1C06D2FC" w14:textId="77777777" w:rsidR="00B51B7F" w:rsidRDefault="00B51B7F" w:rsidP="003D0D49">
      <w:pPr>
        <w:rPr>
          <w:rFonts w:cs="Calibri"/>
          <w:sz w:val="22"/>
          <w:szCs w:val="22"/>
        </w:rPr>
      </w:pPr>
    </w:p>
    <w:p w14:paraId="2EEF8FD3" w14:textId="75D34700" w:rsidR="009B5658" w:rsidRPr="00210844" w:rsidRDefault="009B5658" w:rsidP="009B5658">
      <w:pPr>
        <w:rPr>
          <w:rFonts w:cs="Calibri"/>
          <w:b/>
          <w:bCs/>
          <w:sz w:val="22"/>
          <w:szCs w:val="22"/>
        </w:rPr>
      </w:pPr>
      <w:r w:rsidRPr="00AA48F2">
        <w:rPr>
          <w:rFonts w:cs="Calibri"/>
          <w:b/>
          <w:bCs/>
          <w:sz w:val="22"/>
          <w:szCs w:val="22"/>
          <w:u w:val="single"/>
          <w:shd w:val="clear" w:color="auto" w:fill="CAEDFB" w:themeFill="accent4" w:themeFillTint="33"/>
        </w:rPr>
        <w:t xml:space="preserve">Recommendation </w:t>
      </w:r>
      <w:r>
        <w:rPr>
          <w:rFonts w:cs="Calibri"/>
          <w:b/>
          <w:bCs/>
          <w:sz w:val="22"/>
          <w:szCs w:val="22"/>
          <w:u w:val="single"/>
          <w:shd w:val="clear" w:color="auto" w:fill="CAEDFB" w:themeFill="accent4" w:themeFillTint="33"/>
        </w:rPr>
        <w:t>6</w:t>
      </w:r>
      <w:r w:rsidRPr="00AA48F2">
        <w:rPr>
          <w:rFonts w:cs="Calibri"/>
          <w:b/>
          <w:bCs/>
          <w:sz w:val="22"/>
          <w:szCs w:val="22"/>
          <w:u w:val="single"/>
          <w:shd w:val="clear" w:color="auto" w:fill="CAEDFB" w:themeFill="accent4" w:themeFillTint="33"/>
        </w:rPr>
        <w:t>:</w:t>
      </w:r>
      <w:r w:rsidRPr="00AA48F2">
        <w:rPr>
          <w:rFonts w:cs="Calibri"/>
          <w:b/>
          <w:bCs/>
          <w:sz w:val="22"/>
          <w:szCs w:val="22"/>
          <w:shd w:val="clear" w:color="auto" w:fill="CAEDFB" w:themeFill="accent4" w:themeFillTint="33"/>
        </w:rPr>
        <w:t xml:space="preserve"> </w:t>
      </w:r>
      <w:r w:rsidR="00A4558D">
        <w:rPr>
          <w:rFonts w:cs="Calibri"/>
          <w:b/>
          <w:bCs/>
          <w:sz w:val="22"/>
          <w:szCs w:val="22"/>
          <w:shd w:val="clear" w:color="auto" w:fill="CAEDFB" w:themeFill="accent4" w:themeFillTint="33"/>
        </w:rPr>
        <w:t>Optimize the way families and youth access care and navigate the care journey</w:t>
      </w:r>
    </w:p>
    <w:p w14:paraId="376D70D0" w14:textId="1B8D0104" w:rsidR="009B5658" w:rsidRDefault="00EB4BCC" w:rsidP="009B5658">
      <w:pPr>
        <w:rPr>
          <w:rFonts w:cs="Calibri"/>
          <w:sz w:val="22"/>
          <w:szCs w:val="22"/>
        </w:rPr>
      </w:pPr>
      <w:r>
        <w:rPr>
          <w:rFonts w:cs="Calibri"/>
          <w:sz w:val="22"/>
          <w:szCs w:val="22"/>
        </w:rPr>
        <w:t xml:space="preserve">Families seeking behavioral health care for their children routinely </w:t>
      </w:r>
      <w:r w:rsidR="00FF795F">
        <w:rPr>
          <w:rFonts w:cs="Calibri"/>
          <w:sz w:val="22"/>
          <w:szCs w:val="22"/>
        </w:rPr>
        <w:t xml:space="preserve">experience </w:t>
      </w:r>
      <w:r w:rsidR="000F6FBB">
        <w:rPr>
          <w:rFonts w:cs="Calibri"/>
          <w:sz w:val="22"/>
          <w:szCs w:val="22"/>
        </w:rPr>
        <w:t xml:space="preserve">difficulty </w:t>
      </w:r>
      <w:r w:rsidR="00FF795F">
        <w:rPr>
          <w:rFonts w:cs="Calibri"/>
          <w:sz w:val="22"/>
          <w:szCs w:val="22"/>
        </w:rPr>
        <w:t xml:space="preserve">in </w:t>
      </w:r>
      <w:r w:rsidR="00C355DA">
        <w:rPr>
          <w:rFonts w:cs="Calibri"/>
          <w:sz w:val="22"/>
          <w:szCs w:val="22"/>
        </w:rPr>
        <w:t xml:space="preserve">identifying </w:t>
      </w:r>
      <w:r w:rsidR="000F6FBB">
        <w:rPr>
          <w:rFonts w:cs="Calibri"/>
          <w:sz w:val="22"/>
          <w:szCs w:val="22"/>
        </w:rPr>
        <w:t>the appropriate entry point</w:t>
      </w:r>
      <w:r w:rsidR="000A15FF">
        <w:rPr>
          <w:rFonts w:cs="Calibri"/>
          <w:sz w:val="22"/>
          <w:szCs w:val="22"/>
        </w:rPr>
        <w:t xml:space="preserve"> through which to access </w:t>
      </w:r>
      <w:r w:rsidR="009D697D">
        <w:rPr>
          <w:rFonts w:cs="Calibri"/>
          <w:sz w:val="22"/>
          <w:szCs w:val="22"/>
        </w:rPr>
        <w:t xml:space="preserve">care that </w:t>
      </w:r>
      <w:r w:rsidR="00A80EB1">
        <w:rPr>
          <w:rFonts w:cs="Calibri"/>
          <w:sz w:val="22"/>
          <w:szCs w:val="22"/>
        </w:rPr>
        <w:t>addresses their clinical</w:t>
      </w:r>
      <w:r w:rsidR="00E12D65">
        <w:rPr>
          <w:rFonts w:cs="Calibri"/>
          <w:sz w:val="22"/>
          <w:szCs w:val="22"/>
        </w:rPr>
        <w:t xml:space="preserve"> needs</w:t>
      </w:r>
      <w:r w:rsidR="00E62A7C">
        <w:rPr>
          <w:rFonts w:cs="Calibri"/>
          <w:sz w:val="22"/>
          <w:szCs w:val="22"/>
        </w:rPr>
        <w:t>, is accepted by their insurance, and</w:t>
      </w:r>
      <w:r w:rsidR="00A80EB1">
        <w:rPr>
          <w:rFonts w:cs="Calibri"/>
          <w:sz w:val="22"/>
          <w:szCs w:val="22"/>
        </w:rPr>
        <w:t xml:space="preserve"> </w:t>
      </w:r>
      <w:r w:rsidR="003B1A5F">
        <w:rPr>
          <w:rFonts w:cs="Calibri"/>
          <w:sz w:val="22"/>
          <w:szCs w:val="22"/>
        </w:rPr>
        <w:t>is concordant with</w:t>
      </w:r>
      <w:r w:rsidR="005E2218">
        <w:rPr>
          <w:rFonts w:cs="Calibri"/>
          <w:sz w:val="22"/>
          <w:szCs w:val="22"/>
        </w:rPr>
        <w:t xml:space="preserve"> their</w:t>
      </w:r>
      <w:r w:rsidR="003B1A5F">
        <w:rPr>
          <w:rFonts w:cs="Calibri"/>
          <w:sz w:val="22"/>
          <w:szCs w:val="22"/>
        </w:rPr>
        <w:t xml:space="preserve"> linguistic and cultural </w:t>
      </w:r>
      <w:r w:rsidR="002D2947">
        <w:rPr>
          <w:rFonts w:cs="Calibri"/>
          <w:sz w:val="22"/>
          <w:szCs w:val="22"/>
        </w:rPr>
        <w:t xml:space="preserve">preferences. </w:t>
      </w:r>
      <w:r w:rsidR="008760CB">
        <w:rPr>
          <w:rFonts w:cs="Calibri"/>
          <w:sz w:val="22"/>
          <w:szCs w:val="22"/>
        </w:rPr>
        <w:t xml:space="preserve">This difficulty </w:t>
      </w:r>
      <w:r w:rsidR="00D51CF9">
        <w:rPr>
          <w:rFonts w:cs="Calibri"/>
          <w:sz w:val="22"/>
          <w:szCs w:val="22"/>
        </w:rPr>
        <w:t xml:space="preserve">in navigating the </w:t>
      </w:r>
      <w:r w:rsidR="00041399">
        <w:rPr>
          <w:rFonts w:cs="Calibri"/>
          <w:sz w:val="22"/>
          <w:szCs w:val="22"/>
        </w:rPr>
        <w:t xml:space="preserve">system </w:t>
      </w:r>
      <w:r w:rsidR="004E4B02">
        <w:rPr>
          <w:rFonts w:cs="Calibri"/>
          <w:sz w:val="22"/>
          <w:szCs w:val="22"/>
        </w:rPr>
        <w:t xml:space="preserve">often results in care delays </w:t>
      </w:r>
      <w:r w:rsidR="00535A86">
        <w:rPr>
          <w:rFonts w:cs="Calibri"/>
          <w:sz w:val="22"/>
          <w:szCs w:val="22"/>
        </w:rPr>
        <w:t>and further worsening of behavioral health symptoms</w:t>
      </w:r>
      <w:r w:rsidR="00F63057">
        <w:rPr>
          <w:rFonts w:cs="Calibri"/>
          <w:sz w:val="22"/>
          <w:szCs w:val="22"/>
        </w:rPr>
        <w:t>, sometimes reaching a crisis</w:t>
      </w:r>
      <w:r w:rsidR="0036569F">
        <w:rPr>
          <w:rFonts w:cs="Calibri"/>
          <w:sz w:val="22"/>
          <w:szCs w:val="22"/>
        </w:rPr>
        <w:t xml:space="preserve"> state.</w:t>
      </w:r>
    </w:p>
    <w:p w14:paraId="3A50116F" w14:textId="1414950A" w:rsidR="004B177A" w:rsidRDefault="005269D3" w:rsidP="0081585D">
      <w:pPr>
        <w:rPr>
          <w:rFonts w:cs="Calibri"/>
          <w:b/>
          <w:bCs/>
          <w:sz w:val="22"/>
          <w:szCs w:val="22"/>
        </w:rPr>
      </w:pPr>
      <w:r>
        <w:rPr>
          <w:rFonts w:cs="Calibri"/>
          <w:sz w:val="22"/>
          <w:szCs w:val="22"/>
        </w:rPr>
        <w:t>The Commonwealth should b</w:t>
      </w:r>
      <w:r w:rsidRPr="005269D3">
        <w:rPr>
          <w:rFonts w:cs="Calibri"/>
          <w:sz w:val="22"/>
          <w:szCs w:val="22"/>
        </w:rPr>
        <w:t>uild on current resources to optimize the way families</w:t>
      </w:r>
      <w:r>
        <w:rPr>
          <w:rFonts w:cs="Calibri"/>
          <w:sz w:val="22"/>
          <w:szCs w:val="22"/>
        </w:rPr>
        <w:t xml:space="preserve"> and </w:t>
      </w:r>
      <w:r w:rsidRPr="005269D3">
        <w:rPr>
          <w:rFonts w:cs="Calibri"/>
          <w:sz w:val="22"/>
          <w:szCs w:val="22"/>
        </w:rPr>
        <w:t>youth access care and navigate the care journey at all levels of the system,  including through</w:t>
      </w:r>
      <w:r>
        <w:rPr>
          <w:rFonts w:cs="Calibri"/>
          <w:sz w:val="22"/>
          <w:szCs w:val="22"/>
        </w:rPr>
        <w:t xml:space="preserve"> </w:t>
      </w:r>
      <w:r w:rsidRPr="005269D3">
        <w:rPr>
          <w:rFonts w:cs="Calibri"/>
          <w:sz w:val="22"/>
          <w:szCs w:val="22"/>
        </w:rPr>
        <w:t>optimization of “front-door” access</w:t>
      </w:r>
      <w:r w:rsidR="00D836B4">
        <w:rPr>
          <w:rFonts w:cs="Calibri"/>
          <w:sz w:val="22"/>
          <w:szCs w:val="22"/>
        </w:rPr>
        <w:t xml:space="preserve"> points</w:t>
      </w:r>
      <w:r w:rsidR="00094276">
        <w:rPr>
          <w:rFonts w:cs="Calibri"/>
          <w:sz w:val="22"/>
          <w:szCs w:val="22"/>
        </w:rPr>
        <w:t xml:space="preserve"> </w:t>
      </w:r>
      <w:r w:rsidRPr="005269D3">
        <w:rPr>
          <w:rFonts w:cs="Calibri"/>
          <w:sz w:val="22"/>
          <w:szCs w:val="22"/>
        </w:rPr>
        <w:t>(e.g. B</w:t>
      </w:r>
      <w:r w:rsidR="00882892">
        <w:rPr>
          <w:rFonts w:cs="Calibri"/>
          <w:sz w:val="22"/>
          <w:szCs w:val="22"/>
        </w:rPr>
        <w:t xml:space="preserve">ehavioral </w:t>
      </w:r>
      <w:r w:rsidRPr="005269D3">
        <w:rPr>
          <w:rFonts w:cs="Calibri"/>
          <w:sz w:val="22"/>
          <w:szCs w:val="22"/>
        </w:rPr>
        <w:t>H</w:t>
      </w:r>
      <w:r w:rsidR="00882892">
        <w:rPr>
          <w:rFonts w:cs="Calibri"/>
          <w:sz w:val="22"/>
          <w:szCs w:val="22"/>
        </w:rPr>
        <w:t>ealth</w:t>
      </w:r>
      <w:r w:rsidRPr="005269D3">
        <w:rPr>
          <w:rFonts w:cs="Calibri"/>
          <w:sz w:val="22"/>
          <w:szCs w:val="22"/>
        </w:rPr>
        <w:t xml:space="preserve"> Help Line, state agency review teams)</w:t>
      </w:r>
      <w:r w:rsidR="00324273">
        <w:rPr>
          <w:rFonts w:cs="Calibri"/>
          <w:sz w:val="22"/>
          <w:szCs w:val="22"/>
        </w:rPr>
        <w:t xml:space="preserve">, </w:t>
      </w:r>
      <w:r w:rsidR="00E12193">
        <w:rPr>
          <w:rFonts w:cs="Calibri"/>
          <w:sz w:val="22"/>
          <w:szCs w:val="22"/>
        </w:rPr>
        <w:t>as well as</w:t>
      </w:r>
      <w:r w:rsidR="00324273">
        <w:rPr>
          <w:rFonts w:cs="Calibri"/>
          <w:sz w:val="22"/>
          <w:szCs w:val="22"/>
        </w:rPr>
        <w:t xml:space="preserve"> </w:t>
      </w:r>
      <w:r w:rsidRPr="005269D3">
        <w:rPr>
          <w:rFonts w:cs="Calibri"/>
          <w:sz w:val="22"/>
          <w:szCs w:val="22"/>
        </w:rPr>
        <w:t>family education</w:t>
      </w:r>
      <w:r w:rsidR="00324273">
        <w:rPr>
          <w:rFonts w:cs="Calibri"/>
          <w:sz w:val="22"/>
          <w:szCs w:val="22"/>
        </w:rPr>
        <w:t xml:space="preserve"> and </w:t>
      </w:r>
      <w:r w:rsidRPr="005269D3">
        <w:rPr>
          <w:rFonts w:cs="Calibri"/>
          <w:sz w:val="22"/>
          <w:szCs w:val="22"/>
        </w:rPr>
        <w:t>information  sharing (e.g., agency roles, services, eligibility, insurance)</w:t>
      </w:r>
      <w:r w:rsidR="00324273">
        <w:rPr>
          <w:rFonts w:cs="Calibri"/>
          <w:sz w:val="22"/>
          <w:szCs w:val="22"/>
        </w:rPr>
        <w:t>.</w:t>
      </w:r>
    </w:p>
    <w:p w14:paraId="5CE13CD0" w14:textId="00253769" w:rsidR="008845D6" w:rsidRDefault="008845D6">
      <w:pPr>
        <w:rPr>
          <w:rFonts w:cs="Calibri"/>
          <w:b/>
          <w:bCs/>
          <w:sz w:val="22"/>
          <w:szCs w:val="22"/>
          <w:highlight w:val="lightGray"/>
        </w:rPr>
      </w:pPr>
    </w:p>
    <w:p w14:paraId="6B7F706F" w14:textId="6BC48613" w:rsidR="00455C6A" w:rsidRPr="00A3796D" w:rsidRDefault="00455C6A" w:rsidP="00A3796D">
      <w:pPr>
        <w:rPr>
          <w:rFonts w:cs="Calibri"/>
          <w:b/>
          <w:bCs/>
          <w:sz w:val="22"/>
          <w:szCs w:val="22"/>
          <w:u w:val="single"/>
        </w:rPr>
      </w:pPr>
      <w:r w:rsidRPr="00A3796D">
        <w:rPr>
          <w:rFonts w:cs="Calibri"/>
          <w:b/>
          <w:bCs/>
          <w:sz w:val="22"/>
          <w:szCs w:val="22"/>
          <w:u w:val="single"/>
        </w:rPr>
        <w:t>Implementation Timeline</w:t>
      </w:r>
    </w:p>
    <w:p w14:paraId="130939E1" w14:textId="4A7C114D" w:rsidR="00455C6A" w:rsidRPr="00A3796D" w:rsidRDefault="001A1ED4" w:rsidP="00455C6A">
      <w:pPr>
        <w:rPr>
          <w:rFonts w:cs="Calibri"/>
          <w:b/>
          <w:bCs/>
          <w:sz w:val="22"/>
          <w:szCs w:val="22"/>
          <w:u w:val="single"/>
        </w:rPr>
      </w:pPr>
      <w:r w:rsidRPr="00A3796D">
        <w:rPr>
          <w:rFonts w:cs="Calibri"/>
          <w:b/>
          <w:bCs/>
          <w:sz w:val="22"/>
          <w:szCs w:val="22"/>
          <w:u w:val="single"/>
        </w:rPr>
        <w:t>Year 1:</w:t>
      </w:r>
    </w:p>
    <w:p w14:paraId="12F437D2" w14:textId="77777777" w:rsidR="009F2A02" w:rsidRPr="009F2A02" w:rsidRDefault="009F2A02" w:rsidP="00BE4783">
      <w:pPr>
        <w:pStyle w:val="ListParagraph"/>
        <w:numPr>
          <w:ilvl w:val="0"/>
          <w:numId w:val="4"/>
        </w:numPr>
        <w:rPr>
          <w:rFonts w:cs="Calibri"/>
          <w:sz w:val="22"/>
          <w:szCs w:val="22"/>
        </w:rPr>
      </w:pPr>
      <w:r w:rsidRPr="009F2A02">
        <w:rPr>
          <w:rFonts w:cs="Calibri"/>
          <w:sz w:val="22"/>
          <w:szCs w:val="22"/>
        </w:rPr>
        <w:t>Confirm Commission recommendations and assign lead agencies.</w:t>
      </w:r>
    </w:p>
    <w:p w14:paraId="26C6FEDF" w14:textId="2E674249" w:rsidR="009F2A02" w:rsidRPr="00825308" w:rsidRDefault="00235D2B" w:rsidP="00BE4783">
      <w:pPr>
        <w:numPr>
          <w:ilvl w:val="0"/>
          <w:numId w:val="4"/>
        </w:numPr>
        <w:rPr>
          <w:rFonts w:cs="Calibri"/>
          <w:sz w:val="22"/>
          <w:szCs w:val="22"/>
        </w:rPr>
      </w:pPr>
      <w:r>
        <w:rPr>
          <w:rFonts w:cs="Calibri"/>
          <w:sz w:val="22"/>
          <w:szCs w:val="22"/>
        </w:rPr>
        <w:t>Re-e</w:t>
      </w:r>
      <w:r w:rsidR="00430987" w:rsidRPr="00825308">
        <w:rPr>
          <w:rFonts w:cs="Calibri"/>
          <w:sz w:val="22"/>
          <w:szCs w:val="22"/>
        </w:rPr>
        <w:t>ngage</w:t>
      </w:r>
      <w:r>
        <w:rPr>
          <w:rFonts w:cs="Calibri"/>
          <w:sz w:val="22"/>
          <w:szCs w:val="22"/>
        </w:rPr>
        <w:t xml:space="preserve"> members o</w:t>
      </w:r>
      <w:r w:rsidR="00430987" w:rsidRPr="00825308">
        <w:rPr>
          <w:rFonts w:cs="Calibri"/>
          <w:sz w:val="22"/>
          <w:szCs w:val="22"/>
        </w:rPr>
        <w:t xml:space="preserve">f </w:t>
      </w:r>
      <w:r>
        <w:rPr>
          <w:rFonts w:cs="Calibri"/>
          <w:sz w:val="22"/>
          <w:szCs w:val="22"/>
        </w:rPr>
        <w:t xml:space="preserve">the </w:t>
      </w:r>
      <w:r w:rsidR="00455C6A" w:rsidRPr="00825308">
        <w:rPr>
          <w:rFonts w:cs="Calibri"/>
          <w:sz w:val="22"/>
          <w:szCs w:val="22"/>
        </w:rPr>
        <w:t xml:space="preserve">Commission to </w:t>
      </w:r>
      <w:r w:rsidR="00430987" w:rsidRPr="00825308">
        <w:rPr>
          <w:rFonts w:cs="Calibri"/>
          <w:sz w:val="22"/>
          <w:szCs w:val="22"/>
        </w:rPr>
        <w:t xml:space="preserve">assist in </w:t>
      </w:r>
      <w:r w:rsidR="00455C6A" w:rsidRPr="00825308">
        <w:rPr>
          <w:rFonts w:cs="Calibri"/>
          <w:sz w:val="22"/>
          <w:szCs w:val="22"/>
        </w:rPr>
        <w:t>siz</w:t>
      </w:r>
      <w:r w:rsidR="00430987" w:rsidRPr="00825308">
        <w:rPr>
          <w:rFonts w:cs="Calibri"/>
          <w:sz w:val="22"/>
          <w:szCs w:val="22"/>
        </w:rPr>
        <w:t>ing</w:t>
      </w:r>
      <w:r w:rsidR="00455C6A" w:rsidRPr="00825308">
        <w:rPr>
          <w:rFonts w:cs="Calibri"/>
          <w:sz w:val="22"/>
          <w:szCs w:val="22"/>
        </w:rPr>
        <w:t>, scop</w:t>
      </w:r>
      <w:r w:rsidR="00430987" w:rsidRPr="00825308">
        <w:rPr>
          <w:rFonts w:cs="Calibri"/>
          <w:sz w:val="22"/>
          <w:szCs w:val="22"/>
        </w:rPr>
        <w:t>ing</w:t>
      </w:r>
      <w:r w:rsidR="00455C6A" w:rsidRPr="00825308">
        <w:rPr>
          <w:rFonts w:cs="Calibri"/>
          <w:sz w:val="22"/>
          <w:szCs w:val="22"/>
        </w:rPr>
        <w:t>, triag</w:t>
      </w:r>
      <w:r w:rsidR="00430987" w:rsidRPr="00825308">
        <w:rPr>
          <w:rFonts w:cs="Calibri"/>
          <w:sz w:val="22"/>
          <w:szCs w:val="22"/>
        </w:rPr>
        <w:t>ing</w:t>
      </w:r>
      <w:r w:rsidR="00455C6A" w:rsidRPr="00825308">
        <w:rPr>
          <w:rFonts w:cs="Calibri"/>
          <w:sz w:val="22"/>
          <w:szCs w:val="22"/>
        </w:rPr>
        <w:t>, and operationaliz</w:t>
      </w:r>
      <w:r w:rsidR="00430987" w:rsidRPr="00825308">
        <w:rPr>
          <w:rFonts w:cs="Calibri"/>
          <w:sz w:val="22"/>
          <w:szCs w:val="22"/>
        </w:rPr>
        <w:t>ing</w:t>
      </w:r>
      <w:r w:rsidR="00455C6A" w:rsidRPr="00825308">
        <w:rPr>
          <w:rFonts w:cs="Calibri"/>
          <w:sz w:val="22"/>
          <w:szCs w:val="22"/>
        </w:rPr>
        <w:t xml:space="preserve"> the recommendations</w:t>
      </w:r>
      <w:r w:rsidR="001A1ED4" w:rsidRPr="00825308">
        <w:rPr>
          <w:rFonts w:cs="Calibri"/>
          <w:sz w:val="22"/>
          <w:szCs w:val="22"/>
        </w:rPr>
        <w:t>.</w:t>
      </w:r>
    </w:p>
    <w:p w14:paraId="7694114E" w14:textId="3EC5285B" w:rsidR="00455C6A" w:rsidRPr="00A3796D" w:rsidRDefault="00D23E58" w:rsidP="00455C6A">
      <w:pPr>
        <w:rPr>
          <w:rFonts w:cs="Calibri"/>
          <w:b/>
          <w:bCs/>
          <w:sz w:val="22"/>
          <w:szCs w:val="22"/>
          <w:u w:val="single"/>
        </w:rPr>
      </w:pPr>
      <w:r w:rsidRPr="00A3796D">
        <w:rPr>
          <w:rFonts w:cs="Calibri"/>
          <w:b/>
          <w:bCs/>
          <w:sz w:val="22"/>
          <w:szCs w:val="22"/>
          <w:u w:val="single"/>
        </w:rPr>
        <w:t>Years 2 &amp; 3:</w:t>
      </w:r>
    </w:p>
    <w:p w14:paraId="048D8F6B" w14:textId="4CF1FE5C" w:rsidR="00035ED1" w:rsidRPr="00035ED1" w:rsidRDefault="00035ED1" w:rsidP="00BE4783">
      <w:pPr>
        <w:pStyle w:val="ListParagraph"/>
        <w:numPr>
          <w:ilvl w:val="0"/>
          <w:numId w:val="48"/>
        </w:numPr>
        <w:rPr>
          <w:rFonts w:cs="Calibri"/>
          <w:sz w:val="22"/>
          <w:szCs w:val="22"/>
        </w:rPr>
      </w:pPr>
      <w:r w:rsidRPr="00035ED1">
        <w:rPr>
          <w:rFonts w:cs="Calibri"/>
          <w:sz w:val="22"/>
          <w:szCs w:val="22"/>
        </w:rPr>
        <w:t xml:space="preserve">Update recommendations based on </w:t>
      </w:r>
      <w:r w:rsidR="00564608">
        <w:rPr>
          <w:rFonts w:cs="Calibri"/>
          <w:sz w:val="22"/>
          <w:szCs w:val="22"/>
        </w:rPr>
        <w:t xml:space="preserve">continued work of Commission </w:t>
      </w:r>
      <w:r w:rsidR="003A40AF">
        <w:rPr>
          <w:rFonts w:cs="Calibri"/>
          <w:sz w:val="22"/>
          <w:szCs w:val="22"/>
        </w:rPr>
        <w:t xml:space="preserve">members </w:t>
      </w:r>
      <w:r w:rsidR="00564608">
        <w:rPr>
          <w:rFonts w:cs="Calibri"/>
          <w:sz w:val="22"/>
          <w:szCs w:val="22"/>
        </w:rPr>
        <w:t>and</w:t>
      </w:r>
      <w:r w:rsidRPr="00035ED1">
        <w:rPr>
          <w:rFonts w:cs="Calibri"/>
          <w:sz w:val="22"/>
          <w:szCs w:val="22"/>
        </w:rPr>
        <w:t xml:space="preserve"> </w:t>
      </w:r>
      <w:r w:rsidR="00564608">
        <w:rPr>
          <w:rFonts w:cs="Calibri"/>
          <w:sz w:val="22"/>
          <w:szCs w:val="22"/>
        </w:rPr>
        <w:t xml:space="preserve">experiences of </w:t>
      </w:r>
      <w:r w:rsidRPr="00035ED1">
        <w:rPr>
          <w:rFonts w:cs="Calibri"/>
          <w:sz w:val="22"/>
          <w:szCs w:val="22"/>
        </w:rPr>
        <w:t>famil</w:t>
      </w:r>
      <w:r w:rsidR="00564608">
        <w:rPr>
          <w:rFonts w:cs="Calibri"/>
          <w:sz w:val="22"/>
          <w:szCs w:val="22"/>
        </w:rPr>
        <w:t xml:space="preserve">ies </w:t>
      </w:r>
      <w:r w:rsidR="00267F5F">
        <w:rPr>
          <w:rFonts w:cs="Calibri"/>
          <w:sz w:val="22"/>
          <w:szCs w:val="22"/>
        </w:rPr>
        <w:t>accessi</w:t>
      </w:r>
      <w:r w:rsidR="00564608">
        <w:rPr>
          <w:rFonts w:cs="Calibri"/>
          <w:sz w:val="22"/>
          <w:szCs w:val="22"/>
        </w:rPr>
        <w:t>ng the system</w:t>
      </w:r>
      <w:r w:rsidRPr="00035ED1">
        <w:rPr>
          <w:rFonts w:cs="Calibri"/>
          <w:sz w:val="22"/>
          <w:szCs w:val="22"/>
        </w:rPr>
        <w:t>.</w:t>
      </w:r>
    </w:p>
    <w:p w14:paraId="2968D7EC" w14:textId="76568578" w:rsidR="00455C6A" w:rsidRPr="00A3796D" w:rsidRDefault="009E2542" w:rsidP="00BE4783">
      <w:pPr>
        <w:pStyle w:val="ListParagraph"/>
        <w:numPr>
          <w:ilvl w:val="0"/>
          <w:numId w:val="48"/>
        </w:numPr>
        <w:rPr>
          <w:rFonts w:cs="Calibri"/>
          <w:b/>
          <w:bCs/>
          <w:sz w:val="22"/>
          <w:szCs w:val="22"/>
        </w:rPr>
      </w:pPr>
      <w:r>
        <w:rPr>
          <w:rFonts w:cs="Calibri"/>
          <w:sz w:val="22"/>
          <w:szCs w:val="22"/>
        </w:rPr>
        <w:t xml:space="preserve">Begin </w:t>
      </w:r>
      <w:r w:rsidR="00455C6A" w:rsidRPr="00A3796D">
        <w:rPr>
          <w:rFonts w:cs="Calibri"/>
          <w:sz w:val="22"/>
          <w:szCs w:val="22"/>
        </w:rPr>
        <w:t>implement</w:t>
      </w:r>
      <w:r>
        <w:rPr>
          <w:rFonts w:cs="Calibri"/>
          <w:sz w:val="22"/>
          <w:szCs w:val="22"/>
        </w:rPr>
        <w:t>ation of</w:t>
      </w:r>
      <w:r w:rsidR="00455C6A" w:rsidRPr="00A3796D">
        <w:rPr>
          <w:rFonts w:cs="Calibri"/>
          <w:sz w:val="22"/>
          <w:szCs w:val="22"/>
        </w:rPr>
        <w:t xml:space="preserve"> the most feasible of the initiatives, given budget environment.</w:t>
      </w:r>
    </w:p>
    <w:p w14:paraId="720E5A6C" w14:textId="77777777" w:rsidR="00455C6A" w:rsidRDefault="00455C6A" w:rsidP="00455C6A">
      <w:pPr>
        <w:rPr>
          <w:rFonts w:cs="Calibri"/>
          <w:b/>
          <w:bCs/>
          <w:sz w:val="22"/>
          <w:szCs w:val="22"/>
          <w:u w:val="single"/>
        </w:rPr>
      </w:pPr>
    </w:p>
    <w:p w14:paraId="786B33EA" w14:textId="77777777" w:rsidR="00455C6A" w:rsidRDefault="00455C6A">
      <w:pPr>
        <w:rPr>
          <w:rFonts w:cs="Calibri"/>
          <w:b/>
          <w:bCs/>
          <w:sz w:val="22"/>
          <w:szCs w:val="22"/>
          <w:highlight w:val="lightGray"/>
        </w:rPr>
      </w:pPr>
    </w:p>
    <w:p w14:paraId="70868BAC" w14:textId="77777777" w:rsidR="00455C6A" w:rsidRDefault="00455C6A">
      <w:pPr>
        <w:rPr>
          <w:rFonts w:cs="Calibri"/>
          <w:b/>
          <w:bCs/>
          <w:sz w:val="22"/>
          <w:szCs w:val="22"/>
          <w:highlight w:val="lightGray"/>
        </w:rPr>
      </w:pPr>
    </w:p>
    <w:p w14:paraId="0DF0E55C" w14:textId="77777777" w:rsidR="00710643" w:rsidRDefault="00710643">
      <w:pPr>
        <w:rPr>
          <w:rFonts w:cs="Calibri"/>
          <w:b/>
          <w:bCs/>
          <w:sz w:val="22"/>
          <w:szCs w:val="22"/>
          <w:u w:val="single"/>
        </w:rPr>
      </w:pPr>
      <w:r>
        <w:rPr>
          <w:rFonts w:cs="Calibri"/>
          <w:b/>
          <w:bCs/>
          <w:sz w:val="22"/>
          <w:szCs w:val="22"/>
          <w:u w:val="single"/>
        </w:rPr>
        <w:br w:type="page"/>
      </w:r>
    </w:p>
    <w:p w14:paraId="4CB055A5" w14:textId="7271AC6E" w:rsidR="00CE0AD2" w:rsidRPr="00874D80" w:rsidRDefault="00374F81" w:rsidP="00BE4783">
      <w:pPr>
        <w:pStyle w:val="ListParagraph"/>
        <w:numPr>
          <w:ilvl w:val="0"/>
          <w:numId w:val="2"/>
        </w:numPr>
        <w:tabs>
          <w:tab w:val="clear" w:pos="720"/>
        </w:tabs>
        <w:ind w:left="360"/>
        <w:rPr>
          <w:rFonts w:cs="Calibri"/>
          <w:b/>
          <w:bCs/>
          <w:sz w:val="22"/>
          <w:szCs w:val="22"/>
          <w:u w:val="single"/>
        </w:rPr>
      </w:pPr>
      <w:r>
        <w:rPr>
          <w:rFonts w:cs="Calibri"/>
          <w:b/>
          <w:bCs/>
          <w:sz w:val="22"/>
          <w:szCs w:val="22"/>
          <w:u w:val="single"/>
        </w:rPr>
        <w:t xml:space="preserve">Longer-term </w:t>
      </w:r>
      <w:r w:rsidR="00CE0AD2" w:rsidRPr="00874D80">
        <w:rPr>
          <w:rFonts w:cs="Calibri"/>
          <w:b/>
          <w:bCs/>
          <w:sz w:val="22"/>
          <w:szCs w:val="22"/>
          <w:u w:val="single"/>
        </w:rPr>
        <w:t>Policy Recommendations Requiring State Investment</w:t>
      </w:r>
    </w:p>
    <w:p w14:paraId="23D28BB6" w14:textId="27868AB4" w:rsidR="00CE0AD2" w:rsidRDefault="00CE0AD2" w:rsidP="00CE0AD2">
      <w:pPr>
        <w:rPr>
          <w:rFonts w:cs="Calibri"/>
          <w:sz w:val="22"/>
          <w:szCs w:val="22"/>
        </w:rPr>
      </w:pPr>
      <w:r w:rsidRPr="00210844">
        <w:rPr>
          <w:rFonts w:cs="Calibri"/>
          <w:sz w:val="22"/>
          <w:szCs w:val="22"/>
        </w:rPr>
        <w:t>The Commission recognize</w:t>
      </w:r>
      <w:r w:rsidR="0081585D">
        <w:rPr>
          <w:rFonts w:cs="Calibri"/>
          <w:sz w:val="22"/>
          <w:szCs w:val="22"/>
        </w:rPr>
        <w:t>d</w:t>
      </w:r>
      <w:r w:rsidRPr="00210844">
        <w:rPr>
          <w:rFonts w:cs="Calibri"/>
          <w:sz w:val="22"/>
          <w:szCs w:val="22"/>
        </w:rPr>
        <w:t xml:space="preserve"> that some recommendations require significant new state investment</w:t>
      </w:r>
      <w:r w:rsidR="00BB57CD">
        <w:rPr>
          <w:rFonts w:cs="Calibri"/>
          <w:sz w:val="22"/>
          <w:szCs w:val="22"/>
        </w:rPr>
        <w:t>s</w:t>
      </w:r>
      <w:r w:rsidRPr="00210844">
        <w:rPr>
          <w:rFonts w:cs="Calibri"/>
          <w:sz w:val="22"/>
          <w:szCs w:val="22"/>
        </w:rPr>
        <w:t>, while others can be advanced through administrative coordination, procurement, contract management, data alignment, or regulatory change.</w:t>
      </w:r>
      <w:r w:rsidR="00B07699">
        <w:rPr>
          <w:rFonts w:cs="Calibri"/>
          <w:sz w:val="22"/>
          <w:szCs w:val="22"/>
        </w:rPr>
        <w:t xml:space="preserve"> </w:t>
      </w:r>
      <w:r w:rsidR="00CA26FC" w:rsidRPr="00210844">
        <w:rPr>
          <w:rFonts w:cs="Calibri"/>
          <w:sz w:val="22"/>
          <w:szCs w:val="22"/>
        </w:rPr>
        <w:t>Considering</w:t>
      </w:r>
      <w:r w:rsidRPr="00210844">
        <w:rPr>
          <w:rFonts w:cs="Calibri"/>
          <w:sz w:val="22"/>
          <w:szCs w:val="22"/>
        </w:rPr>
        <w:t xml:space="preserve"> current budget constraints, the Commission recommends a phased approach that prioritizes high-impact investments, leverages </w:t>
      </w:r>
      <w:r w:rsidR="00812CB3">
        <w:rPr>
          <w:rFonts w:cs="Calibri"/>
          <w:sz w:val="22"/>
          <w:szCs w:val="22"/>
        </w:rPr>
        <w:t>public</w:t>
      </w:r>
      <w:r w:rsidRPr="00210844">
        <w:rPr>
          <w:rFonts w:cs="Calibri"/>
          <w:sz w:val="22"/>
          <w:szCs w:val="22"/>
        </w:rPr>
        <w:t xml:space="preserve"> and commercial payer opportunities where available, and sequences implementation based on feasibility and urgency.</w:t>
      </w:r>
    </w:p>
    <w:p w14:paraId="3EAF561A" w14:textId="3741F0CF" w:rsidR="00314D16" w:rsidRPr="00314D16" w:rsidRDefault="00B07699" w:rsidP="00314D16">
      <w:pPr>
        <w:rPr>
          <w:rFonts w:cs="Calibri"/>
          <w:sz w:val="22"/>
          <w:szCs w:val="22"/>
        </w:rPr>
      </w:pPr>
      <w:r>
        <w:rPr>
          <w:rFonts w:cs="Calibri"/>
          <w:sz w:val="22"/>
          <w:szCs w:val="22"/>
        </w:rPr>
        <w:t xml:space="preserve">The list below </w:t>
      </w:r>
      <w:r w:rsidR="00314D16">
        <w:rPr>
          <w:rFonts w:cs="Calibri"/>
          <w:sz w:val="22"/>
          <w:szCs w:val="22"/>
        </w:rPr>
        <w:t xml:space="preserve">summarizes the proposed </w:t>
      </w:r>
      <w:r w:rsidR="00314D16" w:rsidRPr="00314D16">
        <w:rPr>
          <w:rFonts w:cs="Calibri"/>
          <w:sz w:val="22"/>
          <w:szCs w:val="22"/>
        </w:rPr>
        <w:t xml:space="preserve">recommendations that the </w:t>
      </w:r>
      <w:r w:rsidR="00314D16">
        <w:rPr>
          <w:rFonts w:cs="Calibri"/>
          <w:sz w:val="22"/>
          <w:szCs w:val="22"/>
        </w:rPr>
        <w:t>Commonwe</w:t>
      </w:r>
      <w:r w:rsidR="00314D16" w:rsidRPr="00314D16">
        <w:rPr>
          <w:rFonts w:cs="Calibri"/>
          <w:sz w:val="22"/>
          <w:szCs w:val="22"/>
        </w:rPr>
        <w:t>a</w:t>
      </w:r>
      <w:r w:rsidR="00314D16">
        <w:rPr>
          <w:rFonts w:cs="Calibri"/>
          <w:sz w:val="22"/>
          <w:szCs w:val="22"/>
        </w:rPr>
        <w:t>l</w:t>
      </w:r>
      <w:r w:rsidR="00314D16" w:rsidRPr="00314D16">
        <w:rPr>
          <w:rFonts w:cs="Calibri"/>
          <w:sz w:val="22"/>
          <w:szCs w:val="22"/>
        </w:rPr>
        <w:t>t</w:t>
      </w:r>
      <w:r w:rsidR="00314D16">
        <w:rPr>
          <w:rFonts w:cs="Calibri"/>
          <w:sz w:val="22"/>
          <w:szCs w:val="22"/>
        </w:rPr>
        <w:t>h</w:t>
      </w:r>
      <w:r w:rsidR="00314D16" w:rsidRPr="00314D16">
        <w:rPr>
          <w:rFonts w:cs="Calibri"/>
          <w:sz w:val="22"/>
          <w:szCs w:val="22"/>
        </w:rPr>
        <w:t xml:space="preserve"> could potentially implement in a less restrictive budgetary climate.</w:t>
      </w:r>
    </w:p>
    <w:p w14:paraId="243BD71B" w14:textId="77777777" w:rsidR="00530906" w:rsidRPr="00530906" w:rsidRDefault="00530906" w:rsidP="00BE4783">
      <w:pPr>
        <w:pStyle w:val="ListParagraph"/>
        <w:numPr>
          <w:ilvl w:val="0"/>
          <w:numId w:val="9"/>
        </w:numPr>
        <w:rPr>
          <w:rFonts w:cs="Calibri"/>
          <w:sz w:val="22"/>
          <w:szCs w:val="22"/>
          <w:u w:val="single"/>
        </w:rPr>
      </w:pPr>
      <w:r w:rsidRPr="00530906">
        <w:rPr>
          <w:rFonts w:cs="Calibri"/>
          <w:sz w:val="22"/>
          <w:szCs w:val="22"/>
          <w:u w:val="single"/>
        </w:rPr>
        <w:t>Further Study:</w:t>
      </w:r>
      <w:r w:rsidRPr="00530906">
        <w:rPr>
          <w:rFonts w:cs="Calibri"/>
          <w:sz w:val="22"/>
          <w:szCs w:val="22"/>
        </w:rPr>
        <w:t xml:space="preserve"> Commission studies/analyses to inform future policy development, including in topic areas such as:</w:t>
      </w:r>
    </w:p>
    <w:p w14:paraId="2F2FBC35" w14:textId="65AE8783" w:rsidR="00530906" w:rsidRPr="00530906" w:rsidRDefault="00530906" w:rsidP="00BE4783">
      <w:pPr>
        <w:pStyle w:val="ListParagraph"/>
        <w:numPr>
          <w:ilvl w:val="1"/>
          <w:numId w:val="9"/>
        </w:numPr>
        <w:rPr>
          <w:rFonts w:cs="Calibri"/>
          <w:sz w:val="22"/>
          <w:szCs w:val="22"/>
        </w:rPr>
      </w:pPr>
      <w:r w:rsidRPr="00530906">
        <w:rPr>
          <w:rFonts w:cs="Calibri"/>
          <w:sz w:val="22"/>
          <w:szCs w:val="22"/>
        </w:rPr>
        <w:t>Service capacity within children’s</w:t>
      </w:r>
      <w:r w:rsidR="00272EB8">
        <w:rPr>
          <w:rFonts w:cs="Calibri"/>
          <w:sz w:val="22"/>
          <w:szCs w:val="22"/>
        </w:rPr>
        <w:t xml:space="preserve"> </w:t>
      </w:r>
      <w:r w:rsidR="00B35898">
        <w:rPr>
          <w:rFonts w:cs="Calibri"/>
          <w:sz w:val="22"/>
          <w:szCs w:val="22"/>
        </w:rPr>
        <w:t>sy</w:t>
      </w:r>
      <w:r w:rsidRPr="00530906">
        <w:rPr>
          <w:rFonts w:cs="Calibri"/>
          <w:sz w:val="22"/>
          <w:szCs w:val="22"/>
        </w:rPr>
        <w:t>stems in every public school district, grounded in the Multi-Tiered Systems of Support framework, integrating universal education and prevention, and including targeted supports for emerging and moderate mental health challenges and intensive supports for highest-need students</w:t>
      </w:r>
    </w:p>
    <w:p w14:paraId="55540290" w14:textId="77777777" w:rsidR="00530906" w:rsidRPr="00530906" w:rsidRDefault="00530906" w:rsidP="00BE4783">
      <w:pPr>
        <w:pStyle w:val="ListParagraph"/>
        <w:numPr>
          <w:ilvl w:val="1"/>
          <w:numId w:val="9"/>
        </w:numPr>
        <w:rPr>
          <w:rFonts w:cs="Calibri"/>
          <w:b/>
          <w:bCs/>
          <w:sz w:val="22"/>
          <w:szCs w:val="22"/>
        </w:rPr>
      </w:pPr>
      <w:r w:rsidRPr="00530906">
        <w:rPr>
          <w:rFonts w:cs="Calibri"/>
          <w:sz w:val="22"/>
          <w:szCs w:val="22"/>
        </w:rPr>
        <w:t>Bridge programs that support youth returning to school from behavioral health treatment (e.g. BRYT &amp; BIRCh)</w:t>
      </w:r>
    </w:p>
    <w:p w14:paraId="12F328D4" w14:textId="77777777" w:rsidR="00530906" w:rsidRPr="00530906" w:rsidRDefault="00530906" w:rsidP="00BE4783">
      <w:pPr>
        <w:pStyle w:val="ListParagraph"/>
        <w:numPr>
          <w:ilvl w:val="1"/>
          <w:numId w:val="9"/>
        </w:numPr>
        <w:rPr>
          <w:rFonts w:cs="Calibri"/>
          <w:b/>
          <w:bCs/>
          <w:sz w:val="22"/>
          <w:szCs w:val="22"/>
        </w:rPr>
      </w:pPr>
      <w:r w:rsidRPr="00530906">
        <w:rPr>
          <w:rFonts w:cs="Calibri"/>
          <w:sz w:val="22"/>
          <w:szCs w:val="22"/>
        </w:rPr>
        <w:t>Early childhood behavioral health prevention and consultation programs</w:t>
      </w:r>
    </w:p>
    <w:p w14:paraId="157210AE" w14:textId="77777777" w:rsidR="00530906" w:rsidRPr="007D5174" w:rsidRDefault="00530906" w:rsidP="00BE4783">
      <w:pPr>
        <w:pStyle w:val="ListParagraph"/>
        <w:numPr>
          <w:ilvl w:val="1"/>
          <w:numId w:val="9"/>
        </w:numPr>
        <w:rPr>
          <w:rFonts w:cs="Calibri"/>
          <w:b/>
          <w:bCs/>
          <w:sz w:val="22"/>
          <w:szCs w:val="22"/>
        </w:rPr>
      </w:pPr>
      <w:r w:rsidRPr="00530906">
        <w:rPr>
          <w:rFonts w:cs="Calibri"/>
          <w:sz w:val="22"/>
          <w:szCs w:val="22"/>
        </w:rPr>
        <w:t>Family navigation supports</w:t>
      </w:r>
    </w:p>
    <w:p w14:paraId="0C4553F9" w14:textId="4C1B4A2F" w:rsidR="007D5174" w:rsidRPr="00B34544" w:rsidRDefault="00B34544" w:rsidP="00BE4783">
      <w:pPr>
        <w:pStyle w:val="ListParagraph"/>
        <w:numPr>
          <w:ilvl w:val="1"/>
          <w:numId w:val="9"/>
        </w:numPr>
        <w:rPr>
          <w:rFonts w:cs="Calibri"/>
          <w:b/>
          <w:bCs/>
          <w:sz w:val="22"/>
          <w:szCs w:val="22"/>
        </w:rPr>
      </w:pPr>
      <w:r w:rsidRPr="009519DA">
        <w:rPr>
          <w:rStyle w:val="Strong"/>
          <w:b w:val="0"/>
          <w:bCs w:val="0"/>
          <w:sz w:val="22"/>
          <w:szCs w:val="22"/>
        </w:rPr>
        <w:t>Residential and group home settings</w:t>
      </w:r>
      <w:r>
        <w:rPr>
          <w:rStyle w:val="Strong"/>
          <w:b w:val="0"/>
          <w:bCs w:val="0"/>
          <w:sz w:val="22"/>
          <w:szCs w:val="22"/>
        </w:rPr>
        <w:t>’</w:t>
      </w:r>
      <w:r w:rsidRPr="00636D5A">
        <w:rPr>
          <w:rStyle w:val="Strong"/>
          <w:b w:val="0"/>
          <w:bCs w:val="0"/>
          <w:sz w:val="22"/>
          <w:szCs w:val="22"/>
        </w:rPr>
        <w:t xml:space="preserve"> capacity to serve youth with complex co-occurring needs, including behavioral health challenges, intellectual and developmental disabilities, autism, and significant medical needs. This assessment should identify barriers to service provision and the resources, supports, and system changes necessary to strengthen capacity within the existing continuum of care.</w:t>
      </w:r>
    </w:p>
    <w:p w14:paraId="53F69783" w14:textId="77777777" w:rsidR="00530906" w:rsidRPr="00530906" w:rsidRDefault="00530906" w:rsidP="00BE4783">
      <w:pPr>
        <w:pStyle w:val="ListParagraph"/>
        <w:numPr>
          <w:ilvl w:val="0"/>
          <w:numId w:val="9"/>
        </w:numPr>
        <w:rPr>
          <w:rFonts w:cs="Calibri"/>
          <w:sz w:val="22"/>
          <w:szCs w:val="22"/>
        </w:rPr>
      </w:pPr>
      <w:r w:rsidRPr="00B34544">
        <w:rPr>
          <w:rFonts w:cs="Calibri"/>
          <w:sz w:val="22"/>
          <w:szCs w:val="22"/>
          <w:u w:val="single"/>
        </w:rPr>
        <w:t>Infrastructure investment:</w:t>
      </w:r>
      <w:r w:rsidRPr="00B34544">
        <w:rPr>
          <w:rFonts w:cs="Calibri"/>
          <w:sz w:val="22"/>
          <w:szCs w:val="22"/>
        </w:rPr>
        <w:t xml:space="preserve"> Inv</w:t>
      </w:r>
      <w:r w:rsidRPr="00530906">
        <w:rPr>
          <w:rFonts w:cs="Calibri"/>
          <w:sz w:val="22"/>
          <w:szCs w:val="22"/>
        </w:rPr>
        <w:t>est in infrastructure improvements that improve coordination and efficiency of care, such as:</w:t>
      </w:r>
    </w:p>
    <w:p w14:paraId="361F4E30" w14:textId="1FE478EB" w:rsidR="00530906" w:rsidRPr="00530906" w:rsidRDefault="00530906" w:rsidP="00BE4783">
      <w:pPr>
        <w:pStyle w:val="ListParagraph"/>
        <w:numPr>
          <w:ilvl w:val="1"/>
          <w:numId w:val="9"/>
        </w:numPr>
        <w:rPr>
          <w:rFonts w:cs="Calibri"/>
          <w:sz w:val="22"/>
          <w:szCs w:val="22"/>
        </w:rPr>
      </w:pPr>
      <w:r w:rsidRPr="00530906">
        <w:rPr>
          <w:rFonts w:cs="Calibri"/>
          <w:sz w:val="22"/>
          <w:szCs w:val="22"/>
        </w:rPr>
        <w:t>A centralized, real-time bed and service availability tracking system for in</w:t>
      </w:r>
      <w:r w:rsidR="00AF0AC4">
        <w:rPr>
          <w:rFonts w:cs="Calibri"/>
          <w:sz w:val="22"/>
          <w:szCs w:val="22"/>
        </w:rPr>
        <w:t>-</w:t>
      </w:r>
      <w:r w:rsidRPr="00530906">
        <w:rPr>
          <w:rFonts w:cs="Calibri"/>
          <w:sz w:val="22"/>
          <w:szCs w:val="22"/>
        </w:rPr>
        <w:t>patient, diversionary, residential, and step-down programs</w:t>
      </w:r>
    </w:p>
    <w:p w14:paraId="6A0759DB" w14:textId="77777777" w:rsidR="00530906" w:rsidRPr="00530906" w:rsidRDefault="00530906" w:rsidP="00BE4783">
      <w:pPr>
        <w:pStyle w:val="ListParagraph"/>
        <w:numPr>
          <w:ilvl w:val="1"/>
          <w:numId w:val="9"/>
        </w:numPr>
        <w:rPr>
          <w:rFonts w:cs="Calibri"/>
          <w:sz w:val="22"/>
          <w:szCs w:val="22"/>
        </w:rPr>
      </w:pPr>
      <w:r w:rsidRPr="00530906">
        <w:rPr>
          <w:rFonts w:cs="Calibri"/>
          <w:sz w:val="22"/>
          <w:szCs w:val="22"/>
        </w:rPr>
        <w:t>A shared cross-agency data system to track service access, waitlists, and outcomes in real time, identify disparities by race, language, geography, and program type, and support real-time reporting of critical incidents</w:t>
      </w:r>
    </w:p>
    <w:p w14:paraId="15CE4242" w14:textId="0947914D" w:rsidR="00586F80" w:rsidRDefault="002D199D">
      <w:pPr>
        <w:rPr>
          <w:rFonts w:cs="Calibri"/>
          <w:sz w:val="22"/>
          <w:szCs w:val="22"/>
        </w:rPr>
      </w:pPr>
      <w:r w:rsidRPr="002D199D">
        <w:rPr>
          <w:rFonts w:cs="Calibri"/>
          <w:sz w:val="22"/>
          <w:szCs w:val="22"/>
        </w:rPr>
        <w:t>The above investment opportunities should be prioritized based on both available funding and an assessment of feasibility to implement and impact on youth and family behavioral health access. All efforts should be taken by the Commonwealth to capitalize on previous and existing workstreams that overlap with any of the above initiatives, and the Commonwealth should engage youth and families, providers, and health care advocates when planning the strategic order for implementation</w:t>
      </w:r>
      <w:r w:rsidR="00BE6174">
        <w:rPr>
          <w:rFonts w:cs="Calibri"/>
          <w:sz w:val="22"/>
          <w:szCs w:val="22"/>
        </w:rPr>
        <w:t>.</w:t>
      </w:r>
      <w:r w:rsidR="00586F80">
        <w:rPr>
          <w:rFonts w:cs="Calibri"/>
          <w:sz w:val="22"/>
          <w:szCs w:val="22"/>
        </w:rPr>
        <w:br w:type="page"/>
      </w:r>
    </w:p>
    <w:p w14:paraId="75AB44BE" w14:textId="6727DE98" w:rsidR="005E5DFD" w:rsidRPr="00210844" w:rsidRDefault="00CE0AD2" w:rsidP="00527E61">
      <w:pPr>
        <w:jc w:val="center"/>
        <w:rPr>
          <w:rFonts w:cs="Calibri"/>
          <w:b/>
          <w:bCs/>
          <w:sz w:val="22"/>
          <w:szCs w:val="22"/>
        </w:rPr>
      </w:pPr>
      <w:r w:rsidRPr="00210844">
        <w:rPr>
          <w:rFonts w:cs="Calibri"/>
          <w:b/>
          <w:bCs/>
          <w:sz w:val="22"/>
          <w:szCs w:val="22"/>
        </w:rPr>
        <w:t>Appendi</w:t>
      </w:r>
      <w:r w:rsidR="00527E61">
        <w:rPr>
          <w:rFonts w:cs="Calibri"/>
          <w:b/>
          <w:bCs/>
          <w:sz w:val="22"/>
          <w:szCs w:val="22"/>
        </w:rPr>
        <w:t>ces</w:t>
      </w:r>
    </w:p>
    <w:p w14:paraId="6FEB5D9C" w14:textId="77777777" w:rsidR="00187D69" w:rsidRDefault="00187D69" w:rsidP="00CE0AD2">
      <w:pPr>
        <w:rPr>
          <w:rFonts w:cs="Calibri"/>
          <w:b/>
          <w:bCs/>
          <w:sz w:val="22"/>
          <w:szCs w:val="22"/>
        </w:rPr>
      </w:pPr>
    </w:p>
    <w:p w14:paraId="48D4511F" w14:textId="391E3A7D" w:rsidR="00CE0AD2" w:rsidRPr="00741148" w:rsidRDefault="00CE0AD2" w:rsidP="00CE0AD2">
      <w:pPr>
        <w:rPr>
          <w:rFonts w:cs="Calibri"/>
          <w:b/>
          <w:bCs/>
          <w:sz w:val="22"/>
          <w:szCs w:val="22"/>
          <w:u w:val="single"/>
        </w:rPr>
      </w:pPr>
      <w:r w:rsidRPr="00741148">
        <w:rPr>
          <w:rFonts w:cs="Calibri"/>
          <w:b/>
          <w:bCs/>
          <w:sz w:val="22"/>
          <w:szCs w:val="22"/>
          <w:u w:val="single"/>
        </w:rPr>
        <w:t>Appendix A</w:t>
      </w:r>
      <w:r w:rsidR="00187D69" w:rsidRPr="00741148">
        <w:rPr>
          <w:rFonts w:cs="Calibri"/>
          <w:b/>
          <w:bCs/>
          <w:sz w:val="22"/>
          <w:szCs w:val="22"/>
          <w:u w:val="single"/>
        </w:rPr>
        <w:t xml:space="preserve"> –</w:t>
      </w:r>
      <w:r w:rsidR="00527E61" w:rsidRPr="00741148">
        <w:rPr>
          <w:rFonts w:cs="Calibri"/>
          <w:b/>
          <w:bCs/>
          <w:sz w:val="22"/>
          <w:szCs w:val="22"/>
          <w:u w:val="single"/>
        </w:rPr>
        <w:t xml:space="preserve"> </w:t>
      </w:r>
      <w:r w:rsidR="000A7747" w:rsidRPr="00741148">
        <w:rPr>
          <w:rFonts w:cs="Calibri"/>
          <w:b/>
          <w:bCs/>
          <w:sz w:val="22"/>
          <w:szCs w:val="22"/>
          <w:u w:val="single"/>
        </w:rPr>
        <w:t xml:space="preserve">Full Text of </w:t>
      </w:r>
      <w:r w:rsidR="00FB1A7F" w:rsidRPr="00741148">
        <w:rPr>
          <w:rFonts w:cs="Calibri"/>
          <w:b/>
          <w:bCs/>
          <w:sz w:val="22"/>
          <w:szCs w:val="22"/>
          <w:u w:val="single"/>
        </w:rPr>
        <w:t xml:space="preserve">the </w:t>
      </w:r>
      <w:r w:rsidR="000A7747" w:rsidRPr="00741148">
        <w:rPr>
          <w:rFonts w:cs="Calibri"/>
          <w:b/>
          <w:bCs/>
          <w:sz w:val="22"/>
          <w:szCs w:val="22"/>
          <w:u w:val="single"/>
        </w:rPr>
        <w:t xml:space="preserve">Commission’s </w:t>
      </w:r>
      <w:r w:rsidR="00527E61" w:rsidRPr="00741148">
        <w:rPr>
          <w:rFonts w:cs="Calibri"/>
          <w:b/>
          <w:bCs/>
          <w:sz w:val="22"/>
          <w:szCs w:val="22"/>
          <w:u w:val="single"/>
        </w:rPr>
        <w:t>Charge</w:t>
      </w:r>
    </w:p>
    <w:p w14:paraId="09FDC4CD" w14:textId="7B254C18" w:rsidR="00FE53B3" w:rsidRPr="00E47BFE" w:rsidRDefault="00FE53B3" w:rsidP="00FE53B3">
      <w:pPr>
        <w:rPr>
          <w:b/>
          <w:bCs/>
          <w:sz w:val="20"/>
          <w:szCs w:val="20"/>
        </w:rPr>
      </w:pPr>
      <w:r w:rsidRPr="00E47BFE">
        <w:rPr>
          <w:b/>
          <w:bCs/>
          <w:sz w:val="20"/>
          <w:szCs w:val="20"/>
        </w:rPr>
        <w:t>FY26 Budget 4000-0300</w:t>
      </w:r>
      <w:r w:rsidR="001D2695" w:rsidRPr="00E47BFE">
        <w:rPr>
          <w:b/>
          <w:bCs/>
          <w:sz w:val="20"/>
          <w:szCs w:val="20"/>
        </w:rPr>
        <w:t xml:space="preserve"> (</w:t>
      </w:r>
      <w:hyperlink r:id="rId12" w:anchor=":~:text=there%20shall%20be%20a%20special%20commission" w:history="1">
        <w:r w:rsidR="001D2695" w:rsidRPr="00E47BFE">
          <w:rPr>
            <w:rStyle w:val="Hyperlink"/>
            <w:b/>
            <w:bCs/>
            <w:sz w:val="20"/>
            <w:szCs w:val="20"/>
          </w:rPr>
          <w:t>link</w:t>
        </w:r>
      </w:hyperlink>
      <w:r w:rsidR="001D2695" w:rsidRPr="00E47BFE">
        <w:rPr>
          <w:b/>
          <w:bCs/>
          <w:sz w:val="20"/>
          <w:szCs w:val="20"/>
        </w:rPr>
        <w:t>)</w:t>
      </w:r>
    </w:p>
    <w:p w14:paraId="6773AE42" w14:textId="77777777" w:rsidR="00FE53B3" w:rsidRPr="00E47BFE" w:rsidRDefault="00FE53B3" w:rsidP="00FE53B3">
      <w:pPr>
        <w:rPr>
          <w:sz w:val="20"/>
          <w:szCs w:val="20"/>
        </w:rPr>
      </w:pPr>
      <w:r w:rsidRPr="00E47BFE">
        <w:rPr>
          <w:sz w:val="20"/>
          <w:szCs w:val="20"/>
        </w:rPr>
        <w:t>There shall be a special commission which shall consist of: the secretary of health and human services, or a designee from the office of the secretary, who shall serve as chair; the assistant secretary of MassHealth or a designee; the commissioner of mental health or a designee; the commissioner of children and families or a designee; the commissioner of insurance or a designee; the commissioner of early education and care or a designee; the commissioner of elementary and secondary education or a designee; the house and senate chairs of the joint committee on mental health, substance use and recovery or their designees; a representative of Association for Behavioral Healthcare, Inc.; a representative of Children’s League of Massachusetts, Inc.; a representative of Massachusetts Association for Mental Health, Inc.’s Children’s Mental Health Campaign; a representative of Massachusetts Association of Behavioral Health Systems, Inc.; a representative of Massachusetts Health and Hospital Association, Inc.; a representative of Massachusetts Association for Mental Health, Inc.; and a representative of the Parent/Professional Advocacy League, Inc.;</w:t>
      </w:r>
    </w:p>
    <w:p w14:paraId="5BF1063F" w14:textId="77777777" w:rsidR="00FE53B3" w:rsidRPr="00E47BFE" w:rsidRDefault="00FE53B3" w:rsidP="00FE53B3">
      <w:pPr>
        <w:rPr>
          <w:sz w:val="20"/>
          <w:szCs w:val="20"/>
        </w:rPr>
      </w:pPr>
      <w:r w:rsidRPr="00E47BFE">
        <w:rPr>
          <w:sz w:val="20"/>
          <w:szCs w:val="20"/>
        </w:rPr>
        <w:t>Provided further, that not later than June 30, 2026, the commission shall submit a special report to the joint committee on mental health, substance use and recovery, the joint committee on children, families and persons with disabilities, the joint committee on health care financing and the senate and house committees on ways and means detailing recommendations for improving access to behavioral health services for children and families;</w:t>
      </w:r>
    </w:p>
    <w:p w14:paraId="48898AC9" w14:textId="77777777" w:rsidR="00FE53B3" w:rsidRPr="00FE53B3" w:rsidRDefault="00FE53B3" w:rsidP="00FE53B3">
      <w:pPr>
        <w:rPr>
          <w:sz w:val="22"/>
          <w:szCs w:val="22"/>
        </w:rPr>
      </w:pPr>
      <w:r w:rsidRPr="00E47BFE">
        <w:rPr>
          <w:sz w:val="20"/>
          <w:szCs w:val="20"/>
        </w:rPr>
        <w:t>Provided further, that the special report shall include, but not be limited to: (aa) a list of the behavioral health services, including services and treatment for substance use disorder and for autism spectrum disorder, available to children and adolescents under 22 years of age; (bb) a list of common challenges that children, adolescents and families face in seeking behavioral health services including, but not limited to, challenges associated with program eligibility criteria, affordability and cost-sharing, insurance or state program denials, application processes and service authorization processes, staffing, wait times and geography; (cc) recommended policies to address challenges identified under clause (bb) and for streamlining access to behavioral health services for children, adolescents and families including, but not limited to, adolescent continuing care inpatient and residential treatment services; (dd) a review of state funding dedicated to behavioral health services for children across state agencies and MassHealth and an examination of the impact of how such funding is used to maximize the delivery of services and available federal resources; (ee) analysis of the feasibility and effects of creating a single integrated children’s behavioral health agency; (ff) a 3-year strategic plan for the delivery of behavioral health services for children and families that considers all providers and payers; and (gg) any matters deemed relevant by the commission; provided further, that the secretary of health and human services shall make the report publicly available on the website of the executive office of health and human services.</w:t>
      </w:r>
    </w:p>
    <w:p w14:paraId="4E4D284E" w14:textId="77777777" w:rsidR="000A7747" w:rsidRDefault="000A7747" w:rsidP="00CE0AD2">
      <w:pPr>
        <w:rPr>
          <w:b/>
          <w:bCs/>
          <w:sz w:val="22"/>
          <w:szCs w:val="22"/>
        </w:rPr>
      </w:pPr>
    </w:p>
    <w:p w14:paraId="52A6F35E" w14:textId="77777777" w:rsidR="00E47BFE" w:rsidRDefault="00E47BFE">
      <w:pPr>
        <w:rPr>
          <w:rFonts w:cs="Calibri"/>
          <w:b/>
          <w:bCs/>
          <w:sz w:val="22"/>
          <w:szCs w:val="22"/>
        </w:rPr>
      </w:pPr>
      <w:r>
        <w:rPr>
          <w:rFonts w:cs="Calibri"/>
          <w:b/>
          <w:bCs/>
          <w:sz w:val="22"/>
          <w:szCs w:val="22"/>
        </w:rPr>
        <w:br w:type="page"/>
      </w:r>
    </w:p>
    <w:p w14:paraId="0354E3AE" w14:textId="32DF82C8" w:rsidR="00527E61" w:rsidRPr="00741148" w:rsidRDefault="00CE0AD2" w:rsidP="00CE0AD2">
      <w:pPr>
        <w:rPr>
          <w:rFonts w:cs="Calibri"/>
          <w:b/>
          <w:bCs/>
          <w:sz w:val="22"/>
          <w:szCs w:val="22"/>
          <w:u w:val="single"/>
        </w:rPr>
      </w:pPr>
      <w:r w:rsidRPr="00741148">
        <w:rPr>
          <w:rFonts w:cs="Calibri"/>
          <w:b/>
          <w:bCs/>
          <w:sz w:val="22"/>
          <w:szCs w:val="22"/>
          <w:u w:val="single"/>
        </w:rPr>
        <w:t>Appendix B</w:t>
      </w:r>
      <w:r w:rsidR="00187D69" w:rsidRPr="00741148">
        <w:rPr>
          <w:rFonts w:cs="Calibri"/>
          <w:b/>
          <w:bCs/>
          <w:sz w:val="22"/>
          <w:szCs w:val="22"/>
          <w:u w:val="single"/>
        </w:rPr>
        <w:t xml:space="preserve"> –</w:t>
      </w:r>
      <w:r w:rsidRPr="00741148">
        <w:rPr>
          <w:rFonts w:cs="Calibri"/>
          <w:b/>
          <w:bCs/>
          <w:sz w:val="22"/>
          <w:szCs w:val="22"/>
          <w:u w:val="single"/>
        </w:rPr>
        <w:t xml:space="preserve"> </w:t>
      </w:r>
      <w:r w:rsidR="00527E61" w:rsidRPr="00741148">
        <w:rPr>
          <w:rFonts w:cs="Calibri"/>
          <w:b/>
          <w:bCs/>
          <w:sz w:val="22"/>
          <w:szCs w:val="22"/>
          <w:u w:val="single"/>
        </w:rPr>
        <w:t>List of</w:t>
      </w:r>
      <w:r w:rsidR="00723BDE" w:rsidRPr="00741148">
        <w:rPr>
          <w:rFonts w:cs="Calibri"/>
          <w:b/>
          <w:bCs/>
          <w:sz w:val="22"/>
          <w:szCs w:val="22"/>
          <w:u w:val="single"/>
        </w:rPr>
        <w:t xml:space="preserve"> Commission</w:t>
      </w:r>
      <w:r w:rsidR="00527E61" w:rsidRPr="00741148">
        <w:rPr>
          <w:rFonts w:cs="Calibri"/>
          <w:b/>
          <w:bCs/>
          <w:sz w:val="22"/>
          <w:szCs w:val="22"/>
          <w:u w:val="single"/>
        </w:rPr>
        <w:t xml:space="preserve"> Members</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43" w:type="dxa"/>
          <w:bottom w:w="15" w:type="dxa"/>
          <w:right w:w="43" w:type="dxa"/>
        </w:tblCellMar>
        <w:tblLook w:val="04A0" w:firstRow="1" w:lastRow="0" w:firstColumn="1" w:lastColumn="0" w:noHBand="0" w:noVBand="1"/>
      </w:tblPr>
      <w:tblGrid>
        <w:gridCol w:w="1705"/>
        <w:gridCol w:w="8370"/>
      </w:tblGrid>
      <w:tr w:rsidR="00141096" w:rsidRPr="008A0912" w14:paraId="380B2F46" w14:textId="77777777" w:rsidTr="00141096">
        <w:tc>
          <w:tcPr>
            <w:tcW w:w="1705" w:type="dxa"/>
            <w:shd w:val="clear" w:color="auto" w:fill="0B769F" w:themeFill="accent4" w:themeFillShade="BF"/>
          </w:tcPr>
          <w:p w14:paraId="579B4DD2" w14:textId="0F82B4FB" w:rsidR="00141096" w:rsidRPr="008A0912" w:rsidRDefault="00141096" w:rsidP="00582EA1">
            <w:pPr>
              <w:spacing w:after="120" w:line="240" w:lineRule="auto"/>
              <w:rPr>
                <w:b/>
                <w:bCs/>
                <w:color w:val="FFFFFF" w:themeColor="background1"/>
                <w:sz w:val="20"/>
                <w:szCs w:val="20"/>
              </w:rPr>
            </w:pPr>
            <w:r w:rsidRPr="008A0912">
              <w:rPr>
                <w:b/>
                <w:bCs/>
                <w:color w:val="FFFFFF" w:themeColor="background1"/>
                <w:sz w:val="20"/>
                <w:szCs w:val="20"/>
              </w:rPr>
              <w:t>Name</w:t>
            </w:r>
          </w:p>
        </w:tc>
        <w:tc>
          <w:tcPr>
            <w:tcW w:w="8370" w:type="dxa"/>
            <w:shd w:val="clear" w:color="auto" w:fill="0B769F" w:themeFill="accent4" w:themeFillShade="BF"/>
          </w:tcPr>
          <w:p w14:paraId="189D71B3" w14:textId="6682048B" w:rsidR="00141096" w:rsidRPr="008A0912" w:rsidRDefault="00141096" w:rsidP="00582EA1">
            <w:pPr>
              <w:spacing w:after="120" w:line="240" w:lineRule="auto"/>
              <w:rPr>
                <w:b/>
                <w:bCs/>
                <w:color w:val="FFFFFF" w:themeColor="background1"/>
                <w:sz w:val="20"/>
                <w:szCs w:val="20"/>
              </w:rPr>
            </w:pPr>
            <w:r w:rsidRPr="008A0912">
              <w:rPr>
                <w:b/>
                <w:bCs/>
                <w:color w:val="FFFFFF" w:themeColor="background1"/>
                <w:sz w:val="20"/>
                <w:szCs w:val="20"/>
              </w:rPr>
              <w:t>Seat</w:t>
            </w:r>
          </w:p>
        </w:tc>
      </w:tr>
      <w:tr w:rsidR="00141096" w:rsidRPr="008A0912" w14:paraId="21197E5D" w14:textId="77777777" w:rsidTr="00141096">
        <w:tc>
          <w:tcPr>
            <w:tcW w:w="1705" w:type="dxa"/>
          </w:tcPr>
          <w:p w14:paraId="46BC418D" w14:textId="5D848F9C" w:rsidR="00141096" w:rsidRPr="008A0912" w:rsidRDefault="00141096" w:rsidP="0020761D">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Amy Rosenthal</w:t>
            </w:r>
          </w:p>
        </w:tc>
        <w:tc>
          <w:tcPr>
            <w:tcW w:w="8370" w:type="dxa"/>
          </w:tcPr>
          <w:p w14:paraId="20216494" w14:textId="699C414C" w:rsidR="00141096" w:rsidRPr="008A0912" w:rsidRDefault="00141096" w:rsidP="0020761D">
            <w:pPr>
              <w:spacing w:after="120" w:line="240" w:lineRule="auto"/>
              <w:rPr>
                <w:sz w:val="16"/>
                <w:szCs w:val="16"/>
              </w:rPr>
            </w:pPr>
            <w:r w:rsidRPr="008A0912">
              <w:rPr>
                <w:rFonts w:ascii="Noto Sans" w:hAnsi="Noto Sans" w:cs="Noto Sans"/>
                <w:color w:val="141414"/>
                <w:sz w:val="16"/>
                <w:szCs w:val="16"/>
              </w:rPr>
              <w:t>Chair and designee of the Secretary of the Executive Office of Health and Human Services (EOHHS)</w:t>
            </w:r>
          </w:p>
        </w:tc>
      </w:tr>
      <w:tr w:rsidR="00141096" w:rsidRPr="008A0912" w14:paraId="67E025FE" w14:textId="77777777" w:rsidTr="00141096">
        <w:tc>
          <w:tcPr>
            <w:tcW w:w="1705" w:type="dxa"/>
          </w:tcPr>
          <w:p w14:paraId="7B7180D5" w14:textId="37F9E10F" w:rsidR="00141096" w:rsidRPr="008A0912" w:rsidRDefault="00141096" w:rsidP="0020761D">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Lauren Almeida</w:t>
            </w:r>
          </w:p>
        </w:tc>
        <w:tc>
          <w:tcPr>
            <w:tcW w:w="8370" w:type="dxa"/>
          </w:tcPr>
          <w:p w14:paraId="6A116789" w14:textId="21EE2C57" w:rsidR="00141096" w:rsidRPr="008A0912" w:rsidRDefault="00141096" w:rsidP="00920E4E">
            <w:pPr>
              <w:spacing w:after="120" w:line="240" w:lineRule="auto"/>
              <w:rPr>
                <w:sz w:val="16"/>
                <w:szCs w:val="16"/>
              </w:rPr>
            </w:pPr>
            <w:r w:rsidRPr="008A0912">
              <w:rPr>
                <w:rFonts w:ascii="Noto Sans" w:hAnsi="Noto Sans" w:cs="Noto Sans"/>
                <w:color w:val="141414"/>
                <w:sz w:val="16"/>
                <w:szCs w:val="16"/>
              </w:rPr>
              <w:t xml:space="preserve">Designee of the Commissioner of the Department of Children and Families (DCF) Commissioner </w:t>
            </w:r>
          </w:p>
        </w:tc>
      </w:tr>
      <w:tr w:rsidR="00141096" w:rsidRPr="008A0912" w14:paraId="6621992F" w14:textId="77777777" w:rsidTr="00141096">
        <w:tc>
          <w:tcPr>
            <w:tcW w:w="1705" w:type="dxa"/>
          </w:tcPr>
          <w:p w14:paraId="37658ECE" w14:textId="592940C2" w:rsidR="00141096" w:rsidRPr="008A0912" w:rsidRDefault="00141096" w:rsidP="0020761D">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Kevin Beagan</w:t>
            </w:r>
          </w:p>
        </w:tc>
        <w:tc>
          <w:tcPr>
            <w:tcW w:w="8370" w:type="dxa"/>
          </w:tcPr>
          <w:p w14:paraId="1D1E6D3F" w14:textId="26060802" w:rsidR="00141096" w:rsidRPr="008A0912" w:rsidRDefault="00141096" w:rsidP="0020761D">
            <w:pPr>
              <w:spacing w:after="120" w:line="240" w:lineRule="auto"/>
              <w:rPr>
                <w:sz w:val="16"/>
                <w:szCs w:val="16"/>
              </w:rPr>
            </w:pPr>
            <w:r w:rsidRPr="008A0912">
              <w:rPr>
                <w:rFonts w:ascii="Noto Sans" w:hAnsi="Noto Sans" w:cs="Noto Sans"/>
                <w:color w:val="141414"/>
                <w:sz w:val="16"/>
                <w:szCs w:val="16"/>
              </w:rPr>
              <w:t>Designee of the Commission of the Division of Insurance (DOI)</w:t>
            </w:r>
          </w:p>
        </w:tc>
      </w:tr>
      <w:tr w:rsidR="00141096" w:rsidRPr="008A0912" w14:paraId="58C0DA36" w14:textId="77777777" w:rsidTr="00141096">
        <w:tc>
          <w:tcPr>
            <w:tcW w:w="1705" w:type="dxa"/>
          </w:tcPr>
          <w:p w14:paraId="731E4A15" w14:textId="52D5A367" w:rsidR="00141096" w:rsidRPr="008A0912" w:rsidRDefault="00141096" w:rsidP="002249EB">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Carmel Craig</w:t>
            </w:r>
          </w:p>
        </w:tc>
        <w:tc>
          <w:tcPr>
            <w:tcW w:w="8370" w:type="dxa"/>
          </w:tcPr>
          <w:p w14:paraId="31FE7C3D" w14:textId="075874E0" w:rsidR="00141096" w:rsidRPr="008A0912" w:rsidRDefault="00141096" w:rsidP="002249EB">
            <w:pPr>
              <w:spacing w:after="120" w:line="240" w:lineRule="auto"/>
              <w:rPr>
                <w:sz w:val="16"/>
                <w:szCs w:val="16"/>
              </w:rPr>
            </w:pPr>
            <w:r w:rsidRPr="008A0912">
              <w:rPr>
                <w:rFonts w:ascii="Noto Sans" w:hAnsi="Noto Sans" w:cs="Noto Sans"/>
                <w:color w:val="141414"/>
                <w:sz w:val="16"/>
                <w:szCs w:val="16"/>
              </w:rPr>
              <w:t>Representative from Association for Behavioral Healthcare (ABH)</w:t>
            </w:r>
          </w:p>
        </w:tc>
      </w:tr>
      <w:tr w:rsidR="00141096" w:rsidRPr="008A0912" w14:paraId="12E8C4E4" w14:textId="77777777" w:rsidTr="00141096">
        <w:tc>
          <w:tcPr>
            <w:tcW w:w="1705" w:type="dxa"/>
          </w:tcPr>
          <w:p w14:paraId="5BE912DC" w14:textId="23D40B23"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Rachel Gwaltney</w:t>
            </w:r>
          </w:p>
        </w:tc>
        <w:tc>
          <w:tcPr>
            <w:tcW w:w="8370" w:type="dxa"/>
          </w:tcPr>
          <w:p w14:paraId="79802374" w14:textId="55F5DBA4" w:rsidR="00141096" w:rsidRPr="008A0912" w:rsidRDefault="00141096" w:rsidP="00CF41E7">
            <w:pPr>
              <w:spacing w:after="120" w:line="240" w:lineRule="auto"/>
              <w:rPr>
                <w:sz w:val="16"/>
                <w:szCs w:val="16"/>
              </w:rPr>
            </w:pPr>
            <w:r w:rsidRPr="008A0912">
              <w:rPr>
                <w:rFonts w:ascii="Noto Sans" w:hAnsi="Noto Sans" w:cs="Noto Sans"/>
                <w:color w:val="141414"/>
                <w:sz w:val="16"/>
                <w:szCs w:val="16"/>
              </w:rPr>
              <w:t>Representative from Children’s League of Massachusetts</w:t>
            </w:r>
          </w:p>
        </w:tc>
      </w:tr>
      <w:tr w:rsidR="00141096" w:rsidRPr="008A0912" w14:paraId="2266D0D1" w14:textId="77777777" w:rsidTr="00141096">
        <w:tc>
          <w:tcPr>
            <w:tcW w:w="1705" w:type="dxa"/>
          </w:tcPr>
          <w:p w14:paraId="4CDF240D" w14:textId="396E08D8"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Paul Hyry-Dermith</w:t>
            </w:r>
          </w:p>
        </w:tc>
        <w:tc>
          <w:tcPr>
            <w:tcW w:w="8370" w:type="dxa"/>
          </w:tcPr>
          <w:p w14:paraId="2776E98E" w14:textId="178961D1"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Designee of the House Chair of the Joint Committee on Mental Health, Substance Use, and Recovery (MHSUR)</w:t>
            </w:r>
          </w:p>
        </w:tc>
      </w:tr>
      <w:tr w:rsidR="00141096" w:rsidRPr="008A0912" w14:paraId="133CCA18" w14:textId="77777777" w:rsidTr="00141096">
        <w:tc>
          <w:tcPr>
            <w:tcW w:w="1705" w:type="dxa"/>
          </w:tcPr>
          <w:p w14:paraId="6A214C25" w14:textId="6D3CAE82"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Robyn Kennedy</w:t>
            </w:r>
          </w:p>
        </w:tc>
        <w:tc>
          <w:tcPr>
            <w:tcW w:w="8370" w:type="dxa"/>
          </w:tcPr>
          <w:p w14:paraId="1A731E48" w14:textId="6CF89B5B"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Senate Chair of the Joint Committee on Mental Health, Substance Use, and Recovery (MHSUR)</w:t>
            </w:r>
          </w:p>
        </w:tc>
      </w:tr>
      <w:tr w:rsidR="00141096" w:rsidRPr="008A0912" w14:paraId="2A995AF1" w14:textId="77777777" w:rsidTr="00141096">
        <w:tc>
          <w:tcPr>
            <w:tcW w:w="1705" w:type="dxa"/>
          </w:tcPr>
          <w:p w14:paraId="35D14EBB" w14:textId="5E966199"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Jessica Larochelle</w:t>
            </w:r>
          </w:p>
        </w:tc>
        <w:tc>
          <w:tcPr>
            <w:tcW w:w="8370" w:type="dxa"/>
          </w:tcPr>
          <w:p w14:paraId="39C629B6" w14:textId="39A481E2" w:rsidR="00141096" w:rsidRPr="008A0912" w:rsidRDefault="00141096" w:rsidP="00CF41E7">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Representative from the Massachusetts Association for Mental Health (MAMH)</w:t>
            </w:r>
          </w:p>
        </w:tc>
      </w:tr>
      <w:tr w:rsidR="00141096" w:rsidRPr="008A0912" w14:paraId="62376F91" w14:textId="77777777" w:rsidTr="00141096">
        <w:tc>
          <w:tcPr>
            <w:tcW w:w="1705" w:type="dxa"/>
          </w:tcPr>
          <w:p w14:paraId="386C7F4A" w14:textId="71290413"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David Matteodo</w:t>
            </w:r>
          </w:p>
        </w:tc>
        <w:tc>
          <w:tcPr>
            <w:tcW w:w="8370" w:type="dxa"/>
          </w:tcPr>
          <w:p w14:paraId="355C1838" w14:textId="303490D0"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Representative from the Massachusetts Association of Behavioral Health Systems (MABHS)</w:t>
            </w:r>
          </w:p>
        </w:tc>
      </w:tr>
      <w:tr w:rsidR="00141096" w:rsidRPr="008A0912" w14:paraId="5741A898" w14:textId="77777777" w:rsidTr="00141096">
        <w:tc>
          <w:tcPr>
            <w:tcW w:w="1705" w:type="dxa"/>
          </w:tcPr>
          <w:p w14:paraId="5D370473" w14:textId="335602C6"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Kristen McKinnon</w:t>
            </w:r>
          </w:p>
        </w:tc>
        <w:tc>
          <w:tcPr>
            <w:tcW w:w="8370" w:type="dxa"/>
          </w:tcPr>
          <w:p w14:paraId="22B29C5A" w14:textId="71B18A0E" w:rsidR="00141096" w:rsidRPr="008A0912" w:rsidRDefault="00141096" w:rsidP="002D2679">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Designee of the Commissioner of the Department of Elementary and Secondary Education (DESE)</w:t>
            </w:r>
          </w:p>
        </w:tc>
      </w:tr>
      <w:tr w:rsidR="00141096" w:rsidRPr="008A0912" w14:paraId="237730F4" w14:textId="77777777" w:rsidTr="00141096">
        <w:tc>
          <w:tcPr>
            <w:tcW w:w="1705" w:type="dxa"/>
          </w:tcPr>
          <w:p w14:paraId="7CCEFCD7" w14:textId="0CEC9D00"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Lisa Morrow</w:t>
            </w:r>
          </w:p>
        </w:tc>
        <w:tc>
          <w:tcPr>
            <w:tcW w:w="8370" w:type="dxa"/>
          </w:tcPr>
          <w:p w14:paraId="2BC6B46D" w14:textId="14DB6176"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Representative from Health Law Advocates</w:t>
            </w:r>
          </w:p>
        </w:tc>
      </w:tr>
      <w:tr w:rsidR="00141096" w:rsidRPr="008A0912" w14:paraId="482554BA" w14:textId="77777777" w:rsidTr="00141096">
        <w:tc>
          <w:tcPr>
            <w:tcW w:w="1705" w:type="dxa"/>
          </w:tcPr>
          <w:p w14:paraId="5B3D6EC7" w14:textId="7C0792D3"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Lee Robinson</w:t>
            </w:r>
          </w:p>
        </w:tc>
        <w:tc>
          <w:tcPr>
            <w:tcW w:w="8370" w:type="dxa"/>
          </w:tcPr>
          <w:p w14:paraId="06D614A1" w14:textId="6E571157"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 xml:space="preserve">Designee of the MassHealth </w:t>
            </w:r>
            <w:r w:rsidR="00146CE6">
              <w:rPr>
                <w:rFonts w:ascii="Noto Sans" w:hAnsi="Noto Sans" w:cs="Noto Sans"/>
                <w:color w:val="141414"/>
                <w:sz w:val="16"/>
                <w:szCs w:val="16"/>
              </w:rPr>
              <w:t>Assistant S</w:t>
            </w:r>
            <w:r w:rsidRPr="008A0912">
              <w:rPr>
                <w:rFonts w:ascii="Noto Sans" w:hAnsi="Noto Sans" w:cs="Noto Sans"/>
                <w:color w:val="141414"/>
                <w:sz w:val="16"/>
                <w:szCs w:val="16"/>
              </w:rPr>
              <w:t>ecretary</w:t>
            </w:r>
          </w:p>
        </w:tc>
      </w:tr>
      <w:tr w:rsidR="00141096" w:rsidRPr="008A0912" w14:paraId="6A624950" w14:textId="77777777" w:rsidTr="00141096">
        <w:tc>
          <w:tcPr>
            <w:tcW w:w="1705" w:type="dxa"/>
          </w:tcPr>
          <w:p w14:paraId="2E923652" w14:textId="158238FE"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Pamela Sager</w:t>
            </w:r>
          </w:p>
        </w:tc>
        <w:tc>
          <w:tcPr>
            <w:tcW w:w="8370" w:type="dxa"/>
          </w:tcPr>
          <w:p w14:paraId="5B303D68" w14:textId="4F4E5458"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Representative from the Parent/Professional Advocacy League (PPAL) </w:t>
            </w:r>
          </w:p>
        </w:tc>
      </w:tr>
      <w:tr w:rsidR="00141096" w:rsidRPr="008A0912" w14:paraId="1C7BEB37" w14:textId="77777777" w:rsidTr="00141096">
        <w:tc>
          <w:tcPr>
            <w:tcW w:w="1705" w:type="dxa"/>
          </w:tcPr>
          <w:p w14:paraId="34840F1F" w14:textId="72A1D720"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Leigh Simons</w:t>
            </w:r>
          </w:p>
        </w:tc>
        <w:tc>
          <w:tcPr>
            <w:tcW w:w="8370" w:type="dxa"/>
          </w:tcPr>
          <w:p w14:paraId="57A376A6" w14:textId="688EC988"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Representative from the Massachusetts Health and Hospital Association (MHA) </w:t>
            </w:r>
          </w:p>
        </w:tc>
      </w:tr>
      <w:tr w:rsidR="00141096" w:rsidRPr="008A0912" w14:paraId="0BB2FB77" w14:textId="77777777" w:rsidTr="00141096">
        <w:tc>
          <w:tcPr>
            <w:tcW w:w="1705" w:type="dxa"/>
          </w:tcPr>
          <w:p w14:paraId="7068DF31" w14:textId="7E59D668"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Aimee Smith-Zeoli</w:t>
            </w:r>
          </w:p>
        </w:tc>
        <w:tc>
          <w:tcPr>
            <w:tcW w:w="8370" w:type="dxa"/>
          </w:tcPr>
          <w:p w14:paraId="58FB5780" w14:textId="6FE02CD7" w:rsidR="00141096" w:rsidRPr="008A0912" w:rsidRDefault="00141096" w:rsidP="00AE76DC">
            <w:pPr>
              <w:spacing w:after="120" w:line="240" w:lineRule="auto"/>
              <w:rPr>
                <w:sz w:val="16"/>
                <w:szCs w:val="16"/>
              </w:rPr>
            </w:pPr>
            <w:r w:rsidRPr="008A0912">
              <w:rPr>
                <w:rFonts w:ascii="Noto Sans" w:hAnsi="Noto Sans" w:cs="Noto Sans"/>
                <w:color w:val="141414"/>
                <w:sz w:val="16"/>
                <w:szCs w:val="16"/>
              </w:rPr>
              <w:t>Designee of the Commissioner of Early Education and Care (EEC)</w:t>
            </w:r>
          </w:p>
        </w:tc>
      </w:tr>
      <w:tr w:rsidR="00141096" w:rsidRPr="008A0912" w14:paraId="137EE5BE" w14:textId="77777777" w:rsidTr="00141096">
        <w:tc>
          <w:tcPr>
            <w:tcW w:w="1705" w:type="dxa"/>
          </w:tcPr>
          <w:p w14:paraId="0821DCEA" w14:textId="2957B9E5" w:rsidR="00141096" w:rsidRPr="008A0912" w:rsidRDefault="00141096" w:rsidP="00AE76DC">
            <w:pPr>
              <w:spacing w:after="120" w:line="240" w:lineRule="auto"/>
              <w:rPr>
                <w:rFonts w:ascii="Noto Sans" w:hAnsi="Noto Sans" w:cs="Noto Sans"/>
                <w:color w:val="141414"/>
                <w:sz w:val="16"/>
                <w:szCs w:val="16"/>
              </w:rPr>
            </w:pPr>
            <w:r w:rsidRPr="008A0912">
              <w:rPr>
                <w:rFonts w:ascii="Noto Sans" w:hAnsi="Noto Sans" w:cs="Noto Sans"/>
                <w:color w:val="141414"/>
                <w:sz w:val="16"/>
                <w:szCs w:val="16"/>
              </w:rPr>
              <w:t>Charlene Zuffante</w:t>
            </w:r>
          </w:p>
        </w:tc>
        <w:tc>
          <w:tcPr>
            <w:tcW w:w="8370" w:type="dxa"/>
          </w:tcPr>
          <w:p w14:paraId="15364D9F" w14:textId="47FBF79D" w:rsidR="00141096" w:rsidRPr="008A0912" w:rsidRDefault="00141096" w:rsidP="00AE76DC">
            <w:pPr>
              <w:spacing w:after="120" w:line="240" w:lineRule="auto"/>
              <w:rPr>
                <w:sz w:val="16"/>
                <w:szCs w:val="16"/>
              </w:rPr>
            </w:pPr>
            <w:r w:rsidRPr="008A0912">
              <w:rPr>
                <w:rFonts w:ascii="Noto Sans" w:hAnsi="Noto Sans" w:cs="Noto Sans"/>
                <w:color w:val="141414"/>
                <w:sz w:val="16"/>
                <w:szCs w:val="16"/>
              </w:rPr>
              <w:t>Designee of the Commissioner of the Department of Mental Health (DMH)</w:t>
            </w:r>
          </w:p>
        </w:tc>
      </w:tr>
    </w:tbl>
    <w:p w14:paraId="0A8BFBA3" w14:textId="77777777" w:rsidR="00A61FBF" w:rsidRDefault="00A61FBF" w:rsidP="00CE0AD2">
      <w:pPr>
        <w:rPr>
          <w:rFonts w:cs="Calibri"/>
          <w:b/>
          <w:bCs/>
          <w:sz w:val="22"/>
          <w:szCs w:val="22"/>
        </w:rPr>
      </w:pPr>
    </w:p>
    <w:p w14:paraId="5DD7BF46" w14:textId="77777777" w:rsidR="00A61FBF" w:rsidRDefault="00A61FBF">
      <w:pPr>
        <w:rPr>
          <w:rFonts w:cs="Calibri"/>
          <w:b/>
          <w:bCs/>
          <w:sz w:val="22"/>
          <w:szCs w:val="22"/>
        </w:rPr>
      </w:pPr>
      <w:r>
        <w:rPr>
          <w:rFonts w:cs="Calibri"/>
          <w:b/>
          <w:bCs/>
          <w:sz w:val="22"/>
          <w:szCs w:val="22"/>
        </w:rPr>
        <w:br w:type="page"/>
      </w:r>
    </w:p>
    <w:p w14:paraId="38CBB170" w14:textId="77F46DD2" w:rsidR="00842F13" w:rsidRPr="00741148" w:rsidRDefault="00842F13" w:rsidP="00842F13">
      <w:pPr>
        <w:rPr>
          <w:rFonts w:cs="Calibri"/>
          <w:b/>
          <w:bCs/>
          <w:sz w:val="22"/>
          <w:szCs w:val="22"/>
          <w:u w:val="single"/>
        </w:rPr>
      </w:pPr>
      <w:r w:rsidRPr="00741148">
        <w:rPr>
          <w:rFonts w:cs="Calibri"/>
          <w:b/>
          <w:bCs/>
          <w:sz w:val="22"/>
          <w:szCs w:val="22"/>
          <w:u w:val="single"/>
        </w:rPr>
        <w:t>Appendix C</w:t>
      </w:r>
      <w:r w:rsidR="00741148" w:rsidRPr="00741148">
        <w:rPr>
          <w:rFonts w:cs="Calibri"/>
          <w:b/>
          <w:bCs/>
          <w:sz w:val="22"/>
          <w:szCs w:val="22"/>
          <w:u w:val="single"/>
        </w:rPr>
        <w:t xml:space="preserve"> –</w:t>
      </w:r>
      <w:r w:rsidRPr="00741148">
        <w:rPr>
          <w:rFonts w:cs="Calibri"/>
          <w:b/>
          <w:bCs/>
          <w:sz w:val="22"/>
          <w:szCs w:val="22"/>
          <w:u w:val="single"/>
        </w:rPr>
        <w:t xml:space="preserve"> Re</w:t>
      </w:r>
      <w:r w:rsidR="003A1B0A" w:rsidRPr="00741148">
        <w:rPr>
          <w:rFonts w:cs="Calibri"/>
          <w:b/>
          <w:bCs/>
          <w:sz w:val="22"/>
          <w:szCs w:val="22"/>
          <w:u w:val="single"/>
        </w:rPr>
        <w:t>ports and Re</w:t>
      </w:r>
      <w:r w:rsidRPr="00741148">
        <w:rPr>
          <w:rFonts w:cs="Calibri"/>
          <w:b/>
          <w:bCs/>
          <w:sz w:val="22"/>
          <w:szCs w:val="22"/>
          <w:u w:val="single"/>
        </w:rPr>
        <w:t>sources Reviewed by the Commission</w:t>
      </w:r>
    </w:p>
    <w:p w14:paraId="7962EFF9" w14:textId="24FFF1DB" w:rsidR="00842F13" w:rsidRDefault="00842F13" w:rsidP="00842F13">
      <w:pPr>
        <w:rPr>
          <w:rFonts w:cs="Calibri"/>
          <w:b/>
          <w:bCs/>
          <w:color w:val="EE0000"/>
          <w:sz w:val="22"/>
          <w:szCs w:val="22"/>
        </w:rPr>
      </w:pPr>
    </w:p>
    <w:p w14:paraId="149B7011" w14:textId="77777777" w:rsidR="00F760D2" w:rsidRPr="006F11FF" w:rsidRDefault="00F760D2" w:rsidP="00BE4783">
      <w:pPr>
        <w:numPr>
          <w:ilvl w:val="0"/>
          <w:numId w:val="10"/>
        </w:numPr>
        <w:rPr>
          <w:rFonts w:cs="Calibri"/>
          <w:b/>
          <w:bCs/>
          <w:sz w:val="22"/>
          <w:szCs w:val="22"/>
        </w:rPr>
      </w:pPr>
      <w:r w:rsidRPr="006F11FF">
        <w:rPr>
          <w:rFonts w:cs="Calibri"/>
          <w:b/>
          <w:bCs/>
          <w:sz w:val="22"/>
          <w:szCs w:val="22"/>
        </w:rPr>
        <w:t>Children's Behavioral Health Initiative</w:t>
      </w:r>
    </w:p>
    <w:p w14:paraId="2A2700BD" w14:textId="77777777" w:rsidR="00F760D2" w:rsidRPr="006F11FF" w:rsidRDefault="00F760D2" w:rsidP="00BE4783">
      <w:pPr>
        <w:numPr>
          <w:ilvl w:val="1"/>
          <w:numId w:val="10"/>
        </w:numPr>
        <w:rPr>
          <w:rFonts w:cs="Calibri"/>
          <w:b/>
          <w:bCs/>
          <w:color w:val="0070C0"/>
          <w:sz w:val="22"/>
          <w:szCs w:val="22"/>
        </w:rPr>
      </w:pPr>
      <w:hyperlink r:id="rId13" w:history="1">
        <w:r w:rsidRPr="006F11FF">
          <w:rPr>
            <w:rStyle w:val="Hyperlink"/>
            <w:rFonts w:cs="Calibri"/>
            <w:b/>
            <w:bCs/>
            <w:color w:val="0070C0"/>
            <w:sz w:val="22"/>
            <w:szCs w:val="22"/>
          </w:rPr>
          <w:t>Data and Reports</w:t>
        </w:r>
      </w:hyperlink>
    </w:p>
    <w:p w14:paraId="35540DDB" w14:textId="77777777" w:rsidR="00F760D2" w:rsidRPr="006F11FF" w:rsidRDefault="00F760D2" w:rsidP="00BE4783">
      <w:pPr>
        <w:numPr>
          <w:ilvl w:val="0"/>
          <w:numId w:val="10"/>
        </w:numPr>
        <w:rPr>
          <w:rFonts w:cs="Calibri"/>
          <w:b/>
          <w:bCs/>
          <w:sz w:val="22"/>
          <w:szCs w:val="22"/>
        </w:rPr>
      </w:pPr>
      <w:r w:rsidRPr="006F11FF">
        <w:rPr>
          <w:rFonts w:cs="Calibri"/>
          <w:b/>
          <w:bCs/>
          <w:sz w:val="22"/>
          <w:szCs w:val="22"/>
        </w:rPr>
        <w:t>Children's Behavioral Health Advisory Council Reports:</w:t>
      </w:r>
    </w:p>
    <w:p w14:paraId="74A45110" w14:textId="77777777" w:rsidR="00F760D2" w:rsidRPr="006F11FF" w:rsidRDefault="00F760D2" w:rsidP="00BE4783">
      <w:pPr>
        <w:numPr>
          <w:ilvl w:val="1"/>
          <w:numId w:val="10"/>
        </w:numPr>
        <w:rPr>
          <w:rFonts w:cs="Calibri"/>
          <w:b/>
          <w:bCs/>
          <w:color w:val="0070C0"/>
          <w:sz w:val="22"/>
          <w:szCs w:val="22"/>
        </w:rPr>
      </w:pPr>
      <w:hyperlink r:id="rId14" w:history="1">
        <w:r w:rsidRPr="006F11FF">
          <w:rPr>
            <w:rStyle w:val="Hyperlink"/>
            <w:rFonts w:cs="Calibri"/>
            <w:b/>
            <w:bCs/>
            <w:color w:val="0070C0"/>
            <w:sz w:val="22"/>
            <w:szCs w:val="22"/>
          </w:rPr>
          <w:t>2022</w:t>
        </w:r>
      </w:hyperlink>
    </w:p>
    <w:p w14:paraId="5EC6D017" w14:textId="77777777" w:rsidR="00F760D2" w:rsidRPr="006F11FF" w:rsidRDefault="00F760D2" w:rsidP="00BE4783">
      <w:pPr>
        <w:numPr>
          <w:ilvl w:val="1"/>
          <w:numId w:val="10"/>
        </w:numPr>
        <w:rPr>
          <w:rFonts w:cs="Calibri"/>
          <w:b/>
          <w:bCs/>
          <w:color w:val="0070C0"/>
          <w:sz w:val="22"/>
          <w:szCs w:val="22"/>
        </w:rPr>
      </w:pPr>
      <w:hyperlink r:id="rId15" w:history="1">
        <w:r w:rsidRPr="006F11FF">
          <w:rPr>
            <w:rStyle w:val="Hyperlink"/>
            <w:rFonts w:cs="Calibri"/>
            <w:b/>
            <w:bCs/>
            <w:color w:val="0070C0"/>
            <w:sz w:val="22"/>
            <w:szCs w:val="22"/>
          </w:rPr>
          <w:t>2023</w:t>
        </w:r>
      </w:hyperlink>
      <w:r w:rsidRPr="006F11FF">
        <w:rPr>
          <w:rFonts w:cs="Calibri"/>
          <w:b/>
          <w:bCs/>
          <w:color w:val="0070C0"/>
          <w:sz w:val="22"/>
          <w:szCs w:val="22"/>
        </w:rPr>
        <w:t xml:space="preserve"> </w:t>
      </w:r>
    </w:p>
    <w:p w14:paraId="0C29F72C" w14:textId="77777777" w:rsidR="00F760D2" w:rsidRPr="006F11FF" w:rsidRDefault="00F760D2" w:rsidP="00BE4783">
      <w:pPr>
        <w:numPr>
          <w:ilvl w:val="1"/>
          <w:numId w:val="10"/>
        </w:numPr>
        <w:rPr>
          <w:rFonts w:cs="Calibri"/>
          <w:b/>
          <w:bCs/>
          <w:color w:val="0070C0"/>
          <w:sz w:val="22"/>
          <w:szCs w:val="22"/>
        </w:rPr>
      </w:pPr>
      <w:hyperlink r:id="rId16" w:history="1">
        <w:r w:rsidRPr="006F11FF">
          <w:rPr>
            <w:rStyle w:val="Hyperlink"/>
            <w:rFonts w:cs="Calibri"/>
            <w:b/>
            <w:bCs/>
            <w:color w:val="0070C0"/>
            <w:sz w:val="22"/>
            <w:szCs w:val="22"/>
          </w:rPr>
          <w:t>2024</w:t>
        </w:r>
      </w:hyperlink>
    </w:p>
    <w:p w14:paraId="40FC0D47" w14:textId="77777777" w:rsidR="00F760D2" w:rsidRPr="006F11FF" w:rsidRDefault="00F760D2" w:rsidP="00BE4783">
      <w:pPr>
        <w:numPr>
          <w:ilvl w:val="0"/>
          <w:numId w:val="10"/>
        </w:numPr>
        <w:rPr>
          <w:rFonts w:cs="Calibri"/>
          <w:b/>
          <w:bCs/>
          <w:sz w:val="22"/>
          <w:szCs w:val="22"/>
        </w:rPr>
      </w:pPr>
      <w:r w:rsidRPr="006F11FF">
        <w:rPr>
          <w:rFonts w:cs="Calibri"/>
          <w:b/>
          <w:bCs/>
          <w:sz w:val="22"/>
          <w:szCs w:val="22"/>
        </w:rPr>
        <w:t>Autism Commission Reports:</w:t>
      </w:r>
    </w:p>
    <w:p w14:paraId="209642C6" w14:textId="77777777" w:rsidR="00F760D2" w:rsidRPr="006F11FF" w:rsidRDefault="00F760D2" w:rsidP="00BE4783">
      <w:pPr>
        <w:numPr>
          <w:ilvl w:val="1"/>
          <w:numId w:val="10"/>
        </w:numPr>
        <w:rPr>
          <w:rFonts w:cs="Calibri"/>
          <w:b/>
          <w:bCs/>
          <w:color w:val="0070C0"/>
          <w:sz w:val="22"/>
          <w:szCs w:val="22"/>
        </w:rPr>
      </w:pPr>
      <w:hyperlink r:id="rId17" w:history="1">
        <w:r w:rsidRPr="006F11FF">
          <w:rPr>
            <w:rStyle w:val="Hyperlink"/>
            <w:rFonts w:cs="Calibri"/>
            <w:b/>
            <w:bCs/>
            <w:color w:val="0070C0"/>
            <w:sz w:val="22"/>
            <w:szCs w:val="22"/>
          </w:rPr>
          <w:t>2022-2024</w:t>
        </w:r>
      </w:hyperlink>
    </w:p>
    <w:p w14:paraId="3F8C6193" w14:textId="77777777" w:rsidR="00F760D2" w:rsidRPr="006F11FF" w:rsidRDefault="00F760D2" w:rsidP="00BE4783">
      <w:pPr>
        <w:numPr>
          <w:ilvl w:val="0"/>
          <w:numId w:val="10"/>
        </w:numPr>
        <w:rPr>
          <w:rFonts w:cs="Calibri"/>
          <w:b/>
          <w:bCs/>
          <w:sz w:val="22"/>
          <w:szCs w:val="22"/>
        </w:rPr>
      </w:pPr>
      <w:r w:rsidRPr="006F11FF">
        <w:rPr>
          <w:rFonts w:cs="Calibri"/>
          <w:b/>
          <w:bCs/>
          <w:sz w:val="22"/>
          <w:szCs w:val="22"/>
        </w:rPr>
        <w:t>Unaccompanied Homeless Youth Commission Reports</w:t>
      </w:r>
    </w:p>
    <w:p w14:paraId="07880E5C" w14:textId="77777777" w:rsidR="00F760D2" w:rsidRPr="006F11FF" w:rsidRDefault="00F760D2" w:rsidP="00BE4783">
      <w:pPr>
        <w:numPr>
          <w:ilvl w:val="1"/>
          <w:numId w:val="10"/>
        </w:numPr>
        <w:rPr>
          <w:rFonts w:cs="Calibri"/>
          <w:b/>
          <w:bCs/>
          <w:color w:val="0070C0"/>
          <w:sz w:val="22"/>
          <w:szCs w:val="22"/>
        </w:rPr>
      </w:pPr>
      <w:hyperlink r:id="rId18" w:history="1">
        <w:r w:rsidRPr="006F11FF">
          <w:rPr>
            <w:rStyle w:val="Hyperlink"/>
            <w:rFonts w:cs="Calibri"/>
            <w:b/>
            <w:bCs/>
            <w:color w:val="0070C0"/>
            <w:sz w:val="22"/>
            <w:szCs w:val="22"/>
          </w:rPr>
          <w:t>Youth Count Reports, 2022-2024</w:t>
        </w:r>
      </w:hyperlink>
    </w:p>
    <w:p w14:paraId="099B9D9E" w14:textId="77777777" w:rsidR="00F760D2" w:rsidRPr="006F11FF" w:rsidRDefault="00F760D2" w:rsidP="00BE4783">
      <w:pPr>
        <w:numPr>
          <w:ilvl w:val="0"/>
          <w:numId w:val="10"/>
        </w:numPr>
        <w:rPr>
          <w:rFonts w:cs="Calibri"/>
          <w:b/>
          <w:bCs/>
          <w:sz w:val="22"/>
          <w:szCs w:val="22"/>
        </w:rPr>
      </w:pPr>
      <w:r w:rsidRPr="006F11FF">
        <w:rPr>
          <w:rFonts w:cs="Calibri"/>
          <w:b/>
          <w:bCs/>
          <w:sz w:val="22"/>
          <w:szCs w:val="22"/>
        </w:rPr>
        <w:t xml:space="preserve">Children's Mental Health Campaign </w:t>
      </w:r>
    </w:p>
    <w:p w14:paraId="6D5DD7D2" w14:textId="66320025" w:rsidR="00F760D2" w:rsidRPr="006F11FF" w:rsidRDefault="00F760D2" w:rsidP="00BE4783">
      <w:pPr>
        <w:numPr>
          <w:ilvl w:val="1"/>
          <w:numId w:val="10"/>
        </w:numPr>
        <w:rPr>
          <w:rFonts w:cs="Calibri"/>
          <w:b/>
          <w:bCs/>
          <w:color w:val="0070C0"/>
          <w:sz w:val="22"/>
          <w:szCs w:val="22"/>
          <w:u w:val="single"/>
        </w:rPr>
      </w:pPr>
      <w:r w:rsidRPr="006F11FF">
        <w:rPr>
          <w:rFonts w:cs="Calibri"/>
          <w:b/>
          <w:bCs/>
          <w:color w:val="0070C0"/>
          <w:sz w:val="22"/>
          <w:szCs w:val="22"/>
          <w:u w:val="single"/>
        </w:rPr>
        <w:t>School Based Behavioral Advisory Group</w:t>
      </w:r>
      <w:r w:rsidR="00343210" w:rsidRPr="006F11FF">
        <w:rPr>
          <w:rFonts w:cs="Calibri"/>
          <w:b/>
          <w:bCs/>
          <w:color w:val="0070C0"/>
          <w:sz w:val="22"/>
          <w:szCs w:val="22"/>
          <w:u w:val="single"/>
        </w:rPr>
        <w:t xml:space="preserve"> </w:t>
      </w:r>
      <w:hyperlink r:id="rId19" w:history="1">
        <w:r w:rsidRPr="006F11FF">
          <w:rPr>
            <w:rStyle w:val="Hyperlink"/>
            <w:rFonts w:cs="Calibri"/>
            <w:b/>
            <w:bCs/>
            <w:color w:val="0070C0"/>
            <w:sz w:val="22"/>
            <w:szCs w:val="22"/>
          </w:rPr>
          <w:t>2023</w:t>
        </w:r>
      </w:hyperlink>
      <w:r w:rsidR="00343210" w:rsidRPr="006F11FF">
        <w:rPr>
          <w:rFonts w:cs="Calibri"/>
          <w:b/>
          <w:bCs/>
          <w:color w:val="0070C0"/>
          <w:sz w:val="22"/>
          <w:szCs w:val="22"/>
          <w:u w:val="single"/>
        </w:rPr>
        <w:t xml:space="preserve"> reportp</w:t>
      </w:r>
    </w:p>
    <w:p w14:paraId="442D9717" w14:textId="77777777" w:rsidR="00F760D2" w:rsidRPr="006F11FF" w:rsidRDefault="00F760D2" w:rsidP="00BE4783">
      <w:pPr>
        <w:numPr>
          <w:ilvl w:val="1"/>
          <w:numId w:val="10"/>
        </w:numPr>
        <w:rPr>
          <w:rFonts w:cs="Calibri"/>
          <w:b/>
          <w:bCs/>
          <w:color w:val="0070C0"/>
          <w:sz w:val="22"/>
          <w:szCs w:val="22"/>
        </w:rPr>
      </w:pPr>
      <w:hyperlink r:id="rId20" w:history="1">
        <w:r w:rsidRPr="006F11FF">
          <w:rPr>
            <w:rStyle w:val="Hyperlink"/>
            <w:rFonts w:cs="Calibri"/>
            <w:b/>
            <w:bCs/>
            <w:color w:val="0070C0"/>
            <w:sz w:val="22"/>
            <w:szCs w:val="22"/>
          </w:rPr>
          <w:t>Infant and Early Childhood Mental Health (</w:t>
        </w:r>
      </w:hyperlink>
      <w:hyperlink r:id="rId21" w:history="1">
        <w:r w:rsidRPr="006F11FF">
          <w:rPr>
            <w:rStyle w:val="Hyperlink"/>
            <w:rFonts w:cs="Calibri"/>
            <w:b/>
            <w:bCs/>
            <w:color w:val="0070C0"/>
            <w:sz w:val="22"/>
            <w:szCs w:val="22"/>
          </w:rPr>
          <w:t>IECMH</w:t>
        </w:r>
      </w:hyperlink>
      <w:hyperlink r:id="rId22" w:history="1">
        <w:r w:rsidRPr="006F11FF">
          <w:rPr>
            <w:rStyle w:val="Hyperlink"/>
            <w:rFonts w:cs="Calibri"/>
            <w:b/>
            <w:bCs/>
            <w:color w:val="0070C0"/>
            <w:sz w:val="22"/>
            <w:szCs w:val="22"/>
          </w:rPr>
          <w:t>) Workgroup</w:t>
        </w:r>
      </w:hyperlink>
      <w:r w:rsidRPr="006F11FF">
        <w:rPr>
          <w:rFonts w:cs="Calibri"/>
          <w:b/>
          <w:bCs/>
          <w:color w:val="0070C0"/>
          <w:sz w:val="22"/>
          <w:szCs w:val="22"/>
        </w:rPr>
        <w:t> </w:t>
      </w:r>
    </w:p>
    <w:p w14:paraId="4682283B" w14:textId="6A063A90" w:rsidR="00A061B6" w:rsidRPr="006F11FF" w:rsidRDefault="00A061B6" w:rsidP="00BE4783">
      <w:pPr>
        <w:numPr>
          <w:ilvl w:val="1"/>
          <w:numId w:val="11"/>
        </w:numPr>
        <w:rPr>
          <w:rFonts w:cs="Calibri"/>
          <w:b/>
          <w:bCs/>
          <w:sz w:val="22"/>
          <w:szCs w:val="22"/>
        </w:rPr>
      </w:pPr>
      <w:r w:rsidRPr="006F11FF">
        <w:rPr>
          <w:rFonts w:cs="Calibri"/>
          <w:b/>
          <w:bCs/>
          <w:sz w:val="22"/>
          <w:szCs w:val="22"/>
        </w:rPr>
        <w:t>E4 Project: </w:t>
      </w:r>
      <w:hyperlink r:id="rId23" w:history="1">
        <w:r w:rsidRPr="006F11FF">
          <w:rPr>
            <w:rStyle w:val="Hyperlink"/>
            <w:rFonts w:cs="Calibri"/>
            <w:b/>
            <w:bCs/>
            <w:color w:val="0070C0"/>
            <w:sz w:val="22"/>
            <w:szCs w:val="22"/>
          </w:rPr>
          <w:t>Recommendations</w:t>
        </w:r>
      </w:hyperlink>
      <w:r w:rsidR="004C2B20">
        <w:rPr>
          <w:rFonts w:cs="Calibri"/>
          <w:b/>
          <w:bCs/>
          <w:sz w:val="22"/>
          <w:szCs w:val="22"/>
        </w:rPr>
        <w:t xml:space="preserve"> &amp; </w:t>
      </w:r>
      <w:hyperlink r:id="rId24" w:history="1">
        <w:r w:rsidRPr="006F11FF">
          <w:rPr>
            <w:rStyle w:val="Hyperlink"/>
            <w:rFonts w:cs="Calibri"/>
            <w:b/>
            <w:bCs/>
            <w:color w:val="0070C0"/>
            <w:sz w:val="22"/>
            <w:szCs w:val="22"/>
          </w:rPr>
          <w:t>Services Landscape &amp; Family Journey Maps</w:t>
        </w:r>
      </w:hyperlink>
    </w:p>
    <w:p w14:paraId="6B686732" w14:textId="444E949C" w:rsidR="001E41EA" w:rsidRDefault="001E41EA" w:rsidP="00BE4783">
      <w:pPr>
        <w:numPr>
          <w:ilvl w:val="0"/>
          <w:numId w:val="12"/>
        </w:numPr>
        <w:rPr>
          <w:rFonts w:cs="Calibri"/>
          <w:b/>
          <w:bCs/>
          <w:sz w:val="22"/>
          <w:szCs w:val="22"/>
        </w:rPr>
      </w:pPr>
      <w:r>
        <w:rPr>
          <w:rFonts w:cs="Calibri"/>
          <w:b/>
          <w:bCs/>
          <w:sz w:val="22"/>
          <w:szCs w:val="22"/>
        </w:rPr>
        <w:t>Massachusetts Taxpayers Foundation</w:t>
      </w:r>
    </w:p>
    <w:p w14:paraId="0A4E3169" w14:textId="7D6C0BB1" w:rsidR="00A061B6" w:rsidRPr="006F11FF" w:rsidRDefault="00A061B6" w:rsidP="00BE4783">
      <w:pPr>
        <w:numPr>
          <w:ilvl w:val="1"/>
          <w:numId w:val="12"/>
        </w:numPr>
        <w:rPr>
          <w:rFonts w:cs="Calibri"/>
          <w:b/>
          <w:bCs/>
          <w:color w:val="0070C0"/>
          <w:sz w:val="22"/>
          <w:szCs w:val="22"/>
        </w:rPr>
      </w:pPr>
      <w:hyperlink r:id="rId25" w:history="1">
        <w:r w:rsidRPr="006F11FF">
          <w:rPr>
            <w:rStyle w:val="Hyperlink"/>
            <w:rFonts w:cs="Calibri"/>
            <w:b/>
            <w:bCs/>
            <w:color w:val="0070C0"/>
            <w:sz w:val="22"/>
            <w:szCs w:val="22"/>
          </w:rPr>
          <w:t>Overview of Pediatric Behavioral Health Crisis</w:t>
        </w:r>
        <w:r w:rsidR="001E41EA" w:rsidRPr="001E41EA">
          <w:rPr>
            <w:rStyle w:val="Hyperlink"/>
            <w:rFonts w:cs="Calibri"/>
            <w:b/>
            <w:bCs/>
            <w:color w:val="0070C0"/>
            <w:sz w:val="22"/>
            <w:szCs w:val="22"/>
          </w:rPr>
          <w:t xml:space="preserve"> (</w:t>
        </w:r>
        <w:r w:rsidRPr="006F11FF">
          <w:rPr>
            <w:rStyle w:val="Hyperlink"/>
            <w:rFonts w:cs="Calibri"/>
            <w:b/>
            <w:bCs/>
            <w:color w:val="0070C0"/>
            <w:sz w:val="22"/>
            <w:szCs w:val="22"/>
          </w:rPr>
          <w:t>2024</w:t>
        </w:r>
      </w:hyperlink>
      <w:r w:rsidR="001E41EA" w:rsidRPr="001E41EA">
        <w:rPr>
          <w:rFonts w:cs="Calibri"/>
          <w:b/>
          <w:bCs/>
          <w:color w:val="0070C0"/>
          <w:sz w:val="22"/>
          <w:szCs w:val="22"/>
        </w:rPr>
        <w:t>)</w:t>
      </w:r>
    </w:p>
    <w:p w14:paraId="74CA31AE" w14:textId="77777777" w:rsidR="00A061B6" w:rsidRPr="006F11FF" w:rsidRDefault="00A061B6" w:rsidP="00BE4783">
      <w:pPr>
        <w:numPr>
          <w:ilvl w:val="0"/>
          <w:numId w:val="12"/>
        </w:numPr>
        <w:rPr>
          <w:rFonts w:cs="Calibri"/>
          <w:b/>
          <w:bCs/>
          <w:sz w:val="22"/>
          <w:szCs w:val="22"/>
        </w:rPr>
      </w:pPr>
      <w:r w:rsidRPr="006F11FF">
        <w:rPr>
          <w:rFonts w:cs="Calibri"/>
          <w:b/>
          <w:bCs/>
          <w:sz w:val="22"/>
          <w:szCs w:val="22"/>
        </w:rPr>
        <w:t>MA Child Psychiatry Access Project (MCAP) Report</w:t>
      </w:r>
    </w:p>
    <w:p w14:paraId="0BE0C452" w14:textId="77777777" w:rsidR="00A061B6" w:rsidRPr="006F11FF" w:rsidRDefault="00A061B6" w:rsidP="00BE4783">
      <w:pPr>
        <w:numPr>
          <w:ilvl w:val="1"/>
          <w:numId w:val="12"/>
        </w:numPr>
        <w:rPr>
          <w:rFonts w:cs="Calibri"/>
          <w:b/>
          <w:bCs/>
          <w:color w:val="0070C0"/>
          <w:sz w:val="22"/>
          <w:szCs w:val="22"/>
        </w:rPr>
      </w:pPr>
      <w:hyperlink r:id="rId26" w:history="1">
        <w:r w:rsidRPr="006F11FF">
          <w:rPr>
            <w:rStyle w:val="Hyperlink"/>
            <w:rFonts w:cs="Calibri"/>
            <w:b/>
            <w:bCs/>
            <w:color w:val="0070C0"/>
            <w:sz w:val="22"/>
            <w:szCs w:val="22"/>
          </w:rPr>
          <w:t>FY 2023, FY2024</w:t>
        </w:r>
      </w:hyperlink>
    </w:p>
    <w:p w14:paraId="6C04270C" w14:textId="057DFFFC" w:rsidR="0090524F" w:rsidRDefault="0090524F" w:rsidP="00BE4783">
      <w:pPr>
        <w:numPr>
          <w:ilvl w:val="0"/>
          <w:numId w:val="12"/>
        </w:numPr>
        <w:rPr>
          <w:rFonts w:cs="Calibri"/>
          <w:b/>
          <w:bCs/>
          <w:sz w:val="22"/>
          <w:szCs w:val="22"/>
        </w:rPr>
      </w:pPr>
      <w:r>
        <w:rPr>
          <w:rFonts w:cs="Calibri"/>
          <w:b/>
          <w:bCs/>
          <w:sz w:val="22"/>
          <w:szCs w:val="22"/>
        </w:rPr>
        <w:t>Office of the Child Advocate</w:t>
      </w:r>
    </w:p>
    <w:p w14:paraId="48D824AD" w14:textId="372A4775" w:rsidR="00A061B6" w:rsidRPr="006F11FF" w:rsidRDefault="00A061B6" w:rsidP="00BE4783">
      <w:pPr>
        <w:numPr>
          <w:ilvl w:val="1"/>
          <w:numId w:val="12"/>
        </w:numPr>
        <w:rPr>
          <w:rFonts w:cs="Calibri"/>
          <w:b/>
          <w:bCs/>
          <w:color w:val="0070C0"/>
          <w:sz w:val="22"/>
          <w:szCs w:val="22"/>
        </w:rPr>
      </w:pPr>
      <w:hyperlink r:id="rId27" w:history="1">
        <w:r w:rsidRPr="006F11FF">
          <w:rPr>
            <w:rStyle w:val="Hyperlink"/>
            <w:rFonts w:cs="Calibri"/>
            <w:b/>
            <w:bCs/>
            <w:color w:val="0070C0"/>
            <w:sz w:val="22"/>
            <w:szCs w:val="22"/>
          </w:rPr>
          <w:t>Office of the Child Advocate FY 2025 Strategic Plan</w:t>
        </w:r>
      </w:hyperlink>
    </w:p>
    <w:p w14:paraId="784FCC79" w14:textId="1B1B7C26" w:rsidR="00E51277" w:rsidRDefault="00E51277" w:rsidP="00BE4783">
      <w:pPr>
        <w:numPr>
          <w:ilvl w:val="0"/>
          <w:numId w:val="12"/>
        </w:numPr>
        <w:rPr>
          <w:rFonts w:cs="Calibri"/>
          <w:b/>
          <w:bCs/>
          <w:sz w:val="22"/>
          <w:szCs w:val="22"/>
        </w:rPr>
      </w:pPr>
      <w:r>
        <w:rPr>
          <w:rFonts w:cs="Calibri"/>
          <w:b/>
          <w:bCs/>
          <w:sz w:val="22"/>
          <w:szCs w:val="22"/>
        </w:rPr>
        <w:t>Children’s Trust</w:t>
      </w:r>
    </w:p>
    <w:p w14:paraId="2703E51B" w14:textId="7DAC8762" w:rsidR="00A061B6" w:rsidRPr="006F11FF" w:rsidRDefault="00A061B6" w:rsidP="00BE4783">
      <w:pPr>
        <w:numPr>
          <w:ilvl w:val="1"/>
          <w:numId w:val="12"/>
        </w:numPr>
        <w:rPr>
          <w:rFonts w:cs="Calibri"/>
          <w:b/>
          <w:bCs/>
          <w:color w:val="0070C0"/>
          <w:sz w:val="22"/>
          <w:szCs w:val="22"/>
        </w:rPr>
      </w:pPr>
      <w:hyperlink r:id="rId28" w:history="1">
        <w:r w:rsidRPr="006F11FF">
          <w:rPr>
            <w:rStyle w:val="Hyperlink"/>
            <w:rFonts w:cs="Calibri"/>
            <w:b/>
            <w:bCs/>
            <w:color w:val="0070C0"/>
            <w:sz w:val="22"/>
            <w:szCs w:val="22"/>
          </w:rPr>
          <w:t>2025 Annual Report</w:t>
        </w:r>
      </w:hyperlink>
    </w:p>
    <w:p w14:paraId="5B78F1A2" w14:textId="77777777" w:rsidR="00A061B6" w:rsidRPr="006F11FF" w:rsidRDefault="00A061B6" w:rsidP="00BE4783">
      <w:pPr>
        <w:numPr>
          <w:ilvl w:val="0"/>
          <w:numId w:val="12"/>
        </w:numPr>
        <w:rPr>
          <w:rFonts w:cs="Calibri"/>
          <w:b/>
          <w:bCs/>
          <w:sz w:val="22"/>
          <w:szCs w:val="22"/>
        </w:rPr>
      </w:pPr>
      <w:r w:rsidRPr="006F11FF">
        <w:rPr>
          <w:rFonts w:cs="Calibri"/>
          <w:b/>
          <w:bCs/>
          <w:sz w:val="22"/>
          <w:szCs w:val="22"/>
        </w:rPr>
        <w:t>DCF HealthCare Oversight and Coordination Plans</w:t>
      </w:r>
    </w:p>
    <w:p w14:paraId="49DAAFDD" w14:textId="77777777" w:rsidR="00A061B6" w:rsidRPr="006F11FF" w:rsidRDefault="00A061B6" w:rsidP="00BE4783">
      <w:pPr>
        <w:numPr>
          <w:ilvl w:val="1"/>
          <w:numId w:val="12"/>
        </w:numPr>
        <w:rPr>
          <w:rFonts w:cs="Calibri"/>
          <w:b/>
          <w:bCs/>
          <w:color w:val="0070C0"/>
          <w:sz w:val="22"/>
          <w:szCs w:val="22"/>
        </w:rPr>
      </w:pPr>
      <w:hyperlink r:id="rId29" w:history="1">
        <w:r w:rsidRPr="006F11FF">
          <w:rPr>
            <w:rStyle w:val="Hyperlink"/>
            <w:rFonts w:cs="Calibri"/>
            <w:b/>
            <w:bCs/>
            <w:color w:val="0070C0"/>
            <w:sz w:val="22"/>
            <w:szCs w:val="22"/>
          </w:rPr>
          <w:t>FYY2025 - FYY2029</w:t>
        </w:r>
      </w:hyperlink>
    </w:p>
    <w:p w14:paraId="65998D38" w14:textId="77777777" w:rsidR="00A061B6" w:rsidRPr="006F11FF" w:rsidRDefault="00A061B6" w:rsidP="00BE4783">
      <w:pPr>
        <w:numPr>
          <w:ilvl w:val="1"/>
          <w:numId w:val="12"/>
        </w:numPr>
        <w:rPr>
          <w:rFonts w:cs="Calibri"/>
          <w:b/>
          <w:bCs/>
          <w:sz w:val="22"/>
          <w:szCs w:val="22"/>
        </w:rPr>
      </w:pPr>
      <w:hyperlink r:id="rId30" w:history="1">
        <w:r w:rsidRPr="006F11FF">
          <w:rPr>
            <w:rStyle w:val="Hyperlink"/>
            <w:rFonts w:cs="Calibri"/>
            <w:b/>
            <w:bCs/>
            <w:color w:val="0070C0"/>
            <w:sz w:val="22"/>
            <w:szCs w:val="22"/>
          </w:rPr>
          <w:t>2020-2024</w:t>
        </w:r>
      </w:hyperlink>
    </w:p>
    <w:p w14:paraId="29C9F892" w14:textId="6531B251" w:rsidR="00C47748" w:rsidRPr="003A1B0A" w:rsidRDefault="00C47748" w:rsidP="00BE4783">
      <w:pPr>
        <w:numPr>
          <w:ilvl w:val="0"/>
          <w:numId w:val="13"/>
        </w:numPr>
        <w:rPr>
          <w:rFonts w:cs="Calibri"/>
          <w:b/>
          <w:bCs/>
          <w:sz w:val="22"/>
          <w:szCs w:val="22"/>
        </w:rPr>
      </w:pPr>
      <w:r w:rsidRPr="003A1B0A">
        <w:rPr>
          <w:rFonts w:cs="Calibri"/>
          <w:b/>
          <w:bCs/>
          <w:sz w:val="22"/>
          <w:szCs w:val="22"/>
        </w:rPr>
        <w:t>Health Policy Commission</w:t>
      </w:r>
    </w:p>
    <w:p w14:paraId="4451D474" w14:textId="77777777" w:rsidR="00C47748" w:rsidRPr="006F11FF" w:rsidRDefault="00C47748" w:rsidP="00BE4783">
      <w:pPr>
        <w:numPr>
          <w:ilvl w:val="1"/>
          <w:numId w:val="13"/>
        </w:numPr>
        <w:rPr>
          <w:rFonts w:cs="Calibri"/>
          <w:b/>
          <w:bCs/>
          <w:color w:val="0070C0"/>
          <w:sz w:val="22"/>
          <w:szCs w:val="22"/>
        </w:rPr>
      </w:pPr>
      <w:hyperlink r:id="rId31" w:history="1">
        <w:r w:rsidRPr="006F11FF">
          <w:rPr>
            <w:rStyle w:val="Hyperlink"/>
            <w:rFonts w:cs="Calibri"/>
            <w:b/>
            <w:bCs/>
            <w:color w:val="0070C0"/>
            <w:sz w:val="22"/>
            <w:szCs w:val="22"/>
          </w:rPr>
          <w:t>Children with Medical Complexity in the Commonwealth, February 2022</w:t>
        </w:r>
      </w:hyperlink>
    </w:p>
    <w:p w14:paraId="125030B3" w14:textId="77777777" w:rsidR="00C47748" w:rsidRPr="006F11FF" w:rsidRDefault="00C47748" w:rsidP="00BE4783">
      <w:pPr>
        <w:numPr>
          <w:ilvl w:val="1"/>
          <w:numId w:val="13"/>
        </w:numPr>
        <w:rPr>
          <w:rFonts w:cs="Calibri"/>
          <w:b/>
          <w:bCs/>
          <w:color w:val="0070C0"/>
          <w:sz w:val="22"/>
          <w:szCs w:val="22"/>
        </w:rPr>
      </w:pPr>
      <w:hyperlink r:id="rId32" w:history="1">
        <w:r w:rsidRPr="006F11FF">
          <w:rPr>
            <w:rStyle w:val="Hyperlink"/>
            <w:rFonts w:cs="Calibri"/>
            <w:b/>
            <w:bCs/>
            <w:color w:val="0070C0"/>
            <w:sz w:val="22"/>
            <w:szCs w:val="22"/>
          </w:rPr>
          <w:t>Consolidation and Closures in the Massachusetts Pediatric Health Care Market, September 2023</w:t>
        </w:r>
      </w:hyperlink>
    </w:p>
    <w:p w14:paraId="2968EC3D" w14:textId="77777777" w:rsidR="00C47748" w:rsidRPr="006F11FF" w:rsidRDefault="00C47748" w:rsidP="00BE4783">
      <w:pPr>
        <w:numPr>
          <w:ilvl w:val="1"/>
          <w:numId w:val="13"/>
        </w:numPr>
        <w:rPr>
          <w:rFonts w:cs="Calibri"/>
          <w:b/>
          <w:bCs/>
          <w:color w:val="0070C0"/>
          <w:sz w:val="22"/>
          <w:szCs w:val="22"/>
        </w:rPr>
      </w:pPr>
      <w:hyperlink r:id="rId33" w:history="1">
        <w:r w:rsidRPr="006F11FF">
          <w:rPr>
            <w:rStyle w:val="Hyperlink"/>
            <w:rFonts w:cs="Calibri"/>
            <w:b/>
            <w:bCs/>
            <w:color w:val="0070C0"/>
            <w:sz w:val="22"/>
            <w:szCs w:val="22"/>
          </w:rPr>
          <w:t>Report on Behavioral Health Managers, November 2024</w:t>
        </w:r>
      </w:hyperlink>
    </w:p>
    <w:p w14:paraId="393BB641" w14:textId="77777777" w:rsidR="00C47748" w:rsidRPr="006F11FF" w:rsidRDefault="00C47748" w:rsidP="00BE4783">
      <w:pPr>
        <w:numPr>
          <w:ilvl w:val="1"/>
          <w:numId w:val="13"/>
        </w:numPr>
        <w:rPr>
          <w:rFonts w:cs="Calibri"/>
          <w:b/>
          <w:bCs/>
          <w:color w:val="0070C0"/>
          <w:sz w:val="22"/>
          <w:szCs w:val="22"/>
        </w:rPr>
      </w:pPr>
      <w:hyperlink r:id="rId34" w:history="1">
        <w:r w:rsidRPr="006F11FF">
          <w:rPr>
            <w:rStyle w:val="Hyperlink"/>
            <w:rFonts w:cs="Calibri"/>
            <w:b/>
            <w:bCs/>
            <w:color w:val="0070C0"/>
            <w:sz w:val="22"/>
            <w:szCs w:val="22"/>
          </w:rPr>
          <w:t>Behavioral Health Emergency Department Boarding in MA, February 2025</w:t>
        </w:r>
      </w:hyperlink>
    </w:p>
    <w:p w14:paraId="42CBAA23" w14:textId="77777777" w:rsidR="00C47748" w:rsidRPr="003A1B0A" w:rsidRDefault="00C47748" w:rsidP="00BE4783">
      <w:pPr>
        <w:numPr>
          <w:ilvl w:val="0"/>
          <w:numId w:val="13"/>
        </w:numPr>
        <w:rPr>
          <w:rFonts w:cs="Calibri"/>
          <w:b/>
          <w:bCs/>
          <w:sz w:val="22"/>
          <w:szCs w:val="22"/>
        </w:rPr>
      </w:pPr>
      <w:r w:rsidRPr="003A1B0A">
        <w:rPr>
          <w:rFonts w:cs="Calibri"/>
          <w:b/>
          <w:bCs/>
          <w:sz w:val="22"/>
          <w:szCs w:val="22"/>
        </w:rPr>
        <w:t>Association for Behavioral Healthcare</w:t>
      </w:r>
    </w:p>
    <w:p w14:paraId="1A4AE858" w14:textId="77777777" w:rsidR="00C47748" w:rsidRPr="006F11FF" w:rsidRDefault="00C47748" w:rsidP="00BE4783">
      <w:pPr>
        <w:numPr>
          <w:ilvl w:val="1"/>
          <w:numId w:val="13"/>
        </w:numPr>
        <w:rPr>
          <w:rFonts w:cs="Calibri"/>
          <w:b/>
          <w:bCs/>
          <w:color w:val="0070C0"/>
          <w:sz w:val="22"/>
          <w:szCs w:val="22"/>
        </w:rPr>
      </w:pPr>
      <w:hyperlink r:id="rId35" w:history="1">
        <w:r w:rsidRPr="006F11FF">
          <w:rPr>
            <w:rStyle w:val="Hyperlink"/>
            <w:rFonts w:cs="Calibri"/>
            <w:b/>
            <w:bCs/>
            <w:color w:val="0070C0"/>
            <w:sz w:val="22"/>
            <w:szCs w:val="22"/>
          </w:rPr>
          <w:t>Kids are Waiting: Children's Behavioral Health Crisis and Collapse, December 2023</w:t>
        </w:r>
      </w:hyperlink>
    </w:p>
    <w:p w14:paraId="46C03376" w14:textId="77777777" w:rsidR="00C47748" w:rsidRPr="003A1B0A" w:rsidRDefault="00C47748" w:rsidP="00BE4783">
      <w:pPr>
        <w:numPr>
          <w:ilvl w:val="1"/>
          <w:numId w:val="13"/>
        </w:numPr>
        <w:rPr>
          <w:rFonts w:cs="Calibri"/>
          <w:b/>
          <w:bCs/>
          <w:sz w:val="22"/>
          <w:szCs w:val="22"/>
        </w:rPr>
      </w:pPr>
      <w:hyperlink r:id="rId36" w:history="1">
        <w:r w:rsidRPr="006F11FF">
          <w:rPr>
            <w:rStyle w:val="Hyperlink"/>
            <w:rFonts w:cs="Calibri"/>
            <w:b/>
            <w:bCs/>
            <w:color w:val="0070C0"/>
            <w:sz w:val="22"/>
            <w:szCs w:val="22"/>
          </w:rPr>
          <w:t>Roadmap for Behavioral Health Reform</w:t>
        </w:r>
      </w:hyperlink>
    </w:p>
    <w:p w14:paraId="5683183F" w14:textId="77777777" w:rsidR="00C47748" w:rsidRPr="003A1B0A" w:rsidRDefault="00C47748" w:rsidP="00BE4783">
      <w:pPr>
        <w:numPr>
          <w:ilvl w:val="0"/>
          <w:numId w:val="13"/>
        </w:numPr>
        <w:rPr>
          <w:rFonts w:cs="Calibri"/>
          <w:b/>
          <w:bCs/>
          <w:sz w:val="22"/>
          <w:szCs w:val="22"/>
        </w:rPr>
      </w:pPr>
      <w:r w:rsidRPr="003A1B0A">
        <w:rPr>
          <w:rFonts w:cs="Calibri"/>
          <w:b/>
          <w:bCs/>
          <w:sz w:val="22"/>
          <w:szCs w:val="22"/>
        </w:rPr>
        <w:t>MA Health &amp; Hospital Association (MHA)</w:t>
      </w:r>
    </w:p>
    <w:p w14:paraId="7E4615AE" w14:textId="77777777" w:rsidR="00C47748" w:rsidRPr="006F11FF" w:rsidRDefault="00C47748" w:rsidP="00BE4783">
      <w:pPr>
        <w:numPr>
          <w:ilvl w:val="1"/>
          <w:numId w:val="13"/>
        </w:numPr>
        <w:rPr>
          <w:rFonts w:cs="Calibri"/>
          <w:b/>
          <w:bCs/>
          <w:color w:val="0070C0"/>
          <w:sz w:val="22"/>
          <w:szCs w:val="22"/>
        </w:rPr>
      </w:pPr>
      <w:hyperlink r:id="rId37" w:history="1">
        <w:r w:rsidRPr="006F11FF">
          <w:rPr>
            <w:rStyle w:val="Hyperlink"/>
            <w:rFonts w:cs="Calibri"/>
            <w:b/>
            <w:bCs/>
            <w:color w:val="0070C0"/>
            <w:sz w:val="22"/>
            <w:szCs w:val="22"/>
          </w:rPr>
          <w:t>Behavioral Health Reports</w:t>
        </w:r>
      </w:hyperlink>
    </w:p>
    <w:p w14:paraId="646DB558" w14:textId="614C8CDB" w:rsidR="00150977" w:rsidRDefault="00150977" w:rsidP="00BE4783">
      <w:pPr>
        <w:numPr>
          <w:ilvl w:val="0"/>
          <w:numId w:val="14"/>
        </w:numPr>
        <w:rPr>
          <w:rFonts w:cs="Calibri"/>
          <w:b/>
          <w:bCs/>
          <w:sz w:val="22"/>
          <w:szCs w:val="22"/>
        </w:rPr>
      </w:pPr>
      <w:r>
        <w:rPr>
          <w:rFonts w:cs="Calibri"/>
          <w:b/>
          <w:bCs/>
          <w:sz w:val="22"/>
          <w:szCs w:val="22"/>
        </w:rPr>
        <w:t>MA Department of Public Health</w:t>
      </w:r>
    </w:p>
    <w:p w14:paraId="2534CB10" w14:textId="77777777" w:rsidR="00306B24" w:rsidRPr="006F11FF" w:rsidRDefault="00306B24" w:rsidP="00BE4783">
      <w:pPr>
        <w:numPr>
          <w:ilvl w:val="1"/>
          <w:numId w:val="14"/>
        </w:numPr>
        <w:rPr>
          <w:rFonts w:cs="Calibri"/>
          <w:b/>
          <w:bCs/>
          <w:color w:val="0070C0"/>
          <w:sz w:val="22"/>
          <w:szCs w:val="22"/>
        </w:rPr>
      </w:pPr>
      <w:hyperlink r:id="rId38" w:history="1">
        <w:r w:rsidRPr="006F11FF">
          <w:rPr>
            <w:rStyle w:val="Hyperlink"/>
            <w:rFonts w:cs="Calibri"/>
            <w:b/>
            <w:bCs/>
            <w:color w:val="0070C0"/>
            <w:sz w:val="22"/>
            <w:szCs w:val="22"/>
          </w:rPr>
          <w:t>DPH Community Health Equity Initiative</w:t>
        </w:r>
      </w:hyperlink>
    </w:p>
    <w:p w14:paraId="63AE853C" w14:textId="38F26E6A" w:rsidR="001D4DBD" w:rsidRPr="006F11FF" w:rsidRDefault="001D4DBD" w:rsidP="00BE4783">
      <w:pPr>
        <w:pStyle w:val="ListParagraph"/>
        <w:numPr>
          <w:ilvl w:val="0"/>
          <w:numId w:val="14"/>
        </w:numPr>
        <w:rPr>
          <w:rFonts w:cs="Calibri"/>
          <w:b/>
          <w:bCs/>
          <w:color w:val="0070C0"/>
          <w:sz w:val="22"/>
          <w:szCs w:val="22"/>
        </w:rPr>
      </w:pPr>
      <w:hyperlink r:id="rId39" w:history="1">
        <w:r w:rsidRPr="006F11FF">
          <w:rPr>
            <w:rStyle w:val="Hyperlink"/>
            <w:rFonts w:cs="Calibri"/>
            <w:b/>
            <w:bCs/>
            <w:color w:val="0070C0"/>
            <w:sz w:val="22"/>
            <w:szCs w:val="22"/>
          </w:rPr>
          <w:t>New Jersey Children's System of Care (CSOC)</w:t>
        </w:r>
      </w:hyperlink>
    </w:p>
    <w:p w14:paraId="393A379F" w14:textId="43A2092F" w:rsidR="001D4DBD" w:rsidRPr="001D4DBD" w:rsidRDefault="001D4DBD" w:rsidP="00BE4783">
      <w:pPr>
        <w:numPr>
          <w:ilvl w:val="0"/>
          <w:numId w:val="15"/>
        </w:numPr>
        <w:rPr>
          <w:rFonts w:cs="Calibri"/>
          <w:b/>
          <w:bCs/>
          <w:color w:val="0070C0"/>
          <w:sz w:val="22"/>
          <w:szCs w:val="22"/>
        </w:rPr>
      </w:pPr>
      <w:hyperlink r:id="rId40" w:history="1">
        <w:r w:rsidRPr="006F11FF">
          <w:rPr>
            <w:rStyle w:val="Hyperlink"/>
            <w:rFonts w:cs="Calibri"/>
            <w:b/>
            <w:bCs/>
            <w:color w:val="0070C0"/>
            <w:sz w:val="22"/>
            <w:szCs w:val="22"/>
          </w:rPr>
          <w:t>Delaware</w:t>
        </w:r>
      </w:hyperlink>
      <w:hyperlink r:id="rId41" w:history="1">
        <w:r w:rsidRPr="006F11FF">
          <w:rPr>
            <w:rStyle w:val="Hyperlink"/>
            <w:rFonts w:cs="Calibri"/>
            <w:b/>
            <w:bCs/>
            <w:color w:val="0070C0"/>
            <w:sz w:val="22"/>
            <w:szCs w:val="22"/>
          </w:rPr>
          <w:t xml:space="preserve"> Division of Prevention and Behavioral Health Services</w:t>
        </w:r>
      </w:hyperlink>
    </w:p>
    <w:p w14:paraId="0974AD06" w14:textId="77777777" w:rsidR="001D4DBD" w:rsidRPr="001D4DBD" w:rsidRDefault="001D4DBD" w:rsidP="00BE4783">
      <w:pPr>
        <w:numPr>
          <w:ilvl w:val="0"/>
          <w:numId w:val="15"/>
        </w:numPr>
        <w:rPr>
          <w:rFonts w:cs="Calibri"/>
          <w:b/>
          <w:bCs/>
          <w:color w:val="0070C0"/>
          <w:sz w:val="22"/>
          <w:szCs w:val="22"/>
        </w:rPr>
      </w:pPr>
      <w:hyperlink r:id="rId42" w:history="1">
        <w:r w:rsidRPr="006F11FF">
          <w:rPr>
            <w:rStyle w:val="Hyperlink"/>
            <w:rFonts w:cs="Calibri"/>
            <w:b/>
            <w:bCs/>
            <w:color w:val="0070C0"/>
            <w:sz w:val="22"/>
            <w:szCs w:val="22"/>
          </w:rPr>
          <w:t>Illinois Blueprint for Transformation: A vision for improved behavioral healthcare for Illinois children</w:t>
        </w:r>
      </w:hyperlink>
    </w:p>
    <w:p w14:paraId="5C1E85FC" w14:textId="77777777" w:rsidR="001D4DBD" w:rsidRPr="001D4DBD" w:rsidRDefault="001D4DBD" w:rsidP="00BE4783">
      <w:pPr>
        <w:numPr>
          <w:ilvl w:val="0"/>
          <w:numId w:val="15"/>
        </w:numPr>
        <w:rPr>
          <w:rFonts w:cs="Calibri"/>
          <w:b/>
          <w:bCs/>
          <w:color w:val="0070C0"/>
          <w:sz w:val="22"/>
          <w:szCs w:val="22"/>
        </w:rPr>
      </w:pPr>
      <w:hyperlink r:id="rId43" w:history="1">
        <w:r w:rsidRPr="006F11FF">
          <w:rPr>
            <w:rStyle w:val="Hyperlink"/>
            <w:rFonts w:cs="Calibri"/>
            <w:b/>
            <w:bCs/>
            <w:color w:val="0070C0"/>
            <w:sz w:val="22"/>
            <w:szCs w:val="22"/>
          </w:rPr>
          <w:t>Philadelphia: Department of Behavioral Health Services and Intellectual Disability Services</w:t>
        </w:r>
      </w:hyperlink>
    </w:p>
    <w:p w14:paraId="1A070757" w14:textId="77777777" w:rsidR="001D4DBD" w:rsidRPr="001D4DBD" w:rsidRDefault="001D4DBD" w:rsidP="00BE4783">
      <w:pPr>
        <w:numPr>
          <w:ilvl w:val="0"/>
          <w:numId w:val="15"/>
        </w:numPr>
        <w:rPr>
          <w:rFonts w:cs="Calibri"/>
          <w:b/>
          <w:bCs/>
          <w:color w:val="0070C0"/>
          <w:sz w:val="22"/>
          <w:szCs w:val="22"/>
        </w:rPr>
      </w:pPr>
      <w:hyperlink r:id="rId44" w:history="1">
        <w:r w:rsidRPr="006F11FF">
          <w:rPr>
            <w:rStyle w:val="Hyperlink"/>
            <w:rFonts w:cs="Calibri"/>
            <w:b/>
            <w:bCs/>
            <w:color w:val="0070C0"/>
            <w:sz w:val="22"/>
            <w:szCs w:val="22"/>
          </w:rPr>
          <w:t>National Academy for State Policy: Children and Youth Behavioral Health</w:t>
        </w:r>
      </w:hyperlink>
    </w:p>
    <w:p w14:paraId="733B2163" w14:textId="1AB15293" w:rsidR="00BD5BEB" w:rsidRDefault="00BD5BEB">
      <w:pPr>
        <w:rPr>
          <w:rFonts w:cs="Calibri"/>
          <w:b/>
          <w:bCs/>
          <w:sz w:val="22"/>
          <w:szCs w:val="22"/>
        </w:rPr>
      </w:pPr>
    </w:p>
    <w:p w14:paraId="315F9FC4" w14:textId="77777777" w:rsidR="001D4DBD" w:rsidRDefault="001D4DBD">
      <w:pPr>
        <w:rPr>
          <w:rFonts w:cs="Calibri"/>
          <w:b/>
          <w:bCs/>
          <w:sz w:val="22"/>
          <w:szCs w:val="22"/>
        </w:rPr>
      </w:pPr>
      <w:r>
        <w:rPr>
          <w:rFonts w:cs="Calibri"/>
          <w:b/>
          <w:bCs/>
          <w:sz w:val="22"/>
          <w:szCs w:val="22"/>
        </w:rPr>
        <w:br w:type="page"/>
      </w:r>
    </w:p>
    <w:p w14:paraId="66B094E1" w14:textId="77777777" w:rsidR="0020322B" w:rsidRDefault="0020322B" w:rsidP="00CE0AD2">
      <w:pPr>
        <w:rPr>
          <w:rFonts w:cs="Calibri"/>
          <w:b/>
          <w:bCs/>
          <w:sz w:val="22"/>
          <w:szCs w:val="22"/>
        </w:rPr>
        <w:sectPr w:rsidR="0020322B" w:rsidSect="00CE0AD2">
          <w:footerReference w:type="even" r:id="rId45"/>
          <w:footerReference w:type="default" r:id="rId46"/>
          <w:pgSz w:w="12240" w:h="15840"/>
          <w:pgMar w:top="1440" w:right="1440" w:bottom="1440" w:left="1440" w:header="720" w:footer="720" w:gutter="0"/>
          <w:cols w:space="720"/>
          <w:titlePg/>
          <w:docGrid w:linePitch="360"/>
        </w:sectPr>
      </w:pPr>
    </w:p>
    <w:p w14:paraId="6CC8803F" w14:textId="1C9053AF" w:rsidR="001D09BD" w:rsidRPr="006B36F7" w:rsidRDefault="00CE0AD2" w:rsidP="00CE0AD2">
      <w:pPr>
        <w:rPr>
          <w:rFonts w:cs="Calibri"/>
          <w:b/>
          <w:bCs/>
          <w:sz w:val="22"/>
          <w:szCs w:val="22"/>
          <w:u w:val="single"/>
        </w:rPr>
      </w:pPr>
      <w:r w:rsidRPr="006B36F7">
        <w:rPr>
          <w:rFonts w:cs="Calibri"/>
          <w:b/>
          <w:bCs/>
          <w:sz w:val="22"/>
          <w:szCs w:val="22"/>
          <w:u w:val="single"/>
        </w:rPr>
        <w:t xml:space="preserve">Appendix </w:t>
      </w:r>
      <w:r w:rsidR="00842F13" w:rsidRPr="006B36F7">
        <w:rPr>
          <w:rFonts w:cs="Calibri"/>
          <w:b/>
          <w:bCs/>
          <w:sz w:val="22"/>
          <w:szCs w:val="22"/>
          <w:u w:val="single"/>
        </w:rPr>
        <w:t>D</w:t>
      </w:r>
      <w:r w:rsidR="00741148" w:rsidRPr="006B36F7">
        <w:rPr>
          <w:rFonts w:cs="Calibri"/>
          <w:b/>
          <w:bCs/>
          <w:sz w:val="22"/>
          <w:szCs w:val="22"/>
          <w:u w:val="single"/>
        </w:rPr>
        <w:t xml:space="preserve"> –</w:t>
      </w:r>
      <w:r w:rsidR="00527E61" w:rsidRPr="006B36F7">
        <w:rPr>
          <w:rFonts w:cs="Calibri"/>
          <w:b/>
          <w:bCs/>
          <w:sz w:val="22"/>
          <w:szCs w:val="22"/>
          <w:u w:val="single"/>
        </w:rPr>
        <w:t xml:space="preserve"> Work</w:t>
      </w:r>
      <w:r w:rsidR="000A7747" w:rsidRPr="006B36F7">
        <w:rPr>
          <w:rFonts w:cs="Calibri"/>
          <w:b/>
          <w:bCs/>
          <w:sz w:val="22"/>
          <w:szCs w:val="22"/>
          <w:u w:val="single"/>
        </w:rPr>
        <w:t>group #1</w:t>
      </w:r>
      <w:r w:rsidR="001D09BD" w:rsidRPr="006B36F7">
        <w:rPr>
          <w:rFonts w:cs="Calibri"/>
          <w:b/>
          <w:bCs/>
          <w:sz w:val="22"/>
          <w:szCs w:val="22"/>
          <w:u w:val="single"/>
        </w:rPr>
        <w:t xml:space="preserve"> – Landscape </w:t>
      </w:r>
      <w:r w:rsidR="00AE264E" w:rsidRPr="006B36F7">
        <w:rPr>
          <w:rFonts w:cs="Calibri"/>
          <w:b/>
          <w:bCs/>
          <w:sz w:val="22"/>
          <w:szCs w:val="22"/>
          <w:u w:val="single"/>
        </w:rPr>
        <w:t xml:space="preserve">&amp; Funding </w:t>
      </w:r>
      <w:r w:rsidR="001D09BD" w:rsidRPr="006B36F7">
        <w:rPr>
          <w:rFonts w:cs="Calibri"/>
          <w:b/>
          <w:bCs/>
          <w:sz w:val="22"/>
          <w:szCs w:val="22"/>
          <w:u w:val="single"/>
        </w:rPr>
        <w:t>Analysis</w:t>
      </w:r>
    </w:p>
    <w:p w14:paraId="243986A1" w14:textId="360F8D31" w:rsidR="006332E9" w:rsidRPr="009519DA" w:rsidRDefault="006332E9" w:rsidP="00CE0AD2">
      <w:pPr>
        <w:rPr>
          <w:rFonts w:cs="Calibri"/>
          <w:sz w:val="22"/>
          <w:szCs w:val="22"/>
        </w:rPr>
      </w:pPr>
      <w:r>
        <w:rPr>
          <w:rFonts w:cs="Calibri"/>
          <w:b/>
          <w:bCs/>
          <w:sz w:val="22"/>
          <w:szCs w:val="22"/>
          <w:u w:val="single"/>
        </w:rPr>
        <w:br/>
      </w:r>
      <w:r w:rsidRPr="00A029E1">
        <w:rPr>
          <w:rFonts w:cs="Calibri"/>
          <w:b/>
          <w:bCs/>
          <w:sz w:val="22"/>
          <w:szCs w:val="22"/>
          <w:u w:val="single"/>
        </w:rPr>
        <w:t>Workgroup Members:</w:t>
      </w:r>
      <w:r>
        <w:rPr>
          <w:rFonts w:cs="Calibri"/>
          <w:b/>
          <w:bCs/>
          <w:sz w:val="22"/>
          <w:szCs w:val="22"/>
        </w:rPr>
        <w:t xml:space="preserve"> </w:t>
      </w:r>
      <w:r w:rsidR="00B37825">
        <w:rPr>
          <w:rFonts w:cs="Calibri"/>
          <w:sz w:val="22"/>
          <w:szCs w:val="22"/>
        </w:rPr>
        <w:t xml:space="preserve">Kevin </w:t>
      </w:r>
      <w:r w:rsidR="00B37825" w:rsidRPr="00A029E1">
        <w:rPr>
          <w:rFonts w:cs="Calibri"/>
          <w:sz w:val="22"/>
          <w:szCs w:val="22"/>
        </w:rPr>
        <w:t>Beagan</w:t>
      </w:r>
      <w:r w:rsidR="00B37825">
        <w:rPr>
          <w:rFonts w:cs="Calibri"/>
          <w:sz w:val="22"/>
          <w:szCs w:val="22"/>
        </w:rPr>
        <w:t>,</w:t>
      </w:r>
      <w:r w:rsidR="00B37825" w:rsidRPr="00B37825">
        <w:rPr>
          <w:rFonts w:cs="Calibri"/>
          <w:sz w:val="22"/>
          <w:szCs w:val="22"/>
        </w:rPr>
        <w:t xml:space="preserve"> </w:t>
      </w:r>
      <w:r w:rsidR="00B37825" w:rsidRPr="009519DA">
        <w:rPr>
          <w:rFonts w:cs="Calibri"/>
          <w:sz w:val="22"/>
          <w:szCs w:val="22"/>
        </w:rPr>
        <w:t>Rachel Gwaltney</w:t>
      </w:r>
      <w:r w:rsidR="00B37825">
        <w:rPr>
          <w:rFonts w:cs="Calibri"/>
          <w:sz w:val="22"/>
          <w:szCs w:val="22"/>
        </w:rPr>
        <w:t xml:space="preserve">, </w:t>
      </w:r>
      <w:r w:rsidR="00B37825" w:rsidRPr="00A029E1">
        <w:rPr>
          <w:rFonts w:cs="Calibri"/>
          <w:sz w:val="22"/>
          <w:szCs w:val="22"/>
        </w:rPr>
        <w:t>Jessica Larochelle</w:t>
      </w:r>
      <w:r w:rsidR="00B37825">
        <w:rPr>
          <w:rFonts w:cs="Calibri"/>
          <w:sz w:val="22"/>
          <w:szCs w:val="22"/>
        </w:rPr>
        <w:t xml:space="preserve">, David </w:t>
      </w:r>
      <w:r w:rsidR="00B37825" w:rsidRPr="00A029E1">
        <w:rPr>
          <w:rFonts w:cs="Calibri"/>
          <w:sz w:val="22"/>
          <w:szCs w:val="22"/>
        </w:rPr>
        <w:t>Matteodo</w:t>
      </w:r>
    </w:p>
    <w:p w14:paraId="31262573" w14:textId="4E3F8611" w:rsidR="00EA50BE" w:rsidRPr="00EA50BE" w:rsidRDefault="00EA50BE" w:rsidP="000A7747">
      <w:pPr>
        <w:rPr>
          <w:rFonts w:cs="Calibri"/>
          <w:b/>
          <w:bCs/>
          <w:color w:val="EE0000"/>
          <w:sz w:val="22"/>
          <w:szCs w:val="22"/>
        </w:rPr>
      </w:pPr>
    </w:p>
    <w:tbl>
      <w:tblPr>
        <w:tblW w:w="14490" w:type="dxa"/>
        <w:tblInd w:w="-725" w:type="dxa"/>
        <w:tblLayout w:type="fixed"/>
        <w:tblLook w:val="04A0" w:firstRow="1" w:lastRow="0" w:firstColumn="1" w:lastColumn="0" w:noHBand="0" w:noVBand="1"/>
      </w:tblPr>
      <w:tblGrid>
        <w:gridCol w:w="1165"/>
        <w:gridCol w:w="1260"/>
        <w:gridCol w:w="725"/>
        <w:gridCol w:w="1710"/>
        <w:gridCol w:w="1080"/>
        <w:gridCol w:w="1170"/>
        <w:gridCol w:w="1440"/>
        <w:gridCol w:w="810"/>
        <w:gridCol w:w="720"/>
        <w:gridCol w:w="811"/>
        <w:gridCol w:w="1401"/>
        <w:gridCol w:w="2198"/>
      </w:tblGrid>
      <w:tr w:rsidR="00A42937" w:rsidRPr="00A42937" w14:paraId="40D93BF4" w14:textId="77777777" w:rsidTr="00DD751F">
        <w:trPr>
          <w:trHeight w:val="1124"/>
          <w:tblHeader/>
        </w:trPr>
        <w:tc>
          <w:tcPr>
            <w:tcW w:w="1165" w:type="dxa"/>
            <w:tcBorders>
              <w:top w:val="single" w:sz="4" w:space="0" w:color="000000"/>
              <w:left w:val="single" w:sz="4" w:space="0" w:color="000000"/>
              <w:bottom w:val="single" w:sz="4" w:space="0" w:color="000000"/>
              <w:right w:val="single" w:sz="4" w:space="0" w:color="000000"/>
            </w:tcBorders>
            <w:shd w:val="clear" w:color="000000" w:fill="002060"/>
            <w:hideMark/>
          </w:tcPr>
          <w:p w14:paraId="1D2E3D1D"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 xml:space="preserve">Continuum level </w:t>
            </w:r>
          </w:p>
        </w:tc>
        <w:tc>
          <w:tcPr>
            <w:tcW w:w="1260" w:type="dxa"/>
            <w:tcBorders>
              <w:top w:val="single" w:sz="4" w:space="0" w:color="000000"/>
              <w:left w:val="nil"/>
              <w:bottom w:val="single" w:sz="4" w:space="0" w:color="000000"/>
              <w:right w:val="single" w:sz="4" w:space="0" w:color="000000"/>
            </w:tcBorders>
            <w:shd w:val="clear" w:color="000000" w:fill="002060"/>
            <w:hideMark/>
          </w:tcPr>
          <w:p w14:paraId="11EB3D8E"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Specific program/service name (MA)</w:t>
            </w:r>
          </w:p>
        </w:tc>
        <w:tc>
          <w:tcPr>
            <w:tcW w:w="725" w:type="dxa"/>
            <w:tcBorders>
              <w:top w:val="single" w:sz="4" w:space="0" w:color="000000"/>
              <w:left w:val="nil"/>
              <w:bottom w:val="single" w:sz="4" w:space="0" w:color="000000"/>
              <w:right w:val="single" w:sz="4" w:space="0" w:color="000000"/>
            </w:tcBorders>
            <w:shd w:val="clear" w:color="000000" w:fill="002060"/>
            <w:hideMark/>
          </w:tcPr>
          <w:p w14:paraId="08A53706"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Who it Serves</w:t>
            </w:r>
          </w:p>
        </w:tc>
        <w:tc>
          <w:tcPr>
            <w:tcW w:w="1710" w:type="dxa"/>
            <w:tcBorders>
              <w:top w:val="single" w:sz="4" w:space="0" w:color="000000"/>
              <w:left w:val="nil"/>
              <w:bottom w:val="single" w:sz="4" w:space="0" w:color="000000"/>
              <w:right w:val="single" w:sz="4" w:space="0" w:color="000000"/>
            </w:tcBorders>
            <w:shd w:val="clear" w:color="000000" w:fill="002060"/>
            <w:hideMark/>
          </w:tcPr>
          <w:p w14:paraId="453C8AC4"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What it provides</w:t>
            </w:r>
          </w:p>
        </w:tc>
        <w:tc>
          <w:tcPr>
            <w:tcW w:w="1080" w:type="dxa"/>
            <w:tcBorders>
              <w:top w:val="single" w:sz="4" w:space="0" w:color="000000"/>
              <w:left w:val="nil"/>
              <w:bottom w:val="single" w:sz="4" w:space="0" w:color="000000"/>
              <w:right w:val="single" w:sz="4" w:space="0" w:color="000000"/>
            </w:tcBorders>
            <w:shd w:val="clear" w:color="000000" w:fill="002060"/>
            <w:hideMark/>
          </w:tcPr>
          <w:p w14:paraId="3EA453C6" w14:textId="4E0732D9"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Entities that have contracts to offer/</w:t>
            </w:r>
            <w:r w:rsidR="00DD751F">
              <w:rPr>
                <w:rFonts w:ascii="Calibri" w:eastAsia="Times New Roman" w:hAnsi="Calibri" w:cs="Calibri"/>
                <w:b/>
                <w:bCs/>
                <w:color w:val="FFFFFF"/>
                <w:kern w:val="0"/>
                <w:sz w:val="14"/>
                <w:szCs w:val="14"/>
                <w14:ligatures w14:val="none"/>
              </w:rPr>
              <w:t xml:space="preserve"> </w:t>
            </w:r>
            <w:r w:rsidRPr="00702E29">
              <w:rPr>
                <w:rFonts w:ascii="Calibri" w:eastAsia="Times New Roman" w:hAnsi="Calibri" w:cs="Calibri"/>
                <w:b/>
                <w:bCs/>
                <w:color w:val="FFFFFF"/>
                <w:kern w:val="0"/>
                <w:sz w:val="14"/>
                <w:szCs w:val="14"/>
                <w14:ligatures w14:val="none"/>
              </w:rPr>
              <w:t>provide the service/</w:t>
            </w:r>
            <w:r w:rsidR="00DD751F">
              <w:rPr>
                <w:rFonts w:ascii="Calibri" w:eastAsia="Times New Roman" w:hAnsi="Calibri" w:cs="Calibri"/>
                <w:b/>
                <w:bCs/>
                <w:color w:val="FFFFFF"/>
                <w:kern w:val="0"/>
                <w:sz w:val="14"/>
                <w:szCs w:val="14"/>
                <w14:ligatures w14:val="none"/>
              </w:rPr>
              <w:t xml:space="preserve"> </w:t>
            </w:r>
            <w:r w:rsidRPr="00702E29">
              <w:rPr>
                <w:rFonts w:ascii="Calibri" w:eastAsia="Times New Roman" w:hAnsi="Calibri" w:cs="Calibri"/>
                <w:b/>
                <w:bCs/>
                <w:color w:val="FFFFFF"/>
                <w:kern w:val="0"/>
                <w:sz w:val="14"/>
                <w:szCs w:val="14"/>
                <w14:ligatures w14:val="none"/>
              </w:rPr>
              <w:t>program</w:t>
            </w:r>
          </w:p>
        </w:tc>
        <w:tc>
          <w:tcPr>
            <w:tcW w:w="1170" w:type="dxa"/>
            <w:tcBorders>
              <w:top w:val="single" w:sz="4" w:space="0" w:color="000000"/>
              <w:left w:val="nil"/>
              <w:bottom w:val="single" w:sz="4" w:space="0" w:color="000000"/>
              <w:right w:val="single" w:sz="4" w:space="0" w:color="000000"/>
            </w:tcBorders>
            <w:shd w:val="clear" w:color="000000" w:fill="002060"/>
            <w:hideMark/>
          </w:tcPr>
          <w:p w14:paraId="412EB336" w14:textId="18927436"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Entity that provides oversight and/or licensing oversight to service/</w:t>
            </w:r>
            <w:r w:rsidR="00DD751F">
              <w:rPr>
                <w:rFonts w:ascii="Calibri" w:eastAsia="Times New Roman" w:hAnsi="Calibri" w:cs="Calibri"/>
                <w:b/>
                <w:bCs/>
                <w:color w:val="FFFFFF"/>
                <w:kern w:val="0"/>
                <w:sz w:val="14"/>
                <w:szCs w:val="14"/>
                <w14:ligatures w14:val="none"/>
              </w:rPr>
              <w:t xml:space="preserve"> </w:t>
            </w:r>
            <w:r w:rsidRPr="00702E29">
              <w:rPr>
                <w:rFonts w:ascii="Calibri" w:eastAsia="Times New Roman" w:hAnsi="Calibri" w:cs="Calibri"/>
                <w:b/>
                <w:bCs/>
                <w:color w:val="FFFFFF"/>
                <w:kern w:val="0"/>
                <w:sz w:val="14"/>
                <w:szCs w:val="14"/>
                <w14:ligatures w14:val="none"/>
              </w:rPr>
              <w:t>program</w:t>
            </w:r>
          </w:p>
        </w:tc>
        <w:tc>
          <w:tcPr>
            <w:tcW w:w="1440" w:type="dxa"/>
            <w:tcBorders>
              <w:top w:val="single" w:sz="4" w:space="0" w:color="000000"/>
              <w:left w:val="nil"/>
              <w:bottom w:val="single" w:sz="4" w:space="0" w:color="000000"/>
              <w:right w:val="single" w:sz="4" w:space="0" w:color="000000"/>
            </w:tcBorders>
            <w:shd w:val="clear" w:color="000000" w:fill="002060"/>
            <w:hideMark/>
          </w:tcPr>
          <w:p w14:paraId="379E081E"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Who typically pays</w:t>
            </w:r>
          </w:p>
        </w:tc>
        <w:tc>
          <w:tcPr>
            <w:tcW w:w="810" w:type="dxa"/>
            <w:tcBorders>
              <w:top w:val="single" w:sz="4" w:space="0" w:color="000000"/>
              <w:left w:val="nil"/>
              <w:bottom w:val="single" w:sz="4" w:space="0" w:color="000000"/>
              <w:right w:val="single" w:sz="4" w:space="0" w:color="000000"/>
            </w:tcBorders>
            <w:shd w:val="clear" w:color="000000" w:fill="002060"/>
            <w:hideMark/>
          </w:tcPr>
          <w:p w14:paraId="44AA3726"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Medicaid funded?</w:t>
            </w:r>
          </w:p>
        </w:tc>
        <w:tc>
          <w:tcPr>
            <w:tcW w:w="720" w:type="dxa"/>
            <w:tcBorders>
              <w:top w:val="single" w:sz="4" w:space="0" w:color="000000"/>
              <w:left w:val="nil"/>
              <w:bottom w:val="single" w:sz="4" w:space="0" w:color="000000"/>
              <w:right w:val="single" w:sz="4" w:space="0" w:color="000000"/>
            </w:tcBorders>
            <w:shd w:val="clear" w:color="000000" w:fill="002060"/>
            <w:hideMark/>
          </w:tcPr>
          <w:p w14:paraId="511274E3"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ASD specific?</w:t>
            </w:r>
          </w:p>
        </w:tc>
        <w:tc>
          <w:tcPr>
            <w:tcW w:w="811" w:type="dxa"/>
            <w:tcBorders>
              <w:top w:val="single" w:sz="4" w:space="0" w:color="000000"/>
              <w:left w:val="nil"/>
              <w:bottom w:val="single" w:sz="4" w:space="0" w:color="000000"/>
              <w:right w:val="single" w:sz="4" w:space="0" w:color="000000"/>
            </w:tcBorders>
            <w:shd w:val="clear" w:color="000000" w:fill="002060"/>
            <w:hideMark/>
          </w:tcPr>
          <w:p w14:paraId="4C1AF843"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Substance use specific?</w:t>
            </w:r>
          </w:p>
        </w:tc>
        <w:tc>
          <w:tcPr>
            <w:tcW w:w="1401" w:type="dxa"/>
            <w:tcBorders>
              <w:top w:val="single" w:sz="4" w:space="0" w:color="000000"/>
              <w:left w:val="nil"/>
              <w:bottom w:val="single" w:sz="4" w:space="0" w:color="000000"/>
              <w:right w:val="single" w:sz="4" w:space="0" w:color="000000"/>
            </w:tcBorders>
            <w:shd w:val="clear" w:color="000000" w:fill="002060"/>
            <w:hideMark/>
          </w:tcPr>
          <w:p w14:paraId="41B30D56"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Access pathways</w:t>
            </w:r>
          </w:p>
        </w:tc>
        <w:tc>
          <w:tcPr>
            <w:tcW w:w="2198" w:type="dxa"/>
            <w:tcBorders>
              <w:top w:val="single" w:sz="4" w:space="0" w:color="000000"/>
              <w:left w:val="nil"/>
              <w:bottom w:val="single" w:sz="4" w:space="0" w:color="000000"/>
              <w:right w:val="single" w:sz="4" w:space="0" w:color="000000"/>
            </w:tcBorders>
            <w:shd w:val="clear" w:color="000000" w:fill="002060"/>
            <w:hideMark/>
          </w:tcPr>
          <w:p w14:paraId="0D1384C5" w14:textId="77777777" w:rsidR="00A42937" w:rsidRPr="00702E29" w:rsidRDefault="00A42937" w:rsidP="00A42937">
            <w:pPr>
              <w:spacing w:after="0" w:line="240" w:lineRule="auto"/>
              <w:rPr>
                <w:rFonts w:ascii="Calibri" w:eastAsia="Times New Roman" w:hAnsi="Calibri" w:cs="Calibri"/>
                <w:b/>
                <w:bCs/>
                <w:color w:val="FFFFFF"/>
                <w:kern w:val="0"/>
                <w:sz w:val="14"/>
                <w:szCs w:val="14"/>
                <w14:ligatures w14:val="none"/>
              </w:rPr>
            </w:pPr>
            <w:r w:rsidRPr="00702E29">
              <w:rPr>
                <w:rFonts w:ascii="Calibri" w:eastAsia="Times New Roman" w:hAnsi="Calibri" w:cs="Calibri"/>
                <w:b/>
                <w:bCs/>
                <w:color w:val="FFFFFF"/>
                <w:kern w:val="0"/>
                <w:sz w:val="14"/>
                <w:szCs w:val="14"/>
                <w14:ligatures w14:val="none"/>
              </w:rPr>
              <w:t xml:space="preserve">Additional Information </w:t>
            </w:r>
          </w:p>
        </w:tc>
      </w:tr>
      <w:tr w:rsidR="00A42937" w:rsidRPr="00A42937" w14:paraId="7D8CC760"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99A3"/>
            <w:hideMark/>
          </w:tcPr>
          <w:p w14:paraId="68DDD6E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Emergency/Crisis</w:t>
            </w:r>
          </w:p>
        </w:tc>
        <w:tc>
          <w:tcPr>
            <w:tcW w:w="1260" w:type="dxa"/>
            <w:tcBorders>
              <w:top w:val="nil"/>
              <w:left w:val="nil"/>
              <w:bottom w:val="single" w:sz="4" w:space="0" w:color="000000"/>
              <w:right w:val="single" w:sz="4" w:space="0" w:color="000000"/>
            </w:tcBorders>
            <w:hideMark/>
          </w:tcPr>
          <w:p w14:paraId="218B59C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Youth Emergency Department (ED) Diversion Program - Part of the DMH Flexible Support Program</w:t>
            </w:r>
          </w:p>
        </w:tc>
        <w:tc>
          <w:tcPr>
            <w:tcW w:w="725" w:type="dxa"/>
            <w:tcBorders>
              <w:top w:val="nil"/>
              <w:left w:val="nil"/>
              <w:bottom w:val="single" w:sz="4" w:space="0" w:color="000000"/>
              <w:right w:val="single" w:sz="4" w:space="0" w:color="000000"/>
            </w:tcBorders>
            <w:hideMark/>
          </w:tcPr>
          <w:p w14:paraId="79FF0D2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48A8EC1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DMH Youth Emergency Department (ED) diversion teams are included in DMH Flexible Support services. </w:t>
            </w:r>
          </w:p>
        </w:tc>
        <w:tc>
          <w:tcPr>
            <w:tcW w:w="1080" w:type="dxa"/>
            <w:tcBorders>
              <w:top w:val="nil"/>
              <w:left w:val="nil"/>
              <w:bottom w:val="single" w:sz="4" w:space="0" w:color="000000"/>
              <w:right w:val="single" w:sz="4" w:space="0" w:color="000000"/>
            </w:tcBorders>
            <w:hideMark/>
          </w:tcPr>
          <w:p w14:paraId="1376BE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4D7F7CC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EE383C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810" w:type="dxa"/>
            <w:tcBorders>
              <w:top w:val="nil"/>
              <w:left w:val="nil"/>
              <w:bottom w:val="single" w:sz="4" w:space="0" w:color="000000"/>
              <w:right w:val="single" w:sz="4" w:space="0" w:color="000000"/>
            </w:tcBorders>
            <w:hideMark/>
          </w:tcPr>
          <w:p w14:paraId="6943A28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62BE7C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40B6EB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470ED6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ED</w:t>
            </w:r>
          </w:p>
        </w:tc>
        <w:tc>
          <w:tcPr>
            <w:tcW w:w="2198" w:type="dxa"/>
            <w:tcBorders>
              <w:top w:val="nil"/>
              <w:left w:val="nil"/>
              <w:bottom w:val="single" w:sz="4" w:space="0" w:color="000000"/>
              <w:right w:val="single" w:sz="4" w:space="0" w:color="000000"/>
            </w:tcBorders>
            <w:hideMark/>
          </w:tcPr>
          <w:p w14:paraId="3B4FC03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4941192"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99A3"/>
            <w:hideMark/>
          </w:tcPr>
          <w:p w14:paraId="1CC9BB3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Emergency/Crisis</w:t>
            </w:r>
          </w:p>
        </w:tc>
        <w:tc>
          <w:tcPr>
            <w:tcW w:w="1260" w:type="dxa"/>
            <w:tcBorders>
              <w:top w:val="nil"/>
              <w:left w:val="nil"/>
              <w:bottom w:val="single" w:sz="4" w:space="0" w:color="000000"/>
              <w:right w:val="single" w:sz="4" w:space="0" w:color="000000"/>
            </w:tcBorders>
            <w:hideMark/>
          </w:tcPr>
          <w:p w14:paraId="021F107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988 Suicide &amp; Crisis Lifeline (MA)</w:t>
            </w:r>
          </w:p>
        </w:tc>
        <w:tc>
          <w:tcPr>
            <w:tcW w:w="725" w:type="dxa"/>
            <w:tcBorders>
              <w:top w:val="nil"/>
              <w:left w:val="nil"/>
              <w:bottom w:val="single" w:sz="4" w:space="0" w:color="000000"/>
              <w:right w:val="single" w:sz="4" w:space="0" w:color="000000"/>
            </w:tcBorders>
            <w:hideMark/>
          </w:tcPr>
          <w:p w14:paraId="7CC7212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7E50E94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988 provides support to people who are experiencing emotional distress or suicidal thoughts — or are worried about a loved one who is. You do not need to be suicidal to contact 988.</w:t>
            </w:r>
          </w:p>
        </w:tc>
        <w:tc>
          <w:tcPr>
            <w:tcW w:w="1080" w:type="dxa"/>
            <w:tcBorders>
              <w:top w:val="nil"/>
              <w:left w:val="nil"/>
              <w:bottom w:val="single" w:sz="4" w:space="0" w:color="000000"/>
              <w:right w:val="single" w:sz="4" w:space="0" w:color="000000"/>
            </w:tcBorders>
            <w:hideMark/>
          </w:tcPr>
          <w:p w14:paraId="01116A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w:t>
            </w:r>
          </w:p>
        </w:tc>
        <w:tc>
          <w:tcPr>
            <w:tcW w:w="1170" w:type="dxa"/>
            <w:tcBorders>
              <w:top w:val="nil"/>
              <w:left w:val="nil"/>
              <w:bottom w:val="single" w:sz="4" w:space="0" w:color="000000"/>
              <w:right w:val="single" w:sz="4" w:space="0" w:color="000000"/>
            </w:tcBorders>
            <w:hideMark/>
          </w:tcPr>
          <w:p w14:paraId="141CB14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BC9055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to caller</w:t>
            </w:r>
          </w:p>
        </w:tc>
        <w:tc>
          <w:tcPr>
            <w:tcW w:w="810" w:type="dxa"/>
            <w:tcBorders>
              <w:top w:val="nil"/>
              <w:left w:val="nil"/>
              <w:bottom w:val="single" w:sz="4" w:space="0" w:color="000000"/>
              <w:right w:val="single" w:sz="4" w:space="0" w:color="000000"/>
            </w:tcBorders>
            <w:hideMark/>
          </w:tcPr>
          <w:p w14:paraId="59DEFA8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5A3E62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646591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3D3779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24/7/365</w:t>
            </w:r>
          </w:p>
        </w:tc>
        <w:tc>
          <w:tcPr>
            <w:tcW w:w="2198" w:type="dxa"/>
            <w:tcBorders>
              <w:top w:val="nil"/>
              <w:left w:val="nil"/>
              <w:bottom w:val="single" w:sz="4" w:space="0" w:color="000000"/>
              <w:right w:val="single" w:sz="4" w:space="0" w:color="000000"/>
            </w:tcBorders>
            <w:hideMark/>
          </w:tcPr>
          <w:p w14:paraId="129F4E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E4AAC31"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99A3"/>
            <w:hideMark/>
          </w:tcPr>
          <w:p w14:paraId="3F72CBE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Emergency/Crisis</w:t>
            </w:r>
          </w:p>
        </w:tc>
        <w:tc>
          <w:tcPr>
            <w:tcW w:w="1260" w:type="dxa"/>
            <w:tcBorders>
              <w:top w:val="nil"/>
              <w:left w:val="nil"/>
              <w:bottom w:val="single" w:sz="4" w:space="0" w:color="000000"/>
              <w:right w:val="single" w:sz="4" w:space="0" w:color="000000"/>
            </w:tcBorders>
            <w:hideMark/>
          </w:tcPr>
          <w:p w14:paraId="320644A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911 / Emergency response</w:t>
            </w:r>
          </w:p>
        </w:tc>
        <w:tc>
          <w:tcPr>
            <w:tcW w:w="725" w:type="dxa"/>
            <w:tcBorders>
              <w:top w:val="nil"/>
              <w:left w:val="nil"/>
              <w:bottom w:val="single" w:sz="4" w:space="0" w:color="000000"/>
              <w:right w:val="single" w:sz="4" w:space="0" w:color="000000"/>
            </w:tcBorders>
            <w:hideMark/>
          </w:tcPr>
          <w:p w14:paraId="3584705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34D5AF5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 safety response for immediate, life-threatening situations</w:t>
            </w:r>
          </w:p>
        </w:tc>
        <w:tc>
          <w:tcPr>
            <w:tcW w:w="1080" w:type="dxa"/>
            <w:tcBorders>
              <w:top w:val="nil"/>
              <w:left w:val="nil"/>
              <w:bottom w:val="single" w:sz="4" w:space="0" w:color="000000"/>
              <w:right w:val="single" w:sz="4" w:space="0" w:color="000000"/>
            </w:tcBorders>
            <w:hideMark/>
          </w:tcPr>
          <w:p w14:paraId="04B557C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EOPPS (911) and DPH (Office of Emergency Medical Services)</w:t>
            </w:r>
          </w:p>
        </w:tc>
        <w:tc>
          <w:tcPr>
            <w:tcW w:w="1170" w:type="dxa"/>
            <w:tcBorders>
              <w:top w:val="nil"/>
              <w:left w:val="nil"/>
              <w:bottom w:val="single" w:sz="4" w:space="0" w:color="000000"/>
              <w:right w:val="single" w:sz="4" w:space="0" w:color="000000"/>
            </w:tcBorders>
            <w:hideMark/>
          </w:tcPr>
          <w:p w14:paraId="3BF4603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91B839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N/A for call; User free on cell phones and land lines (911); Commerical coverage varies for EMS and ambulance</w:t>
            </w:r>
          </w:p>
        </w:tc>
        <w:tc>
          <w:tcPr>
            <w:tcW w:w="810" w:type="dxa"/>
            <w:tcBorders>
              <w:top w:val="nil"/>
              <w:left w:val="nil"/>
              <w:bottom w:val="single" w:sz="4" w:space="0" w:color="000000"/>
              <w:right w:val="single" w:sz="4" w:space="0" w:color="000000"/>
            </w:tcBorders>
            <w:hideMark/>
          </w:tcPr>
          <w:p w14:paraId="1F94AD8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 - EMS</w:t>
            </w:r>
          </w:p>
        </w:tc>
        <w:tc>
          <w:tcPr>
            <w:tcW w:w="720" w:type="dxa"/>
            <w:tcBorders>
              <w:top w:val="nil"/>
              <w:left w:val="nil"/>
              <w:bottom w:val="single" w:sz="4" w:space="0" w:color="000000"/>
              <w:right w:val="single" w:sz="4" w:space="0" w:color="000000"/>
            </w:tcBorders>
            <w:hideMark/>
          </w:tcPr>
          <w:p w14:paraId="25D29E5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C11383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Reponds in SU crisis </w:t>
            </w:r>
          </w:p>
        </w:tc>
        <w:tc>
          <w:tcPr>
            <w:tcW w:w="1401" w:type="dxa"/>
            <w:tcBorders>
              <w:top w:val="nil"/>
              <w:left w:val="nil"/>
              <w:bottom w:val="single" w:sz="4" w:space="0" w:color="000000"/>
              <w:right w:val="single" w:sz="4" w:space="0" w:color="000000"/>
            </w:tcBorders>
            <w:hideMark/>
          </w:tcPr>
          <w:p w14:paraId="5BA649D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Call 911</w:t>
            </w:r>
          </w:p>
        </w:tc>
        <w:tc>
          <w:tcPr>
            <w:tcW w:w="2198" w:type="dxa"/>
            <w:tcBorders>
              <w:top w:val="nil"/>
              <w:left w:val="nil"/>
              <w:bottom w:val="single" w:sz="4" w:space="0" w:color="000000"/>
              <w:right w:val="single" w:sz="4" w:space="0" w:color="000000"/>
            </w:tcBorders>
            <w:hideMark/>
          </w:tcPr>
          <w:p w14:paraId="156B3E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3F13E30"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99A3"/>
            <w:hideMark/>
          </w:tcPr>
          <w:p w14:paraId="21BCA3E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Emergency/Crisis</w:t>
            </w:r>
          </w:p>
        </w:tc>
        <w:tc>
          <w:tcPr>
            <w:tcW w:w="1260" w:type="dxa"/>
            <w:tcBorders>
              <w:top w:val="nil"/>
              <w:left w:val="nil"/>
              <w:bottom w:val="single" w:sz="4" w:space="0" w:color="000000"/>
              <w:right w:val="single" w:sz="4" w:space="0" w:color="000000"/>
            </w:tcBorders>
            <w:hideMark/>
          </w:tcPr>
          <w:p w14:paraId="5CE88F1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 Services Program / Mobile Crisis Intervention (MCI)</w:t>
            </w:r>
          </w:p>
        </w:tc>
        <w:tc>
          <w:tcPr>
            <w:tcW w:w="725" w:type="dxa"/>
            <w:tcBorders>
              <w:top w:val="nil"/>
              <w:left w:val="nil"/>
              <w:bottom w:val="single" w:sz="4" w:space="0" w:color="000000"/>
              <w:right w:val="single" w:sz="4" w:space="0" w:color="000000"/>
            </w:tcBorders>
            <w:hideMark/>
          </w:tcPr>
          <w:p w14:paraId="60C530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07F005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MCI is a mobile (and site-based), face-to-face, therapeutic response to a youth experiencing a behavioral health crisis to reduce the risk of danger to the youth or others. The service is provided 24 hours a day, seven days a week.</w:t>
            </w:r>
          </w:p>
        </w:tc>
        <w:tc>
          <w:tcPr>
            <w:tcW w:w="1080" w:type="dxa"/>
            <w:tcBorders>
              <w:top w:val="nil"/>
              <w:left w:val="nil"/>
              <w:bottom w:val="single" w:sz="4" w:space="0" w:color="000000"/>
              <w:right w:val="single" w:sz="4" w:space="0" w:color="000000"/>
            </w:tcBorders>
            <w:hideMark/>
          </w:tcPr>
          <w:p w14:paraId="1E0DAF9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delivered by CBHCs</w:t>
            </w:r>
          </w:p>
        </w:tc>
        <w:tc>
          <w:tcPr>
            <w:tcW w:w="1170" w:type="dxa"/>
            <w:tcBorders>
              <w:top w:val="nil"/>
              <w:left w:val="nil"/>
              <w:bottom w:val="single" w:sz="4" w:space="0" w:color="000000"/>
              <w:right w:val="single" w:sz="4" w:space="0" w:color="000000"/>
            </w:tcBorders>
            <w:hideMark/>
          </w:tcPr>
          <w:p w14:paraId="0E172C0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9FFA92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Crisis access designed to be universal; DOI regulated commerical insurers required to cover; Behavioral Health Access and Crisis Intervention Trust Fund</w:t>
            </w:r>
          </w:p>
        </w:tc>
        <w:tc>
          <w:tcPr>
            <w:tcW w:w="810" w:type="dxa"/>
            <w:tcBorders>
              <w:top w:val="nil"/>
              <w:left w:val="nil"/>
              <w:bottom w:val="single" w:sz="4" w:space="0" w:color="000000"/>
              <w:right w:val="single" w:sz="4" w:space="0" w:color="000000"/>
            </w:tcBorders>
            <w:hideMark/>
          </w:tcPr>
          <w:p w14:paraId="500A37D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330DA6D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DC6A7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Provide SUD emergency response </w:t>
            </w:r>
          </w:p>
        </w:tc>
        <w:tc>
          <w:tcPr>
            <w:tcW w:w="1401" w:type="dxa"/>
            <w:tcBorders>
              <w:top w:val="nil"/>
              <w:left w:val="nil"/>
              <w:bottom w:val="single" w:sz="4" w:space="0" w:color="000000"/>
              <w:right w:val="single" w:sz="4" w:space="0" w:color="000000"/>
            </w:tcBorders>
            <w:hideMark/>
          </w:tcPr>
          <w:p w14:paraId="3925FC4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 Any one can call for self, family, friend, or client</w:t>
            </w:r>
          </w:p>
        </w:tc>
        <w:tc>
          <w:tcPr>
            <w:tcW w:w="2198" w:type="dxa"/>
            <w:tcBorders>
              <w:top w:val="nil"/>
              <w:left w:val="nil"/>
              <w:bottom w:val="single" w:sz="4" w:space="0" w:color="000000"/>
              <w:right w:val="single" w:sz="4" w:space="0" w:color="000000"/>
            </w:tcBorders>
            <w:hideMark/>
          </w:tcPr>
          <w:p w14:paraId="014D0CD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14CDF0D"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99A3"/>
            <w:hideMark/>
          </w:tcPr>
          <w:p w14:paraId="58EB7AD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Emergency/Crisis</w:t>
            </w:r>
          </w:p>
        </w:tc>
        <w:tc>
          <w:tcPr>
            <w:tcW w:w="1260" w:type="dxa"/>
            <w:tcBorders>
              <w:top w:val="nil"/>
              <w:left w:val="nil"/>
              <w:bottom w:val="single" w:sz="4" w:space="0" w:color="000000"/>
              <w:right w:val="single" w:sz="4" w:space="0" w:color="000000"/>
            </w:tcBorders>
            <w:hideMark/>
          </w:tcPr>
          <w:p w14:paraId="5CD5B4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Youth Community Crisis Stabilization (YCCS)</w:t>
            </w:r>
          </w:p>
        </w:tc>
        <w:tc>
          <w:tcPr>
            <w:tcW w:w="725" w:type="dxa"/>
            <w:tcBorders>
              <w:top w:val="nil"/>
              <w:left w:val="nil"/>
              <w:bottom w:val="single" w:sz="4" w:space="0" w:color="000000"/>
              <w:right w:val="single" w:sz="4" w:space="0" w:color="000000"/>
            </w:tcBorders>
            <w:hideMark/>
          </w:tcPr>
          <w:p w14:paraId="0D7F697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0-18 (sometimes 19-20)</w:t>
            </w:r>
          </w:p>
        </w:tc>
        <w:tc>
          <w:tcPr>
            <w:tcW w:w="1710" w:type="dxa"/>
            <w:tcBorders>
              <w:top w:val="nil"/>
              <w:left w:val="nil"/>
              <w:bottom w:val="single" w:sz="4" w:space="0" w:color="000000"/>
              <w:right w:val="single" w:sz="4" w:space="0" w:color="000000"/>
            </w:tcBorders>
            <w:hideMark/>
          </w:tcPr>
          <w:p w14:paraId="6BFEDA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Provided to children/adolescents up to and including the age of 18 (youth ages 18-20 may be eligible for admission based on a program’s licensing requirements and a member’s clinical needs) with behavioral health symptoms that require a 24/7, staff-secure (unlocked) treatment setting. The primary function of YCCS is to provide short-term (one to five days) crisis stabilization, therapeutic intervention, and specialized programming in a staff-secure environment with a high degree of supervision and structure.</w:t>
            </w:r>
          </w:p>
        </w:tc>
        <w:tc>
          <w:tcPr>
            <w:tcW w:w="1080" w:type="dxa"/>
            <w:tcBorders>
              <w:top w:val="nil"/>
              <w:left w:val="nil"/>
              <w:bottom w:val="single" w:sz="4" w:space="0" w:color="000000"/>
              <w:right w:val="single" w:sz="4" w:space="0" w:color="000000"/>
            </w:tcBorders>
            <w:hideMark/>
          </w:tcPr>
          <w:p w14:paraId="2B21428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delivered by CBHCs (or CBHCs subcontract with other organizations)</w:t>
            </w:r>
          </w:p>
        </w:tc>
        <w:tc>
          <w:tcPr>
            <w:tcW w:w="1170" w:type="dxa"/>
            <w:tcBorders>
              <w:top w:val="nil"/>
              <w:left w:val="nil"/>
              <w:bottom w:val="single" w:sz="4" w:space="0" w:color="000000"/>
              <w:right w:val="single" w:sz="4" w:space="0" w:color="000000"/>
            </w:tcBorders>
            <w:hideMark/>
          </w:tcPr>
          <w:p w14:paraId="3602619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1467370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Bill pending to require DOI regulated commercial insurers to cover YCCS; Behavioral Health Access and Crisis Intervention Trust Fund</w:t>
            </w:r>
          </w:p>
        </w:tc>
        <w:tc>
          <w:tcPr>
            <w:tcW w:w="810" w:type="dxa"/>
            <w:tcBorders>
              <w:top w:val="nil"/>
              <w:left w:val="nil"/>
              <w:bottom w:val="single" w:sz="4" w:space="0" w:color="000000"/>
              <w:right w:val="single" w:sz="4" w:space="0" w:color="000000"/>
            </w:tcBorders>
            <w:hideMark/>
          </w:tcPr>
          <w:p w14:paraId="56B5BD9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1537F5D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EE02A9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18CE3CF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Typically from MCI or ED</w:t>
            </w:r>
          </w:p>
        </w:tc>
        <w:tc>
          <w:tcPr>
            <w:tcW w:w="2198" w:type="dxa"/>
            <w:tcBorders>
              <w:top w:val="nil"/>
              <w:left w:val="nil"/>
              <w:bottom w:val="single" w:sz="4" w:space="0" w:color="000000"/>
              <w:right w:val="single" w:sz="4" w:space="0" w:color="000000"/>
            </w:tcBorders>
            <w:hideMark/>
          </w:tcPr>
          <w:p w14:paraId="3B04C6D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FF318DA"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99A3"/>
            <w:hideMark/>
          </w:tcPr>
          <w:p w14:paraId="3D15D15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Emergency/Crisis</w:t>
            </w:r>
          </w:p>
        </w:tc>
        <w:tc>
          <w:tcPr>
            <w:tcW w:w="1260" w:type="dxa"/>
            <w:tcBorders>
              <w:top w:val="nil"/>
              <w:left w:val="nil"/>
              <w:bottom w:val="single" w:sz="4" w:space="0" w:color="000000"/>
              <w:right w:val="single" w:sz="4" w:space="0" w:color="000000"/>
            </w:tcBorders>
            <w:hideMark/>
          </w:tcPr>
          <w:p w14:paraId="090D95E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Emergency Department (ED) </w:t>
            </w:r>
          </w:p>
        </w:tc>
        <w:tc>
          <w:tcPr>
            <w:tcW w:w="725" w:type="dxa"/>
            <w:tcBorders>
              <w:top w:val="nil"/>
              <w:left w:val="nil"/>
              <w:bottom w:val="single" w:sz="4" w:space="0" w:color="000000"/>
              <w:right w:val="single" w:sz="4" w:space="0" w:color="000000"/>
            </w:tcBorders>
            <w:hideMark/>
          </w:tcPr>
          <w:p w14:paraId="693BC24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349A4E4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ED stabilization; may lead to inpatient/residential/PHP discharge plans; may lead to ED or med-surg unit boarding</w:t>
            </w:r>
          </w:p>
        </w:tc>
        <w:tc>
          <w:tcPr>
            <w:tcW w:w="1080" w:type="dxa"/>
            <w:tcBorders>
              <w:top w:val="nil"/>
              <w:left w:val="nil"/>
              <w:bottom w:val="single" w:sz="4" w:space="0" w:color="000000"/>
              <w:right w:val="single" w:sz="4" w:space="0" w:color="000000"/>
            </w:tcBorders>
            <w:hideMark/>
          </w:tcPr>
          <w:p w14:paraId="1EB9E41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hospitals (not a state program) - Licensed by DPH</w:t>
            </w:r>
          </w:p>
        </w:tc>
        <w:tc>
          <w:tcPr>
            <w:tcW w:w="1170" w:type="dxa"/>
            <w:tcBorders>
              <w:top w:val="nil"/>
              <w:left w:val="nil"/>
              <w:bottom w:val="single" w:sz="4" w:space="0" w:color="000000"/>
              <w:right w:val="single" w:sz="4" w:space="0" w:color="000000"/>
            </w:tcBorders>
            <w:hideMark/>
          </w:tcPr>
          <w:p w14:paraId="5C71231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7B5B51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Payer + safety-net rules</w:t>
            </w:r>
          </w:p>
        </w:tc>
        <w:tc>
          <w:tcPr>
            <w:tcW w:w="810" w:type="dxa"/>
            <w:tcBorders>
              <w:top w:val="nil"/>
              <w:left w:val="nil"/>
              <w:bottom w:val="single" w:sz="4" w:space="0" w:color="000000"/>
              <w:right w:val="single" w:sz="4" w:space="0" w:color="000000"/>
            </w:tcBorders>
            <w:hideMark/>
          </w:tcPr>
          <w:p w14:paraId="793FDA5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21A9592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8CD597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Treats people in SU crisis</w:t>
            </w:r>
          </w:p>
        </w:tc>
        <w:tc>
          <w:tcPr>
            <w:tcW w:w="1401" w:type="dxa"/>
            <w:tcBorders>
              <w:top w:val="nil"/>
              <w:left w:val="nil"/>
              <w:bottom w:val="single" w:sz="4" w:space="0" w:color="000000"/>
              <w:right w:val="single" w:sz="4" w:space="0" w:color="000000"/>
            </w:tcBorders>
            <w:hideMark/>
          </w:tcPr>
          <w:p w14:paraId="78EE54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Walk-in; EMS; transfer from CBHC/MCI; Police drop-off</w:t>
            </w:r>
          </w:p>
        </w:tc>
        <w:tc>
          <w:tcPr>
            <w:tcW w:w="2198" w:type="dxa"/>
            <w:tcBorders>
              <w:top w:val="nil"/>
              <w:left w:val="nil"/>
              <w:bottom w:val="single" w:sz="4" w:space="0" w:color="000000"/>
              <w:right w:val="single" w:sz="4" w:space="0" w:color="000000"/>
            </w:tcBorders>
            <w:hideMark/>
          </w:tcPr>
          <w:p w14:paraId="6A3C8CD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D6312C9"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A16C"/>
            <w:hideMark/>
          </w:tcPr>
          <w:p w14:paraId="1C0D1E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Acute IP</w:t>
            </w:r>
          </w:p>
        </w:tc>
        <w:tc>
          <w:tcPr>
            <w:tcW w:w="1260" w:type="dxa"/>
            <w:tcBorders>
              <w:top w:val="nil"/>
              <w:left w:val="nil"/>
              <w:bottom w:val="single" w:sz="4" w:space="0" w:color="000000"/>
              <w:right w:val="single" w:sz="4" w:space="0" w:color="000000"/>
            </w:tcBorders>
            <w:hideMark/>
          </w:tcPr>
          <w:p w14:paraId="3E53A8D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Continuing Care Inpatient</w:t>
            </w:r>
          </w:p>
        </w:tc>
        <w:tc>
          <w:tcPr>
            <w:tcW w:w="725" w:type="dxa"/>
            <w:tcBorders>
              <w:top w:val="nil"/>
              <w:left w:val="nil"/>
              <w:bottom w:val="single" w:sz="4" w:space="0" w:color="000000"/>
              <w:right w:val="single" w:sz="4" w:space="0" w:color="000000"/>
            </w:tcBorders>
            <w:hideMark/>
          </w:tcPr>
          <w:p w14:paraId="2A80F0A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13-18</w:t>
            </w:r>
          </w:p>
        </w:tc>
        <w:tc>
          <w:tcPr>
            <w:tcW w:w="1710" w:type="dxa"/>
            <w:tcBorders>
              <w:top w:val="nil"/>
              <w:left w:val="nil"/>
              <w:bottom w:val="single" w:sz="4" w:space="0" w:color="000000"/>
              <w:right w:val="single" w:sz="4" w:space="0" w:color="000000"/>
            </w:tcBorders>
            <w:hideMark/>
          </w:tcPr>
          <w:p w14:paraId="2F9D51D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Provides locked psychiatric hospital level of care for adolescents ages 13-18 who require the most clinically intensive treatment available in the state. The service also includes on-site educational programming provided by DESE. Most adolescents are referred by acute inpatient providers when extended, specialized psychiatric treatment is indicated. Some adolescents may be referred by the Court for a short-term forensic evaluation or psychiatric treatment.</w:t>
            </w:r>
          </w:p>
        </w:tc>
        <w:tc>
          <w:tcPr>
            <w:tcW w:w="1080" w:type="dxa"/>
            <w:tcBorders>
              <w:top w:val="nil"/>
              <w:left w:val="nil"/>
              <w:bottom w:val="single" w:sz="4" w:space="0" w:color="000000"/>
              <w:right w:val="single" w:sz="4" w:space="0" w:color="000000"/>
            </w:tcBorders>
            <w:hideMark/>
          </w:tcPr>
          <w:p w14:paraId="4159AC2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DMH </w:t>
            </w:r>
          </w:p>
        </w:tc>
        <w:tc>
          <w:tcPr>
            <w:tcW w:w="1170" w:type="dxa"/>
            <w:tcBorders>
              <w:top w:val="nil"/>
              <w:left w:val="nil"/>
              <w:bottom w:val="single" w:sz="4" w:space="0" w:color="000000"/>
              <w:right w:val="single" w:sz="4" w:space="0" w:color="000000"/>
            </w:tcBorders>
            <w:hideMark/>
          </w:tcPr>
          <w:p w14:paraId="282D2D9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83B4E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Commerical insurance pay also be billed</w:t>
            </w:r>
          </w:p>
        </w:tc>
        <w:tc>
          <w:tcPr>
            <w:tcW w:w="810" w:type="dxa"/>
            <w:tcBorders>
              <w:top w:val="nil"/>
              <w:left w:val="nil"/>
              <w:bottom w:val="single" w:sz="4" w:space="0" w:color="000000"/>
              <w:right w:val="single" w:sz="4" w:space="0" w:color="000000"/>
            </w:tcBorders>
            <w:hideMark/>
          </w:tcPr>
          <w:p w14:paraId="4650B09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20939BC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9CBCBA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A4FAB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usually referral from private psychiatric hospitals</w:t>
            </w:r>
          </w:p>
        </w:tc>
        <w:tc>
          <w:tcPr>
            <w:tcW w:w="2198" w:type="dxa"/>
            <w:tcBorders>
              <w:top w:val="nil"/>
              <w:left w:val="nil"/>
              <w:bottom w:val="single" w:sz="4" w:space="0" w:color="000000"/>
              <w:right w:val="single" w:sz="4" w:space="0" w:color="000000"/>
            </w:tcBorders>
            <w:hideMark/>
          </w:tcPr>
          <w:p w14:paraId="5D6095E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8ABC401"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0A16C"/>
            <w:hideMark/>
          </w:tcPr>
          <w:p w14:paraId="3CD483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Acute IP</w:t>
            </w:r>
          </w:p>
        </w:tc>
        <w:tc>
          <w:tcPr>
            <w:tcW w:w="1260" w:type="dxa"/>
            <w:tcBorders>
              <w:top w:val="nil"/>
              <w:left w:val="nil"/>
              <w:bottom w:val="single" w:sz="4" w:space="0" w:color="000000"/>
              <w:right w:val="single" w:sz="4" w:space="0" w:color="000000"/>
            </w:tcBorders>
            <w:hideMark/>
          </w:tcPr>
          <w:p w14:paraId="3FC122B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Youth inpatient psychiatric hospitalization</w:t>
            </w:r>
          </w:p>
        </w:tc>
        <w:tc>
          <w:tcPr>
            <w:tcW w:w="725" w:type="dxa"/>
            <w:tcBorders>
              <w:top w:val="nil"/>
              <w:left w:val="nil"/>
              <w:bottom w:val="single" w:sz="4" w:space="0" w:color="000000"/>
              <w:right w:val="single" w:sz="4" w:space="0" w:color="000000"/>
            </w:tcBorders>
            <w:hideMark/>
          </w:tcPr>
          <w:p w14:paraId="6F5C9CD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4EF9DB5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24/7 locked psychiatric units that provide a high degree of structure and clinical services for youth in acute psychiatric distress.</w:t>
            </w:r>
          </w:p>
        </w:tc>
        <w:tc>
          <w:tcPr>
            <w:tcW w:w="1080" w:type="dxa"/>
            <w:tcBorders>
              <w:top w:val="nil"/>
              <w:left w:val="nil"/>
              <w:bottom w:val="single" w:sz="4" w:space="0" w:color="000000"/>
              <w:right w:val="single" w:sz="4" w:space="0" w:color="000000"/>
            </w:tcBorders>
            <w:hideMark/>
          </w:tcPr>
          <w:p w14:paraId="625F8BF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hospitals; DMH licensed</w:t>
            </w:r>
          </w:p>
        </w:tc>
        <w:tc>
          <w:tcPr>
            <w:tcW w:w="1170" w:type="dxa"/>
            <w:tcBorders>
              <w:top w:val="nil"/>
              <w:left w:val="nil"/>
              <w:bottom w:val="single" w:sz="4" w:space="0" w:color="000000"/>
              <w:right w:val="single" w:sz="4" w:space="0" w:color="000000"/>
            </w:tcBorders>
            <w:hideMark/>
          </w:tcPr>
          <w:p w14:paraId="06895EE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5F0A3AB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MassHealth/commercial; other payment routes if uninsured</w:t>
            </w:r>
          </w:p>
        </w:tc>
        <w:tc>
          <w:tcPr>
            <w:tcW w:w="810" w:type="dxa"/>
            <w:tcBorders>
              <w:top w:val="nil"/>
              <w:left w:val="nil"/>
              <w:bottom w:val="single" w:sz="4" w:space="0" w:color="000000"/>
              <w:right w:val="single" w:sz="4" w:space="0" w:color="000000"/>
            </w:tcBorders>
            <w:hideMark/>
          </w:tcPr>
          <w:p w14:paraId="267AD81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51C1D0B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371B45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0C1FFA4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Usually via ED/clinical referral</w:t>
            </w:r>
          </w:p>
        </w:tc>
        <w:tc>
          <w:tcPr>
            <w:tcW w:w="2198" w:type="dxa"/>
            <w:tcBorders>
              <w:top w:val="nil"/>
              <w:left w:val="nil"/>
              <w:bottom w:val="single" w:sz="4" w:space="0" w:color="000000"/>
              <w:right w:val="single" w:sz="4" w:space="0" w:color="000000"/>
            </w:tcBorders>
            <w:hideMark/>
          </w:tcPr>
          <w:p w14:paraId="41D0F74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E14C0FE"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FE699"/>
            <w:hideMark/>
          </w:tcPr>
          <w:p w14:paraId="408AFFF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Urgent</w:t>
            </w:r>
          </w:p>
        </w:tc>
        <w:tc>
          <w:tcPr>
            <w:tcW w:w="1260" w:type="dxa"/>
            <w:tcBorders>
              <w:top w:val="nil"/>
              <w:left w:val="nil"/>
              <w:bottom w:val="single" w:sz="4" w:space="0" w:color="000000"/>
              <w:right w:val="single" w:sz="4" w:space="0" w:color="000000"/>
            </w:tcBorders>
            <w:hideMark/>
          </w:tcPr>
          <w:p w14:paraId="2F8AFA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Community Behavioral Health Centers (CBHCs) - Urgent Access </w:t>
            </w:r>
          </w:p>
        </w:tc>
        <w:tc>
          <w:tcPr>
            <w:tcW w:w="725" w:type="dxa"/>
            <w:tcBorders>
              <w:top w:val="nil"/>
              <w:left w:val="nil"/>
              <w:bottom w:val="single" w:sz="4" w:space="0" w:color="000000"/>
              <w:right w:val="single" w:sz="4" w:space="0" w:color="000000"/>
            </w:tcBorders>
            <w:hideMark/>
          </w:tcPr>
          <w:p w14:paraId="01C09F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55C3834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 wide range of mental health and substance use services and treatment, Urgent access includes same or next-day evaluations, extended evening and weekend hours, and access to psychopharmacology within 72 hours of an initial evaluation.</w:t>
            </w:r>
          </w:p>
        </w:tc>
        <w:tc>
          <w:tcPr>
            <w:tcW w:w="1080" w:type="dxa"/>
            <w:tcBorders>
              <w:top w:val="nil"/>
              <w:left w:val="nil"/>
              <w:bottom w:val="single" w:sz="4" w:space="0" w:color="000000"/>
              <w:right w:val="single" w:sz="4" w:space="0" w:color="000000"/>
            </w:tcBorders>
            <w:hideMark/>
          </w:tcPr>
          <w:p w14:paraId="489078F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delivered by provider orgs</w:t>
            </w:r>
          </w:p>
        </w:tc>
        <w:tc>
          <w:tcPr>
            <w:tcW w:w="1170" w:type="dxa"/>
            <w:tcBorders>
              <w:top w:val="nil"/>
              <w:left w:val="nil"/>
              <w:bottom w:val="single" w:sz="4" w:space="0" w:color="000000"/>
              <w:right w:val="single" w:sz="4" w:space="0" w:color="000000"/>
            </w:tcBorders>
            <w:hideMark/>
          </w:tcPr>
          <w:p w14:paraId="697D665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ACCADF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Crisis access and three outpatient visits - including urgent visits (per year) designed to be universal; Behavioral Health Access and Crisis Intervention Trust Fund</w:t>
            </w:r>
          </w:p>
        </w:tc>
        <w:tc>
          <w:tcPr>
            <w:tcW w:w="810" w:type="dxa"/>
            <w:tcBorders>
              <w:top w:val="nil"/>
              <w:left w:val="nil"/>
              <w:bottom w:val="single" w:sz="4" w:space="0" w:color="000000"/>
              <w:right w:val="single" w:sz="4" w:space="0" w:color="000000"/>
            </w:tcBorders>
            <w:hideMark/>
          </w:tcPr>
          <w:p w14:paraId="693AAEB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0B4CFE4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811" w:type="dxa"/>
            <w:tcBorders>
              <w:top w:val="nil"/>
              <w:left w:val="nil"/>
              <w:bottom w:val="single" w:sz="4" w:space="0" w:color="000000"/>
              <w:right w:val="single" w:sz="4" w:space="0" w:color="000000"/>
            </w:tcBorders>
            <w:hideMark/>
          </w:tcPr>
          <w:p w14:paraId="23C440F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Provide SUD treatment and care for people with co-occurring conditions. </w:t>
            </w:r>
          </w:p>
        </w:tc>
        <w:tc>
          <w:tcPr>
            <w:tcW w:w="1401" w:type="dxa"/>
            <w:tcBorders>
              <w:top w:val="nil"/>
              <w:left w:val="nil"/>
              <w:bottom w:val="single" w:sz="4" w:space="0" w:color="000000"/>
              <w:right w:val="single" w:sz="4" w:space="0" w:color="000000"/>
            </w:tcBorders>
            <w:hideMark/>
          </w:tcPr>
          <w:p w14:paraId="3AFDF72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or referral</w:t>
            </w:r>
          </w:p>
        </w:tc>
        <w:tc>
          <w:tcPr>
            <w:tcW w:w="2198" w:type="dxa"/>
            <w:tcBorders>
              <w:top w:val="nil"/>
              <w:left w:val="nil"/>
              <w:bottom w:val="single" w:sz="4" w:space="0" w:color="000000"/>
              <w:right w:val="single" w:sz="4" w:space="0" w:color="000000"/>
            </w:tcBorders>
            <w:hideMark/>
          </w:tcPr>
          <w:p w14:paraId="3BFFC42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7309AA7B"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FE699"/>
            <w:hideMark/>
          </w:tcPr>
          <w:p w14:paraId="5D3CAC4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Urgent</w:t>
            </w:r>
          </w:p>
        </w:tc>
        <w:tc>
          <w:tcPr>
            <w:tcW w:w="1260" w:type="dxa"/>
            <w:tcBorders>
              <w:top w:val="nil"/>
              <w:left w:val="nil"/>
              <w:bottom w:val="single" w:sz="4" w:space="0" w:color="000000"/>
              <w:right w:val="single" w:sz="4" w:space="0" w:color="000000"/>
            </w:tcBorders>
            <w:hideMark/>
          </w:tcPr>
          <w:p w14:paraId="7BAA487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Behavioral Health Urgent Care Providers (BHUC)</w:t>
            </w:r>
          </w:p>
        </w:tc>
        <w:tc>
          <w:tcPr>
            <w:tcW w:w="725" w:type="dxa"/>
            <w:tcBorders>
              <w:top w:val="nil"/>
              <w:left w:val="nil"/>
              <w:bottom w:val="single" w:sz="4" w:space="0" w:color="000000"/>
              <w:right w:val="single" w:sz="4" w:space="0" w:color="000000"/>
            </w:tcBorders>
            <w:hideMark/>
          </w:tcPr>
          <w:p w14:paraId="4EAA857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7ECF4C3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Same/next-day BH visits (varies by site model) and extended evening and some weekend hours; Providers have met MassHealth attestation requirements</w:t>
            </w:r>
          </w:p>
        </w:tc>
        <w:tc>
          <w:tcPr>
            <w:tcW w:w="1080" w:type="dxa"/>
            <w:tcBorders>
              <w:top w:val="nil"/>
              <w:left w:val="nil"/>
              <w:bottom w:val="single" w:sz="4" w:space="0" w:color="000000"/>
              <w:right w:val="single" w:sz="4" w:space="0" w:color="000000"/>
            </w:tcBorders>
            <w:hideMark/>
          </w:tcPr>
          <w:p w14:paraId="71AB00D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delivered by provider orgs</w:t>
            </w:r>
          </w:p>
        </w:tc>
        <w:tc>
          <w:tcPr>
            <w:tcW w:w="1170" w:type="dxa"/>
            <w:tcBorders>
              <w:top w:val="nil"/>
              <w:left w:val="nil"/>
              <w:bottom w:val="single" w:sz="4" w:space="0" w:color="000000"/>
              <w:right w:val="single" w:sz="4" w:space="0" w:color="000000"/>
            </w:tcBorders>
            <w:hideMark/>
          </w:tcPr>
          <w:p w14:paraId="484B261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60059C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Lots of variation in commercial coverage; some sites have self-pay policies</w:t>
            </w:r>
          </w:p>
        </w:tc>
        <w:tc>
          <w:tcPr>
            <w:tcW w:w="810" w:type="dxa"/>
            <w:tcBorders>
              <w:top w:val="nil"/>
              <w:left w:val="nil"/>
              <w:bottom w:val="single" w:sz="4" w:space="0" w:color="000000"/>
              <w:right w:val="single" w:sz="4" w:space="0" w:color="000000"/>
            </w:tcBorders>
            <w:hideMark/>
          </w:tcPr>
          <w:p w14:paraId="56810DF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3000D0E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A5B45E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Provides care for SUD urgent needs</w:t>
            </w:r>
          </w:p>
        </w:tc>
        <w:tc>
          <w:tcPr>
            <w:tcW w:w="1401" w:type="dxa"/>
            <w:tcBorders>
              <w:top w:val="nil"/>
              <w:left w:val="nil"/>
              <w:bottom w:val="single" w:sz="4" w:space="0" w:color="000000"/>
              <w:right w:val="single" w:sz="4" w:space="0" w:color="000000"/>
            </w:tcBorders>
            <w:hideMark/>
          </w:tcPr>
          <w:p w14:paraId="0A9463F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or referral</w:t>
            </w:r>
          </w:p>
        </w:tc>
        <w:tc>
          <w:tcPr>
            <w:tcW w:w="2198" w:type="dxa"/>
            <w:tcBorders>
              <w:top w:val="nil"/>
              <w:left w:val="nil"/>
              <w:bottom w:val="single" w:sz="4" w:space="0" w:color="000000"/>
              <w:right w:val="single" w:sz="4" w:space="0" w:color="000000"/>
            </w:tcBorders>
            <w:hideMark/>
          </w:tcPr>
          <w:p w14:paraId="79CAC58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F6ADC0F"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FFE699"/>
            <w:hideMark/>
          </w:tcPr>
          <w:p w14:paraId="54DE1F0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Urgent</w:t>
            </w:r>
          </w:p>
        </w:tc>
        <w:tc>
          <w:tcPr>
            <w:tcW w:w="1260" w:type="dxa"/>
            <w:tcBorders>
              <w:top w:val="nil"/>
              <w:left w:val="nil"/>
              <w:bottom w:val="single" w:sz="4" w:space="0" w:color="000000"/>
              <w:right w:val="single" w:sz="4" w:space="0" w:color="000000"/>
            </w:tcBorders>
            <w:hideMark/>
          </w:tcPr>
          <w:p w14:paraId="685A24F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Pediatric Behavioral Health Urgent Care in Schools Pilot</w:t>
            </w:r>
          </w:p>
        </w:tc>
        <w:tc>
          <w:tcPr>
            <w:tcW w:w="725" w:type="dxa"/>
            <w:tcBorders>
              <w:top w:val="nil"/>
              <w:left w:val="nil"/>
              <w:bottom w:val="single" w:sz="4" w:space="0" w:color="000000"/>
              <w:right w:val="single" w:sz="4" w:space="0" w:color="000000"/>
            </w:tcBorders>
            <w:hideMark/>
          </w:tcPr>
          <w:p w14:paraId="6549F3F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Middle and High School Students</w:t>
            </w:r>
          </w:p>
        </w:tc>
        <w:tc>
          <w:tcPr>
            <w:tcW w:w="1710" w:type="dxa"/>
            <w:tcBorders>
              <w:top w:val="nil"/>
              <w:left w:val="nil"/>
              <w:bottom w:val="single" w:sz="4" w:space="0" w:color="000000"/>
              <w:right w:val="single" w:sz="4" w:space="0" w:color="000000"/>
            </w:tcBorders>
            <w:hideMark/>
          </w:tcPr>
          <w:p w14:paraId="612261A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CBHC clinician based in middle or high school to address students' urgent behavioral health needs and connect to longer-term supports if indicated. </w:t>
            </w:r>
          </w:p>
        </w:tc>
        <w:tc>
          <w:tcPr>
            <w:tcW w:w="1080" w:type="dxa"/>
            <w:tcBorders>
              <w:top w:val="nil"/>
              <w:left w:val="nil"/>
              <w:bottom w:val="single" w:sz="4" w:space="0" w:color="000000"/>
              <w:right w:val="single" w:sz="4" w:space="0" w:color="000000"/>
            </w:tcBorders>
            <w:hideMark/>
          </w:tcPr>
          <w:p w14:paraId="7F09A36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MAMH managed project, foundation funding</w:t>
            </w:r>
          </w:p>
        </w:tc>
        <w:tc>
          <w:tcPr>
            <w:tcW w:w="1170" w:type="dxa"/>
            <w:tcBorders>
              <w:top w:val="nil"/>
              <w:left w:val="nil"/>
              <w:bottom w:val="single" w:sz="4" w:space="0" w:color="000000"/>
              <w:right w:val="single" w:sz="4" w:space="0" w:color="000000"/>
            </w:tcBorders>
            <w:hideMark/>
          </w:tcPr>
          <w:p w14:paraId="2FCE8EC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248DCA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foundations - grants</w:t>
            </w:r>
          </w:p>
        </w:tc>
        <w:tc>
          <w:tcPr>
            <w:tcW w:w="810" w:type="dxa"/>
            <w:tcBorders>
              <w:top w:val="nil"/>
              <w:left w:val="nil"/>
              <w:bottom w:val="single" w:sz="4" w:space="0" w:color="000000"/>
              <w:right w:val="single" w:sz="4" w:space="0" w:color="000000"/>
            </w:tcBorders>
            <w:hideMark/>
          </w:tcPr>
          <w:p w14:paraId="6045195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55EA7E1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FF5185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Helps students with SU needs.</w:t>
            </w:r>
          </w:p>
        </w:tc>
        <w:tc>
          <w:tcPr>
            <w:tcW w:w="1401" w:type="dxa"/>
            <w:tcBorders>
              <w:top w:val="nil"/>
              <w:left w:val="nil"/>
              <w:bottom w:val="single" w:sz="4" w:space="0" w:color="000000"/>
              <w:right w:val="single" w:sz="4" w:space="0" w:color="000000"/>
            </w:tcBorders>
            <w:hideMark/>
          </w:tcPr>
          <w:p w14:paraId="18B4B55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School referral typically</w:t>
            </w:r>
          </w:p>
        </w:tc>
        <w:tc>
          <w:tcPr>
            <w:tcW w:w="2198" w:type="dxa"/>
            <w:tcBorders>
              <w:top w:val="nil"/>
              <w:left w:val="nil"/>
              <w:bottom w:val="single" w:sz="4" w:space="0" w:color="000000"/>
              <w:right w:val="single" w:sz="4" w:space="0" w:color="000000"/>
            </w:tcBorders>
            <w:hideMark/>
          </w:tcPr>
          <w:p w14:paraId="679D0F8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F701BE5"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1188EFA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4D5DFEE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 Family Support &amp; Stabilization Services (“Support &amp; Stabilization” / S&amp;S)</w:t>
            </w:r>
          </w:p>
        </w:tc>
        <w:tc>
          <w:tcPr>
            <w:tcW w:w="725" w:type="dxa"/>
            <w:tcBorders>
              <w:top w:val="nil"/>
              <w:left w:val="nil"/>
              <w:bottom w:val="single" w:sz="4" w:space="0" w:color="000000"/>
              <w:right w:val="single" w:sz="4" w:space="0" w:color="000000"/>
            </w:tcBorders>
            <w:hideMark/>
          </w:tcPr>
          <w:p w14:paraId="2A09CB9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Families (Youth,caregivers, family system) with an open DCF case </w:t>
            </w:r>
          </w:p>
        </w:tc>
        <w:tc>
          <w:tcPr>
            <w:tcW w:w="1710" w:type="dxa"/>
            <w:tcBorders>
              <w:top w:val="nil"/>
              <w:left w:val="nil"/>
              <w:bottom w:val="single" w:sz="4" w:space="0" w:color="000000"/>
              <w:right w:val="single" w:sz="4" w:space="0" w:color="000000"/>
            </w:tcBorders>
            <w:hideMark/>
          </w:tcPr>
          <w:p w14:paraId="54D39B7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Broad array of services that builds caregiver and/or youth skills; strengthens family relationships; builds community supports to prevent escalation/out-of-home placement</w:t>
            </w:r>
          </w:p>
        </w:tc>
        <w:tc>
          <w:tcPr>
            <w:tcW w:w="1080" w:type="dxa"/>
            <w:tcBorders>
              <w:top w:val="nil"/>
              <w:left w:val="nil"/>
              <w:bottom w:val="single" w:sz="4" w:space="0" w:color="000000"/>
              <w:right w:val="single" w:sz="4" w:space="0" w:color="000000"/>
            </w:tcBorders>
            <w:hideMark/>
          </w:tcPr>
          <w:p w14:paraId="54FF447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w:t>
            </w:r>
          </w:p>
        </w:tc>
        <w:tc>
          <w:tcPr>
            <w:tcW w:w="1170" w:type="dxa"/>
            <w:tcBorders>
              <w:top w:val="nil"/>
              <w:left w:val="nil"/>
              <w:bottom w:val="single" w:sz="4" w:space="0" w:color="000000"/>
              <w:right w:val="single" w:sz="4" w:space="0" w:color="000000"/>
            </w:tcBorders>
            <w:hideMark/>
          </w:tcPr>
          <w:p w14:paraId="5FF2AA8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w:t>
            </w:r>
          </w:p>
        </w:tc>
        <w:tc>
          <w:tcPr>
            <w:tcW w:w="1440" w:type="dxa"/>
            <w:tcBorders>
              <w:top w:val="nil"/>
              <w:left w:val="nil"/>
              <w:bottom w:val="single" w:sz="4" w:space="0" w:color="000000"/>
              <w:right w:val="single" w:sz="4" w:space="0" w:color="000000"/>
            </w:tcBorders>
            <w:shd w:val="clear" w:color="000000" w:fill="FFFFFF"/>
            <w:hideMark/>
          </w:tcPr>
          <w:p w14:paraId="7B85BFD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DCF Funding - From DCFs operational budget </w:t>
            </w:r>
          </w:p>
        </w:tc>
        <w:tc>
          <w:tcPr>
            <w:tcW w:w="810" w:type="dxa"/>
            <w:tcBorders>
              <w:top w:val="nil"/>
              <w:left w:val="nil"/>
              <w:bottom w:val="single" w:sz="4" w:space="0" w:color="000000"/>
              <w:right w:val="single" w:sz="4" w:space="0" w:color="000000"/>
            </w:tcBorders>
            <w:shd w:val="clear" w:color="000000" w:fill="FFFFFF"/>
            <w:hideMark/>
          </w:tcPr>
          <w:p w14:paraId="551D3BB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5D881C7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49B8E44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Some services are subatnce use specific for youth</w:t>
            </w:r>
          </w:p>
        </w:tc>
        <w:tc>
          <w:tcPr>
            <w:tcW w:w="1401" w:type="dxa"/>
            <w:tcBorders>
              <w:top w:val="nil"/>
              <w:left w:val="nil"/>
              <w:bottom w:val="single" w:sz="4" w:space="0" w:color="000000"/>
              <w:right w:val="single" w:sz="4" w:space="0" w:color="000000"/>
            </w:tcBorders>
            <w:hideMark/>
          </w:tcPr>
          <w:p w14:paraId="551AA34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Having an open/ongoing DCF case </w:t>
            </w:r>
          </w:p>
        </w:tc>
        <w:tc>
          <w:tcPr>
            <w:tcW w:w="2198" w:type="dxa"/>
            <w:tcBorders>
              <w:top w:val="nil"/>
              <w:left w:val="nil"/>
              <w:bottom w:val="single" w:sz="4" w:space="0" w:color="000000"/>
              <w:right w:val="single" w:sz="4" w:space="0" w:color="000000"/>
            </w:tcBorders>
            <w:hideMark/>
          </w:tcPr>
          <w:p w14:paraId="79F7B88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BB6155F"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7AEAE0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1FC1020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Young Parent Living Program </w:t>
            </w:r>
          </w:p>
        </w:tc>
        <w:tc>
          <w:tcPr>
            <w:tcW w:w="725" w:type="dxa"/>
            <w:tcBorders>
              <w:top w:val="nil"/>
              <w:left w:val="nil"/>
              <w:bottom w:val="single" w:sz="4" w:space="0" w:color="000000"/>
              <w:right w:val="single" w:sz="4" w:space="0" w:color="000000"/>
            </w:tcBorders>
            <w:hideMark/>
          </w:tcPr>
          <w:p w14:paraId="4A77CA0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Youth who are young parents, Up to age 22y.o. </w:t>
            </w:r>
          </w:p>
        </w:tc>
        <w:tc>
          <w:tcPr>
            <w:tcW w:w="1710" w:type="dxa"/>
            <w:tcBorders>
              <w:top w:val="nil"/>
              <w:left w:val="nil"/>
              <w:bottom w:val="single" w:sz="4" w:space="0" w:color="000000"/>
              <w:right w:val="single" w:sz="4" w:space="0" w:color="000000"/>
            </w:tcBorders>
            <w:hideMark/>
          </w:tcPr>
          <w:p w14:paraId="708ED95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Group Home specifically for young parents (male/female); parenting skills and support to achieve permanent housing </w:t>
            </w:r>
          </w:p>
        </w:tc>
        <w:tc>
          <w:tcPr>
            <w:tcW w:w="1080" w:type="dxa"/>
            <w:tcBorders>
              <w:top w:val="nil"/>
              <w:left w:val="nil"/>
              <w:bottom w:val="single" w:sz="4" w:space="0" w:color="000000"/>
              <w:right w:val="single" w:sz="4" w:space="0" w:color="000000"/>
            </w:tcBorders>
            <w:hideMark/>
          </w:tcPr>
          <w:p w14:paraId="3335CF0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DTA and DCF </w:t>
            </w:r>
          </w:p>
        </w:tc>
        <w:tc>
          <w:tcPr>
            <w:tcW w:w="1170" w:type="dxa"/>
            <w:tcBorders>
              <w:top w:val="nil"/>
              <w:left w:val="nil"/>
              <w:bottom w:val="single" w:sz="4" w:space="0" w:color="000000"/>
              <w:right w:val="single" w:sz="4" w:space="0" w:color="000000"/>
            </w:tcBorders>
            <w:hideMark/>
          </w:tcPr>
          <w:p w14:paraId="32541E5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LIcensing </w:t>
            </w:r>
          </w:p>
        </w:tc>
        <w:tc>
          <w:tcPr>
            <w:tcW w:w="1440" w:type="dxa"/>
            <w:tcBorders>
              <w:top w:val="nil"/>
              <w:left w:val="nil"/>
              <w:bottom w:val="single" w:sz="4" w:space="0" w:color="000000"/>
              <w:right w:val="single" w:sz="4" w:space="0" w:color="000000"/>
            </w:tcBorders>
            <w:shd w:val="clear" w:color="000000" w:fill="FFFFFF"/>
            <w:hideMark/>
          </w:tcPr>
          <w:p w14:paraId="601C4DB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Funding is shared between DTA and DCF </w:t>
            </w:r>
          </w:p>
        </w:tc>
        <w:tc>
          <w:tcPr>
            <w:tcW w:w="810" w:type="dxa"/>
            <w:tcBorders>
              <w:top w:val="nil"/>
              <w:left w:val="nil"/>
              <w:bottom w:val="single" w:sz="4" w:space="0" w:color="000000"/>
              <w:right w:val="single" w:sz="4" w:space="0" w:color="000000"/>
            </w:tcBorders>
            <w:shd w:val="clear" w:color="000000" w:fill="FFFFFF"/>
            <w:hideMark/>
          </w:tcPr>
          <w:p w14:paraId="38DF219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6318F7E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811" w:type="dxa"/>
            <w:tcBorders>
              <w:top w:val="nil"/>
              <w:left w:val="nil"/>
              <w:bottom w:val="single" w:sz="4" w:space="0" w:color="000000"/>
              <w:right w:val="single" w:sz="4" w:space="0" w:color="000000"/>
            </w:tcBorders>
            <w:hideMark/>
          </w:tcPr>
          <w:p w14:paraId="4FEAFC0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1401" w:type="dxa"/>
            <w:tcBorders>
              <w:top w:val="nil"/>
              <w:left w:val="nil"/>
              <w:bottom w:val="single" w:sz="4" w:space="0" w:color="000000"/>
              <w:right w:val="single" w:sz="4" w:space="0" w:color="000000"/>
            </w:tcBorders>
            <w:hideMark/>
          </w:tcPr>
          <w:p w14:paraId="04D4AC8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Young adults are eligible by being an open DCF child consumer or meeting DTA eligibility guidelines. </w:t>
            </w:r>
          </w:p>
        </w:tc>
        <w:tc>
          <w:tcPr>
            <w:tcW w:w="2198" w:type="dxa"/>
            <w:tcBorders>
              <w:top w:val="nil"/>
              <w:left w:val="nil"/>
              <w:bottom w:val="single" w:sz="4" w:space="0" w:color="000000"/>
              <w:right w:val="single" w:sz="4" w:space="0" w:color="000000"/>
            </w:tcBorders>
            <w:hideMark/>
          </w:tcPr>
          <w:p w14:paraId="6DECAD0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9066DB3"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35EA9D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61A760A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 Contracted Emergency Residence and Intensive Emergency Residences</w:t>
            </w:r>
          </w:p>
        </w:tc>
        <w:tc>
          <w:tcPr>
            <w:tcW w:w="725" w:type="dxa"/>
            <w:tcBorders>
              <w:top w:val="nil"/>
              <w:left w:val="nil"/>
              <w:bottom w:val="single" w:sz="4" w:space="0" w:color="000000"/>
              <w:right w:val="single" w:sz="4" w:space="0" w:color="000000"/>
            </w:tcBorders>
            <w:hideMark/>
          </w:tcPr>
          <w:p w14:paraId="6D33803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Youth that are open DCF child consumer and are in DCF Custody</w:t>
            </w:r>
          </w:p>
        </w:tc>
        <w:tc>
          <w:tcPr>
            <w:tcW w:w="1710" w:type="dxa"/>
            <w:tcBorders>
              <w:top w:val="nil"/>
              <w:left w:val="nil"/>
              <w:bottom w:val="single" w:sz="4" w:space="0" w:color="000000"/>
              <w:right w:val="single" w:sz="4" w:space="0" w:color="000000"/>
            </w:tcBorders>
            <w:shd w:val="clear" w:color="000000" w:fill="FFFFFF"/>
            <w:hideMark/>
          </w:tcPr>
          <w:p w14:paraId="6BCABBD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Congregate care placement on an emergency basis for youth with moderate to severe behavioral health needs, requires intake on same day as referral. Not long term placement or long term therapeutic treatment and intended for utilization of emergency placement needs for youth.   </w:t>
            </w:r>
          </w:p>
        </w:tc>
        <w:tc>
          <w:tcPr>
            <w:tcW w:w="1080" w:type="dxa"/>
            <w:tcBorders>
              <w:top w:val="nil"/>
              <w:left w:val="nil"/>
              <w:bottom w:val="single" w:sz="4" w:space="0" w:color="000000"/>
              <w:right w:val="single" w:sz="4" w:space="0" w:color="000000"/>
            </w:tcBorders>
            <w:hideMark/>
          </w:tcPr>
          <w:p w14:paraId="5B95C6C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w:t>
            </w:r>
          </w:p>
        </w:tc>
        <w:tc>
          <w:tcPr>
            <w:tcW w:w="1170" w:type="dxa"/>
            <w:tcBorders>
              <w:top w:val="nil"/>
              <w:left w:val="nil"/>
              <w:bottom w:val="single" w:sz="4" w:space="0" w:color="000000"/>
              <w:right w:val="single" w:sz="4" w:space="0" w:color="000000"/>
            </w:tcBorders>
            <w:hideMark/>
          </w:tcPr>
          <w:p w14:paraId="1BF6C03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Licensing </w:t>
            </w:r>
          </w:p>
        </w:tc>
        <w:tc>
          <w:tcPr>
            <w:tcW w:w="1440" w:type="dxa"/>
            <w:tcBorders>
              <w:top w:val="nil"/>
              <w:left w:val="nil"/>
              <w:bottom w:val="single" w:sz="4" w:space="0" w:color="000000"/>
              <w:right w:val="single" w:sz="4" w:space="0" w:color="000000"/>
            </w:tcBorders>
            <w:shd w:val="clear" w:color="000000" w:fill="FFFFFF"/>
            <w:hideMark/>
          </w:tcPr>
          <w:p w14:paraId="6439D4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DCF </w:t>
            </w:r>
          </w:p>
        </w:tc>
        <w:tc>
          <w:tcPr>
            <w:tcW w:w="810" w:type="dxa"/>
            <w:tcBorders>
              <w:top w:val="nil"/>
              <w:left w:val="nil"/>
              <w:bottom w:val="single" w:sz="4" w:space="0" w:color="000000"/>
              <w:right w:val="single" w:sz="4" w:space="0" w:color="000000"/>
            </w:tcBorders>
            <w:shd w:val="clear" w:color="000000" w:fill="FFFFFF"/>
            <w:hideMark/>
          </w:tcPr>
          <w:p w14:paraId="198AD18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Partial CPE funding</w:t>
            </w:r>
          </w:p>
        </w:tc>
        <w:tc>
          <w:tcPr>
            <w:tcW w:w="720" w:type="dxa"/>
            <w:tcBorders>
              <w:top w:val="nil"/>
              <w:left w:val="nil"/>
              <w:bottom w:val="single" w:sz="4" w:space="0" w:color="000000"/>
              <w:right w:val="single" w:sz="4" w:space="0" w:color="000000"/>
            </w:tcBorders>
            <w:hideMark/>
          </w:tcPr>
          <w:p w14:paraId="7D94C0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4EAE5D6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1401" w:type="dxa"/>
            <w:tcBorders>
              <w:top w:val="nil"/>
              <w:left w:val="nil"/>
              <w:bottom w:val="single" w:sz="4" w:space="0" w:color="000000"/>
              <w:right w:val="single" w:sz="4" w:space="0" w:color="000000"/>
            </w:tcBorders>
            <w:hideMark/>
          </w:tcPr>
          <w:p w14:paraId="12429A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Must be an open DCF child consumer and DCF must have custody of the youth. </w:t>
            </w:r>
          </w:p>
        </w:tc>
        <w:tc>
          <w:tcPr>
            <w:tcW w:w="2198" w:type="dxa"/>
            <w:tcBorders>
              <w:top w:val="nil"/>
              <w:left w:val="nil"/>
              <w:bottom w:val="single" w:sz="4" w:space="0" w:color="000000"/>
              <w:right w:val="single" w:sz="4" w:space="0" w:color="000000"/>
            </w:tcBorders>
            <w:hideMark/>
          </w:tcPr>
          <w:p w14:paraId="2032D44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DCF relies on a network of community-based providers/entities to provide congregate care placement services to youth. These entities have the decision-making authority on accepting the youth into their program. They can decline youth based on factors such as clinical needs of youth being a match to the program, and several other factors. The programs can also discharge youth if they determine they can no longer meet the youth’s needs. Youth living in this environment attend a community based educational setting as determined by their LEA. </w:t>
            </w:r>
          </w:p>
        </w:tc>
      </w:tr>
      <w:tr w:rsidR="00A42937" w:rsidRPr="00A42937" w14:paraId="00E34E58" w14:textId="77777777" w:rsidTr="00DD751F">
        <w:trPr>
          <w:trHeight w:val="1230"/>
        </w:trPr>
        <w:tc>
          <w:tcPr>
            <w:tcW w:w="1165" w:type="dxa"/>
            <w:tcBorders>
              <w:top w:val="nil"/>
              <w:left w:val="single" w:sz="4" w:space="0" w:color="000000"/>
              <w:bottom w:val="single" w:sz="4" w:space="0" w:color="000000"/>
              <w:right w:val="single" w:sz="4" w:space="0" w:color="000000"/>
            </w:tcBorders>
            <w:shd w:val="clear" w:color="000000" w:fill="A9D08E"/>
            <w:hideMark/>
          </w:tcPr>
          <w:p w14:paraId="66AB57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5658E82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 Contracted Group Homes</w:t>
            </w:r>
          </w:p>
        </w:tc>
        <w:tc>
          <w:tcPr>
            <w:tcW w:w="725" w:type="dxa"/>
            <w:tcBorders>
              <w:top w:val="nil"/>
              <w:left w:val="nil"/>
              <w:bottom w:val="nil"/>
              <w:right w:val="nil"/>
            </w:tcBorders>
            <w:vAlign w:val="bottom"/>
            <w:hideMark/>
          </w:tcPr>
          <w:p w14:paraId="2BCEFDD4" w14:textId="77777777" w:rsidR="00A42937" w:rsidRPr="00A42937" w:rsidRDefault="00A42937" w:rsidP="00A42937">
            <w:pPr>
              <w:spacing w:after="0" w:line="240" w:lineRule="auto"/>
              <w:rPr>
                <w:rFonts w:ascii="Aptos Narrow" w:eastAsia="Times New Roman" w:hAnsi="Aptos Narrow" w:cs="Calibri"/>
                <w:color w:val="242424"/>
                <w:kern w:val="0"/>
                <w:sz w:val="12"/>
                <w:szCs w:val="12"/>
                <w14:ligatures w14:val="none"/>
              </w:rPr>
            </w:pPr>
            <w:r w:rsidRPr="00A42937">
              <w:rPr>
                <w:rFonts w:ascii="Aptos Narrow" w:eastAsia="Times New Roman" w:hAnsi="Aptos Narrow" w:cs="Calibri"/>
                <w:color w:val="242424"/>
                <w:kern w:val="0"/>
                <w:sz w:val="12"/>
                <w:szCs w:val="12"/>
                <w14:ligatures w14:val="none"/>
              </w:rPr>
              <w:t xml:space="preserve"> Youth that are open DCF child consumer and are in DCF Custody</w:t>
            </w:r>
          </w:p>
        </w:tc>
        <w:tc>
          <w:tcPr>
            <w:tcW w:w="1710" w:type="dxa"/>
            <w:tcBorders>
              <w:top w:val="nil"/>
              <w:left w:val="single" w:sz="4" w:space="0" w:color="000000"/>
              <w:bottom w:val="single" w:sz="4" w:space="0" w:color="000000"/>
              <w:right w:val="single" w:sz="4" w:space="0" w:color="000000"/>
            </w:tcBorders>
            <w:shd w:val="clear" w:color="000000" w:fill="FFFFFF"/>
            <w:hideMark/>
          </w:tcPr>
          <w:p w14:paraId="3EEC89C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A variety of congregate care placements for youth with moderate to severe behavioral health needs. This includes placements for youth transitioning to adulthood, and with medically complex/behavioral health needs. </w:t>
            </w:r>
          </w:p>
        </w:tc>
        <w:tc>
          <w:tcPr>
            <w:tcW w:w="1080" w:type="dxa"/>
            <w:tcBorders>
              <w:top w:val="nil"/>
              <w:left w:val="nil"/>
              <w:bottom w:val="single" w:sz="4" w:space="0" w:color="000000"/>
              <w:right w:val="single" w:sz="4" w:space="0" w:color="000000"/>
            </w:tcBorders>
            <w:hideMark/>
          </w:tcPr>
          <w:p w14:paraId="136F6AD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 DCF</w:t>
            </w:r>
          </w:p>
        </w:tc>
        <w:tc>
          <w:tcPr>
            <w:tcW w:w="1170" w:type="dxa"/>
            <w:tcBorders>
              <w:top w:val="nil"/>
              <w:left w:val="nil"/>
              <w:bottom w:val="single" w:sz="4" w:space="0" w:color="000000"/>
              <w:right w:val="single" w:sz="4" w:space="0" w:color="000000"/>
            </w:tcBorders>
            <w:hideMark/>
          </w:tcPr>
          <w:p w14:paraId="3463A7F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Licensing </w:t>
            </w:r>
          </w:p>
        </w:tc>
        <w:tc>
          <w:tcPr>
            <w:tcW w:w="1440" w:type="dxa"/>
            <w:tcBorders>
              <w:top w:val="nil"/>
              <w:left w:val="nil"/>
              <w:bottom w:val="single" w:sz="4" w:space="0" w:color="000000"/>
              <w:right w:val="single" w:sz="4" w:space="0" w:color="000000"/>
            </w:tcBorders>
            <w:shd w:val="clear" w:color="000000" w:fill="FFFFFF"/>
            <w:hideMark/>
          </w:tcPr>
          <w:p w14:paraId="6E30202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w:t>
            </w:r>
          </w:p>
        </w:tc>
        <w:tc>
          <w:tcPr>
            <w:tcW w:w="810" w:type="dxa"/>
            <w:tcBorders>
              <w:top w:val="nil"/>
              <w:left w:val="nil"/>
              <w:bottom w:val="single" w:sz="4" w:space="0" w:color="000000"/>
              <w:right w:val="single" w:sz="4" w:space="0" w:color="000000"/>
            </w:tcBorders>
            <w:shd w:val="clear" w:color="000000" w:fill="FFFFFF"/>
            <w:hideMark/>
          </w:tcPr>
          <w:p w14:paraId="474E351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1E575A6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Some group homes are ASD specific</w:t>
            </w:r>
          </w:p>
        </w:tc>
        <w:tc>
          <w:tcPr>
            <w:tcW w:w="811" w:type="dxa"/>
            <w:tcBorders>
              <w:top w:val="nil"/>
              <w:left w:val="nil"/>
              <w:bottom w:val="single" w:sz="4" w:space="0" w:color="000000"/>
              <w:right w:val="single" w:sz="4" w:space="0" w:color="000000"/>
            </w:tcBorders>
            <w:hideMark/>
          </w:tcPr>
          <w:p w14:paraId="1833A08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1401" w:type="dxa"/>
            <w:tcBorders>
              <w:top w:val="nil"/>
              <w:left w:val="nil"/>
              <w:bottom w:val="single" w:sz="4" w:space="0" w:color="000000"/>
              <w:right w:val="single" w:sz="4" w:space="0" w:color="000000"/>
            </w:tcBorders>
            <w:hideMark/>
          </w:tcPr>
          <w:p w14:paraId="0FA1E14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Must be an open DCF child consumer and DCF must have custody of the youth. </w:t>
            </w:r>
          </w:p>
        </w:tc>
        <w:tc>
          <w:tcPr>
            <w:tcW w:w="2198" w:type="dxa"/>
            <w:tcBorders>
              <w:top w:val="nil"/>
              <w:left w:val="nil"/>
              <w:bottom w:val="single" w:sz="4" w:space="0" w:color="000000"/>
              <w:right w:val="single" w:sz="4" w:space="0" w:color="000000"/>
            </w:tcBorders>
            <w:hideMark/>
          </w:tcPr>
          <w:p w14:paraId="504BA4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The medically complex/behavioral health group home will be starting in late Feb/March 2026. DCF relies on a network of community-based providers/entities to provide congregate care placement services to youth. These entities have the decision-making authority on accepting the youth into their program. They can decline youth based on factors such as clinical needs of youth being a match to the program, and several other factors. The programs can also discharge youth if they determine they can no longer meet the youth’s needs. Youth living in this environment attend a community based educational setting as determined by their LEA. </w:t>
            </w:r>
          </w:p>
        </w:tc>
      </w:tr>
      <w:tr w:rsidR="00A42937" w:rsidRPr="00A42937" w14:paraId="7210442F"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2B4131B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7F1D896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Residential Schools</w:t>
            </w:r>
          </w:p>
        </w:tc>
        <w:tc>
          <w:tcPr>
            <w:tcW w:w="725" w:type="dxa"/>
            <w:tcBorders>
              <w:top w:val="single" w:sz="4" w:space="0" w:color="000000"/>
              <w:left w:val="nil"/>
              <w:bottom w:val="single" w:sz="4" w:space="0" w:color="000000"/>
              <w:right w:val="single" w:sz="4" w:space="0" w:color="000000"/>
            </w:tcBorders>
            <w:hideMark/>
          </w:tcPr>
          <w:p w14:paraId="2B2D42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Youth (under 22y.o) who's school district (LEA) indicates the youth is unable to be educated in a lower level, educational setting. </w:t>
            </w:r>
          </w:p>
        </w:tc>
        <w:tc>
          <w:tcPr>
            <w:tcW w:w="1710" w:type="dxa"/>
            <w:tcBorders>
              <w:top w:val="nil"/>
              <w:left w:val="nil"/>
              <w:bottom w:val="single" w:sz="4" w:space="0" w:color="000000"/>
              <w:right w:val="single" w:sz="4" w:space="0" w:color="000000"/>
            </w:tcBorders>
            <w:shd w:val="clear" w:color="000000" w:fill="FFFFFF"/>
            <w:hideMark/>
          </w:tcPr>
          <w:p w14:paraId="024F622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Facilities that provide 24-hour, specialized and intensive educational services to students with disabilities whose needs cannot be met in a less restrictive, day setting. A placement environment that provides specialized educational supports, therapeutic and living environment supports youth. </w:t>
            </w:r>
          </w:p>
        </w:tc>
        <w:tc>
          <w:tcPr>
            <w:tcW w:w="1080" w:type="dxa"/>
            <w:tcBorders>
              <w:top w:val="nil"/>
              <w:left w:val="nil"/>
              <w:bottom w:val="single" w:sz="4" w:space="0" w:color="000000"/>
              <w:right w:val="single" w:sz="4" w:space="0" w:color="000000"/>
            </w:tcBorders>
            <w:hideMark/>
          </w:tcPr>
          <w:p w14:paraId="3A7459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School Districts/LEA, DCF (For youth in DCF custody only) </w:t>
            </w:r>
          </w:p>
        </w:tc>
        <w:tc>
          <w:tcPr>
            <w:tcW w:w="1170" w:type="dxa"/>
            <w:tcBorders>
              <w:top w:val="nil"/>
              <w:left w:val="nil"/>
              <w:bottom w:val="single" w:sz="4" w:space="0" w:color="000000"/>
              <w:right w:val="single" w:sz="4" w:space="0" w:color="000000"/>
            </w:tcBorders>
            <w:hideMark/>
          </w:tcPr>
          <w:p w14:paraId="1CAA3C4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Licensing - DESE Approves </w:t>
            </w:r>
          </w:p>
        </w:tc>
        <w:tc>
          <w:tcPr>
            <w:tcW w:w="1440" w:type="dxa"/>
            <w:tcBorders>
              <w:top w:val="nil"/>
              <w:left w:val="nil"/>
              <w:bottom w:val="single" w:sz="4" w:space="0" w:color="000000"/>
              <w:right w:val="single" w:sz="4" w:space="0" w:color="000000"/>
            </w:tcBorders>
            <w:shd w:val="clear" w:color="000000" w:fill="FFFFFF"/>
            <w:hideMark/>
          </w:tcPr>
          <w:p w14:paraId="49D656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School Districts/LEA, DCF .  School districts can fund res-ed placement for students they determine require that level of care and would for youth that are no in DCF custody. For youth in DCF custody, DCF and school districts will often enter into a cost sharing agreement. </w:t>
            </w:r>
          </w:p>
        </w:tc>
        <w:tc>
          <w:tcPr>
            <w:tcW w:w="810" w:type="dxa"/>
            <w:tcBorders>
              <w:top w:val="nil"/>
              <w:left w:val="nil"/>
              <w:bottom w:val="single" w:sz="4" w:space="0" w:color="000000"/>
              <w:right w:val="single" w:sz="4" w:space="0" w:color="000000"/>
            </w:tcBorders>
            <w:shd w:val="clear" w:color="000000" w:fill="FFFFFF"/>
            <w:hideMark/>
          </w:tcPr>
          <w:p w14:paraId="3EC980C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535EF58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Some are ASD specific </w:t>
            </w:r>
          </w:p>
        </w:tc>
        <w:tc>
          <w:tcPr>
            <w:tcW w:w="811" w:type="dxa"/>
            <w:tcBorders>
              <w:top w:val="nil"/>
              <w:left w:val="nil"/>
              <w:bottom w:val="single" w:sz="4" w:space="0" w:color="000000"/>
              <w:right w:val="single" w:sz="4" w:space="0" w:color="000000"/>
            </w:tcBorders>
            <w:shd w:val="clear" w:color="000000" w:fill="FFFF00"/>
            <w:hideMark/>
          </w:tcPr>
          <w:p w14:paraId="7CFE8A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 would need to ask EEC/DESE - DCF is not aware of any that we have access to that are Substance use specific </w:t>
            </w:r>
          </w:p>
        </w:tc>
        <w:tc>
          <w:tcPr>
            <w:tcW w:w="1401" w:type="dxa"/>
            <w:tcBorders>
              <w:top w:val="nil"/>
              <w:left w:val="nil"/>
              <w:bottom w:val="single" w:sz="4" w:space="0" w:color="000000"/>
              <w:right w:val="single" w:sz="4" w:space="0" w:color="000000"/>
            </w:tcBorders>
            <w:hideMark/>
          </w:tcPr>
          <w:p w14:paraId="4C1027A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A youth’s School District/LEA must determine the youth requires a res-ed and  authorize it. For youth in DCF custody, that are an open child consumer, DCF and the school district can determine if a res-ed is needed jointly.  DCF cannot independently authorize res-ed for youth in DCF custody. The school district must agree the youth requires a res-ed level of education. </w:t>
            </w:r>
          </w:p>
        </w:tc>
        <w:tc>
          <w:tcPr>
            <w:tcW w:w="2198" w:type="dxa"/>
            <w:tcBorders>
              <w:top w:val="nil"/>
              <w:left w:val="nil"/>
              <w:bottom w:val="single" w:sz="4" w:space="0" w:color="000000"/>
              <w:right w:val="single" w:sz="4" w:space="0" w:color="000000"/>
            </w:tcBorders>
            <w:hideMark/>
          </w:tcPr>
          <w:p w14:paraId="22CEC96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Residential schools are provided by a variety of private entities throughout the state and are authorized by DESE to be a  be a residential school.  These entities have the decision-making authority on accepting the youth into their program. They can decline youth based on factors such as clinical needs of youth being a match to the program, and several other factors. The programs can also discharge youth if they determine they can no longer meet the youth’s needs. DCF and MA school districts share the res-ed resources in MA. Some res-ed schools will not service youth in DCF custody, while others have contracts with DCF to be willing to serve youth that DCF and school district are seeking a res-ed level of care for a youth. Youth at res-ed are living and attending school at the same location. </w:t>
            </w:r>
          </w:p>
        </w:tc>
      </w:tr>
      <w:tr w:rsidR="00A42937" w:rsidRPr="00A42937" w14:paraId="678B0311"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7514B6E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36B8E70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TCU — Transitional Care Unit</w:t>
            </w:r>
          </w:p>
        </w:tc>
        <w:tc>
          <w:tcPr>
            <w:tcW w:w="725" w:type="dxa"/>
            <w:tcBorders>
              <w:top w:val="nil"/>
              <w:left w:val="nil"/>
              <w:bottom w:val="single" w:sz="4" w:space="0" w:color="000000"/>
              <w:right w:val="single" w:sz="4" w:space="0" w:color="000000"/>
            </w:tcBorders>
            <w:hideMark/>
          </w:tcPr>
          <w:p w14:paraId="6E83B2C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Youth in DCF custody  - Licenced to accept 5-17y.o. but program decides acceptance </w:t>
            </w:r>
          </w:p>
        </w:tc>
        <w:tc>
          <w:tcPr>
            <w:tcW w:w="1710" w:type="dxa"/>
            <w:tcBorders>
              <w:top w:val="nil"/>
              <w:left w:val="nil"/>
              <w:bottom w:val="single" w:sz="4" w:space="0" w:color="000000"/>
              <w:right w:val="single" w:sz="4" w:space="0" w:color="000000"/>
            </w:tcBorders>
            <w:hideMark/>
          </w:tcPr>
          <w:p w14:paraId="4D6FA30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 short-term, structured 24/7 setting for youth (in DCF custody) moving from acute inpatient care to a home or lower-level placements, offering intensive therapy, case management, and planning for a stable return, focusing on behavioral health needs for up to 30 days.</w:t>
            </w:r>
          </w:p>
        </w:tc>
        <w:tc>
          <w:tcPr>
            <w:tcW w:w="1080" w:type="dxa"/>
            <w:tcBorders>
              <w:top w:val="nil"/>
              <w:left w:val="nil"/>
              <w:bottom w:val="single" w:sz="4" w:space="0" w:color="000000"/>
              <w:right w:val="single" w:sz="4" w:space="0" w:color="000000"/>
            </w:tcBorders>
            <w:hideMark/>
          </w:tcPr>
          <w:p w14:paraId="4ECE899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St. Anne's Home, Inc. (Only entity in state contracted to provide TCU Service) </w:t>
            </w:r>
          </w:p>
        </w:tc>
        <w:tc>
          <w:tcPr>
            <w:tcW w:w="1170" w:type="dxa"/>
            <w:tcBorders>
              <w:top w:val="nil"/>
              <w:left w:val="nil"/>
              <w:bottom w:val="single" w:sz="4" w:space="0" w:color="000000"/>
              <w:right w:val="single" w:sz="4" w:space="0" w:color="000000"/>
            </w:tcBorders>
            <w:hideMark/>
          </w:tcPr>
          <w:p w14:paraId="6480CF8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EEC</w:t>
            </w:r>
          </w:p>
        </w:tc>
        <w:tc>
          <w:tcPr>
            <w:tcW w:w="1440" w:type="dxa"/>
            <w:tcBorders>
              <w:top w:val="nil"/>
              <w:left w:val="nil"/>
              <w:bottom w:val="single" w:sz="4" w:space="0" w:color="000000"/>
              <w:right w:val="single" w:sz="4" w:space="0" w:color="000000"/>
            </w:tcBorders>
            <w:hideMark/>
          </w:tcPr>
          <w:p w14:paraId="3CA642F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Medicaid </w:t>
            </w:r>
          </w:p>
        </w:tc>
        <w:tc>
          <w:tcPr>
            <w:tcW w:w="810" w:type="dxa"/>
            <w:tcBorders>
              <w:top w:val="nil"/>
              <w:left w:val="nil"/>
              <w:bottom w:val="single" w:sz="4" w:space="0" w:color="000000"/>
              <w:right w:val="single" w:sz="4" w:space="0" w:color="000000"/>
            </w:tcBorders>
            <w:hideMark/>
          </w:tcPr>
          <w:p w14:paraId="5162C34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54EB8A8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6B2E85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2C965D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Step down from inpatient psychiatric facility or trasnfer from a CBAT level of care </w:t>
            </w:r>
          </w:p>
        </w:tc>
        <w:tc>
          <w:tcPr>
            <w:tcW w:w="2198" w:type="dxa"/>
            <w:tcBorders>
              <w:top w:val="nil"/>
              <w:left w:val="nil"/>
              <w:bottom w:val="single" w:sz="4" w:space="0" w:color="000000"/>
              <w:right w:val="single" w:sz="4" w:space="0" w:color="000000"/>
            </w:tcBorders>
            <w:hideMark/>
          </w:tcPr>
          <w:p w14:paraId="3355397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There are only 3 contracted spots for TCU statewide. </w:t>
            </w:r>
          </w:p>
        </w:tc>
      </w:tr>
      <w:tr w:rsidR="00A42937" w:rsidRPr="00A42937" w14:paraId="0A783B79"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5B0185C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647624F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Intensive Family Flexible Supports</w:t>
            </w:r>
          </w:p>
        </w:tc>
        <w:tc>
          <w:tcPr>
            <w:tcW w:w="725" w:type="dxa"/>
            <w:tcBorders>
              <w:top w:val="nil"/>
              <w:left w:val="nil"/>
              <w:bottom w:val="single" w:sz="4" w:space="0" w:color="000000"/>
              <w:right w:val="single" w:sz="4" w:space="0" w:color="000000"/>
            </w:tcBorders>
            <w:hideMark/>
          </w:tcPr>
          <w:p w14:paraId="23760E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DDS services</w:t>
            </w:r>
          </w:p>
        </w:tc>
        <w:tc>
          <w:tcPr>
            <w:tcW w:w="1710" w:type="dxa"/>
            <w:tcBorders>
              <w:top w:val="nil"/>
              <w:left w:val="nil"/>
              <w:bottom w:val="single" w:sz="4" w:space="0" w:color="000000"/>
              <w:right w:val="single" w:sz="4" w:space="0" w:color="000000"/>
            </w:tcBorders>
            <w:hideMark/>
          </w:tcPr>
          <w:p w14:paraId="030C746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Provides case management services for families and flexible funding to help families purchase other items or services that the child may need with the goal of easing the level of stress families are experiencing and to helping them keep their child/youth in the home.</w:t>
            </w:r>
          </w:p>
        </w:tc>
        <w:tc>
          <w:tcPr>
            <w:tcW w:w="1080" w:type="dxa"/>
            <w:tcBorders>
              <w:top w:val="nil"/>
              <w:left w:val="nil"/>
              <w:bottom w:val="single" w:sz="4" w:space="0" w:color="000000"/>
              <w:right w:val="single" w:sz="4" w:space="0" w:color="000000"/>
            </w:tcBorders>
            <w:hideMark/>
          </w:tcPr>
          <w:p w14:paraId="0FDA692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1170" w:type="dxa"/>
            <w:tcBorders>
              <w:top w:val="nil"/>
              <w:left w:val="nil"/>
              <w:bottom w:val="single" w:sz="4" w:space="0" w:color="000000"/>
              <w:right w:val="single" w:sz="4" w:space="0" w:color="000000"/>
            </w:tcBorders>
            <w:hideMark/>
          </w:tcPr>
          <w:p w14:paraId="490035C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281B66B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hideMark/>
          </w:tcPr>
          <w:p w14:paraId="3E402B0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3EBFC6B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E37618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0DA4517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2198" w:type="dxa"/>
            <w:tcBorders>
              <w:top w:val="nil"/>
              <w:left w:val="nil"/>
              <w:bottom w:val="single" w:sz="4" w:space="0" w:color="000000"/>
              <w:right w:val="single" w:sz="4" w:space="0" w:color="000000"/>
            </w:tcBorders>
            <w:hideMark/>
          </w:tcPr>
          <w:p w14:paraId="73D6975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A33AB4B"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418E4F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0B82156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DESE/DDS Residential Prevention Program</w:t>
            </w:r>
          </w:p>
        </w:tc>
        <w:tc>
          <w:tcPr>
            <w:tcW w:w="725" w:type="dxa"/>
            <w:tcBorders>
              <w:top w:val="nil"/>
              <w:left w:val="nil"/>
              <w:bottom w:val="single" w:sz="4" w:space="0" w:color="000000"/>
              <w:right w:val="single" w:sz="4" w:space="0" w:color="000000"/>
            </w:tcBorders>
            <w:hideMark/>
          </w:tcPr>
          <w:p w14:paraId="187ACB4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6-21</w:t>
            </w:r>
          </w:p>
        </w:tc>
        <w:tc>
          <w:tcPr>
            <w:tcW w:w="1710" w:type="dxa"/>
            <w:tcBorders>
              <w:top w:val="nil"/>
              <w:left w:val="nil"/>
              <w:bottom w:val="single" w:sz="4" w:space="0" w:color="000000"/>
              <w:right w:val="single" w:sz="4" w:space="0" w:color="000000"/>
            </w:tcBorders>
            <w:hideMark/>
          </w:tcPr>
          <w:p w14:paraId="39D566F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 program of wraparound services for students helps prevent a more restrictive educational or out-of-home residential placement by creating an individualized plan of supports for the participant that promotes skill building, independence, and social integration across multiple settings including the participant’s home, school, and community.</w:t>
            </w:r>
          </w:p>
        </w:tc>
        <w:tc>
          <w:tcPr>
            <w:tcW w:w="1080" w:type="dxa"/>
            <w:tcBorders>
              <w:top w:val="nil"/>
              <w:left w:val="nil"/>
              <w:bottom w:val="single" w:sz="4" w:space="0" w:color="000000"/>
              <w:right w:val="single" w:sz="4" w:space="0" w:color="000000"/>
            </w:tcBorders>
            <w:hideMark/>
          </w:tcPr>
          <w:p w14:paraId="4ADBFB7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1170" w:type="dxa"/>
            <w:tcBorders>
              <w:top w:val="nil"/>
              <w:left w:val="nil"/>
              <w:bottom w:val="single" w:sz="4" w:space="0" w:color="000000"/>
              <w:right w:val="single" w:sz="4" w:space="0" w:color="000000"/>
            </w:tcBorders>
            <w:hideMark/>
          </w:tcPr>
          <w:p w14:paraId="744A764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7A8FD5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ISA from DESE</w:t>
            </w:r>
          </w:p>
        </w:tc>
        <w:tc>
          <w:tcPr>
            <w:tcW w:w="810" w:type="dxa"/>
            <w:tcBorders>
              <w:top w:val="nil"/>
              <w:left w:val="nil"/>
              <w:bottom w:val="single" w:sz="4" w:space="0" w:color="000000"/>
              <w:right w:val="single" w:sz="4" w:space="0" w:color="000000"/>
            </w:tcBorders>
            <w:hideMark/>
          </w:tcPr>
          <w:p w14:paraId="590B508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221C98F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3E26153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56091A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2198" w:type="dxa"/>
            <w:tcBorders>
              <w:top w:val="nil"/>
              <w:left w:val="nil"/>
              <w:bottom w:val="single" w:sz="4" w:space="0" w:color="000000"/>
              <w:right w:val="single" w:sz="4" w:space="0" w:color="000000"/>
            </w:tcBorders>
            <w:hideMark/>
          </w:tcPr>
          <w:p w14:paraId="364899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6D4A53E"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4B3F1FE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4FB7E1F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Children’s Autism Waiver Program</w:t>
            </w:r>
          </w:p>
        </w:tc>
        <w:tc>
          <w:tcPr>
            <w:tcW w:w="725" w:type="dxa"/>
            <w:tcBorders>
              <w:top w:val="nil"/>
              <w:left w:val="nil"/>
              <w:bottom w:val="single" w:sz="4" w:space="0" w:color="000000"/>
              <w:right w:val="single" w:sz="4" w:space="0" w:color="000000"/>
            </w:tcBorders>
            <w:hideMark/>
          </w:tcPr>
          <w:p w14:paraId="5C63D282" w14:textId="77777777" w:rsidR="00A42937" w:rsidRPr="00A42937" w:rsidRDefault="00A42937" w:rsidP="00A42937">
            <w:pPr>
              <w:spacing w:after="0" w:line="240" w:lineRule="auto"/>
              <w:rPr>
                <w:rFonts w:ascii="Aptos Narrow" w:eastAsia="Times New Roman" w:hAnsi="Aptos Narrow" w:cs="Calibri"/>
                <w:color w:val="242424"/>
                <w:kern w:val="0"/>
                <w:sz w:val="12"/>
                <w:szCs w:val="12"/>
                <w14:ligatures w14:val="none"/>
              </w:rPr>
            </w:pPr>
            <w:r w:rsidRPr="00A42937">
              <w:rPr>
                <w:rFonts w:ascii="Aptos Narrow" w:eastAsia="Times New Roman" w:hAnsi="Aptos Narrow" w:cs="Calibri"/>
                <w:color w:val="242424"/>
                <w:kern w:val="0"/>
                <w:sz w:val="12"/>
                <w:szCs w:val="12"/>
                <w14:ligatures w14:val="none"/>
              </w:rPr>
              <w:t>0-9</w:t>
            </w:r>
          </w:p>
        </w:tc>
        <w:tc>
          <w:tcPr>
            <w:tcW w:w="1710" w:type="dxa"/>
            <w:tcBorders>
              <w:top w:val="nil"/>
              <w:left w:val="nil"/>
              <w:bottom w:val="single" w:sz="4" w:space="0" w:color="000000"/>
              <w:right w:val="single" w:sz="4" w:space="0" w:color="000000"/>
            </w:tcBorders>
            <w:hideMark/>
          </w:tcPr>
          <w:p w14:paraId="7C8FBE0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receive Expanded Habilitation, Education which are in-home services and supports such as Applied Behavioral Analysis (ABA), Floor Time, and Relationship Development Intervention (RDI), for a total of up to 3 years. At the conclusion of the 3 years of the intensive in-home services, a child may access ongoing Supplemental Services (for example: respite and goods and services, etc.) that meet the child’s needs and help with the transition out of the intensive portion of the Autism Waiver Program—until the child’s 10th birthday.</w:t>
            </w:r>
          </w:p>
        </w:tc>
        <w:tc>
          <w:tcPr>
            <w:tcW w:w="1080" w:type="dxa"/>
            <w:tcBorders>
              <w:top w:val="nil"/>
              <w:left w:val="nil"/>
              <w:bottom w:val="single" w:sz="4" w:space="0" w:color="000000"/>
              <w:right w:val="single" w:sz="4" w:space="0" w:color="000000"/>
            </w:tcBorders>
            <w:hideMark/>
          </w:tcPr>
          <w:p w14:paraId="31794B7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Autism Division</w:t>
            </w:r>
          </w:p>
        </w:tc>
        <w:tc>
          <w:tcPr>
            <w:tcW w:w="1170" w:type="dxa"/>
            <w:tcBorders>
              <w:top w:val="nil"/>
              <w:left w:val="nil"/>
              <w:bottom w:val="single" w:sz="4" w:space="0" w:color="000000"/>
              <w:right w:val="single" w:sz="4" w:space="0" w:color="000000"/>
            </w:tcBorders>
            <w:hideMark/>
          </w:tcPr>
          <w:p w14:paraId="154FD3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3263E28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Medicaid waiver structure (administered by DDS)</w:t>
            </w:r>
          </w:p>
        </w:tc>
        <w:tc>
          <w:tcPr>
            <w:tcW w:w="810" w:type="dxa"/>
            <w:tcBorders>
              <w:top w:val="nil"/>
              <w:left w:val="nil"/>
              <w:bottom w:val="single" w:sz="4" w:space="0" w:color="000000"/>
              <w:right w:val="single" w:sz="4" w:space="0" w:color="000000"/>
            </w:tcBorders>
            <w:hideMark/>
          </w:tcPr>
          <w:p w14:paraId="3CF6DFD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65F6F44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811" w:type="dxa"/>
            <w:tcBorders>
              <w:top w:val="nil"/>
              <w:left w:val="nil"/>
              <w:bottom w:val="single" w:sz="4" w:space="0" w:color="000000"/>
              <w:right w:val="single" w:sz="4" w:space="0" w:color="000000"/>
            </w:tcBorders>
            <w:hideMark/>
          </w:tcPr>
          <w:p w14:paraId="4E07381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05FEB4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2198" w:type="dxa"/>
            <w:tcBorders>
              <w:top w:val="nil"/>
              <w:left w:val="nil"/>
              <w:bottom w:val="single" w:sz="4" w:space="0" w:color="000000"/>
              <w:right w:val="single" w:sz="4" w:space="0" w:color="000000"/>
            </w:tcBorders>
            <w:hideMark/>
          </w:tcPr>
          <w:p w14:paraId="1770A0C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68F6D01"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6D429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043B405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ICBAT — Intensive Community-Based Acute Treatment</w:t>
            </w:r>
          </w:p>
        </w:tc>
        <w:tc>
          <w:tcPr>
            <w:tcW w:w="725" w:type="dxa"/>
            <w:tcBorders>
              <w:top w:val="nil"/>
              <w:left w:val="nil"/>
              <w:bottom w:val="single" w:sz="4" w:space="0" w:color="000000"/>
              <w:right w:val="single" w:sz="4" w:space="0" w:color="000000"/>
            </w:tcBorders>
            <w:hideMark/>
          </w:tcPr>
          <w:p w14:paraId="701F2F0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0-18 (sometimes 19-20)</w:t>
            </w:r>
          </w:p>
        </w:tc>
        <w:tc>
          <w:tcPr>
            <w:tcW w:w="1710" w:type="dxa"/>
            <w:tcBorders>
              <w:top w:val="nil"/>
              <w:left w:val="nil"/>
              <w:bottom w:val="single" w:sz="4" w:space="0" w:color="000000"/>
              <w:right w:val="single" w:sz="4" w:space="0" w:color="000000"/>
            </w:tcBorders>
            <w:hideMark/>
          </w:tcPr>
          <w:p w14:paraId="775C03F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Same as CBAT but higher intensity</w:t>
            </w:r>
          </w:p>
        </w:tc>
        <w:tc>
          <w:tcPr>
            <w:tcW w:w="1080" w:type="dxa"/>
            <w:tcBorders>
              <w:top w:val="nil"/>
              <w:left w:val="nil"/>
              <w:bottom w:val="single" w:sz="4" w:space="0" w:color="000000"/>
              <w:right w:val="single" w:sz="4" w:space="0" w:color="000000"/>
            </w:tcBorders>
            <w:hideMark/>
          </w:tcPr>
          <w:p w14:paraId="2010440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DEEC licensed; defined in MA materials; delivered by providers</w:t>
            </w:r>
          </w:p>
        </w:tc>
        <w:tc>
          <w:tcPr>
            <w:tcW w:w="1170" w:type="dxa"/>
            <w:tcBorders>
              <w:top w:val="nil"/>
              <w:left w:val="nil"/>
              <w:bottom w:val="single" w:sz="4" w:space="0" w:color="000000"/>
              <w:right w:val="single" w:sz="4" w:space="0" w:color="000000"/>
            </w:tcBorders>
            <w:hideMark/>
          </w:tcPr>
          <w:p w14:paraId="2B0F077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7A9EB6F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DOI regulated commercial insurers also required to cover</w:t>
            </w:r>
          </w:p>
        </w:tc>
        <w:tc>
          <w:tcPr>
            <w:tcW w:w="810" w:type="dxa"/>
            <w:tcBorders>
              <w:top w:val="nil"/>
              <w:left w:val="nil"/>
              <w:bottom w:val="single" w:sz="4" w:space="0" w:color="000000"/>
              <w:right w:val="single" w:sz="4" w:space="0" w:color="000000"/>
            </w:tcBorders>
            <w:hideMark/>
          </w:tcPr>
          <w:p w14:paraId="35DE5EA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2EE0F6D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07698FD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7BFCB6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Typically from ED or hospital</w:t>
            </w:r>
          </w:p>
        </w:tc>
        <w:tc>
          <w:tcPr>
            <w:tcW w:w="2198" w:type="dxa"/>
            <w:tcBorders>
              <w:top w:val="nil"/>
              <w:left w:val="nil"/>
              <w:bottom w:val="single" w:sz="4" w:space="0" w:color="000000"/>
              <w:right w:val="single" w:sz="4" w:space="0" w:color="000000"/>
            </w:tcBorders>
            <w:hideMark/>
          </w:tcPr>
          <w:p w14:paraId="13EAECE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6B61B34F"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755885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675C6EA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CBAT — Community-Based Acute Treatment</w:t>
            </w:r>
          </w:p>
        </w:tc>
        <w:tc>
          <w:tcPr>
            <w:tcW w:w="725" w:type="dxa"/>
            <w:tcBorders>
              <w:top w:val="nil"/>
              <w:left w:val="nil"/>
              <w:bottom w:val="single" w:sz="4" w:space="0" w:color="000000"/>
              <w:right w:val="single" w:sz="4" w:space="0" w:color="000000"/>
            </w:tcBorders>
            <w:hideMark/>
          </w:tcPr>
          <w:p w14:paraId="600E294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0-18 (sometimes 19-20)</w:t>
            </w:r>
          </w:p>
        </w:tc>
        <w:tc>
          <w:tcPr>
            <w:tcW w:w="1710" w:type="dxa"/>
            <w:tcBorders>
              <w:top w:val="nil"/>
              <w:left w:val="nil"/>
              <w:bottom w:val="single" w:sz="4" w:space="0" w:color="000000"/>
              <w:right w:val="single" w:sz="4" w:space="0" w:color="000000"/>
            </w:tcBorders>
            <w:hideMark/>
          </w:tcPr>
          <w:p w14:paraId="1A535BF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Provided to children/adolescents up to the age of 18 (youth ages 19-20 may be eligible for admission based on a program’s licensing requirements and an enrollee’s clinical needs) with serious behavioral health disorders who require a 24-hour-a-day, seven-day-a-week, staff-secure (unlocked) treatment setting. The primary function of CBAT is to provide short-term crisis stabilization, therapeutic intervention, and specialized programming in a staff-secure environment with a high degree of supervision and structure, with the goal of supporting the rapid and successful transition of the child/adolescent back to the community.</w:t>
            </w:r>
          </w:p>
        </w:tc>
        <w:tc>
          <w:tcPr>
            <w:tcW w:w="1080" w:type="dxa"/>
            <w:tcBorders>
              <w:top w:val="nil"/>
              <w:left w:val="nil"/>
              <w:bottom w:val="single" w:sz="4" w:space="0" w:color="000000"/>
              <w:right w:val="single" w:sz="4" w:space="0" w:color="000000"/>
            </w:tcBorders>
            <w:hideMark/>
          </w:tcPr>
          <w:p w14:paraId="0AFD042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DEEC licensed; service model appears in MA coverage definitions; delivered by provider network</w:t>
            </w:r>
          </w:p>
        </w:tc>
        <w:tc>
          <w:tcPr>
            <w:tcW w:w="1170" w:type="dxa"/>
            <w:tcBorders>
              <w:top w:val="nil"/>
              <w:left w:val="nil"/>
              <w:bottom w:val="single" w:sz="4" w:space="0" w:color="000000"/>
              <w:right w:val="single" w:sz="4" w:space="0" w:color="000000"/>
            </w:tcBorders>
            <w:hideMark/>
          </w:tcPr>
          <w:p w14:paraId="27942C3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7A705B9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DOI regulated commercial insurers also required to cover</w:t>
            </w:r>
          </w:p>
        </w:tc>
        <w:tc>
          <w:tcPr>
            <w:tcW w:w="810" w:type="dxa"/>
            <w:tcBorders>
              <w:top w:val="nil"/>
              <w:left w:val="nil"/>
              <w:bottom w:val="single" w:sz="4" w:space="0" w:color="000000"/>
              <w:right w:val="single" w:sz="4" w:space="0" w:color="000000"/>
            </w:tcBorders>
            <w:hideMark/>
          </w:tcPr>
          <w:p w14:paraId="4375CEF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199205B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 but one ASD specific program exists.</w:t>
            </w:r>
          </w:p>
        </w:tc>
        <w:tc>
          <w:tcPr>
            <w:tcW w:w="811" w:type="dxa"/>
            <w:tcBorders>
              <w:top w:val="nil"/>
              <w:left w:val="nil"/>
              <w:bottom w:val="single" w:sz="4" w:space="0" w:color="000000"/>
              <w:right w:val="single" w:sz="4" w:space="0" w:color="000000"/>
            </w:tcBorders>
            <w:hideMark/>
          </w:tcPr>
          <w:p w14:paraId="11F12BF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6C30ACA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Typically from ED or hospital</w:t>
            </w:r>
          </w:p>
        </w:tc>
        <w:tc>
          <w:tcPr>
            <w:tcW w:w="2198" w:type="dxa"/>
            <w:tcBorders>
              <w:top w:val="nil"/>
              <w:left w:val="nil"/>
              <w:bottom w:val="single" w:sz="4" w:space="0" w:color="000000"/>
              <w:right w:val="single" w:sz="4" w:space="0" w:color="000000"/>
            </w:tcBorders>
            <w:hideMark/>
          </w:tcPr>
          <w:p w14:paraId="225D2BB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C044F35"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1E28DC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20A4DAF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Flexible Support</w:t>
            </w:r>
          </w:p>
        </w:tc>
        <w:tc>
          <w:tcPr>
            <w:tcW w:w="725" w:type="dxa"/>
            <w:tcBorders>
              <w:top w:val="nil"/>
              <w:left w:val="nil"/>
              <w:bottom w:val="single" w:sz="4" w:space="0" w:color="000000"/>
              <w:right w:val="single" w:sz="4" w:space="0" w:color="000000"/>
            </w:tcBorders>
            <w:hideMark/>
          </w:tcPr>
          <w:p w14:paraId="6F7009D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DMH services</w:t>
            </w:r>
          </w:p>
        </w:tc>
        <w:tc>
          <w:tcPr>
            <w:tcW w:w="1710" w:type="dxa"/>
            <w:tcBorders>
              <w:top w:val="nil"/>
              <w:left w:val="nil"/>
              <w:bottom w:val="single" w:sz="4" w:space="0" w:color="000000"/>
              <w:right w:val="single" w:sz="4" w:space="0" w:color="000000"/>
            </w:tcBorders>
            <w:hideMark/>
          </w:tcPr>
          <w:p w14:paraId="3836897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Flexible Support Services include Clinical Services, Therapeutic Support, Young Adult Peer Mentoring, and Parent/Caregiver Peer Support designed to prevent out-of-home placement, maintain the youth with his/her family, help the youth function successfully in the community, and assist families in supporting the growth and recovery of their child. These services are provided through three modalities: Flexible Support Teams, Flexible Support Groups, and Individual Practitioners. </w:t>
            </w:r>
          </w:p>
        </w:tc>
        <w:tc>
          <w:tcPr>
            <w:tcW w:w="1080" w:type="dxa"/>
            <w:tcBorders>
              <w:top w:val="nil"/>
              <w:left w:val="nil"/>
              <w:bottom w:val="single" w:sz="4" w:space="0" w:color="000000"/>
              <w:right w:val="single" w:sz="4" w:space="0" w:color="000000"/>
            </w:tcBorders>
            <w:hideMark/>
          </w:tcPr>
          <w:p w14:paraId="1F43BC7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04A3251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1D190E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810" w:type="dxa"/>
            <w:tcBorders>
              <w:top w:val="nil"/>
              <w:left w:val="nil"/>
              <w:bottom w:val="single" w:sz="4" w:space="0" w:color="000000"/>
              <w:right w:val="single" w:sz="4" w:space="0" w:color="000000"/>
            </w:tcBorders>
            <w:hideMark/>
          </w:tcPr>
          <w:p w14:paraId="5FAFFF2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7DDD295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88867E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14067BF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2198" w:type="dxa"/>
            <w:tcBorders>
              <w:top w:val="nil"/>
              <w:left w:val="nil"/>
              <w:bottom w:val="single" w:sz="4" w:space="0" w:color="000000"/>
              <w:right w:val="single" w:sz="4" w:space="0" w:color="000000"/>
            </w:tcBorders>
            <w:hideMark/>
          </w:tcPr>
          <w:p w14:paraId="57CE2F9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D36AAE5"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6C5F633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226D3ED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School and Community Therapeutic Support</w:t>
            </w:r>
          </w:p>
        </w:tc>
        <w:tc>
          <w:tcPr>
            <w:tcW w:w="725" w:type="dxa"/>
            <w:tcBorders>
              <w:top w:val="nil"/>
              <w:left w:val="nil"/>
              <w:bottom w:val="single" w:sz="4" w:space="0" w:color="000000"/>
              <w:right w:val="single" w:sz="4" w:space="0" w:color="000000"/>
            </w:tcBorders>
            <w:hideMark/>
          </w:tcPr>
          <w:p w14:paraId="540FC70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DMH services</w:t>
            </w:r>
          </w:p>
        </w:tc>
        <w:tc>
          <w:tcPr>
            <w:tcW w:w="1710" w:type="dxa"/>
            <w:tcBorders>
              <w:top w:val="nil"/>
              <w:left w:val="nil"/>
              <w:bottom w:val="single" w:sz="4" w:space="0" w:color="000000"/>
              <w:right w:val="single" w:sz="4" w:space="0" w:color="000000"/>
            </w:tcBorders>
            <w:hideMark/>
          </w:tcPr>
          <w:p w14:paraId="7C53D9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b/>
                <w:bCs/>
                <w:color w:val="000000"/>
                <w:kern w:val="0"/>
                <w:sz w:val="12"/>
                <w:szCs w:val="12"/>
                <w14:ligatures w14:val="none"/>
              </w:rPr>
              <w:t xml:space="preserve">Parent and Family Support Services </w:t>
            </w:r>
            <w:r w:rsidRPr="00A42937">
              <w:rPr>
                <w:rFonts w:ascii="Calibri" w:eastAsia="Times New Roman" w:hAnsi="Calibri" w:cs="Calibri"/>
                <w:color w:val="000000"/>
                <w:kern w:val="0"/>
                <w:sz w:val="12"/>
                <w:szCs w:val="12"/>
                <w14:ligatures w14:val="none"/>
              </w:rPr>
              <w:t xml:space="preserve">- Provides information and support to families of children with mental health challenges. Includes information and referral; individual community advocacy; parent support groups; targeted supports; and expedited access to services for parents with mental illness. </w:t>
            </w:r>
            <w:r w:rsidRPr="00A42937">
              <w:rPr>
                <w:rFonts w:ascii="Calibri" w:eastAsia="Times New Roman" w:hAnsi="Calibri" w:cs="Calibri"/>
                <w:b/>
                <w:bCs/>
                <w:color w:val="000000"/>
                <w:kern w:val="0"/>
                <w:sz w:val="12"/>
                <w:szCs w:val="12"/>
                <w14:ligatures w14:val="none"/>
              </w:rPr>
              <w:t>Community and School Therapeutic Supports</w:t>
            </w:r>
            <w:r w:rsidRPr="00A42937">
              <w:rPr>
                <w:rFonts w:ascii="Calibri" w:eastAsia="Times New Roman" w:hAnsi="Calibri" w:cs="Calibri"/>
                <w:color w:val="000000"/>
                <w:kern w:val="0"/>
                <w:sz w:val="12"/>
                <w:szCs w:val="12"/>
                <w14:ligatures w14:val="none"/>
              </w:rPr>
              <w:t xml:space="preserve"> - Provides consultation and assistance to schools and the community that support youth with significant mental health needs and their families.</w:t>
            </w:r>
          </w:p>
        </w:tc>
        <w:tc>
          <w:tcPr>
            <w:tcW w:w="1080" w:type="dxa"/>
            <w:tcBorders>
              <w:top w:val="nil"/>
              <w:left w:val="nil"/>
              <w:bottom w:val="single" w:sz="4" w:space="0" w:color="000000"/>
              <w:right w:val="single" w:sz="4" w:space="0" w:color="000000"/>
            </w:tcBorders>
            <w:hideMark/>
          </w:tcPr>
          <w:p w14:paraId="37BE4C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1A91CE1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69C186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810" w:type="dxa"/>
            <w:tcBorders>
              <w:top w:val="nil"/>
              <w:left w:val="nil"/>
              <w:bottom w:val="single" w:sz="4" w:space="0" w:color="000000"/>
              <w:right w:val="single" w:sz="4" w:space="0" w:color="000000"/>
            </w:tcBorders>
            <w:hideMark/>
          </w:tcPr>
          <w:p w14:paraId="0D601AC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3AF0207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919EC0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6280222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2198" w:type="dxa"/>
            <w:tcBorders>
              <w:top w:val="nil"/>
              <w:left w:val="nil"/>
              <w:bottom w:val="single" w:sz="4" w:space="0" w:color="000000"/>
              <w:right w:val="single" w:sz="4" w:space="0" w:color="000000"/>
            </w:tcBorders>
            <w:hideMark/>
          </w:tcPr>
          <w:p w14:paraId="68AC188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F099006"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2546EC9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2CEEDE5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Program for Assertive Community Treatment for Youth (PACT-Y)</w:t>
            </w:r>
          </w:p>
        </w:tc>
        <w:tc>
          <w:tcPr>
            <w:tcW w:w="725" w:type="dxa"/>
            <w:tcBorders>
              <w:top w:val="nil"/>
              <w:left w:val="nil"/>
              <w:bottom w:val="single" w:sz="4" w:space="0" w:color="000000"/>
              <w:right w:val="single" w:sz="4" w:space="0" w:color="000000"/>
            </w:tcBorders>
            <w:hideMark/>
          </w:tcPr>
          <w:p w14:paraId="62D514C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DMH services</w:t>
            </w:r>
          </w:p>
        </w:tc>
        <w:tc>
          <w:tcPr>
            <w:tcW w:w="1710" w:type="dxa"/>
            <w:tcBorders>
              <w:top w:val="nil"/>
              <w:left w:val="nil"/>
              <w:bottom w:val="single" w:sz="4" w:space="0" w:color="000000"/>
              <w:right w:val="single" w:sz="4" w:space="0" w:color="000000"/>
            </w:tcBorders>
            <w:hideMark/>
          </w:tcPr>
          <w:p w14:paraId="238C3B8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PACT-Y is a comprehensive service for individuals under the age of 22 with serious emotional disturbance who have not responded well to traditional office- and/or community-based services and interventions, and may benefit from intensive, coordinated, and comprehensive services that are provided by one integrated, multi-disciplinary, community-based team - the PACT-Y Team.</w:t>
            </w:r>
          </w:p>
        </w:tc>
        <w:tc>
          <w:tcPr>
            <w:tcW w:w="1080" w:type="dxa"/>
            <w:tcBorders>
              <w:top w:val="nil"/>
              <w:left w:val="nil"/>
              <w:bottom w:val="single" w:sz="4" w:space="0" w:color="000000"/>
              <w:right w:val="single" w:sz="4" w:space="0" w:color="000000"/>
            </w:tcBorders>
            <w:hideMark/>
          </w:tcPr>
          <w:p w14:paraId="55D4FE0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6721B3F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13022D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810" w:type="dxa"/>
            <w:tcBorders>
              <w:top w:val="nil"/>
              <w:left w:val="nil"/>
              <w:bottom w:val="single" w:sz="4" w:space="0" w:color="000000"/>
              <w:right w:val="single" w:sz="4" w:space="0" w:color="000000"/>
            </w:tcBorders>
            <w:hideMark/>
          </w:tcPr>
          <w:p w14:paraId="5589098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053F33A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64AE06B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0345051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2198" w:type="dxa"/>
            <w:tcBorders>
              <w:top w:val="nil"/>
              <w:left w:val="nil"/>
              <w:bottom w:val="single" w:sz="4" w:space="0" w:color="000000"/>
              <w:right w:val="single" w:sz="4" w:space="0" w:color="000000"/>
            </w:tcBorders>
            <w:hideMark/>
          </w:tcPr>
          <w:p w14:paraId="09E0C59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914665D"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7CE6EFF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428FBCD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Day Services (Therapeutic After School)</w:t>
            </w:r>
          </w:p>
        </w:tc>
        <w:tc>
          <w:tcPr>
            <w:tcW w:w="725" w:type="dxa"/>
            <w:tcBorders>
              <w:top w:val="nil"/>
              <w:left w:val="nil"/>
              <w:bottom w:val="single" w:sz="4" w:space="0" w:color="000000"/>
              <w:right w:val="single" w:sz="4" w:space="0" w:color="000000"/>
            </w:tcBorders>
            <w:hideMark/>
          </w:tcPr>
          <w:p w14:paraId="1F4D577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DMH services</w:t>
            </w:r>
          </w:p>
        </w:tc>
        <w:tc>
          <w:tcPr>
            <w:tcW w:w="1710" w:type="dxa"/>
            <w:tcBorders>
              <w:top w:val="nil"/>
              <w:left w:val="nil"/>
              <w:bottom w:val="single" w:sz="4" w:space="0" w:color="000000"/>
              <w:right w:val="single" w:sz="4" w:space="0" w:color="000000"/>
            </w:tcBorders>
            <w:hideMark/>
          </w:tcPr>
          <w:p w14:paraId="7520EFE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Therapeutic After School Programs provide youth with recreational and skill building activities and clinical services in a structured environment.</w:t>
            </w:r>
          </w:p>
        </w:tc>
        <w:tc>
          <w:tcPr>
            <w:tcW w:w="1080" w:type="dxa"/>
            <w:tcBorders>
              <w:top w:val="nil"/>
              <w:left w:val="nil"/>
              <w:bottom w:val="single" w:sz="4" w:space="0" w:color="000000"/>
              <w:right w:val="single" w:sz="4" w:space="0" w:color="000000"/>
            </w:tcBorders>
            <w:hideMark/>
          </w:tcPr>
          <w:p w14:paraId="0BA161C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4931649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6EDB9E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Mental Health Block Grant</w:t>
            </w:r>
          </w:p>
        </w:tc>
        <w:tc>
          <w:tcPr>
            <w:tcW w:w="810" w:type="dxa"/>
            <w:tcBorders>
              <w:top w:val="nil"/>
              <w:left w:val="nil"/>
              <w:bottom w:val="single" w:sz="4" w:space="0" w:color="000000"/>
              <w:right w:val="single" w:sz="4" w:space="0" w:color="000000"/>
            </w:tcBorders>
            <w:hideMark/>
          </w:tcPr>
          <w:p w14:paraId="69015E6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748EA76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FB9C19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3443775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2198" w:type="dxa"/>
            <w:tcBorders>
              <w:top w:val="nil"/>
              <w:left w:val="nil"/>
              <w:bottom w:val="single" w:sz="4" w:space="0" w:color="000000"/>
              <w:right w:val="single" w:sz="4" w:space="0" w:color="000000"/>
            </w:tcBorders>
            <w:hideMark/>
          </w:tcPr>
          <w:p w14:paraId="1B474AF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BE947E0"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EA7B5D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42F7811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Intensive Community Services (ICS)</w:t>
            </w:r>
          </w:p>
        </w:tc>
        <w:tc>
          <w:tcPr>
            <w:tcW w:w="725" w:type="dxa"/>
            <w:tcBorders>
              <w:top w:val="nil"/>
              <w:left w:val="nil"/>
              <w:bottom w:val="single" w:sz="4" w:space="0" w:color="000000"/>
              <w:right w:val="single" w:sz="4" w:space="0" w:color="000000"/>
            </w:tcBorders>
            <w:hideMark/>
          </w:tcPr>
          <w:p w14:paraId="2C216CD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DMH services</w:t>
            </w:r>
          </w:p>
        </w:tc>
        <w:tc>
          <w:tcPr>
            <w:tcW w:w="1710" w:type="dxa"/>
            <w:tcBorders>
              <w:top w:val="nil"/>
              <w:left w:val="nil"/>
              <w:bottom w:val="single" w:sz="4" w:space="0" w:color="000000"/>
              <w:right w:val="single" w:sz="4" w:space="0" w:color="000000"/>
            </w:tcBorders>
            <w:hideMark/>
          </w:tcPr>
          <w:p w14:paraId="1958264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 range of in home and out of home services for youth, young adults, and their families who are involved with DMH. ICS provides clinically intensive treatment and outreach support to help build, strengthen, and maintain youths’ connections to family, home, and community. ICS Services include Intensive Home-Based Therapeutic Care, Therapeutic Group Care, and Young Adult Therapeutic Care.</w:t>
            </w:r>
          </w:p>
        </w:tc>
        <w:tc>
          <w:tcPr>
            <w:tcW w:w="1080" w:type="dxa"/>
            <w:tcBorders>
              <w:top w:val="nil"/>
              <w:left w:val="nil"/>
              <w:bottom w:val="single" w:sz="4" w:space="0" w:color="000000"/>
              <w:right w:val="single" w:sz="4" w:space="0" w:color="000000"/>
            </w:tcBorders>
            <w:hideMark/>
          </w:tcPr>
          <w:p w14:paraId="65C14CE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43B0355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59FA913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00"/>
            <w:hideMark/>
          </w:tcPr>
          <w:p w14:paraId="7CA1993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720" w:type="dxa"/>
            <w:tcBorders>
              <w:top w:val="nil"/>
              <w:left w:val="nil"/>
              <w:bottom w:val="single" w:sz="4" w:space="0" w:color="000000"/>
              <w:right w:val="single" w:sz="4" w:space="0" w:color="000000"/>
            </w:tcBorders>
            <w:hideMark/>
          </w:tcPr>
          <w:p w14:paraId="5E7F893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DC063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38B1CDB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2198" w:type="dxa"/>
            <w:tcBorders>
              <w:top w:val="nil"/>
              <w:left w:val="nil"/>
              <w:bottom w:val="single" w:sz="4" w:space="0" w:color="000000"/>
              <w:right w:val="single" w:sz="4" w:space="0" w:color="000000"/>
            </w:tcBorders>
            <w:hideMark/>
          </w:tcPr>
          <w:p w14:paraId="182CDB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3273CF3"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F7706D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644EFF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Clinically Intensive Residential Treatment (CIRT)</w:t>
            </w:r>
          </w:p>
        </w:tc>
        <w:tc>
          <w:tcPr>
            <w:tcW w:w="725" w:type="dxa"/>
            <w:tcBorders>
              <w:top w:val="nil"/>
              <w:left w:val="nil"/>
              <w:bottom w:val="single" w:sz="4" w:space="0" w:color="000000"/>
              <w:right w:val="single" w:sz="4" w:space="0" w:color="000000"/>
            </w:tcBorders>
            <w:hideMark/>
          </w:tcPr>
          <w:p w14:paraId="45A84E2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6-12</w:t>
            </w:r>
          </w:p>
        </w:tc>
        <w:tc>
          <w:tcPr>
            <w:tcW w:w="1710" w:type="dxa"/>
            <w:tcBorders>
              <w:top w:val="nil"/>
              <w:left w:val="nil"/>
              <w:bottom w:val="single" w:sz="4" w:space="0" w:color="000000"/>
              <w:right w:val="single" w:sz="4" w:space="0" w:color="000000"/>
            </w:tcBorders>
            <w:hideMark/>
          </w:tcPr>
          <w:p w14:paraId="64CB428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 CIRT is for children whose needs exceed community-based services and require specialized, comprehensive, onsite individual/family clinical support in a staff-secure setting. This service also includes on-site educational programming provided by DESE.</w:t>
            </w:r>
          </w:p>
        </w:tc>
        <w:tc>
          <w:tcPr>
            <w:tcW w:w="1080" w:type="dxa"/>
            <w:tcBorders>
              <w:top w:val="nil"/>
              <w:left w:val="nil"/>
              <w:bottom w:val="single" w:sz="4" w:space="0" w:color="000000"/>
              <w:right w:val="single" w:sz="4" w:space="0" w:color="000000"/>
            </w:tcBorders>
            <w:hideMark/>
          </w:tcPr>
          <w:p w14:paraId="64C4016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DMH </w:t>
            </w:r>
          </w:p>
        </w:tc>
        <w:tc>
          <w:tcPr>
            <w:tcW w:w="1170" w:type="dxa"/>
            <w:tcBorders>
              <w:top w:val="nil"/>
              <w:left w:val="nil"/>
              <w:bottom w:val="single" w:sz="4" w:space="0" w:color="000000"/>
              <w:right w:val="single" w:sz="4" w:space="0" w:color="000000"/>
            </w:tcBorders>
            <w:hideMark/>
          </w:tcPr>
          <w:p w14:paraId="4E765D0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DDCA20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For youth who do not have Medicaid, this is state only funded. </w:t>
            </w:r>
          </w:p>
        </w:tc>
        <w:tc>
          <w:tcPr>
            <w:tcW w:w="810" w:type="dxa"/>
            <w:tcBorders>
              <w:top w:val="nil"/>
              <w:left w:val="nil"/>
              <w:bottom w:val="single" w:sz="4" w:space="0" w:color="000000"/>
              <w:right w:val="single" w:sz="4" w:space="0" w:color="000000"/>
            </w:tcBorders>
            <w:hideMark/>
          </w:tcPr>
          <w:p w14:paraId="043FB1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1A89F4C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3980A91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17E3008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usually referral from hospitals</w:t>
            </w:r>
          </w:p>
        </w:tc>
        <w:tc>
          <w:tcPr>
            <w:tcW w:w="2198" w:type="dxa"/>
            <w:tcBorders>
              <w:top w:val="nil"/>
              <w:left w:val="nil"/>
              <w:bottom w:val="single" w:sz="4" w:space="0" w:color="000000"/>
              <w:right w:val="single" w:sz="4" w:space="0" w:color="000000"/>
            </w:tcBorders>
            <w:hideMark/>
          </w:tcPr>
          <w:p w14:paraId="7A978DC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4277235"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35A03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1F46364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Intensive Residential Treatment Programs (IRTPs)</w:t>
            </w:r>
          </w:p>
        </w:tc>
        <w:tc>
          <w:tcPr>
            <w:tcW w:w="725" w:type="dxa"/>
            <w:tcBorders>
              <w:top w:val="nil"/>
              <w:left w:val="nil"/>
              <w:bottom w:val="single" w:sz="4" w:space="0" w:color="000000"/>
              <w:right w:val="single" w:sz="4" w:space="0" w:color="000000"/>
            </w:tcBorders>
            <w:hideMark/>
          </w:tcPr>
          <w:p w14:paraId="639DDCC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13-18</w:t>
            </w:r>
          </w:p>
        </w:tc>
        <w:tc>
          <w:tcPr>
            <w:tcW w:w="1710" w:type="dxa"/>
            <w:tcBorders>
              <w:top w:val="nil"/>
              <w:left w:val="nil"/>
              <w:bottom w:val="single" w:sz="4" w:space="0" w:color="000000"/>
              <w:right w:val="single" w:sz="4" w:space="0" w:color="000000"/>
            </w:tcBorders>
            <w:hideMark/>
          </w:tcPr>
          <w:p w14:paraId="3A2C5A1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Clinically intensive residential treatment intervention for adolescents ages 13-18 in a locked environment. The IRTPs are for adolescents whose needs exceed community-based services and require specialized, comprehensive, onsite individual/family clinical support. These services also include on-site educational programming provided by DESE.</w:t>
            </w:r>
          </w:p>
        </w:tc>
        <w:tc>
          <w:tcPr>
            <w:tcW w:w="1080" w:type="dxa"/>
            <w:tcBorders>
              <w:top w:val="nil"/>
              <w:left w:val="nil"/>
              <w:bottom w:val="single" w:sz="4" w:space="0" w:color="000000"/>
              <w:right w:val="single" w:sz="4" w:space="0" w:color="000000"/>
            </w:tcBorders>
            <w:hideMark/>
          </w:tcPr>
          <w:p w14:paraId="528A333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DMH </w:t>
            </w:r>
          </w:p>
        </w:tc>
        <w:tc>
          <w:tcPr>
            <w:tcW w:w="1170" w:type="dxa"/>
            <w:tcBorders>
              <w:top w:val="nil"/>
              <w:left w:val="nil"/>
              <w:bottom w:val="single" w:sz="4" w:space="0" w:color="000000"/>
              <w:right w:val="single" w:sz="4" w:space="0" w:color="000000"/>
            </w:tcBorders>
            <w:hideMark/>
          </w:tcPr>
          <w:p w14:paraId="1ADB008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5EAEE13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For youth who do not have Medicaid, this is state only funded. </w:t>
            </w:r>
          </w:p>
        </w:tc>
        <w:tc>
          <w:tcPr>
            <w:tcW w:w="810" w:type="dxa"/>
            <w:tcBorders>
              <w:top w:val="nil"/>
              <w:left w:val="nil"/>
              <w:bottom w:val="single" w:sz="4" w:space="0" w:color="000000"/>
              <w:right w:val="single" w:sz="4" w:space="0" w:color="000000"/>
            </w:tcBorders>
            <w:hideMark/>
          </w:tcPr>
          <w:p w14:paraId="760346C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76BF694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835D3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Program serves youth with co-occurring needs.</w:t>
            </w:r>
          </w:p>
        </w:tc>
        <w:tc>
          <w:tcPr>
            <w:tcW w:w="1401" w:type="dxa"/>
            <w:tcBorders>
              <w:top w:val="nil"/>
              <w:left w:val="nil"/>
              <w:bottom w:val="single" w:sz="4" w:space="0" w:color="000000"/>
              <w:right w:val="single" w:sz="4" w:space="0" w:color="000000"/>
            </w:tcBorders>
            <w:hideMark/>
          </w:tcPr>
          <w:p w14:paraId="3400D80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usually referral from hospitals</w:t>
            </w:r>
          </w:p>
        </w:tc>
        <w:tc>
          <w:tcPr>
            <w:tcW w:w="2198" w:type="dxa"/>
            <w:tcBorders>
              <w:top w:val="nil"/>
              <w:left w:val="nil"/>
              <w:bottom w:val="single" w:sz="4" w:space="0" w:color="000000"/>
              <w:right w:val="single" w:sz="4" w:space="0" w:color="000000"/>
            </w:tcBorders>
            <w:hideMark/>
          </w:tcPr>
          <w:p w14:paraId="1F6D6E2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8837AE5"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855434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3A01F2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Transition Aged Youth and Young Adult Residential </w:t>
            </w:r>
          </w:p>
        </w:tc>
        <w:tc>
          <w:tcPr>
            <w:tcW w:w="725" w:type="dxa"/>
            <w:tcBorders>
              <w:top w:val="nil"/>
              <w:left w:val="nil"/>
              <w:bottom w:val="single" w:sz="4" w:space="0" w:color="000000"/>
              <w:right w:val="single" w:sz="4" w:space="0" w:color="000000"/>
            </w:tcBorders>
            <w:hideMark/>
          </w:tcPr>
          <w:p w14:paraId="77D2220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16-25</w:t>
            </w:r>
          </w:p>
        </w:tc>
        <w:tc>
          <w:tcPr>
            <w:tcW w:w="1710" w:type="dxa"/>
            <w:tcBorders>
              <w:top w:val="nil"/>
              <w:left w:val="nil"/>
              <w:bottom w:val="single" w:sz="4" w:space="0" w:color="000000"/>
              <w:right w:val="single" w:sz="4" w:space="0" w:color="000000"/>
            </w:tcBorders>
            <w:hideMark/>
          </w:tcPr>
          <w:p w14:paraId="53713B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Residential programs provide a structured environment for young people ages 16-25 in an alcohol and drug-free residential treatment setting. Services include assessment, comprehensive substance use treatment, mental health counseling referrals, case management and coordination, psycho-education on a variety of topics relating to health and wellbeing, life skills enhancement, vocational/educational support, recovery support, parent/caregiver support, and aftercare planning. Average length of stay depends on individual treatment and recovery goals.</w:t>
            </w:r>
          </w:p>
        </w:tc>
        <w:tc>
          <w:tcPr>
            <w:tcW w:w="1080" w:type="dxa"/>
            <w:tcBorders>
              <w:top w:val="nil"/>
              <w:left w:val="nil"/>
              <w:bottom w:val="single" w:sz="4" w:space="0" w:color="000000"/>
              <w:right w:val="single" w:sz="4" w:space="0" w:color="000000"/>
            </w:tcBorders>
            <w:hideMark/>
          </w:tcPr>
          <w:p w14:paraId="3A00501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1170" w:type="dxa"/>
            <w:tcBorders>
              <w:top w:val="nil"/>
              <w:left w:val="nil"/>
              <w:bottom w:val="single" w:sz="4" w:space="0" w:color="000000"/>
              <w:right w:val="single" w:sz="4" w:space="0" w:color="000000"/>
            </w:tcBorders>
            <w:hideMark/>
          </w:tcPr>
          <w:p w14:paraId="390E016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958FEA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810" w:type="dxa"/>
            <w:tcBorders>
              <w:top w:val="nil"/>
              <w:left w:val="nil"/>
              <w:bottom w:val="single" w:sz="4" w:space="0" w:color="000000"/>
              <w:right w:val="single" w:sz="4" w:space="0" w:color="000000"/>
            </w:tcBorders>
            <w:shd w:val="clear" w:color="000000" w:fill="FFFFFF"/>
            <w:hideMark/>
          </w:tcPr>
          <w:p w14:paraId="162EEB0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20FBE7A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AF3BA2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hideMark/>
          </w:tcPr>
          <w:p w14:paraId="73394FF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BSAS</w:t>
            </w:r>
          </w:p>
        </w:tc>
        <w:tc>
          <w:tcPr>
            <w:tcW w:w="2198" w:type="dxa"/>
            <w:tcBorders>
              <w:top w:val="nil"/>
              <w:left w:val="nil"/>
              <w:bottom w:val="single" w:sz="4" w:space="0" w:color="000000"/>
              <w:right w:val="single" w:sz="4" w:space="0" w:color="000000"/>
            </w:tcBorders>
            <w:hideMark/>
          </w:tcPr>
          <w:p w14:paraId="78BEBDC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AABA114"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770E89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03CDD75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Youth Residential Programs</w:t>
            </w:r>
          </w:p>
        </w:tc>
        <w:tc>
          <w:tcPr>
            <w:tcW w:w="725" w:type="dxa"/>
            <w:tcBorders>
              <w:top w:val="nil"/>
              <w:left w:val="nil"/>
              <w:bottom w:val="single" w:sz="4" w:space="0" w:color="000000"/>
              <w:right w:val="single" w:sz="4" w:space="0" w:color="000000"/>
            </w:tcBorders>
            <w:hideMark/>
          </w:tcPr>
          <w:p w14:paraId="0ACAC58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13-17</w:t>
            </w:r>
          </w:p>
        </w:tc>
        <w:tc>
          <w:tcPr>
            <w:tcW w:w="1710" w:type="dxa"/>
            <w:tcBorders>
              <w:top w:val="nil"/>
              <w:left w:val="nil"/>
              <w:bottom w:val="single" w:sz="4" w:space="0" w:color="000000"/>
              <w:right w:val="single" w:sz="4" w:space="0" w:color="000000"/>
            </w:tcBorders>
            <w:hideMark/>
          </w:tcPr>
          <w:p w14:paraId="20078F6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 length of stay varies based on treatment needs and can be up to 90 days.</w:t>
            </w:r>
          </w:p>
        </w:tc>
        <w:tc>
          <w:tcPr>
            <w:tcW w:w="1080" w:type="dxa"/>
            <w:tcBorders>
              <w:top w:val="nil"/>
              <w:left w:val="nil"/>
              <w:bottom w:val="single" w:sz="4" w:space="0" w:color="000000"/>
              <w:right w:val="single" w:sz="4" w:space="0" w:color="000000"/>
            </w:tcBorders>
            <w:hideMark/>
          </w:tcPr>
          <w:p w14:paraId="5D14217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1170" w:type="dxa"/>
            <w:tcBorders>
              <w:top w:val="nil"/>
              <w:left w:val="nil"/>
              <w:bottom w:val="single" w:sz="4" w:space="0" w:color="000000"/>
              <w:right w:val="single" w:sz="4" w:space="0" w:color="000000"/>
            </w:tcBorders>
            <w:hideMark/>
          </w:tcPr>
          <w:p w14:paraId="685529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62E875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810" w:type="dxa"/>
            <w:tcBorders>
              <w:top w:val="nil"/>
              <w:left w:val="nil"/>
              <w:bottom w:val="single" w:sz="4" w:space="0" w:color="000000"/>
              <w:right w:val="single" w:sz="4" w:space="0" w:color="000000"/>
            </w:tcBorders>
            <w:shd w:val="clear" w:color="000000" w:fill="FFFFFF"/>
            <w:hideMark/>
          </w:tcPr>
          <w:p w14:paraId="620A9BA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4C020BF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0592DD3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hideMark/>
          </w:tcPr>
          <w:p w14:paraId="6E3CC3C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BSAS</w:t>
            </w:r>
          </w:p>
        </w:tc>
        <w:tc>
          <w:tcPr>
            <w:tcW w:w="2198" w:type="dxa"/>
            <w:tcBorders>
              <w:top w:val="nil"/>
              <w:left w:val="nil"/>
              <w:bottom w:val="single" w:sz="4" w:space="0" w:color="000000"/>
              <w:right w:val="single" w:sz="4" w:space="0" w:color="000000"/>
            </w:tcBorders>
            <w:hideMark/>
          </w:tcPr>
          <w:p w14:paraId="2C2F390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4D3D18F"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154F46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1D4E568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 Clinical Services</w:t>
            </w:r>
          </w:p>
        </w:tc>
        <w:tc>
          <w:tcPr>
            <w:tcW w:w="725" w:type="dxa"/>
            <w:tcBorders>
              <w:top w:val="nil"/>
              <w:left w:val="nil"/>
              <w:bottom w:val="single" w:sz="4" w:space="0" w:color="000000"/>
              <w:right w:val="single" w:sz="4" w:space="0" w:color="000000"/>
            </w:tcBorders>
            <w:hideMark/>
          </w:tcPr>
          <w:p w14:paraId="6159A3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Justice-involved youth</w:t>
            </w:r>
          </w:p>
        </w:tc>
        <w:tc>
          <w:tcPr>
            <w:tcW w:w="1710" w:type="dxa"/>
            <w:tcBorders>
              <w:top w:val="nil"/>
              <w:left w:val="nil"/>
              <w:bottom w:val="single" w:sz="4" w:space="0" w:color="000000"/>
              <w:right w:val="single" w:sz="4" w:space="0" w:color="000000"/>
            </w:tcBorders>
            <w:hideMark/>
          </w:tcPr>
          <w:p w14:paraId="46F287C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Comprehensive assessment after commitment; clinical services inside DYS system</w:t>
            </w:r>
          </w:p>
        </w:tc>
        <w:tc>
          <w:tcPr>
            <w:tcW w:w="1080" w:type="dxa"/>
            <w:tcBorders>
              <w:top w:val="nil"/>
              <w:left w:val="nil"/>
              <w:bottom w:val="single" w:sz="4" w:space="0" w:color="000000"/>
              <w:right w:val="single" w:sz="4" w:space="0" w:color="000000"/>
            </w:tcBorders>
            <w:hideMark/>
          </w:tcPr>
          <w:p w14:paraId="614EA3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w:t>
            </w:r>
          </w:p>
        </w:tc>
        <w:tc>
          <w:tcPr>
            <w:tcW w:w="1170" w:type="dxa"/>
            <w:tcBorders>
              <w:top w:val="nil"/>
              <w:left w:val="nil"/>
              <w:bottom w:val="single" w:sz="4" w:space="0" w:color="000000"/>
              <w:right w:val="single" w:sz="4" w:space="0" w:color="000000"/>
            </w:tcBorders>
            <w:hideMark/>
          </w:tcPr>
          <w:p w14:paraId="20E7E08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7A9E809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w:t>
            </w:r>
          </w:p>
        </w:tc>
        <w:tc>
          <w:tcPr>
            <w:tcW w:w="810" w:type="dxa"/>
            <w:tcBorders>
              <w:top w:val="nil"/>
              <w:left w:val="nil"/>
              <w:bottom w:val="single" w:sz="4" w:space="0" w:color="000000"/>
              <w:right w:val="single" w:sz="4" w:space="0" w:color="000000"/>
            </w:tcBorders>
            <w:shd w:val="clear" w:color="000000" w:fill="FFFFFF"/>
            <w:hideMark/>
          </w:tcPr>
          <w:p w14:paraId="2DB865B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162217B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34F5585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34BFC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w:t>
            </w:r>
          </w:p>
        </w:tc>
        <w:tc>
          <w:tcPr>
            <w:tcW w:w="2198" w:type="dxa"/>
            <w:tcBorders>
              <w:top w:val="nil"/>
              <w:left w:val="nil"/>
              <w:bottom w:val="single" w:sz="4" w:space="0" w:color="000000"/>
              <w:right w:val="single" w:sz="4" w:space="0" w:color="000000"/>
            </w:tcBorders>
            <w:hideMark/>
          </w:tcPr>
          <w:p w14:paraId="552343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31BE883"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D1B43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69EA025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 Substance Abuse Services for Juvenile Offenders</w:t>
            </w:r>
          </w:p>
        </w:tc>
        <w:tc>
          <w:tcPr>
            <w:tcW w:w="725" w:type="dxa"/>
            <w:tcBorders>
              <w:top w:val="nil"/>
              <w:left w:val="nil"/>
              <w:bottom w:val="single" w:sz="4" w:space="0" w:color="000000"/>
              <w:right w:val="single" w:sz="4" w:space="0" w:color="000000"/>
            </w:tcBorders>
            <w:hideMark/>
          </w:tcPr>
          <w:p w14:paraId="5169229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Justice-involved youth</w:t>
            </w:r>
          </w:p>
        </w:tc>
        <w:tc>
          <w:tcPr>
            <w:tcW w:w="1710" w:type="dxa"/>
            <w:tcBorders>
              <w:top w:val="nil"/>
              <w:left w:val="nil"/>
              <w:bottom w:val="single" w:sz="4" w:space="0" w:color="000000"/>
              <w:right w:val="single" w:sz="4" w:space="0" w:color="000000"/>
            </w:tcBorders>
            <w:hideMark/>
          </w:tcPr>
          <w:p w14:paraId="4960EA4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SUD screening and services for DYS-involved youth; Justice-involved youth clinical care</w:t>
            </w:r>
          </w:p>
        </w:tc>
        <w:tc>
          <w:tcPr>
            <w:tcW w:w="1080" w:type="dxa"/>
            <w:tcBorders>
              <w:top w:val="nil"/>
              <w:left w:val="nil"/>
              <w:bottom w:val="single" w:sz="4" w:space="0" w:color="000000"/>
              <w:right w:val="single" w:sz="4" w:space="0" w:color="000000"/>
            </w:tcBorders>
            <w:hideMark/>
          </w:tcPr>
          <w:p w14:paraId="26085D1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w:t>
            </w:r>
          </w:p>
        </w:tc>
        <w:tc>
          <w:tcPr>
            <w:tcW w:w="1170" w:type="dxa"/>
            <w:tcBorders>
              <w:top w:val="nil"/>
              <w:left w:val="nil"/>
              <w:bottom w:val="single" w:sz="4" w:space="0" w:color="000000"/>
              <w:right w:val="single" w:sz="4" w:space="0" w:color="000000"/>
            </w:tcBorders>
            <w:hideMark/>
          </w:tcPr>
          <w:p w14:paraId="29E817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47CCAD7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w:t>
            </w:r>
          </w:p>
        </w:tc>
        <w:tc>
          <w:tcPr>
            <w:tcW w:w="810" w:type="dxa"/>
            <w:tcBorders>
              <w:top w:val="nil"/>
              <w:left w:val="nil"/>
              <w:bottom w:val="single" w:sz="4" w:space="0" w:color="000000"/>
              <w:right w:val="single" w:sz="4" w:space="0" w:color="000000"/>
            </w:tcBorders>
            <w:shd w:val="clear" w:color="000000" w:fill="FFFFFF"/>
            <w:hideMark/>
          </w:tcPr>
          <w:p w14:paraId="1227DC4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1E3ADA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2EA9A1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hideMark/>
          </w:tcPr>
          <w:p w14:paraId="0D2717D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DYS</w:t>
            </w:r>
          </w:p>
        </w:tc>
        <w:tc>
          <w:tcPr>
            <w:tcW w:w="2198" w:type="dxa"/>
            <w:tcBorders>
              <w:top w:val="nil"/>
              <w:left w:val="nil"/>
              <w:bottom w:val="single" w:sz="4" w:space="0" w:color="000000"/>
              <w:right w:val="single" w:sz="4" w:space="0" w:color="000000"/>
            </w:tcBorders>
            <w:hideMark/>
          </w:tcPr>
          <w:p w14:paraId="2FCB3E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F1B8336"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0B39F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05FF227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Family-based Intenstive Treatment (FIT)</w:t>
            </w:r>
          </w:p>
        </w:tc>
        <w:tc>
          <w:tcPr>
            <w:tcW w:w="725" w:type="dxa"/>
            <w:tcBorders>
              <w:top w:val="nil"/>
              <w:left w:val="nil"/>
              <w:bottom w:val="single" w:sz="4" w:space="0" w:color="000000"/>
              <w:right w:val="single" w:sz="4" w:space="0" w:color="000000"/>
            </w:tcBorders>
            <w:hideMark/>
          </w:tcPr>
          <w:p w14:paraId="27D97C8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w:t>
            </w:r>
          </w:p>
        </w:tc>
        <w:tc>
          <w:tcPr>
            <w:tcW w:w="1710" w:type="dxa"/>
            <w:tcBorders>
              <w:top w:val="nil"/>
              <w:left w:val="nil"/>
              <w:bottom w:val="single" w:sz="4" w:space="0" w:color="000000"/>
              <w:right w:val="single" w:sz="4" w:space="0" w:color="000000"/>
            </w:tcBorders>
            <w:hideMark/>
          </w:tcPr>
          <w:p w14:paraId="5D8A475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FIT is a specialized service offering a combination of medically necessary, intensive family therapy with robust care coordination and family partner engagement for MassHealth youth with serious emotional disturbance. The FIT team is made up of a master's level clinician, a qualified paraprofessional staff, and a family partner. Each family is assigned a full team. </w:t>
            </w:r>
          </w:p>
        </w:tc>
        <w:tc>
          <w:tcPr>
            <w:tcW w:w="1080" w:type="dxa"/>
            <w:tcBorders>
              <w:top w:val="nil"/>
              <w:left w:val="nil"/>
              <w:bottom w:val="single" w:sz="4" w:space="0" w:color="000000"/>
              <w:right w:val="single" w:sz="4" w:space="0" w:color="000000"/>
            </w:tcBorders>
            <w:hideMark/>
          </w:tcPr>
          <w:p w14:paraId="1CDF094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(CBHI)</w:t>
            </w:r>
          </w:p>
        </w:tc>
        <w:tc>
          <w:tcPr>
            <w:tcW w:w="1170" w:type="dxa"/>
            <w:tcBorders>
              <w:top w:val="nil"/>
              <w:left w:val="nil"/>
              <w:bottom w:val="single" w:sz="4" w:space="0" w:color="000000"/>
              <w:right w:val="single" w:sz="4" w:space="0" w:color="000000"/>
            </w:tcBorders>
            <w:hideMark/>
          </w:tcPr>
          <w:p w14:paraId="33734A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8F3425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w:t>
            </w:r>
          </w:p>
        </w:tc>
        <w:tc>
          <w:tcPr>
            <w:tcW w:w="810" w:type="dxa"/>
            <w:tcBorders>
              <w:top w:val="nil"/>
              <w:left w:val="nil"/>
              <w:bottom w:val="single" w:sz="4" w:space="0" w:color="000000"/>
              <w:right w:val="single" w:sz="4" w:space="0" w:color="000000"/>
            </w:tcBorders>
            <w:hideMark/>
          </w:tcPr>
          <w:p w14:paraId="574541C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16F922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6EBD70F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4A41E5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 can be referred by parent/guardian, PCP, or other mental health provider</w:t>
            </w:r>
          </w:p>
        </w:tc>
        <w:tc>
          <w:tcPr>
            <w:tcW w:w="2198" w:type="dxa"/>
            <w:tcBorders>
              <w:top w:val="nil"/>
              <w:left w:val="nil"/>
              <w:bottom w:val="single" w:sz="4" w:space="0" w:color="000000"/>
              <w:right w:val="single" w:sz="4" w:space="0" w:color="000000"/>
            </w:tcBorders>
            <w:hideMark/>
          </w:tcPr>
          <w:p w14:paraId="572C71E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FB6E6CC"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D85A0F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4A7CB7E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ICC — Intensive Care Coordination</w:t>
            </w:r>
          </w:p>
        </w:tc>
        <w:tc>
          <w:tcPr>
            <w:tcW w:w="725" w:type="dxa"/>
            <w:tcBorders>
              <w:top w:val="nil"/>
              <w:left w:val="nil"/>
              <w:bottom w:val="single" w:sz="4" w:space="0" w:color="000000"/>
              <w:right w:val="single" w:sz="4" w:space="0" w:color="000000"/>
            </w:tcBorders>
            <w:hideMark/>
          </w:tcPr>
          <w:p w14:paraId="2DA753F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commercial coverage varies</w:t>
            </w:r>
          </w:p>
        </w:tc>
        <w:tc>
          <w:tcPr>
            <w:tcW w:w="1710" w:type="dxa"/>
            <w:tcBorders>
              <w:top w:val="nil"/>
              <w:left w:val="nil"/>
              <w:bottom w:val="single" w:sz="4" w:space="0" w:color="000000"/>
              <w:right w:val="single" w:sz="4" w:space="0" w:color="000000"/>
            </w:tcBorders>
            <w:hideMark/>
          </w:tcPr>
          <w:p w14:paraId="074DC03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High-intensity care coordination + team planning for complex youth. (ICC is a care coordination service for children and youths with serious emotional disturbances. In Wraparound Care Planning, families and youth work together with professionals, talk about their strengths and needs, and actively guide their own care. A care coordinator works with the youth, family/caregiver, and others involved in a youth’s life to create an Individualized Care Plan to meet the youth’s needs and help meet the goals identified by the family/caregiver. The service is designed for youth who need or receive services from multiple providers, schools, or state agencies.)</w:t>
            </w:r>
          </w:p>
        </w:tc>
        <w:tc>
          <w:tcPr>
            <w:tcW w:w="1080" w:type="dxa"/>
            <w:tcBorders>
              <w:top w:val="nil"/>
              <w:left w:val="nil"/>
              <w:bottom w:val="single" w:sz="4" w:space="0" w:color="000000"/>
              <w:right w:val="single" w:sz="4" w:space="0" w:color="000000"/>
            </w:tcBorders>
            <w:shd w:val="clear" w:color="000000" w:fill="92D050"/>
            <w:hideMark/>
          </w:tcPr>
          <w:p w14:paraId="4CD2E2E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(CBHI) + DOI (BHCA)</w:t>
            </w:r>
          </w:p>
        </w:tc>
        <w:tc>
          <w:tcPr>
            <w:tcW w:w="1170" w:type="dxa"/>
            <w:tcBorders>
              <w:top w:val="nil"/>
              <w:left w:val="nil"/>
              <w:bottom w:val="single" w:sz="4" w:space="0" w:color="000000"/>
              <w:right w:val="single" w:sz="4" w:space="0" w:color="000000"/>
            </w:tcBorders>
            <w:shd w:val="clear" w:color="000000" w:fill="92D050"/>
            <w:hideMark/>
          </w:tcPr>
          <w:p w14:paraId="5156ABB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506DE2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 Commercial insurers regulated by DOI are required to cover</w:t>
            </w:r>
          </w:p>
        </w:tc>
        <w:tc>
          <w:tcPr>
            <w:tcW w:w="810" w:type="dxa"/>
            <w:tcBorders>
              <w:top w:val="nil"/>
              <w:left w:val="nil"/>
              <w:bottom w:val="single" w:sz="4" w:space="0" w:color="000000"/>
              <w:right w:val="single" w:sz="4" w:space="0" w:color="000000"/>
            </w:tcBorders>
            <w:hideMark/>
          </w:tcPr>
          <w:p w14:paraId="73865BD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047ED5E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0E09D6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1403C29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 can be referred by parent/guardian, PCP, or other mental health provider</w:t>
            </w:r>
          </w:p>
        </w:tc>
        <w:tc>
          <w:tcPr>
            <w:tcW w:w="2198" w:type="dxa"/>
            <w:tcBorders>
              <w:top w:val="nil"/>
              <w:left w:val="nil"/>
              <w:bottom w:val="single" w:sz="4" w:space="0" w:color="000000"/>
              <w:right w:val="single" w:sz="4" w:space="0" w:color="000000"/>
            </w:tcBorders>
            <w:hideMark/>
          </w:tcPr>
          <w:p w14:paraId="6F4C5DC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7D53A883"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6C106D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36301AB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IHT — In-Home Therapy</w:t>
            </w:r>
          </w:p>
        </w:tc>
        <w:tc>
          <w:tcPr>
            <w:tcW w:w="725" w:type="dxa"/>
            <w:tcBorders>
              <w:top w:val="nil"/>
              <w:left w:val="nil"/>
              <w:bottom w:val="single" w:sz="4" w:space="0" w:color="000000"/>
              <w:right w:val="single" w:sz="4" w:space="0" w:color="000000"/>
            </w:tcBorders>
            <w:hideMark/>
          </w:tcPr>
          <w:p w14:paraId="6E7D58D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commercial coverage varies</w:t>
            </w:r>
          </w:p>
        </w:tc>
        <w:tc>
          <w:tcPr>
            <w:tcW w:w="1710" w:type="dxa"/>
            <w:tcBorders>
              <w:top w:val="nil"/>
              <w:left w:val="nil"/>
              <w:bottom w:val="single" w:sz="4" w:space="0" w:color="000000"/>
              <w:right w:val="single" w:sz="4" w:space="0" w:color="000000"/>
            </w:tcBorders>
            <w:hideMark/>
          </w:tcPr>
          <w:p w14:paraId="59C6D8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Family therapy delivered in home/community. (The provider works closely with the child and family to create a specific behavior plan to improve the child’s functioning. The provider may also work as a team with a skilled paraprofessional called a “behavior management monitor.” The monitor works with the child and family to implement the child’s behavior plan.)</w:t>
            </w:r>
          </w:p>
        </w:tc>
        <w:tc>
          <w:tcPr>
            <w:tcW w:w="1080" w:type="dxa"/>
            <w:tcBorders>
              <w:top w:val="nil"/>
              <w:left w:val="nil"/>
              <w:bottom w:val="single" w:sz="4" w:space="0" w:color="000000"/>
              <w:right w:val="single" w:sz="4" w:space="0" w:color="000000"/>
            </w:tcBorders>
            <w:shd w:val="clear" w:color="000000" w:fill="92D050"/>
            <w:hideMark/>
          </w:tcPr>
          <w:p w14:paraId="3C61D68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(CBHI) + DOI (BHCA)</w:t>
            </w:r>
          </w:p>
        </w:tc>
        <w:tc>
          <w:tcPr>
            <w:tcW w:w="1170" w:type="dxa"/>
            <w:tcBorders>
              <w:top w:val="nil"/>
              <w:left w:val="nil"/>
              <w:bottom w:val="single" w:sz="4" w:space="0" w:color="000000"/>
              <w:right w:val="single" w:sz="4" w:space="0" w:color="000000"/>
            </w:tcBorders>
            <w:shd w:val="clear" w:color="000000" w:fill="92D050"/>
            <w:hideMark/>
          </w:tcPr>
          <w:p w14:paraId="1070C2E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50F0FB8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 Commercial insurers regulated by DOI are required to cover</w:t>
            </w:r>
          </w:p>
        </w:tc>
        <w:tc>
          <w:tcPr>
            <w:tcW w:w="810" w:type="dxa"/>
            <w:tcBorders>
              <w:top w:val="nil"/>
              <w:left w:val="nil"/>
              <w:bottom w:val="single" w:sz="4" w:space="0" w:color="000000"/>
              <w:right w:val="single" w:sz="4" w:space="0" w:color="000000"/>
            </w:tcBorders>
            <w:hideMark/>
          </w:tcPr>
          <w:p w14:paraId="47EEDA1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3132637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51F0A1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2D3459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 can be referred by parent/guardian, PCP, or other mental health provider</w:t>
            </w:r>
          </w:p>
        </w:tc>
        <w:tc>
          <w:tcPr>
            <w:tcW w:w="2198" w:type="dxa"/>
            <w:tcBorders>
              <w:top w:val="nil"/>
              <w:left w:val="nil"/>
              <w:bottom w:val="single" w:sz="4" w:space="0" w:color="000000"/>
              <w:right w:val="single" w:sz="4" w:space="0" w:color="000000"/>
            </w:tcBorders>
            <w:hideMark/>
          </w:tcPr>
          <w:p w14:paraId="3E206F1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A24DEA7"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D74A8E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4F80240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IHBS — In-Home Behavioral Services</w:t>
            </w:r>
          </w:p>
        </w:tc>
        <w:tc>
          <w:tcPr>
            <w:tcW w:w="725" w:type="dxa"/>
            <w:tcBorders>
              <w:top w:val="nil"/>
              <w:left w:val="nil"/>
              <w:bottom w:val="single" w:sz="4" w:space="0" w:color="000000"/>
              <w:right w:val="single" w:sz="4" w:space="0" w:color="000000"/>
            </w:tcBorders>
            <w:hideMark/>
          </w:tcPr>
          <w:p w14:paraId="01F3A5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commercial coverage varies</w:t>
            </w:r>
          </w:p>
        </w:tc>
        <w:tc>
          <w:tcPr>
            <w:tcW w:w="1710" w:type="dxa"/>
            <w:tcBorders>
              <w:top w:val="nil"/>
              <w:left w:val="nil"/>
              <w:bottom w:val="single" w:sz="4" w:space="0" w:color="000000"/>
              <w:right w:val="single" w:sz="4" w:space="0" w:color="000000"/>
            </w:tcBorders>
            <w:hideMark/>
          </w:tcPr>
          <w:p w14:paraId="7B1ECC0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Behavioral interventions/supports in home/community. (In-Home Behavioral Services offer support to a child or youth who has a challenging behavior that interferes with everyday life. Services are provided by a behavioral health provider, such as a therapist, who is skilled in understanding and treating difficult behaviors in children and youth.) </w:t>
            </w:r>
          </w:p>
        </w:tc>
        <w:tc>
          <w:tcPr>
            <w:tcW w:w="1080" w:type="dxa"/>
            <w:tcBorders>
              <w:top w:val="nil"/>
              <w:left w:val="nil"/>
              <w:bottom w:val="single" w:sz="4" w:space="0" w:color="000000"/>
              <w:right w:val="single" w:sz="4" w:space="0" w:color="000000"/>
            </w:tcBorders>
            <w:shd w:val="clear" w:color="000000" w:fill="92D050"/>
            <w:hideMark/>
          </w:tcPr>
          <w:p w14:paraId="6785D23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(CBHI) + DOI (BHCA)</w:t>
            </w:r>
          </w:p>
        </w:tc>
        <w:tc>
          <w:tcPr>
            <w:tcW w:w="1170" w:type="dxa"/>
            <w:tcBorders>
              <w:top w:val="nil"/>
              <w:left w:val="nil"/>
              <w:bottom w:val="single" w:sz="4" w:space="0" w:color="000000"/>
              <w:right w:val="single" w:sz="4" w:space="0" w:color="000000"/>
            </w:tcBorders>
            <w:shd w:val="clear" w:color="000000" w:fill="92D050"/>
            <w:hideMark/>
          </w:tcPr>
          <w:p w14:paraId="13DE058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4786264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 Commercial insurers regulated by DOI are required to cover</w:t>
            </w:r>
          </w:p>
        </w:tc>
        <w:tc>
          <w:tcPr>
            <w:tcW w:w="810" w:type="dxa"/>
            <w:tcBorders>
              <w:top w:val="nil"/>
              <w:left w:val="nil"/>
              <w:bottom w:val="single" w:sz="4" w:space="0" w:color="000000"/>
              <w:right w:val="single" w:sz="4" w:space="0" w:color="000000"/>
            </w:tcBorders>
            <w:hideMark/>
          </w:tcPr>
          <w:p w14:paraId="0077CB7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0EC53AE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 but has the capacity to serve this population</w:t>
            </w:r>
          </w:p>
        </w:tc>
        <w:tc>
          <w:tcPr>
            <w:tcW w:w="811" w:type="dxa"/>
            <w:tcBorders>
              <w:top w:val="nil"/>
              <w:left w:val="nil"/>
              <w:bottom w:val="single" w:sz="4" w:space="0" w:color="000000"/>
              <w:right w:val="single" w:sz="4" w:space="0" w:color="000000"/>
            </w:tcBorders>
            <w:hideMark/>
          </w:tcPr>
          <w:p w14:paraId="3F71328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4ACCB2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 can be referred by parent/guardian, PCP, or other mental health provider</w:t>
            </w:r>
          </w:p>
        </w:tc>
        <w:tc>
          <w:tcPr>
            <w:tcW w:w="2198" w:type="dxa"/>
            <w:tcBorders>
              <w:top w:val="nil"/>
              <w:left w:val="nil"/>
              <w:bottom w:val="single" w:sz="4" w:space="0" w:color="000000"/>
              <w:right w:val="single" w:sz="4" w:space="0" w:color="000000"/>
            </w:tcBorders>
            <w:hideMark/>
          </w:tcPr>
          <w:p w14:paraId="23FBB39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69ACCAA"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437E74C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6551B98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Family Support &amp; Training (Family Partner)</w:t>
            </w:r>
          </w:p>
        </w:tc>
        <w:tc>
          <w:tcPr>
            <w:tcW w:w="725" w:type="dxa"/>
            <w:tcBorders>
              <w:top w:val="nil"/>
              <w:left w:val="nil"/>
              <w:bottom w:val="single" w:sz="4" w:space="0" w:color="000000"/>
              <w:right w:val="single" w:sz="4" w:space="0" w:color="000000"/>
            </w:tcBorders>
            <w:hideMark/>
          </w:tcPr>
          <w:p w14:paraId="0B481AD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commercial coverage varies</w:t>
            </w:r>
          </w:p>
        </w:tc>
        <w:tc>
          <w:tcPr>
            <w:tcW w:w="1710" w:type="dxa"/>
            <w:tcBorders>
              <w:top w:val="nil"/>
              <w:left w:val="nil"/>
              <w:bottom w:val="single" w:sz="4" w:space="0" w:color="000000"/>
              <w:right w:val="single" w:sz="4" w:space="0" w:color="000000"/>
            </w:tcBorders>
            <w:hideMark/>
          </w:tcPr>
          <w:p w14:paraId="683B2C1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Caregiver peer support/navigation tied to youth’s plan (Family Partners help parents and caregivers to help their children reach their treatment goals. They are parents or caregivers of children with special needs themselves—they’ve “been there,” understand what families go through, and can share their experiences. Family Partners are not behavioral health professionals, but work closely with parents to make sure that children and youth receive services that are needed.)</w:t>
            </w:r>
          </w:p>
        </w:tc>
        <w:tc>
          <w:tcPr>
            <w:tcW w:w="1080" w:type="dxa"/>
            <w:tcBorders>
              <w:top w:val="nil"/>
              <w:left w:val="nil"/>
              <w:bottom w:val="single" w:sz="4" w:space="0" w:color="000000"/>
              <w:right w:val="single" w:sz="4" w:space="0" w:color="000000"/>
            </w:tcBorders>
            <w:shd w:val="clear" w:color="000000" w:fill="92D050"/>
            <w:hideMark/>
          </w:tcPr>
          <w:p w14:paraId="41170A6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(CBHI) + DOI (BHCA)</w:t>
            </w:r>
          </w:p>
        </w:tc>
        <w:tc>
          <w:tcPr>
            <w:tcW w:w="1170" w:type="dxa"/>
            <w:tcBorders>
              <w:top w:val="nil"/>
              <w:left w:val="nil"/>
              <w:bottom w:val="single" w:sz="4" w:space="0" w:color="000000"/>
              <w:right w:val="single" w:sz="4" w:space="0" w:color="000000"/>
            </w:tcBorders>
            <w:shd w:val="clear" w:color="000000" w:fill="92D050"/>
            <w:hideMark/>
          </w:tcPr>
          <w:p w14:paraId="2BF602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17CBE65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 Commercial insurers regulated by DOI are required to cover</w:t>
            </w:r>
          </w:p>
        </w:tc>
        <w:tc>
          <w:tcPr>
            <w:tcW w:w="810" w:type="dxa"/>
            <w:tcBorders>
              <w:top w:val="nil"/>
              <w:left w:val="nil"/>
              <w:bottom w:val="single" w:sz="4" w:space="0" w:color="000000"/>
              <w:right w:val="single" w:sz="4" w:space="0" w:color="000000"/>
            </w:tcBorders>
            <w:hideMark/>
          </w:tcPr>
          <w:p w14:paraId="04503D4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154C4E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B5CE57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25DC75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 can be referred by parent/guardian, PCP, or other mental health provider</w:t>
            </w:r>
          </w:p>
        </w:tc>
        <w:tc>
          <w:tcPr>
            <w:tcW w:w="2198" w:type="dxa"/>
            <w:tcBorders>
              <w:top w:val="nil"/>
              <w:left w:val="nil"/>
              <w:bottom w:val="single" w:sz="4" w:space="0" w:color="000000"/>
              <w:right w:val="single" w:sz="4" w:space="0" w:color="000000"/>
            </w:tcBorders>
            <w:hideMark/>
          </w:tcPr>
          <w:p w14:paraId="159C41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6B177DC"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1BAA50E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6FED874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Therapeutic Mentoring (TM)</w:t>
            </w:r>
          </w:p>
        </w:tc>
        <w:tc>
          <w:tcPr>
            <w:tcW w:w="725" w:type="dxa"/>
            <w:tcBorders>
              <w:top w:val="nil"/>
              <w:left w:val="nil"/>
              <w:bottom w:val="single" w:sz="4" w:space="0" w:color="000000"/>
              <w:right w:val="single" w:sz="4" w:space="0" w:color="000000"/>
            </w:tcBorders>
            <w:hideMark/>
          </w:tcPr>
          <w:p w14:paraId="066B89D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commercial coverage varies</w:t>
            </w:r>
          </w:p>
        </w:tc>
        <w:tc>
          <w:tcPr>
            <w:tcW w:w="1710" w:type="dxa"/>
            <w:tcBorders>
              <w:top w:val="nil"/>
              <w:left w:val="nil"/>
              <w:bottom w:val="single" w:sz="4" w:space="0" w:color="000000"/>
              <w:right w:val="single" w:sz="4" w:space="0" w:color="000000"/>
            </w:tcBorders>
            <w:hideMark/>
          </w:tcPr>
          <w:p w14:paraId="66937E8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Skill-building support for youth in community settings (A therapeutic mentor works one-on-one with a youth to support and coach him or her to learn social skills, including better ways to communicate with other youth and adults, how to deal with different opinions, and how to get along with others. The therapeutic mentor works with the child to achieve goals in the plan written by an outpatient therapist, In-Home Therapy provider, or an Intensive Care Coordination (ICC) team. Therapeutic Mentoring Services can be delivered in the home, school, or community, including social and recreational settings.)</w:t>
            </w:r>
          </w:p>
        </w:tc>
        <w:tc>
          <w:tcPr>
            <w:tcW w:w="1080" w:type="dxa"/>
            <w:tcBorders>
              <w:top w:val="nil"/>
              <w:left w:val="nil"/>
              <w:bottom w:val="single" w:sz="4" w:space="0" w:color="000000"/>
              <w:right w:val="single" w:sz="4" w:space="0" w:color="000000"/>
            </w:tcBorders>
            <w:shd w:val="clear" w:color="000000" w:fill="92D050"/>
            <w:hideMark/>
          </w:tcPr>
          <w:p w14:paraId="4369EC3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(CBHI) + DOI (BHCA)</w:t>
            </w:r>
          </w:p>
        </w:tc>
        <w:tc>
          <w:tcPr>
            <w:tcW w:w="1170" w:type="dxa"/>
            <w:tcBorders>
              <w:top w:val="nil"/>
              <w:left w:val="nil"/>
              <w:bottom w:val="single" w:sz="4" w:space="0" w:color="000000"/>
              <w:right w:val="single" w:sz="4" w:space="0" w:color="000000"/>
            </w:tcBorders>
            <w:shd w:val="clear" w:color="000000" w:fill="92D050"/>
            <w:hideMark/>
          </w:tcPr>
          <w:p w14:paraId="5196E3E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4B1CF1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 Commercial insurers regulated by DOI are required to cover</w:t>
            </w:r>
          </w:p>
        </w:tc>
        <w:tc>
          <w:tcPr>
            <w:tcW w:w="810" w:type="dxa"/>
            <w:tcBorders>
              <w:top w:val="nil"/>
              <w:left w:val="nil"/>
              <w:bottom w:val="single" w:sz="4" w:space="0" w:color="000000"/>
              <w:right w:val="single" w:sz="4" w:space="0" w:color="000000"/>
            </w:tcBorders>
            <w:hideMark/>
          </w:tcPr>
          <w:p w14:paraId="546170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3933457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EFBEF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22246BF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 can be referred by parent/guardian, PCP, or other mental health provider</w:t>
            </w:r>
          </w:p>
        </w:tc>
        <w:tc>
          <w:tcPr>
            <w:tcW w:w="2198" w:type="dxa"/>
            <w:tcBorders>
              <w:top w:val="nil"/>
              <w:left w:val="nil"/>
              <w:bottom w:val="single" w:sz="4" w:space="0" w:color="000000"/>
              <w:right w:val="single" w:sz="4" w:space="0" w:color="000000"/>
            </w:tcBorders>
            <w:hideMark/>
          </w:tcPr>
          <w:p w14:paraId="6A4FE92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116F626"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314FE6D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hideMark/>
          </w:tcPr>
          <w:p w14:paraId="6157E7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BRYT</w:t>
            </w:r>
          </w:p>
        </w:tc>
        <w:tc>
          <w:tcPr>
            <w:tcW w:w="725" w:type="dxa"/>
            <w:tcBorders>
              <w:top w:val="nil"/>
              <w:left w:val="nil"/>
              <w:bottom w:val="single" w:sz="4" w:space="0" w:color="000000"/>
              <w:right w:val="single" w:sz="4" w:space="0" w:color="000000"/>
            </w:tcBorders>
            <w:hideMark/>
          </w:tcPr>
          <w:p w14:paraId="046A3C4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Middle and High School Students</w:t>
            </w:r>
          </w:p>
        </w:tc>
        <w:tc>
          <w:tcPr>
            <w:tcW w:w="1710" w:type="dxa"/>
            <w:tcBorders>
              <w:top w:val="nil"/>
              <w:left w:val="nil"/>
              <w:bottom w:val="single" w:sz="4" w:space="0" w:color="000000"/>
              <w:right w:val="single" w:sz="4" w:space="0" w:color="000000"/>
            </w:tcBorders>
            <w:hideMark/>
          </w:tcPr>
          <w:p w14:paraId="7A984CC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 Brookline Center’s bryt Team works with schools to implement intensive interventions based in the signature bryt Model for intensive and comprehensive support for youth who have fallen behind academically in association with a mental health disruption.</w:t>
            </w:r>
          </w:p>
        </w:tc>
        <w:tc>
          <w:tcPr>
            <w:tcW w:w="1080" w:type="dxa"/>
            <w:tcBorders>
              <w:top w:val="nil"/>
              <w:left w:val="nil"/>
              <w:bottom w:val="single" w:sz="4" w:space="0" w:color="000000"/>
              <w:right w:val="single" w:sz="4" w:space="0" w:color="000000"/>
            </w:tcBorders>
            <w:hideMark/>
          </w:tcPr>
          <w:p w14:paraId="3FC77E3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The Brookline Center for Community Mental Health</w:t>
            </w:r>
          </w:p>
        </w:tc>
        <w:tc>
          <w:tcPr>
            <w:tcW w:w="1170" w:type="dxa"/>
            <w:tcBorders>
              <w:top w:val="nil"/>
              <w:left w:val="nil"/>
              <w:bottom w:val="single" w:sz="4" w:space="0" w:color="000000"/>
              <w:right w:val="single" w:sz="4" w:space="0" w:color="000000"/>
            </w:tcBorders>
            <w:hideMark/>
          </w:tcPr>
          <w:p w14:paraId="6340BAF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4550C90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Funding from DMH and school districts</w:t>
            </w:r>
          </w:p>
        </w:tc>
        <w:tc>
          <w:tcPr>
            <w:tcW w:w="810" w:type="dxa"/>
            <w:tcBorders>
              <w:top w:val="nil"/>
              <w:left w:val="nil"/>
              <w:bottom w:val="single" w:sz="4" w:space="0" w:color="000000"/>
              <w:right w:val="single" w:sz="4" w:space="0" w:color="000000"/>
            </w:tcBorders>
            <w:hideMark/>
          </w:tcPr>
          <w:p w14:paraId="473C053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64A06D9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99806B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Helps students with SU needs.</w:t>
            </w:r>
          </w:p>
        </w:tc>
        <w:tc>
          <w:tcPr>
            <w:tcW w:w="1401" w:type="dxa"/>
            <w:tcBorders>
              <w:top w:val="nil"/>
              <w:left w:val="nil"/>
              <w:bottom w:val="single" w:sz="4" w:space="0" w:color="000000"/>
              <w:right w:val="single" w:sz="4" w:space="0" w:color="000000"/>
            </w:tcBorders>
            <w:hideMark/>
          </w:tcPr>
          <w:p w14:paraId="5845F59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Post hospitalization.</w:t>
            </w:r>
          </w:p>
        </w:tc>
        <w:tc>
          <w:tcPr>
            <w:tcW w:w="2198" w:type="dxa"/>
            <w:tcBorders>
              <w:top w:val="nil"/>
              <w:left w:val="nil"/>
              <w:bottom w:val="single" w:sz="4" w:space="0" w:color="000000"/>
              <w:right w:val="single" w:sz="4" w:space="0" w:color="000000"/>
            </w:tcBorders>
            <w:hideMark/>
          </w:tcPr>
          <w:p w14:paraId="0EEC7A2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AAD2723"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08EDCA5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2577A6A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PHP — Partial Hospitalization Program</w:t>
            </w:r>
          </w:p>
        </w:tc>
        <w:tc>
          <w:tcPr>
            <w:tcW w:w="725" w:type="dxa"/>
            <w:tcBorders>
              <w:top w:val="nil"/>
              <w:left w:val="nil"/>
              <w:bottom w:val="single" w:sz="4" w:space="0" w:color="000000"/>
              <w:right w:val="single" w:sz="4" w:space="0" w:color="000000"/>
            </w:tcBorders>
            <w:hideMark/>
          </w:tcPr>
          <w:p w14:paraId="7A41EA2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 coverage varies</w:t>
            </w:r>
          </w:p>
        </w:tc>
        <w:tc>
          <w:tcPr>
            <w:tcW w:w="1710" w:type="dxa"/>
            <w:tcBorders>
              <w:top w:val="nil"/>
              <w:left w:val="nil"/>
              <w:bottom w:val="single" w:sz="4" w:space="0" w:color="000000"/>
              <w:right w:val="single" w:sz="4" w:space="0" w:color="000000"/>
            </w:tcBorders>
            <w:hideMark/>
          </w:tcPr>
          <w:p w14:paraId="4DBFBF1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Short-term, high-intensity day treatment; diversion from inpatient / step-down</w:t>
            </w:r>
          </w:p>
        </w:tc>
        <w:tc>
          <w:tcPr>
            <w:tcW w:w="1080" w:type="dxa"/>
            <w:tcBorders>
              <w:top w:val="nil"/>
              <w:left w:val="nil"/>
              <w:bottom w:val="single" w:sz="4" w:space="0" w:color="000000"/>
              <w:right w:val="single" w:sz="4" w:space="0" w:color="000000"/>
            </w:tcBorders>
            <w:hideMark/>
          </w:tcPr>
          <w:p w14:paraId="5011C95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providers - Licensed by DPH</w:t>
            </w:r>
          </w:p>
        </w:tc>
        <w:tc>
          <w:tcPr>
            <w:tcW w:w="1170" w:type="dxa"/>
            <w:tcBorders>
              <w:top w:val="nil"/>
              <w:left w:val="nil"/>
              <w:bottom w:val="single" w:sz="4" w:space="0" w:color="000000"/>
              <w:right w:val="single" w:sz="4" w:space="0" w:color="000000"/>
            </w:tcBorders>
            <w:hideMark/>
          </w:tcPr>
          <w:p w14:paraId="5564EF9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1C48FC9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MassHealth/commercial; sometimes grant-funded</w:t>
            </w:r>
          </w:p>
        </w:tc>
        <w:tc>
          <w:tcPr>
            <w:tcW w:w="810" w:type="dxa"/>
            <w:tcBorders>
              <w:top w:val="nil"/>
              <w:left w:val="nil"/>
              <w:bottom w:val="single" w:sz="4" w:space="0" w:color="000000"/>
              <w:right w:val="single" w:sz="4" w:space="0" w:color="000000"/>
            </w:tcBorders>
            <w:hideMark/>
          </w:tcPr>
          <w:p w14:paraId="370E897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43BD647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3C3095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C49EA4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Referral from inpatient/ED/outpatient</w:t>
            </w:r>
          </w:p>
        </w:tc>
        <w:tc>
          <w:tcPr>
            <w:tcW w:w="2198" w:type="dxa"/>
            <w:tcBorders>
              <w:top w:val="nil"/>
              <w:left w:val="nil"/>
              <w:bottom w:val="single" w:sz="4" w:space="0" w:color="000000"/>
              <w:right w:val="single" w:sz="4" w:space="0" w:color="000000"/>
            </w:tcBorders>
            <w:hideMark/>
          </w:tcPr>
          <w:p w14:paraId="3AAC9A6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235C6E7"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A9D08E"/>
            <w:hideMark/>
          </w:tcPr>
          <w:p w14:paraId="2FC30D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Intermediate</w:t>
            </w:r>
          </w:p>
        </w:tc>
        <w:tc>
          <w:tcPr>
            <w:tcW w:w="1260" w:type="dxa"/>
            <w:tcBorders>
              <w:top w:val="nil"/>
              <w:left w:val="nil"/>
              <w:bottom w:val="single" w:sz="4" w:space="0" w:color="000000"/>
              <w:right w:val="single" w:sz="4" w:space="0" w:color="000000"/>
            </w:tcBorders>
            <w:shd w:val="clear" w:color="000000" w:fill="92D050"/>
            <w:hideMark/>
          </w:tcPr>
          <w:p w14:paraId="68EAED8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IOP — Intensive Outpatient Program</w:t>
            </w:r>
          </w:p>
        </w:tc>
        <w:tc>
          <w:tcPr>
            <w:tcW w:w="725" w:type="dxa"/>
            <w:tcBorders>
              <w:top w:val="nil"/>
              <w:left w:val="nil"/>
              <w:bottom w:val="single" w:sz="4" w:space="0" w:color="000000"/>
              <w:right w:val="single" w:sz="4" w:space="0" w:color="000000"/>
            </w:tcBorders>
            <w:hideMark/>
          </w:tcPr>
          <w:p w14:paraId="17A6323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 coverage varies</w:t>
            </w:r>
          </w:p>
        </w:tc>
        <w:tc>
          <w:tcPr>
            <w:tcW w:w="1710" w:type="dxa"/>
            <w:tcBorders>
              <w:top w:val="nil"/>
              <w:left w:val="nil"/>
              <w:bottom w:val="single" w:sz="4" w:space="0" w:color="000000"/>
              <w:right w:val="single" w:sz="4" w:space="0" w:color="000000"/>
            </w:tcBorders>
            <w:hideMark/>
          </w:tcPr>
          <w:p w14:paraId="5DE09B2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High-intensity outpatient treatment; typically fewer hours than PHP</w:t>
            </w:r>
          </w:p>
        </w:tc>
        <w:tc>
          <w:tcPr>
            <w:tcW w:w="1080" w:type="dxa"/>
            <w:tcBorders>
              <w:top w:val="nil"/>
              <w:left w:val="nil"/>
              <w:bottom w:val="single" w:sz="4" w:space="0" w:color="000000"/>
              <w:right w:val="single" w:sz="4" w:space="0" w:color="000000"/>
            </w:tcBorders>
            <w:hideMark/>
          </w:tcPr>
          <w:p w14:paraId="0CAE069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providers - Licensed by DPH</w:t>
            </w:r>
          </w:p>
        </w:tc>
        <w:tc>
          <w:tcPr>
            <w:tcW w:w="1170" w:type="dxa"/>
            <w:tcBorders>
              <w:top w:val="nil"/>
              <w:left w:val="nil"/>
              <w:bottom w:val="single" w:sz="4" w:space="0" w:color="000000"/>
              <w:right w:val="single" w:sz="4" w:space="0" w:color="000000"/>
            </w:tcBorders>
            <w:hideMark/>
          </w:tcPr>
          <w:p w14:paraId="0B3F57E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181CD1C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MassHealth/commercial; sometimes grant-funded</w:t>
            </w:r>
          </w:p>
        </w:tc>
        <w:tc>
          <w:tcPr>
            <w:tcW w:w="810" w:type="dxa"/>
            <w:tcBorders>
              <w:top w:val="nil"/>
              <w:left w:val="nil"/>
              <w:bottom w:val="single" w:sz="4" w:space="0" w:color="000000"/>
              <w:right w:val="single" w:sz="4" w:space="0" w:color="000000"/>
            </w:tcBorders>
            <w:hideMark/>
          </w:tcPr>
          <w:p w14:paraId="24A7848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4992DC7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221BE3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038C1CA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Referral from outpatient/ED/PHP</w:t>
            </w:r>
          </w:p>
        </w:tc>
        <w:tc>
          <w:tcPr>
            <w:tcW w:w="2198" w:type="dxa"/>
            <w:tcBorders>
              <w:top w:val="nil"/>
              <w:left w:val="nil"/>
              <w:bottom w:val="single" w:sz="4" w:space="0" w:color="000000"/>
              <w:right w:val="single" w:sz="4" w:space="0" w:color="000000"/>
            </w:tcBorders>
            <w:hideMark/>
          </w:tcPr>
          <w:p w14:paraId="3133FB2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4E84D78"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541C624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5FF45B1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Coordinated Community &amp; Family Engagement Program</w:t>
            </w:r>
          </w:p>
        </w:tc>
        <w:tc>
          <w:tcPr>
            <w:tcW w:w="725" w:type="dxa"/>
            <w:tcBorders>
              <w:top w:val="nil"/>
              <w:left w:val="nil"/>
              <w:bottom w:val="single" w:sz="4" w:space="0" w:color="000000"/>
              <w:right w:val="single" w:sz="4" w:space="0" w:color="000000"/>
            </w:tcBorders>
            <w:hideMark/>
          </w:tcPr>
          <w:p w14:paraId="3C57A5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in early education and childcare programs</w:t>
            </w:r>
          </w:p>
        </w:tc>
        <w:tc>
          <w:tcPr>
            <w:tcW w:w="1710" w:type="dxa"/>
            <w:tcBorders>
              <w:top w:val="nil"/>
              <w:left w:val="nil"/>
              <w:bottom w:val="single" w:sz="4" w:space="0" w:color="000000"/>
              <w:right w:val="single" w:sz="4" w:space="0" w:color="000000"/>
            </w:tcBorders>
            <w:hideMark/>
          </w:tcPr>
          <w:p w14:paraId="096A5F1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Provides services to address and support the social-emotional development and behavioral health of children in early education and care programs.</w:t>
            </w:r>
          </w:p>
        </w:tc>
        <w:tc>
          <w:tcPr>
            <w:tcW w:w="1080" w:type="dxa"/>
            <w:tcBorders>
              <w:top w:val="nil"/>
              <w:left w:val="nil"/>
              <w:bottom w:val="single" w:sz="4" w:space="0" w:color="000000"/>
              <w:right w:val="single" w:sz="4" w:space="0" w:color="000000"/>
            </w:tcBorders>
            <w:hideMark/>
          </w:tcPr>
          <w:p w14:paraId="50CDBD1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DEEC</w:t>
            </w:r>
          </w:p>
        </w:tc>
        <w:tc>
          <w:tcPr>
            <w:tcW w:w="1170" w:type="dxa"/>
            <w:tcBorders>
              <w:top w:val="nil"/>
              <w:left w:val="nil"/>
              <w:bottom w:val="single" w:sz="4" w:space="0" w:color="000000"/>
              <w:right w:val="single" w:sz="4" w:space="0" w:color="000000"/>
            </w:tcBorders>
            <w:hideMark/>
          </w:tcPr>
          <w:p w14:paraId="7FDC9BE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4D56111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79DA51E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4786089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C04E09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shd w:val="clear" w:color="000000" w:fill="FFFF00"/>
            <w:hideMark/>
          </w:tcPr>
          <w:p w14:paraId="62283F1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2198" w:type="dxa"/>
            <w:tcBorders>
              <w:top w:val="nil"/>
              <w:left w:val="nil"/>
              <w:bottom w:val="single" w:sz="4" w:space="0" w:color="000000"/>
              <w:right w:val="single" w:sz="4" w:space="0" w:color="000000"/>
            </w:tcBorders>
            <w:hideMark/>
          </w:tcPr>
          <w:p w14:paraId="3D085D1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AC76C24"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5EF0AFB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5291BF0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School Psychologists, Counselors, Adjustment Counselors</w:t>
            </w:r>
          </w:p>
        </w:tc>
        <w:tc>
          <w:tcPr>
            <w:tcW w:w="725" w:type="dxa"/>
            <w:tcBorders>
              <w:top w:val="nil"/>
              <w:left w:val="nil"/>
              <w:bottom w:val="single" w:sz="4" w:space="0" w:color="000000"/>
              <w:right w:val="single" w:sz="4" w:space="0" w:color="000000"/>
            </w:tcBorders>
            <w:hideMark/>
          </w:tcPr>
          <w:p w14:paraId="3C59FDD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Pre-K-12 students</w:t>
            </w:r>
          </w:p>
        </w:tc>
        <w:tc>
          <w:tcPr>
            <w:tcW w:w="1710" w:type="dxa"/>
            <w:tcBorders>
              <w:top w:val="nil"/>
              <w:left w:val="nil"/>
              <w:bottom w:val="single" w:sz="4" w:space="0" w:color="000000"/>
              <w:right w:val="single" w:sz="4" w:space="0" w:color="000000"/>
            </w:tcBorders>
            <w:hideMark/>
          </w:tcPr>
          <w:p w14:paraId="636C88A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Therapeutic services (1:1 counseling, groups, accomodations) provided to students by school staff.</w:t>
            </w:r>
          </w:p>
        </w:tc>
        <w:tc>
          <w:tcPr>
            <w:tcW w:w="1080" w:type="dxa"/>
            <w:tcBorders>
              <w:top w:val="nil"/>
              <w:left w:val="nil"/>
              <w:bottom w:val="single" w:sz="4" w:space="0" w:color="000000"/>
              <w:right w:val="single" w:sz="4" w:space="0" w:color="000000"/>
            </w:tcBorders>
            <w:hideMark/>
          </w:tcPr>
          <w:p w14:paraId="55C2930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DESE</w:t>
            </w:r>
          </w:p>
        </w:tc>
        <w:tc>
          <w:tcPr>
            <w:tcW w:w="1170" w:type="dxa"/>
            <w:tcBorders>
              <w:top w:val="nil"/>
              <w:left w:val="nil"/>
              <w:bottom w:val="single" w:sz="4" w:space="0" w:color="000000"/>
              <w:right w:val="single" w:sz="4" w:space="0" w:color="000000"/>
            </w:tcBorders>
            <w:hideMark/>
          </w:tcPr>
          <w:p w14:paraId="248F6E2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2D80A1C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State funding that contributes to the district's "foundation budget" (behavioral health is approx. 3% of this budget).</w:t>
            </w:r>
          </w:p>
        </w:tc>
        <w:tc>
          <w:tcPr>
            <w:tcW w:w="810" w:type="dxa"/>
            <w:tcBorders>
              <w:top w:val="nil"/>
              <w:left w:val="nil"/>
              <w:bottom w:val="single" w:sz="4" w:space="0" w:color="000000"/>
              <w:right w:val="single" w:sz="4" w:space="0" w:color="000000"/>
            </w:tcBorders>
            <w:hideMark/>
          </w:tcPr>
          <w:p w14:paraId="3ACA6B0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Eligibile for school-based Medicaid program (SBMP).</w:t>
            </w:r>
          </w:p>
        </w:tc>
        <w:tc>
          <w:tcPr>
            <w:tcW w:w="720" w:type="dxa"/>
            <w:tcBorders>
              <w:top w:val="nil"/>
              <w:left w:val="nil"/>
              <w:bottom w:val="single" w:sz="4" w:space="0" w:color="000000"/>
              <w:right w:val="single" w:sz="4" w:space="0" w:color="000000"/>
            </w:tcBorders>
            <w:hideMark/>
          </w:tcPr>
          <w:p w14:paraId="0279372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F448D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Helps students with SU needs.</w:t>
            </w:r>
          </w:p>
        </w:tc>
        <w:tc>
          <w:tcPr>
            <w:tcW w:w="1401" w:type="dxa"/>
            <w:tcBorders>
              <w:top w:val="nil"/>
              <w:left w:val="nil"/>
              <w:bottom w:val="single" w:sz="4" w:space="0" w:color="000000"/>
              <w:right w:val="single" w:sz="4" w:space="0" w:color="000000"/>
            </w:tcBorders>
            <w:hideMark/>
          </w:tcPr>
          <w:p w14:paraId="0406C6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Varies - School or caregiver referral typically.</w:t>
            </w:r>
          </w:p>
        </w:tc>
        <w:tc>
          <w:tcPr>
            <w:tcW w:w="2198" w:type="dxa"/>
            <w:tcBorders>
              <w:top w:val="nil"/>
              <w:left w:val="nil"/>
              <w:bottom w:val="single" w:sz="4" w:space="0" w:color="000000"/>
              <w:right w:val="single" w:sz="4" w:space="0" w:color="000000"/>
            </w:tcBorders>
            <w:hideMark/>
          </w:tcPr>
          <w:p w14:paraId="1307515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368440E"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6F8C612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7777878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Supporting Students' Social Emotional Learning, Behavioral &amp; Mental Health, and Wellness Grant</w:t>
            </w:r>
          </w:p>
        </w:tc>
        <w:tc>
          <w:tcPr>
            <w:tcW w:w="725" w:type="dxa"/>
            <w:tcBorders>
              <w:top w:val="nil"/>
              <w:left w:val="nil"/>
              <w:bottom w:val="single" w:sz="4" w:space="0" w:color="000000"/>
              <w:right w:val="single" w:sz="4" w:space="0" w:color="000000"/>
            </w:tcBorders>
            <w:hideMark/>
          </w:tcPr>
          <w:p w14:paraId="3F97442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PreK-12 students</w:t>
            </w:r>
          </w:p>
        </w:tc>
        <w:tc>
          <w:tcPr>
            <w:tcW w:w="1710" w:type="dxa"/>
            <w:tcBorders>
              <w:top w:val="nil"/>
              <w:left w:val="nil"/>
              <w:bottom w:val="single" w:sz="4" w:space="0" w:color="000000"/>
              <w:right w:val="single" w:sz="4" w:space="0" w:color="000000"/>
            </w:tcBorders>
            <w:hideMark/>
          </w:tcPr>
          <w:p w14:paraId="291E344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This grant program supports Massachusetts public school districts and communities to adapt, expand, or strengthen multi-tiered systems of support to respond to the social-emotional and behavioral health needs of students, families, and educators and to build strong partnerships with community-based mental health agencies and/or providers. This includes universal screening and professinoal development to help staff implement tier 2/3 (supplemental, small group, and more intensive) interventions.</w:t>
            </w:r>
          </w:p>
        </w:tc>
        <w:tc>
          <w:tcPr>
            <w:tcW w:w="1080" w:type="dxa"/>
            <w:tcBorders>
              <w:top w:val="nil"/>
              <w:left w:val="nil"/>
              <w:bottom w:val="single" w:sz="4" w:space="0" w:color="000000"/>
              <w:right w:val="single" w:sz="4" w:space="0" w:color="000000"/>
            </w:tcBorders>
            <w:hideMark/>
          </w:tcPr>
          <w:p w14:paraId="06C7824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DESE</w:t>
            </w:r>
          </w:p>
        </w:tc>
        <w:tc>
          <w:tcPr>
            <w:tcW w:w="1170" w:type="dxa"/>
            <w:tcBorders>
              <w:top w:val="nil"/>
              <w:left w:val="nil"/>
              <w:bottom w:val="single" w:sz="4" w:space="0" w:color="000000"/>
              <w:right w:val="single" w:sz="4" w:space="0" w:color="000000"/>
            </w:tcBorders>
            <w:hideMark/>
          </w:tcPr>
          <w:p w14:paraId="2EDD770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12CC30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DESE (state funding)</w:t>
            </w:r>
          </w:p>
        </w:tc>
        <w:tc>
          <w:tcPr>
            <w:tcW w:w="810" w:type="dxa"/>
            <w:tcBorders>
              <w:top w:val="nil"/>
              <w:left w:val="nil"/>
              <w:bottom w:val="single" w:sz="4" w:space="0" w:color="000000"/>
              <w:right w:val="single" w:sz="4" w:space="0" w:color="000000"/>
            </w:tcBorders>
            <w:hideMark/>
          </w:tcPr>
          <w:p w14:paraId="2D41C75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4F8852F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3BE443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Can help with SU needs.</w:t>
            </w:r>
          </w:p>
        </w:tc>
        <w:tc>
          <w:tcPr>
            <w:tcW w:w="1401" w:type="dxa"/>
            <w:tcBorders>
              <w:top w:val="nil"/>
              <w:left w:val="nil"/>
              <w:bottom w:val="single" w:sz="4" w:space="0" w:color="000000"/>
              <w:right w:val="single" w:sz="4" w:space="0" w:color="000000"/>
            </w:tcBorders>
            <w:hideMark/>
          </w:tcPr>
          <w:p w14:paraId="3EF9E0D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DESE</w:t>
            </w:r>
          </w:p>
        </w:tc>
        <w:tc>
          <w:tcPr>
            <w:tcW w:w="2198" w:type="dxa"/>
            <w:tcBorders>
              <w:top w:val="nil"/>
              <w:left w:val="nil"/>
              <w:bottom w:val="single" w:sz="4" w:space="0" w:color="000000"/>
              <w:right w:val="single" w:sz="4" w:space="0" w:color="000000"/>
            </w:tcBorders>
            <w:hideMark/>
          </w:tcPr>
          <w:p w14:paraId="1332801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65C9B05B" w14:textId="77777777" w:rsidTr="00DD751F">
        <w:trPr>
          <w:trHeight w:val="129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220776D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136636C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School-Based Special Education Services</w:t>
            </w:r>
          </w:p>
        </w:tc>
        <w:tc>
          <w:tcPr>
            <w:tcW w:w="725" w:type="dxa"/>
            <w:tcBorders>
              <w:top w:val="nil"/>
              <w:left w:val="nil"/>
              <w:bottom w:val="single" w:sz="4" w:space="0" w:color="000000"/>
              <w:right w:val="single" w:sz="4" w:space="0" w:color="000000"/>
            </w:tcBorders>
            <w:hideMark/>
          </w:tcPr>
          <w:p w14:paraId="5351082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3-22</w:t>
            </w:r>
          </w:p>
        </w:tc>
        <w:tc>
          <w:tcPr>
            <w:tcW w:w="1710" w:type="dxa"/>
            <w:tcBorders>
              <w:top w:val="nil"/>
              <w:left w:val="nil"/>
              <w:bottom w:val="single" w:sz="4" w:space="0" w:color="000000"/>
              <w:right w:val="single" w:sz="4" w:space="0" w:color="000000"/>
            </w:tcBorders>
            <w:hideMark/>
          </w:tcPr>
          <w:p w14:paraId="66B2840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Special education services are available to eligible students ages 3 up to 22 in Massachusetts who 1) have a disability and 2) as a result of their disability require specially designed instruction or one or more related services (i.e., speech therapy) to access and make progress in the general curriculum. </w:t>
            </w:r>
          </w:p>
        </w:tc>
        <w:tc>
          <w:tcPr>
            <w:tcW w:w="1080" w:type="dxa"/>
            <w:tcBorders>
              <w:top w:val="nil"/>
              <w:left w:val="nil"/>
              <w:bottom w:val="single" w:sz="4" w:space="0" w:color="000000"/>
              <w:right w:val="single" w:sz="4" w:space="0" w:color="000000"/>
            </w:tcBorders>
            <w:hideMark/>
          </w:tcPr>
          <w:p w14:paraId="6980D64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DESE</w:t>
            </w:r>
          </w:p>
        </w:tc>
        <w:tc>
          <w:tcPr>
            <w:tcW w:w="1170" w:type="dxa"/>
            <w:tcBorders>
              <w:top w:val="nil"/>
              <w:left w:val="nil"/>
              <w:bottom w:val="single" w:sz="4" w:space="0" w:color="000000"/>
              <w:right w:val="single" w:sz="4" w:space="0" w:color="000000"/>
            </w:tcBorders>
            <w:hideMark/>
          </w:tcPr>
          <w:p w14:paraId="0EA9C07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14A023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Federal, state, local resources</w:t>
            </w:r>
          </w:p>
        </w:tc>
        <w:tc>
          <w:tcPr>
            <w:tcW w:w="810" w:type="dxa"/>
            <w:tcBorders>
              <w:top w:val="nil"/>
              <w:left w:val="nil"/>
              <w:bottom w:val="single" w:sz="4" w:space="0" w:color="000000"/>
              <w:right w:val="single" w:sz="4" w:space="0" w:color="000000"/>
            </w:tcBorders>
            <w:hideMark/>
          </w:tcPr>
          <w:p w14:paraId="2F44593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Eligibile for school-based Medicaid program (SBMP).</w:t>
            </w:r>
          </w:p>
        </w:tc>
        <w:tc>
          <w:tcPr>
            <w:tcW w:w="720" w:type="dxa"/>
            <w:tcBorders>
              <w:top w:val="nil"/>
              <w:left w:val="nil"/>
              <w:bottom w:val="single" w:sz="4" w:space="0" w:color="000000"/>
              <w:right w:val="single" w:sz="4" w:space="0" w:color="000000"/>
            </w:tcBorders>
            <w:hideMark/>
          </w:tcPr>
          <w:p w14:paraId="6C1F6D4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Helps students with ASD/IDD.</w:t>
            </w:r>
          </w:p>
        </w:tc>
        <w:tc>
          <w:tcPr>
            <w:tcW w:w="811" w:type="dxa"/>
            <w:tcBorders>
              <w:top w:val="nil"/>
              <w:left w:val="nil"/>
              <w:bottom w:val="single" w:sz="4" w:space="0" w:color="000000"/>
              <w:right w:val="single" w:sz="4" w:space="0" w:color="000000"/>
            </w:tcBorders>
            <w:hideMark/>
          </w:tcPr>
          <w:p w14:paraId="0CAFC53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Helps students with SU needs.</w:t>
            </w:r>
          </w:p>
        </w:tc>
        <w:tc>
          <w:tcPr>
            <w:tcW w:w="1401" w:type="dxa"/>
            <w:tcBorders>
              <w:top w:val="nil"/>
              <w:left w:val="nil"/>
              <w:bottom w:val="single" w:sz="4" w:space="0" w:color="000000"/>
              <w:right w:val="single" w:sz="4" w:space="0" w:color="000000"/>
            </w:tcBorders>
            <w:hideMark/>
          </w:tcPr>
          <w:p w14:paraId="4E2C83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Referred by EI, parent, school</w:t>
            </w:r>
          </w:p>
        </w:tc>
        <w:tc>
          <w:tcPr>
            <w:tcW w:w="2198" w:type="dxa"/>
            <w:tcBorders>
              <w:top w:val="nil"/>
              <w:left w:val="nil"/>
              <w:bottom w:val="single" w:sz="4" w:space="0" w:color="000000"/>
              <w:right w:val="single" w:sz="4" w:space="0" w:color="000000"/>
            </w:tcBorders>
            <w:hideMark/>
          </w:tcPr>
          <w:p w14:paraId="1CAE4C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48DD766"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057F7CD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06E5C9A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MCPAP (and variants like ASD-ID, Early Childhood)</w:t>
            </w:r>
          </w:p>
        </w:tc>
        <w:tc>
          <w:tcPr>
            <w:tcW w:w="725" w:type="dxa"/>
            <w:tcBorders>
              <w:top w:val="nil"/>
              <w:left w:val="nil"/>
              <w:bottom w:val="single" w:sz="4" w:space="0" w:color="000000"/>
              <w:right w:val="single" w:sz="4" w:space="0" w:color="000000"/>
            </w:tcBorders>
            <w:hideMark/>
          </w:tcPr>
          <w:p w14:paraId="3876F62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Provider consultation</w:t>
            </w:r>
          </w:p>
        </w:tc>
        <w:tc>
          <w:tcPr>
            <w:tcW w:w="1710" w:type="dxa"/>
            <w:tcBorders>
              <w:top w:val="nil"/>
              <w:left w:val="nil"/>
              <w:bottom w:val="single" w:sz="4" w:space="0" w:color="000000"/>
              <w:right w:val="single" w:sz="4" w:space="0" w:color="000000"/>
            </w:tcBorders>
            <w:hideMark/>
          </w:tcPr>
          <w:p w14:paraId="46CEC74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MCPAP provides pediatricians and primary care physicians quick access to psychiatric consultation and facilitates referrals for accessing ongoing behavioral health care. MCPAP offers training and support to PCPs treating youth with behavioral health challenges and supports practices to integrate behavioral health resources and work with behavioral health providers.</w:t>
            </w:r>
          </w:p>
        </w:tc>
        <w:tc>
          <w:tcPr>
            <w:tcW w:w="1080" w:type="dxa"/>
            <w:tcBorders>
              <w:top w:val="nil"/>
              <w:left w:val="nil"/>
              <w:bottom w:val="single" w:sz="4" w:space="0" w:color="000000"/>
              <w:right w:val="single" w:sz="4" w:space="0" w:color="000000"/>
            </w:tcBorders>
            <w:hideMark/>
          </w:tcPr>
          <w:p w14:paraId="05BFF21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2FB6590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1816B9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General Funds through MBHP; Also contributions from commerical insurers</w:t>
            </w:r>
          </w:p>
        </w:tc>
        <w:tc>
          <w:tcPr>
            <w:tcW w:w="810" w:type="dxa"/>
            <w:tcBorders>
              <w:top w:val="nil"/>
              <w:left w:val="nil"/>
              <w:bottom w:val="single" w:sz="4" w:space="0" w:color="000000"/>
              <w:right w:val="single" w:sz="4" w:space="0" w:color="000000"/>
            </w:tcBorders>
            <w:hideMark/>
          </w:tcPr>
          <w:p w14:paraId="5D09F6E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6251840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There is an ASD-ID specific MCPAP service</w:t>
            </w:r>
          </w:p>
        </w:tc>
        <w:tc>
          <w:tcPr>
            <w:tcW w:w="811" w:type="dxa"/>
            <w:tcBorders>
              <w:top w:val="nil"/>
              <w:left w:val="nil"/>
              <w:bottom w:val="single" w:sz="4" w:space="0" w:color="000000"/>
              <w:right w:val="single" w:sz="4" w:space="0" w:color="000000"/>
            </w:tcBorders>
            <w:hideMark/>
          </w:tcPr>
          <w:p w14:paraId="6C423D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44621B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Pediatricians and PCPs</w:t>
            </w:r>
          </w:p>
        </w:tc>
        <w:tc>
          <w:tcPr>
            <w:tcW w:w="2198" w:type="dxa"/>
            <w:tcBorders>
              <w:top w:val="nil"/>
              <w:left w:val="nil"/>
              <w:bottom w:val="single" w:sz="4" w:space="0" w:color="000000"/>
              <w:right w:val="single" w:sz="4" w:space="0" w:color="000000"/>
            </w:tcBorders>
            <w:hideMark/>
          </w:tcPr>
          <w:p w14:paraId="5187748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F02E5E0"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608D500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2843EC9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Young Adult Access Centers</w:t>
            </w:r>
          </w:p>
        </w:tc>
        <w:tc>
          <w:tcPr>
            <w:tcW w:w="725" w:type="dxa"/>
            <w:tcBorders>
              <w:top w:val="nil"/>
              <w:left w:val="nil"/>
              <w:bottom w:val="single" w:sz="4" w:space="0" w:color="000000"/>
              <w:right w:val="single" w:sz="4" w:space="0" w:color="000000"/>
            </w:tcBorders>
            <w:hideMark/>
          </w:tcPr>
          <w:p w14:paraId="50D7503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6F2D2A2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Access Centers focus outreach and engagement efforts on those who may be facing challenges such as: mental illness and substance misuse, economic insecurity, homelessness, pregnant/parenting, commercial/sexual exploitation, and those facing other challenges that have posed barriers to engagement in services.</w:t>
            </w:r>
          </w:p>
        </w:tc>
        <w:tc>
          <w:tcPr>
            <w:tcW w:w="1080" w:type="dxa"/>
            <w:tcBorders>
              <w:top w:val="nil"/>
              <w:left w:val="nil"/>
              <w:bottom w:val="single" w:sz="4" w:space="0" w:color="000000"/>
              <w:right w:val="single" w:sz="4" w:space="0" w:color="000000"/>
            </w:tcBorders>
            <w:hideMark/>
          </w:tcPr>
          <w:p w14:paraId="32B690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20E3AD7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5981A8D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810" w:type="dxa"/>
            <w:tcBorders>
              <w:top w:val="nil"/>
              <w:left w:val="nil"/>
              <w:bottom w:val="single" w:sz="4" w:space="0" w:color="000000"/>
              <w:right w:val="single" w:sz="4" w:space="0" w:color="000000"/>
            </w:tcBorders>
            <w:hideMark/>
          </w:tcPr>
          <w:p w14:paraId="5E37CD7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1DD274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DD4A7E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523A732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Open to all</w:t>
            </w:r>
          </w:p>
        </w:tc>
        <w:tc>
          <w:tcPr>
            <w:tcW w:w="2198" w:type="dxa"/>
            <w:tcBorders>
              <w:top w:val="nil"/>
              <w:left w:val="nil"/>
              <w:bottom w:val="single" w:sz="4" w:space="0" w:color="000000"/>
              <w:right w:val="single" w:sz="4" w:space="0" w:color="000000"/>
            </w:tcBorders>
            <w:hideMark/>
          </w:tcPr>
          <w:p w14:paraId="276093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E43A475"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6D39A2F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572D70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School-Based Tele-Behavioral Health </w:t>
            </w:r>
          </w:p>
        </w:tc>
        <w:tc>
          <w:tcPr>
            <w:tcW w:w="725" w:type="dxa"/>
            <w:tcBorders>
              <w:top w:val="nil"/>
              <w:left w:val="nil"/>
              <w:bottom w:val="single" w:sz="4" w:space="0" w:color="000000"/>
              <w:right w:val="single" w:sz="4" w:space="0" w:color="000000"/>
            </w:tcBorders>
            <w:hideMark/>
          </w:tcPr>
          <w:p w14:paraId="052F09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K-12 students</w:t>
            </w:r>
          </w:p>
        </w:tc>
        <w:tc>
          <w:tcPr>
            <w:tcW w:w="1710" w:type="dxa"/>
            <w:tcBorders>
              <w:top w:val="nil"/>
              <w:left w:val="nil"/>
              <w:bottom w:val="single" w:sz="4" w:space="0" w:color="000000"/>
              <w:right w:val="single" w:sz="4" w:space="0" w:color="000000"/>
            </w:tcBorders>
            <w:hideMark/>
          </w:tcPr>
          <w:p w14:paraId="788172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Virtual (phone or video) behavioral health services with the referral typically coming from the school. The student may receive services in the home or school setting. </w:t>
            </w:r>
          </w:p>
        </w:tc>
        <w:tc>
          <w:tcPr>
            <w:tcW w:w="1080" w:type="dxa"/>
            <w:tcBorders>
              <w:top w:val="nil"/>
              <w:left w:val="nil"/>
              <w:bottom w:val="single" w:sz="4" w:space="0" w:color="000000"/>
              <w:right w:val="single" w:sz="4" w:space="0" w:color="000000"/>
            </w:tcBorders>
            <w:hideMark/>
          </w:tcPr>
          <w:p w14:paraId="1922AFD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 - Contracts with the Brookline Center; also Heywood Hospital and Outer Cape Health Services</w:t>
            </w:r>
          </w:p>
        </w:tc>
        <w:tc>
          <w:tcPr>
            <w:tcW w:w="1170" w:type="dxa"/>
            <w:tcBorders>
              <w:top w:val="nil"/>
              <w:left w:val="nil"/>
              <w:bottom w:val="single" w:sz="4" w:space="0" w:color="000000"/>
              <w:right w:val="single" w:sz="4" w:space="0" w:color="000000"/>
            </w:tcBorders>
            <w:hideMark/>
          </w:tcPr>
          <w:p w14:paraId="62BF7D9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741676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Varies - MassHealth, some commercial, contracts with school districts</w:t>
            </w:r>
          </w:p>
        </w:tc>
        <w:tc>
          <w:tcPr>
            <w:tcW w:w="810" w:type="dxa"/>
            <w:tcBorders>
              <w:top w:val="nil"/>
              <w:left w:val="nil"/>
              <w:bottom w:val="single" w:sz="4" w:space="0" w:color="000000"/>
              <w:right w:val="single" w:sz="4" w:space="0" w:color="000000"/>
            </w:tcBorders>
            <w:hideMark/>
          </w:tcPr>
          <w:p w14:paraId="53282BE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4728850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883FDA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AA81F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Varies - School or caregiver referral typically.</w:t>
            </w:r>
          </w:p>
        </w:tc>
        <w:tc>
          <w:tcPr>
            <w:tcW w:w="2198" w:type="dxa"/>
            <w:tcBorders>
              <w:top w:val="nil"/>
              <w:left w:val="nil"/>
              <w:bottom w:val="single" w:sz="4" w:space="0" w:color="000000"/>
              <w:right w:val="single" w:sz="4" w:space="0" w:color="000000"/>
            </w:tcBorders>
            <w:hideMark/>
          </w:tcPr>
          <w:p w14:paraId="1EDAE3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95C6D52"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1409097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39BC5EA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MassSTART School-Based Intervention Programs</w:t>
            </w:r>
          </w:p>
        </w:tc>
        <w:tc>
          <w:tcPr>
            <w:tcW w:w="725" w:type="dxa"/>
            <w:tcBorders>
              <w:top w:val="nil"/>
              <w:left w:val="nil"/>
              <w:bottom w:val="single" w:sz="4" w:space="0" w:color="000000"/>
              <w:right w:val="single" w:sz="4" w:space="0" w:color="000000"/>
            </w:tcBorders>
            <w:hideMark/>
          </w:tcPr>
          <w:p w14:paraId="0A886A1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8-13</w:t>
            </w:r>
          </w:p>
        </w:tc>
        <w:tc>
          <w:tcPr>
            <w:tcW w:w="1710" w:type="dxa"/>
            <w:tcBorders>
              <w:top w:val="nil"/>
              <w:left w:val="nil"/>
              <w:bottom w:val="single" w:sz="4" w:space="0" w:color="000000"/>
              <w:right w:val="single" w:sz="4" w:space="0" w:color="000000"/>
            </w:tcBorders>
            <w:hideMark/>
          </w:tcPr>
          <w:p w14:paraId="2E5AAF0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MassSTART is a school-centered intervention program, which has proven positive outcomes for youth, their families, and the community. MassSTART serves youth 8 to 13 years old at high risk for or experiencing criminal justice involvement, substance use, family violence, and school, social, and/or behavioral problems. Case workers use a positive youth development framework to coordinate and provide support and services at school and in the home. </w:t>
            </w:r>
          </w:p>
        </w:tc>
        <w:tc>
          <w:tcPr>
            <w:tcW w:w="1080" w:type="dxa"/>
            <w:tcBorders>
              <w:top w:val="nil"/>
              <w:left w:val="nil"/>
              <w:bottom w:val="single" w:sz="4" w:space="0" w:color="000000"/>
              <w:right w:val="single" w:sz="4" w:space="0" w:color="000000"/>
            </w:tcBorders>
            <w:hideMark/>
          </w:tcPr>
          <w:p w14:paraId="67F95BA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1170" w:type="dxa"/>
            <w:tcBorders>
              <w:top w:val="nil"/>
              <w:left w:val="nil"/>
              <w:bottom w:val="single" w:sz="4" w:space="0" w:color="000000"/>
              <w:right w:val="single" w:sz="4" w:space="0" w:color="000000"/>
            </w:tcBorders>
            <w:hideMark/>
          </w:tcPr>
          <w:p w14:paraId="643D499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1E3DFE3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4B4ECA0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28A8D83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07B8AD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Yes </w:t>
            </w:r>
          </w:p>
        </w:tc>
        <w:tc>
          <w:tcPr>
            <w:tcW w:w="1401" w:type="dxa"/>
            <w:tcBorders>
              <w:top w:val="nil"/>
              <w:left w:val="nil"/>
              <w:bottom w:val="single" w:sz="4" w:space="0" w:color="000000"/>
              <w:right w:val="single" w:sz="4" w:space="0" w:color="000000"/>
            </w:tcBorders>
            <w:shd w:val="clear" w:color="000000" w:fill="FFFF00"/>
            <w:hideMark/>
          </w:tcPr>
          <w:p w14:paraId="4E8B857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2198" w:type="dxa"/>
            <w:tcBorders>
              <w:top w:val="nil"/>
              <w:left w:val="nil"/>
              <w:bottom w:val="single" w:sz="4" w:space="0" w:color="000000"/>
              <w:right w:val="single" w:sz="4" w:space="0" w:color="000000"/>
            </w:tcBorders>
            <w:hideMark/>
          </w:tcPr>
          <w:p w14:paraId="598D35F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CDC8D25"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09DAB0C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25BD129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iDECIDE</w:t>
            </w:r>
          </w:p>
        </w:tc>
        <w:tc>
          <w:tcPr>
            <w:tcW w:w="725" w:type="dxa"/>
            <w:tcBorders>
              <w:top w:val="nil"/>
              <w:left w:val="nil"/>
              <w:bottom w:val="single" w:sz="4" w:space="0" w:color="000000"/>
              <w:right w:val="single" w:sz="4" w:space="0" w:color="000000"/>
            </w:tcBorders>
            <w:hideMark/>
          </w:tcPr>
          <w:p w14:paraId="617F298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12-17</w:t>
            </w:r>
          </w:p>
        </w:tc>
        <w:tc>
          <w:tcPr>
            <w:tcW w:w="1710" w:type="dxa"/>
            <w:tcBorders>
              <w:top w:val="nil"/>
              <w:left w:val="nil"/>
              <w:bottom w:val="single" w:sz="4" w:space="0" w:color="000000"/>
              <w:right w:val="single" w:sz="4" w:space="0" w:color="000000"/>
            </w:tcBorders>
            <w:hideMark/>
          </w:tcPr>
          <w:p w14:paraId="666A32B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Provided by BA level staff or paraprofessionals in the school and/or community. Education-based intervention for students caught violating school substance use policy.</w:t>
            </w:r>
          </w:p>
        </w:tc>
        <w:tc>
          <w:tcPr>
            <w:tcW w:w="1080" w:type="dxa"/>
            <w:tcBorders>
              <w:top w:val="nil"/>
              <w:left w:val="nil"/>
              <w:bottom w:val="single" w:sz="4" w:space="0" w:color="000000"/>
              <w:right w:val="single" w:sz="4" w:space="0" w:color="000000"/>
            </w:tcBorders>
            <w:hideMark/>
          </w:tcPr>
          <w:p w14:paraId="132828D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1170" w:type="dxa"/>
            <w:tcBorders>
              <w:top w:val="nil"/>
              <w:left w:val="nil"/>
              <w:bottom w:val="single" w:sz="4" w:space="0" w:color="000000"/>
              <w:right w:val="single" w:sz="4" w:space="0" w:color="000000"/>
            </w:tcBorders>
            <w:hideMark/>
          </w:tcPr>
          <w:p w14:paraId="06B386D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3048AB9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6EEA9BC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3966699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8EED44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Yes </w:t>
            </w:r>
          </w:p>
        </w:tc>
        <w:tc>
          <w:tcPr>
            <w:tcW w:w="1401" w:type="dxa"/>
            <w:tcBorders>
              <w:top w:val="nil"/>
              <w:left w:val="nil"/>
              <w:bottom w:val="single" w:sz="4" w:space="0" w:color="000000"/>
              <w:right w:val="single" w:sz="4" w:space="0" w:color="000000"/>
            </w:tcBorders>
            <w:hideMark/>
          </w:tcPr>
          <w:p w14:paraId="6D516CC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This is a collaboration between BSAS, Massachusetts General Hospital, the Institute for Health and Recovery. Not in all schools.</w:t>
            </w:r>
          </w:p>
        </w:tc>
        <w:tc>
          <w:tcPr>
            <w:tcW w:w="2198" w:type="dxa"/>
            <w:tcBorders>
              <w:top w:val="nil"/>
              <w:left w:val="nil"/>
              <w:bottom w:val="single" w:sz="4" w:space="0" w:color="000000"/>
              <w:right w:val="single" w:sz="4" w:space="0" w:color="000000"/>
            </w:tcBorders>
            <w:hideMark/>
          </w:tcPr>
          <w:p w14:paraId="67C6B36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FBFD300"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441F966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0ADA2F6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Project AMP</w:t>
            </w:r>
          </w:p>
        </w:tc>
        <w:tc>
          <w:tcPr>
            <w:tcW w:w="725" w:type="dxa"/>
            <w:tcBorders>
              <w:top w:val="nil"/>
              <w:left w:val="nil"/>
              <w:bottom w:val="single" w:sz="4" w:space="0" w:color="000000"/>
              <w:right w:val="single" w:sz="4" w:space="0" w:color="000000"/>
            </w:tcBorders>
            <w:hideMark/>
          </w:tcPr>
          <w:p w14:paraId="6F598CE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13-17</w:t>
            </w:r>
          </w:p>
        </w:tc>
        <w:tc>
          <w:tcPr>
            <w:tcW w:w="1710" w:type="dxa"/>
            <w:tcBorders>
              <w:top w:val="nil"/>
              <w:left w:val="nil"/>
              <w:bottom w:val="single" w:sz="4" w:space="0" w:color="000000"/>
              <w:right w:val="single" w:sz="4" w:space="0" w:color="000000"/>
            </w:tcBorders>
            <w:hideMark/>
          </w:tcPr>
          <w:p w14:paraId="597EAD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Provided by BH level staff, paraprofessionals, or people with lived experience in the school or community. Enhanced brief intervention delivered by trained near-peers. 4-6 sessions in school-based settings. </w:t>
            </w:r>
          </w:p>
        </w:tc>
        <w:tc>
          <w:tcPr>
            <w:tcW w:w="1080" w:type="dxa"/>
            <w:tcBorders>
              <w:top w:val="nil"/>
              <w:left w:val="nil"/>
              <w:bottom w:val="single" w:sz="4" w:space="0" w:color="000000"/>
              <w:right w:val="single" w:sz="4" w:space="0" w:color="000000"/>
            </w:tcBorders>
            <w:hideMark/>
          </w:tcPr>
          <w:p w14:paraId="6BDB29C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1170" w:type="dxa"/>
            <w:tcBorders>
              <w:top w:val="nil"/>
              <w:left w:val="nil"/>
              <w:bottom w:val="single" w:sz="4" w:space="0" w:color="000000"/>
              <w:right w:val="single" w:sz="4" w:space="0" w:color="000000"/>
            </w:tcBorders>
            <w:hideMark/>
          </w:tcPr>
          <w:p w14:paraId="51DFCC5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11AF971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1844845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17957A1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C7963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Yes </w:t>
            </w:r>
          </w:p>
        </w:tc>
        <w:tc>
          <w:tcPr>
            <w:tcW w:w="1401" w:type="dxa"/>
            <w:tcBorders>
              <w:top w:val="nil"/>
              <w:left w:val="nil"/>
              <w:bottom w:val="single" w:sz="4" w:space="0" w:color="000000"/>
              <w:right w:val="single" w:sz="4" w:space="0" w:color="000000"/>
            </w:tcBorders>
            <w:hideMark/>
          </w:tcPr>
          <w:p w14:paraId="37E07B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Not in all schools.</w:t>
            </w:r>
          </w:p>
        </w:tc>
        <w:tc>
          <w:tcPr>
            <w:tcW w:w="2198" w:type="dxa"/>
            <w:tcBorders>
              <w:top w:val="nil"/>
              <w:left w:val="nil"/>
              <w:bottom w:val="single" w:sz="4" w:space="0" w:color="000000"/>
              <w:right w:val="single" w:sz="4" w:space="0" w:color="000000"/>
            </w:tcBorders>
            <w:hideMark/>
          </w:tcPr>
          <w:p w14:paraId="39F3242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786C59C"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3D0E7C1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6FBC71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Adolescent Community Reinforcement Approach (ACRA)</w:t>
            </w:r>
          </w:p>
        </w:tc>
        <w:tc>
          <w:tcPr>
            <w:tcW w:w="725" w:type="dxa"/>
            <w:tcBorders>
              <w:top w:val="nil"/>
              <w:left w:val="nil"/>
              <w:bottom w:val="single" w:sz="4" w:space="0" w:color="000000"/>
              <w:right w:val="single" w:sz="4" w:space="0" w:color="000000"/>
            </w:tcBorders>
            <w:hideMark/>
          </w:tcPr>
          <w:p w14:paraId="2B6B619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13-25</w:t>
            </w:r>
          </w:p>
        </w:tc>
        <w:tc>
          <w:tcPr>
            <w:tcW w:w="1710" w:type="dxa"/>
            <w:tcBorders>
              <w:top w:val="nil"/>
              <w:left w:val="nil"/>
              <w:bottom w:val="single" w:sz="4" w:space="0" w:color="000000"/>
              <w:right w:val="single" w:sz="4" w:space="0" w:color="000000"/>
            </w:tcBorders>
            <w:hideMark/>
          </w:tcPr>
          <w:p w14:paraId="518AFB2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Adolescent Community Reinforcement Approach (A-CRA) is a developmentally-appropriate behavioral treatment for youth and young adults 13 to 25 years old with substance use disorders. The model is delivered in the community and typically involves weekly session which can include parent/caregivers.</w:t>
            </w:r>
          </w:p>
        </w:tc>
        <w:tc>
          <w:tcPr>
            <w:tcW w:w="1080" w:type="dxa"/>
            <w:tcBorders>
              <w:top w:val="nil"/>
              <w:left w:val="nil"/>
              <w:bottom w:val="single" w:sz="4" w:space="0" w:color="000000"/>
              <w:right w:val="single" w:sz="4" w:space="0" w:color="000000"/>
            </w:tcBorders>
            <w:hideMark/>
          </w:tcPr>
          <w:p w14:paraId="5BD2BEB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 - Certifies clinicians</w:t>
            </w:r>
          </w:p>
        </w:tc>
        <w:tc>
          <w:tcPr>
            <w:tcW w:w="1170" w:type="dxa"/>
            <w:tcBorders>
              <w:top w:val="nil"/>
              <w:left w:val="nil"/>
              <w:bottom w:val="single" w:sz="4" w:space="0" w:color="000000"/>
              <w:right w:val="single" w:sz="4" w:space="0" w:color="000000"/>
            </w:tcBorders>
            <w:hideMark/>
          </w:tcPr>
          <w:p w14:paraId="3EEB7C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B1CA3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BSAS pays for training.</w:t>
            </w:r>
          </w:p>
        </w:tc>
        <w:tc>
          <w:tcPr>
            <w:tcW w:w="810" w:type="dxa"/>
            <w:tcBorders>
              <w:top w:val="nil"/>
              <w:left w:val="nil"/>
              <w:bottom w:val="single" w:sz="4" w:space="0" w:color="000000"/>
              <w:right w:val="single" w:sz="4" w:space="0" w:color="000000"/>
            </w:tcBorders>
            <w:shd w:val="clear" w:color="000000" w:fill="FFFFFF"/>
            <w:hideMark/>
          </w:tcPr>
          <w:p w14:paraId="44C938A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768E2C4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4744F3E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hideMark/>
          </w:tcPr>
          <w:p w14:paraId="3B4D14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BSAS </w:t>
            </w:r>
          </w:p>
        </w:tc>
        <w:tc>
          <w:tcPr>
            <w:tcW w:w="2198" w:type="dxa"/>
            <w:tcBorders>
              <w:top w:val="nil"/>
              <w:left w:val="nil"/>
              <w:bottom w:val="single" w:sz="4" w:space="0" w:color="000000"/>
              <w:right w:val="single" w:sz="4" w:space="0" w:color="000000"/>
            </w:tcBorders>
            <w:hideMark/>
          </w:tcPr>
          <w:p w14:paraId="17190FF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6785C7E8"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4857B8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6855B2B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Recovery High Schools</w:t>
            </w:r>
          </w:p>
        </w:tc>
        <w:tc>
          <w:tcPr>
            <w:tcW w:w="725" w:type="dxa"/>
            <w:tcBorders>
              <w:top w:val="nil"/>
              <w:left w:val="nil"/>
              <w:bottom w:val="single" w:sz="4" w:space="0" w:color="000000"/>
              <w:right w:val="single" w:sz="4" w:space="0" w:color="000000"/>
            </w:tcBorders>
            <w:hideMark/>
          </w:tcPr>
          <w:p w14:paraId="3AB63B2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High school </w:t>
            </w:r>
          </w:p>
        </w:tc>
        <w:tc>
          <w:tcPr>
            <w:tcW w:w="1710" w:type="dxa"/>
            <w:tcBorders>
              <w:top w:val="nil"/>
              <w:left w:val="nil"/>
              <w:bottom w:val="single" w:sz="4" w:space="0" w:color="000000"/>
              <w:right w:val="single" w:sz="4" w:space="0" w:color="000000"/>
            </w:tcBorders>
            <w:hideMark/>
          </w:tcPr>
          <w:p w14:paraId="7C08EA4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Recovery high schools are four-year high schools for youth who are experiencing a problem with substance use. Recovery high schools were created to provide educational environments suited to support youth recovering from substance use disorders. </w:t>
            </w:r>
          </w:p>
        </w:tc>
        <w:tc>
          <w:tcPr>
            <w:tcW w:w="1080" w:type="dxa"/>
            <w:tcBorders>
              <w:top w:val="nil"/>
              <w:left w:val="nil"/>
              <w:bottom w:val="single" w:sz="4" w:space="0" w:color="000000"/>
              <w:right w:val="single" w:sz="4" w:space="0" w:color="000000"/>
            </w:tcBorders>
            <w:hideMark/>
          </w:tcPr>
          <w:p w14:paraId="7D10000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 and DESE</w:t>
            </w:r>
          </w:p>
        </w:tc>
        <w:tc>
          <w:tcPr>
            <w:tcW w:w="1170" w:type="dxa"/>
            <w:tcBorders>
              <w:top w:val="nil"/>
              <w:left w:val="nil"/>
              <w:bottom w:val="single" w:sz="4" w:space="0" w:color="000000"/>
              <w:right w:val="single" w:sz="4" w:space="0" w:color="000000"/>
            </w:tcBorders>
            <w:hideMark/>
          </w:tcPr>
          <w:p w14:paraId="69DDF7C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376F15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Jointly funded by DPH/BSAS, local school districts, and educational</w:t>
            </w:r>
            <w:r w:rsidRPr="00A42937">
              <w:rPr>
                <w:rFonts w:ascii="Calibri" w:eastAsia="Times New Roman" w:hAnsi="Calibri" w:cs="Calibri"/>
                <w:color w:val="000000"/>
                <w:kern w:val="0"/>
                <w:sz w:val="12"/>
                <w:szCs w:val="12"/>
                <w14:ligatures w14:val="none"/>
              </w:rPr>
              <w:br/>
              <w:t>collaboratives/consortiums</w:t>
            </w:r>
          </w:p>
        </w:tc>
        <w:tc>
          <w:tcPr>
            <w:tcW w:w="810" w:type="dxa"/>
            <w:tcBorders>
              <w:top w:val="nil"/>
              <w:left w:val="nil"/>
              <w:bottom w:val="single" w:sz="4" w:space="0" w:color="000000"/>
              <w:right w:val="single" w:sz="4" w:space="0" w:color="000000"/>
            </w:tcBorders>
            <w:shd w:val="clear" w:color="000000" w:fill="FFFFFF"/>
            <w:hideMark/>
          </w:tcPr>
          <w:p w14:paraId="0515A05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29B464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087E50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shd w:val="clear" w:color="000000" w:fill="FFFF00"/>
            <w:hideMark/>
          </w:tcPr>
          <w:p w14:paraId="70E3AF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2198" w:type="dxa"/>
            <w:tcBorders>
              <w:top w:val="nil"/>
              <w:left w:val="nil"/>
              <w:bottom w:val="single" w:sz="4" w:space="0" w:color="000000"/>
              <w:right w:val="single" w:sz="4" w:space="0" w:color="000000"/>
            </w:tcBorders>
            <w:hideMark/>
          </w:tcPr>
          <w:p w14:paraId="69CC8E8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57E4A4D"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125305D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shd w:val="clear" w:color="000000" w:fill="92D050"/>
            <w:hideMark/>
          </w:tcPr>
          <w:p w14:paraId="16130A6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ABA (Applied Behavior Analysis)</w:t>
            </w:r>
          </w:p>
        </w:tc>
        <w:tc>
          <w:tcPr>
            <w:tcW w:w="725" w:type="dxa"/>
            <w:tcBorders>
              <w:top w:val="nil"/>
              <w:left w:val="nil"/>
              <w:bottom w:val="single" w:sz="4" w:space="0" w:color="000000"/>
              <w:right w:val="single" w:sz="4" w:space="0" w:color="000000"/>
            </w:tcBorders>
            <w:hideMark/>
          </w:tcPr>
          <w:p w14:paraId="7382E55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0-21</w:t>
            </w:r>
          </w:p>
        </w:tc>
        <w:tc>
          <w:tcPr>
            <w:tcW w:w="1710" w:type="dxa"/>
            <w:tcBorders>
              <w:top w:val="nil"/>
              <w:left w:val="nil"/>
              <w:bottom w:val="single" w:sz="4" w:space="0" w:color="000000"/>
              <w:right w:val="single" w:sz="4" w:space="0" w:color="000000"/>
            </w:tcBorders>
            <w:hideMark/>
          </w:tcPr>
          <w:p w14:paraId="7FA4FED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ABA therapy aims to increase skills (communication, social, daily living) and decrease challenging behaviors, delivered through home-based, center-based, and school consultation models, often for those with Autism Spectrum Disorder (ASD).</w:t>
            </w:r>
          </w:p>
        </w:tc>
        <w:tc>
          <w:tcPr>
            <w:tcW w:w="1080" w:type="dxa"/>
            <w:tcBorders>
              <w:top w:val="nil"/>
              <w:left w:val="nil"/>
              <w:bottom w:val="single" w:sz="4" w:space="0" w:color="000000"/>
              <w:right w:val="single" w:sz="4" w:space="0" w:color="000000"/>
            </w:tcBorders>
            <w:shd w:val="clear" w:color="000000" w:fill="92D050"/>
            <w:hideMark/>
          </w:tcPr>
          <w:p w14:paraId="77D2506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 DOI</w:t>
            </w:r>
          </w:p>
        </w:tc>
        <w:tc>
          <w:tcPr>
            <w:tcW w:w="1170" w:type="dxa"/>
            <w:tcBorders>
              <w:top w:val="nil"/>
              <w:left w:val="nil"/>
              <w:bottom w:val="single" w:sz="4" w:space="0" w:color="000000"/>
              <w:right w:val="single" w:sz="4" w:space="0" w:color="000000"/>
            </w:tcBorders>
            <w:shd w:val="clear" w:color="000000" w:fill="92D050"/>
            <w:hideMark/>
          </w:tcPr>
          <w:p w14:paraId="5A6383D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36C4C14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DOI regulated commercial insurers also required to cover</w:t>
            </w:r>
          </w:p>
        </w:tc>
        <w:tc>
          <w:tcPr>
            <w:tcW w:w="810" w:type="dxa"/>
            <w:tcBorders>
              <w:top w:val="nil"/>
              <w:left w:val="nil"/>
              <w:bottom w:val="single" w:sz="4" w:space="0" w:color="000000"/>
              <w:right w:val="single" w:sz="4" w:space="0" w:color="000000"/>
            </w:tcBorders>
            <w:hideMark/>
          </w:tcPr>
          <w:p w14:paraId="35372D7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20D7E6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811" w:type="dxa"/>
            <w:tcBorders>
              <w:top w:val="nil"/>
              <w:left w:val="nil"/>
              <w:bottom w:val="single" w:sz="4" w:space="0" w:color="000000"/>
              <w:right w:val="single" w:sz="4" w:space="0" w:color="000000"/>
            </w:tcBorders>
            <w:hideMark/>
          </w:tcPr>
          <w:p w14:paraId="15C3E56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1743595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PCP, mental health provider referral</w:t>
            </w:r>
          </w:p>
        </w:tc>
        <w:tc>
          <w:tcPr>
            <w:tcW w:w="2198" w:type="dxa"/>
            <w:tcBorders>
              <w:top w:val="nil"/>
              <w:left w:val="nil"/>
              <w:bottom w:val="single" w:sz="4" w:space="0" w:color="000000"/>
              <w:right w:val="single" w:sz="4" w:space="0" w:color="000000"/>
            </w:tcBorders>
            <w:hideMark/>
          </w:tcPr>
          <w:p w14:paraId="0DC6FA5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10CF6B9"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78F5210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6F00ADB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Community Behavioral Health Centers (CBHCs) - Outpatient </w:t>
            </w:r>
          </w:p>
        </w:tc>
        <w:tc>
          <w:tcPr>
            <w:tcW w:w="725" w:type="dxa"/>
            <w:tcBorders>
              <w:top w:val="nil"/>
              <w:left w:val="nil"/>
              <w:bottom w:val="single" w:sz="4" w:space="0" w:color="000000"/>
              <w:right w:val="single" w:sz="4" w:space="0" w:color="000000"/>
            </w:tcBorders>
            <w:hideMark/>
          </w:tcPr>
          <w:p w14:paraId="0815D4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 Limited commerical coverage</w:t>
            </w:r>
          </w:p>
        </w:tc>
        <w:tc>
          <w:tcPr>
            <w:tcW w:w="1710" w:type="dxa"/>
            <w:tcBorders>
              <w:top w:val="nil"/>
              <w:left w:val="nil"/>
              <w:bottom w:val="single" w:sz="4" w:space="0" w:color="000000"/>
              <w:right w:val="single" w:sz="4" w:space="0" w:color="000000"/>
            </w:tcBorders>
            <w:hideMark/>
          </w:tcPr>
          <w:p w14:paraId="4897250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 wide range of mental health and substance use services and treatment, Outpatient routine care includes assessment, shorter-term goal-driven therapy, medication evaluation and management, peer supports, nursing, case managment, groups, etc.</w:t>
            </w:r>
          </w:p>
        </w:tc>
        <w:tc>
          <w:tcPr>
            <w:tcW w:w="1080" w:type="dxa"/>
            <w:tcBorders>
              <w:top w:val="nil"/>
              <w:left w:val="nil"/>
              <w:bottom w:val="single" w:sz="4" w:space="0" w:color="000000"/>
              <w:right w:val="single" w:sz="4" w:space="0" w:color="000000"/>
            </w:tcBorders>
            <w:hideMark/>
          </w:tcPr>
          <w:p w14:paraId="6975351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delivered by provider orgs</w:t>
            </w:r>
          </w:p>
        </w:tc>
        <w:tc>
          <w:tcPr>
            <w:tcW w:w="1170" w:type="dxa"/>
            <w:tcBorders>
              <w:top w:val="nil"/>
              <w:left w:val="nil"/>
              <w:bottom w:val="single" w:sz="4" w:space="0" w:color="000000"/>
              <w:right w:val="single" w:sz="4" w:space="0" w:color="000000"/>
            </w:tcBorders>
            <w:hideMark/>
          </w:tcPr>
          <w:p w14:paraId="5082BD9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42B0754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Crisis access and three outpatient visits (per year) designed to be universal; ongoing care covered by MassHealth; Commercial coverage for ongoing care depends on payer/site and can be limited. </w:t>
            </w:r>
          </w:p>
        </w:tc>
        <w:tc>
          <w:tcPr>
            <w:tcW w:w="810" w:type="dxa"/>
            <w:tcBorders>
              <w:top w:val="nil"/>
              <w:left w:val="nil"/>
              <w:bottom w:val="single" w:sz="4" w:space="0" w:color="000000"/>
              <w:right w:val="single" w:sz="4" w:space="0" w:color="000000"/>
            </w:tcBorders>
            <w:hideMark/>
          </w:tcPr>
          <w:p w14:paraId="0690888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71D1709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811" w:type="dxa"/>
            <w:tcBorders>
              <w:top w:val="nil"/>
              <w:left w:val="nil"/>
              <w:bottom w:val="single" w:sz="4" w:space="0" w:color="000000"/>
              <w:right w:val="single" w:sz="4" w:space="0" w:color="000000"/>
            </w:tcBorders>
            <w:hideMark/>
          </w:tcPr>
          <w:p w14:paraId="0AD82AE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Provide SUD treatment and care for people with co-occurring conditions. </w:t>
            </w:r>
          </w:p>
        </w:tc>
        <w:tc>
          <w:tcPr>
            <w:tcW w:w="1401" w:type="dxa"/>
            <w:tcBorders>
              <w:top w:val="nil"/>
              <w:left w:val="nil"/>
              <w:bottom w:val="single" w:sz="4" w:space="0" w:color="000000"/>
              <w:right w:val="single" w:sz="4" w:space="0" w:color="000000"/>
            </w:tcBorders>
            <w:hideMark/>
          </w:tcPr>
          <w:p w14:paraId="21F239E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or referral</w:t>
            </w:r>
          </w:p>
        </w:tc>
        <w:tc>
          <w:tcPr>
            <w:tcW w:w="2198" w:type="dxa"/>
            <w:tcBorders>
              <w:top w:val="nil"/>
              <w:left w:val="nil"/>
              <w:bottom w:val="single" w:sz="4" w:space="0" w:color="000000"/>
              <w:right w:val="single" w:sz="4" w:space="0" w:color="000000"/>
            </w:tcBorders>
            <w:hideMark/>
          </w:tcPr>
          <w:p w14:paraId="64A535C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4336C3F"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5961F27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1D9FC89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Tele-Substance Use Treatment</w:t>
            </w:r>
          </w:p>
        </w:tc>
        <w:tc>
          <w:tcPr>
            <w:tcW w:w="725" w:type="dxa"/>
            <w:tcBorders>
              <w:top w:val="nil"/>
              <w:left w:val="nil"/>
              <w:bottom w:val="single" w:sz="4" w:space="0" w:color="000000"/>
              <w:right w:val="single" w:sz="4" w:space="0" w:color="000000"/>
            </w:tcBorders>
            <w:hideMark/>
          </w:tcPr>
          <w:p w14:paraId="15DE873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Adolescents</w:t>
            </w:r>
          </w:p>
        </w:tc>
        <w:tc>
          <w:tcPr>
            <w:tcW w:w="1710" w:type="dxa"/>
            <w:tcBorders>
              <w:top w:val="nil"/>
              <w:left w:val="nil"/>
              <w:bottom w:val="single" w:sz="4" w:space="0" w:color="000000"/>
              <w:right w:val="single" w:sz="4" w:space="0" w:color="000000"/>
            </w:tcBorders>
            <w:hideMark/>
          </w:tcPr>
          <w:p w14:paraId="14F644B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 Primary Care Plus and Adolescent Substance Use &amp; Addiction Program (ASAP) at Boston Children’s Hospital offer virtual substance use care (the child does not have to be a patient of BCH).</w:t>
            </w:r>
          </w:p>
        </w:tc>
        <w:tc>
          <w:tcPr>
            <w:tcW w:w="1080" w:type="dxa"/>
            <w:tcBorders>
              <w:top w:val="nil"/>
              <w:left w:val="nil"/>
              <w:bottom w:val="single" w:sz="4" w:space="0" w:color="000000"/>
              <w:right w:val="single" w:sz="4" w:space="0" w:color="000000"/>
            </w:tcBorders>
            <w:hideMark/>
          </w:tcPr>
          <w:p w14:paraId="46B5E98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Boston Children's</w:t>
            </w:r>
          </w:p>
        </w:tc>
        <w:tc>
          <w:tcPr>
            <w:tcW w:w="1170" w:type="dxa"/>
            <w:tcBorders>
              <w:top w:val="nil"/>
              <w:left w:val="nil"/>
              <w:bottom w:val="single" w:sz="4" w:space="0" w:color="000000"/>
              <w:right w:val="single" w:sz="4" w:space="0" w:color="000000"/>
            </w:tcBorders>
            <w:hideMark/>
          </w:tcPr>
          <w:p w14:paraId="4BCBE45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803955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and most commerical insurers</w:t>
            </w:r>
          </w:p>
        </w:tc>
        <w:tc>
          <w:tcPr>
            <w:tcW w:w="810" w:type="dxa"/>
            <w:tcBorders>
              <w:top w:val="nil"/>
              <w:left w:val="nil"/>
              <w:bottom w:val="single" w:sz="4" w:space="0" w:color="000000"/>
              <w:right w:val="single" w:sz="4" w:space="0" w:color="000000"/>
            </w:tcBorders>
            <w:hideMark/>
          </w:tcPr>
          <w:p w14:paraId="6C857CE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58168B2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3E454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Yes </w:t>
            </w:r>
          </w:p>
        </w:tc>
        <w:tc>
          <w:tcPr>
            <w:tcW w:w="1401" w:type="dxa"/>
            <w:tcBorders>
              <w:top w:val="nil"/>
              <w:left w:val="nil"/>
              <w:bottom w:val="single" w:sz="4" w:space="0" w:color="000000"/>
              <w:right w:val="single" w:sz="4" w:space="0" w:color="000000"/>
            </w:tcBorders>
            <w:hideMark/>
          </w:tcPr>
          <w:p w14:paraId="1992E7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PCP, behavioral health provider referral</w:t>
            </w:r>
          </w:p>
        </w:tc>
        <w:tc>
          <w:tcPr>
            <w:tcW w:w="2198" w:type="dxa"/>
            <w:tcBorders>
              <w:top w:val="nil"/>
              <w:left w:val="nil"/>
              <w:bottom w:val="single" w:sz="4" w:space="0" w:color="000000"/>
              <w:right w:val="single" w:sz="4" w:space="0" w:color="000000"/>
            </w:tcBorders>
            <w:hideMark/>
          </w:tcPr>
          <w:p w14:paraId="33CC6B0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7B0DF27D"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03CC924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5A140B5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Outpatient routine mental health (state-defined categories used in coverage definitions)</w:t>
            </w:r>
          </w:p>
        </w:tc>
        <w:tc>
          <w:tcPr>
            <w:tcW w:w="725" w:type="dxa"/>
            <w:tcBorders>
              <w:top w:val="nil"/>
              <w:left w:val="nil"/>
              <w:bottom w:val="single" w:sz="4" w:space="0" w:color="000000"/>
              <w:right w:val="single" w:sz="4" w:space="0" w:color="000000"/>
            </w:tcBorders>
            <w:hideMark/>
          </w:tcPr>
          <w:p w14:paraId="4E035A1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 coverage varies</w:t>
            </w:r>
          </w:p>
        </w:tc>
        <w:tc>
          <w:tcPr>
            <w:tcW w:w="1710" w:type="dxa"/>
            <w:tcBorders>
              <w:top w:val="nil"/>
              <w:left w:val="nil"/>
              <w:bottom w:val="single" w:sz="4" w:space="0" w:color="000000"/>
              <w:right w:val="single" w:sz="4" w:space="0" w:color="000000"/>
            </w:tcBorders>
            <w:hideMark/>
          </w:tcPr>
          <w:p w14:paraId="71A36C7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Therapy (individual, group, and family/couples)/med management in ambulatory settings</w:t>
            </w:r>
          </w:p>
        </w:tc>
        <w:tc>
          <w:tcPr>
            <w:tcW w:w="1080" w:type="dxa"/>
            <w:tcBorders>
              <w:top w:val="nil"/>
              <w:left w:val="nil"/>
              <w:bottom w:val="single" w:sz="4" w:space="0" w:color="000000"/>
              <w:right w:val="single" w:sz="4" w:space="0" w:color="000000"/>
            </w:tcBorders>
            <w:hideMark/>
          </w:tcPr>
          <w:p w14:paraId="2584B16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Clinics licensed by DPH; Practitioners have own licensing bodies</w:t>
            </w:r>
          </w:p>
        </w:tc>
        <w:tc>
          <w:tcPr>
            <w:tcW w:w="1170" w:type="dxa"/>
            <w:tcBorders>
              <w:top w:val="nil"/>
              <w:left w:val="nil"/>
              <w:bottom w:val="single" w:sz="4" w:space="0" w:color="000000"/>
              <w:right w:val="single" w:sz="4" w:space="0" w:color="000000"/>
            </w:tcBorders>
            <w:hideMark/>
          </w:tcPr>
          <w:p w14:paraId="6E9586D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7963C81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MassHealth/commercial/self-pay; Lots of variation across payors</w:t>
            </w:r>
          </w:p>
        </w:tc>
        <w:tc>
          <w:tcPr>
            <w:tcW w:w="810" w:type="dxa"/>
            <w:tcBorders>
              <w:top w:val="nil"/>
              <w:left w:val="nil"/>
              <w:bottom w:val="single" w:sz="4" w:space="0" w:color="000000"/>
              <w:right w:val="single" w:sz="4" w:space="0" w:color="000000"/>
            </w:tcBorders>
            <w:hideMark/>
          </w:tcPr>
          <w:p w14:paraId="03FF10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Varies</w:t>
            </w:r>
          </w:p>
        </w:tc>
        <w:tc>
          <w:tcPr>
            <w:tcW w:w="720" w:type="dxa"/>
            <w:tcBorders>
              <w:top w:val="nil"/>
              <w:left w:val="nil"/>
              <w:bottom w:val="single" w:sz="4" w:space="0" w:color="000000"/>
              <w:right w:val="single" w:sz="4" w:space="0" w:color="000000"/>
            </w:tcBorders>
            <w:hideMark/>
          </w:tcPr>
          <w:p w14:paraId="6B30FC8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15545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F69530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PCP referral</w:t>
            </w:r>
          </w:p>
        </w:tc>
        <w:tc>
          <w:tcPr>
            <w:tcW w:w="2198" w:type="dxa"/>
            <w:tcBorders>
              <w:top w:val="nil"/>
              <w:left w:val="nil"/>
              <w:bottom w:val="single" w:sz="4" w:space="0" w:color="000000"/>
              <w:right w:val="single" w:sz="4" w:space="0" w:color="000000"/>
            </w:tcBorders>
            <w:hideMark/>
          </w:tcPr>
          <w:p w14:paraId="16A2B53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601479CD"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611C8F8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1FBA4FD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Outpatient routine substance use (state-defined categories used in coverage definitions)</w:t>
            </w:r>
          </w:p>
        </w:tc>
        <w:tc>
          <w:tcPr>
            <w:tcW w:w="725" w:type="dxa"/>
            <w:tcBorders>
              <w:top w:val="nil"/>
              <w:left w:val="nil"/>
              <w:bottom w:val="single" w:sz="4" w:space="0" w:color="000000"/>
              <w:right w:val="single" w:sz="4" w:space="0" w:color="000000"/>
            </w:tcBorders>
            <w:hideMark/>
          </w:tcPr>
          <w:p w14:paraId="4996786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 coverage varies</w:t>
            </w:r>
          </w:p>
        </w:tc>
        <w:tc>
          <w:tcPr>
            <w:tcW w:w="1710" w:type="dxa"/>
            <w:tcBorders>
              <w:top w:val="nil"/>
              <w:left w:val="nil"/>
              <w:bottom w:val="single" w:sz="4" w:space="0" w:color="000000"/>
              <w:right w:val="single" w:sz="4" w:space="0" w:color="000000"/>
            </w:tcBorders>
            <w:hideMark/>
          </w:tcPr>
          <w:p w14:paraId="2C95B3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Therapy (individual, group, and family/couples)/med management in ambulatory settings</w:t>
            </w:r>
          </w:p>
        </w:tc>
        <w:tc>
          <w:tcPr>
            <w:tcW w:w="1080" w:type="dxa"/>
            <w:tcBorders>
              <w:top w:val="nil"/>
              <w:left w:val="nil"/>
              <w:bottom w:val="single" w:sz="4" w:space="0" w:color="000000"/>
              <w:right w:val="single" w:sz="4" w:space="0" w:color="000000"/>
            </w:tcBorders>
            <w:hideMark/>
          </w:tcPr>
          <w:p w14:paraId="0621810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Clinics licensed by DPH; Practitioners have own licensing bodies</w:t>
            </w:r>
          </w:p>
        </w:tc>
        <w:tc>
          <w:tcPr>
            <w:tcW w:w="1170" w:type="dxa"/>
            <w:tcBorders>
              <w:top w:val="nil"/>
              <w:left w:val="nil"/>
              <w:bottom w:val="single" w:sz="4" w:space="0" w:color="000000"/>
              <w:right w:val="single" w:sz="4" w:space="0" w:color="000000"/>
            </w:tcBorders>
            <w:hideMark/>
          </w:tcPr>
          <w:p w14:paraId="4E5F79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3FD657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MassHealth/commercial/self-pay; Lots of variation across payors</w:t>
            </w:r>
          </w:p>
        </w:tc>
        <w:tc>
          <w:tcPr>
            <w:tcW w:w="810" w:type="dxa"/>
            <w:tcBorders>
              <w:top w:val="nil"/>
              <w:left w:val="nil"/>
              <w:bottom w:val="single" w:sz="4" w:space="0" w:color="000000"/>
              <w:right w:val="single" w:sz="4" w:space="0" w:color="000000"/>
            </w:tcBorders>
            <w:hideMark/>
          </w:tcPr>
          <w:p w14:paraId="1CD4F1F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Varies</w:t>
            </w:r>
          </w:p>
        </w:tc>
        <w:tc>
          <w:tcPr>
            <w:tcW w:w="720" w:type="dxa"/>
            <w:tcBorders>
              <w:top w:val="nil"/>
              <w:left w:val="nil"/>
              <w:bottom w:val="single" w:sz="4" w:space="0" w:color="000000"/>
              <w:right w:val="single" w:sz="4" w:space="0" w:color="000000"/>
            </w:tcBorders>
            <w:hideMark/>
          </w:tcPr>
          <w:p w14:paraId="305395C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1A6CA1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hideMark/>
          </w:tcPr>
          <w:p w14:paraId="46A3AE6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PCP referral</w:t>
            </w:r>
          </w:p>
        </w:tc>
        <w:tc>
          <w:tcPr>
            <w:tcW w:w="2198" w:type="dxa"/>
            <w:tcBorders>
              <w:top w:val="nil"/>
              <w:left w:val="nil"/>
              <w:bottom w:val="single" w:sz="4" w:space="0" w:color="000000"/>
              <w:right w:val="single" w:sz="4" w:space="0" w:color="000000"/>
            </w:tcBorders>
            <w:hideMark/>
          </w:tcPr>
          <w:p w14:paraId="1067257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9925B1A"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DD7EE"/>
            <w:hideMark/>
          </w:tcPr>
          <w:p w14:paraId="0C91A33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Tx/Support</w:t>
            </w:r>
          </w:p>
        </w:tc>
        <w:tc>
          <w:tcPr>
            <w:tcW w:w="1260" w:type="dxa"/>
            <w:tcBorders>
              <w:top w:val="nil"/>
              <w:left w:val="nil"/>
              <w:bottom w:val="single" w:sz="4" w:space="0" w:color="000000"/>
              <w:right w:val="single" w:sz="4" w:space="0" w:color="000000"/>
            </w:tcBorders>
            <w:hideMark/>
          </w:tcPr>
          <w:p w14:paraId="4A2E29A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Medication for Opioid Use Disorders (MOUD) for Youth</w:t>
            </w:r>
          </w:p>
        </w:tc>
        <w:tc>
          <w:tcPr>
            <w:tcW w:w="725" w:type="dxa"/>
            <w:tcBorders>
              <w:top w:val="nil"/>
              <w:left w:val="nil"/>
              <w:bottom w:val="single" w:sz="4" w:space="0" w:color="000000"/>
              <w:right w:val="single" w:sz="4" w:space="0" w:color="000000"/>
            </w:tcBorders>
            <w:hideMark/>
          </w:tcPr>
          <w:p w14:paraId="67FFBA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Youth with OUD</w:t>
            </w:r>
          </w:p>
        </w:tc>
        <w:tc>
          <w:tcPr>
            <w:tcW w:w="1710" w:type="dxa"/>
            <w:tcBorders>
              <w:top w:val="nil"/>
              <w:left w:val="nil"/>
              <w:bottom w:val="single" w:sz="4" w:space="0" w:color="000000"/>
              <w:right w:val="single" w:sz="4" w:space="0" w:color="000000"/>
            </w:tcBorders>
            <w:hideMark/>
          </w:tcPr>
          <w:p w14:paraId="588FEB9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SAMHSA defines Medication-Assisted Treatment (MAT) as the use of medications in combination with counseling and behavioral therapies for the treatment of substance use disorders. </w:t>
            </w:r>
          </w:p>
        </w:tc>
        <w:tc>
          <w:tcPr>
            <w:tcW w:w="1080" w:type="dxa"/>
            <w:tcBorders>
              <w:top w:val="nil"/>
              <w:left w:val="nil"/>
              <w:bottom w:val="single" w:sz="4" w:space="0" w:color="000000"/>
              <w:right w:val="single" w:sz="4" w:space="0" w:color="000000"/>
            </w:tcBorders>
            <w:hideMark/>
          </w:tcPr>
          <w:p w14:paraId="244DEC4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Clinics licensed by DPH; Practitioners have own licensing bodies</w:t>
            </w:r>
          </w:p>
        </w:tc>
        <w:tc>
          <w:tcPr>
            <w:tcW w:w="1170" w:type="dxa"/>
            <w:tcBorders>
              <w:top w:val="nil"/>
              <w:left w:val="nil"/>
              <w:bottom w:val="single" w:sz="4" w:space="0" w:color="000000"/>
              <w:right w:val="single" w:sz="4" w:space="0" w:color="000000"/>
            </w:tcBorders>
            <w:hideMark/>
          </w:tcPr>
          <w:p w14:paraId="5C6E334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0AB178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MassHealth/commercial/self-pay; Lots of variation across payors</w:t>
            </w:r>
          </w:p>
        </w:tc>
        <w:tc>
          <w:tcPr>
            <w:tcW w:w="810" w:type="dxa"/>
            <w:tcBorders>
              <w:top w:val="nil"/>
              <w:left w:val="nil"/>
              <w:bottom w:val="single" w:sz="4" w:space="0" w:color="000000"/>
              <w:right w:val="single" w:sz="4" w:space="0" w:color="000000"/>
            </w:tcBorders>
            <w:hideMark/>
          </w:tcPr>
          <w:p w14:paraId="55693E5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418A4A8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715A079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1401" w:type="dxa"/>
            <w:tcBorders>
              <w:top w:val="nil"/>
              <w:left w:val="nil"/>
              <w:bottom w:val="single" w:sz="4" w:space="0" w:color="000000"/>
              <w:right w:val="single" w:sz="4" w:space="0" w:color="000000"/>
            </w:tcBorders>
            <w:hideMark/>
          </w:tcPr>
          <w:p w14:paraId="25E210F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Self, PCP, behavioral health provider referral</w:t>
            </w:r>
          </w:p>
        </w:tc>
        <w:tc>
          <w:tcPr>
            <w:tcW w:w="2198" w:type="dxa"/>
            <w:tcBorders>
              <w:top w:val="nil"/>
              <w:left w:val="nil"/>
              <w:bottom w:val="single" w:sz="4" w:space="0" w:color="000000"/>
              <w:right w:val="single" w:sz="4" w:space="0" w:color="000000"/>
            </w:tcBorders>
            <w:hideMark/>
          </w:tcPr>
          <w:p w14:paraId="6CB07C0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7ECAEE0F"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E7CEF0"/>
            <w:hideMark/>
          </w:tcPr>
          <w:p w14:paraId="0EBDD06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 Mgmt and Coor</w:t>
            </w:r>
          </w:p>
        </w:tc>
        <w:tc>
          <w:tcPr>
            <w:tcW w:w="1260" w:type="dxa"/>
            <w:tcBorders>
              <w:top w:val="nil"/>
              <w:left w:val="nil"/>
              <w:bottom w:val="single" w:sz="4" w:space="0" w:color="000000"/>
              <w:right w:val="single" w:sz="4" w:space="0" w:color="000000"/>
            </w:tcBorders>
            <w:hideMark/>
          </w:tcPr>
          <w:p w14:paraId="22F0149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Family Support Navigation</w:t>
            </w:r>
          </w:p>
        </w:tc>
        <w:tc>
          <w:tcPr>
            <w:tcW w:w="725" w:type="dxa"/>
            <w:tcBorders>
              <w:top w:val="nil"/>
              <w:left w:val="nil"/>
              <w:bottom w:val="single" w:sz="4" w:space="0" w:color="000000"/>
              <w:right w:val="single" w:sz="4" w:space="0" w:color="000000"/>
            </w:tcBorders>
            <w:hideMark/>
          </w:tcPr>
          <w:p w14:paraId="6F51FE2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DDS services</w:t>
            </w:r>
          </w:p>
        </w:tc>
        <w:tc>
          <w:tcPr>
            <w:tcW w:w="1710" w:type="dxa"/>
            <w:tcBorders>
              <w:top w:val="nil"/>
              <w:left w:val="nil"/>
              <w:bottom w:val="single" w:sz="4" w:space="0" w:color="000000"/>
              <w:right w:val="single" w:sz="4" w:space="0" w:color="000000"/>
            </w:tcBorders>
            <w:shd w:val="clear" w:color="000000" w:fill="FFFF00"/>
            <w:hideMark/>
          </w:tcPr>
          <w:p w14:paraId="378F10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[Need to get description from DDS]</w:t>
            </w:r>
          </w:p>
        </w:tc>
        <w:tc>
          <w:tcPr>
            <w:tcW w:w="1080" w:type="dxa"/>
            <w:tcBorders>
              <w:top w:val="nil"/>
              <w:left w:val="nil"/>
              <w:bottom w:val="single" w:sz="4" w:space="0" w:color="000000"/>
              <w:right w:val="single" w:sz="4" w:space="0" w:color="000000"/>
            </w:tcBorders>
            <w:hideMark/>
          </w:tcPr>
          <w:p w14:paraId="0680A5A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1170" w:type="dxa"/>
            <w:tcBorders>
              <w:top w:val="nil"/>
              <w:left w:val="nil"/>
              <w:bottom w:val="single" w:sz="4" w:space="0" w:color="000000"/>
              <w:right w:val="single" w:sz="4" w:space="0" w:color="000000"/>
            </w:tcBorders>
            <w:hideMark/>
          </w:tcPr>
          <w:p w14:paraId="105EDBF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222981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2D618A3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12013AA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434C3A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0741ED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2198" w:type="dxa"/>
            <w:tcBorders>
              <w:top w:val="nil"/>
              <w:left w:val="nil"/>
              <w:bottom w:val="single" w:sz="4" w:space="0" w:color="000000"/>
              <w:right w:val="single" w:sz="4" w:space="0" w:color="000000"/>
            </w:tcBorders>
            <w:hideMark/>
          </w:tcPr>
          <w:p w14:paraId="075263C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78462086"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E7CEF0"/>
            <w:hideMark/>
          </w:tcPr>
          <w:p w14:paraId="4A1B9FB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 Mgmt and Coor</w:t>
            </w:r>
          </w:p>
        </w:tc>
        <w:tc>
          <w:tcPr>
            <w:tcW w:w="1260" w:type="dxa"/>
            <w:tcBorders>
              <w:top w:val="nil"/>
              <w:left w:val="nil"/>
              <w:bottom w:val="single" w:sz="4" w:space="0" w:color="000000"/>
              <w:right w:val="single" w:sz="4" w:space="0" w:color="000000"/>
            </w:tcBorders>
            <w:hideMark/>
          </w:tcPr>
          <w:p w14:paraId="20CA5F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Children's Services Coordinators</w:t>
            </w:r>
          </w:p>
        </w:tc>
        <w:tc>
          <w:tcPr>
            <w:tcW w:w="725" w:type="dxa"/>
            <w:tcBorders>
              <w:top w:val="nil"/>
              <w:left w:val="nil"/>
              <w:bottom w:val="single" w:sz="4" w:space="0" w:color="000000"/>
              <w:right w:val="single" w:sz="4" w:space="0" w:color="000000"/>
            </w:tcBorders>
            <w:hideMark/>
          </w:tcPr>
          <w:p w14:paraId="0EBA05C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DDS services</w:t>
            </w:r>
          </w:p>
        </w:tc>
        <w:tc>
          <w:tcPr>
            <w:tcW w:w="1710" w:type="dxa"/>
            <w:tcBorders>
              <w:top w:val="nil"/>
              <w:left w:val="nil"/>
              <w:bottom w:val="single" w:sz="4" w:space="0" w:color="000000"/>
              <w:right w:val="single" w:sz="4" w:space="0" w:color="000000"/>
            </w:tcBorders>
            <w:shd w:val="clear" w:color="000000" w:fill="FFFF00"/>
            <w:hideMark/>
          </w:tcPr>
          <w:p w14:paraId="117C483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[Need to get description from DDS]</w:t>
            </w:r>
          </w:p>
        </w:tc>
        <w:tc>
          <w:tcPr>
            <w:tcW w:w="1080" w:type="dxa"/>
            <w:tcBorders>
              <w:top w:val="nil"/>
              <w:left w:val="nil"/>
              <w:bottom w:val="single" w:sz="4" w:space="0" w:color="000000"/>
              <w:right w:val="single" w:sz="4" w:space="0" w:color="000000"/>
            </w:tcBorders>
            <w:hideMark/>
          </w:tcPr>
          <w:p w14:paraId="67EBEE5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1170" w:type="dxa"/>
            <w:tcBorders>
              <w:top w:val="nil"/>
              <w:left w:val="nil"/>
              <w:bottom w:val="single" w:sz="4" w:space="0" w:color="000000"/>
              <w:right w:val="single" w:sz="4" w:space="0" w:color="000000"/>
            </w:tcBorders>
            <w:hideMark/>
          </w:tcPr>
          <w:p w14:paraId="6122DFC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11EF0E1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1AFD32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7E9841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3216F3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35890B8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2198" w:type="dxa"/>
            <w:tcBorders>
              <w:top w:val="nil"/>
              <w:left w:val="nil"/>
              <w:bottom w:val="single" w:sz="4" w:space="0" w:color="000000"/>
              <w:right w:val="single" w:sz="4" w:space="0" w:color="000000"/>
            </w:tcBorders>
            <w:hideMark/>
          </w:tcPr>
          <w:p w14:paraId="658D496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306DCE0"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E7CEF0"/>
            <w:hideMark/>
          </w:tcPr>
          <w:p w14:paraId="355ABDA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 Mgmt and Coor</w:t>
            </w:r>
          </w:p>
        </w:tc>
        <w:tc>
          <w:tcPr>
            <w:tcW w:w="1260" w:type="dxa"/>
            <w:tcBorders>
              <w:top w:val="nil"/>
              <w:left w:val="nil"/>
              <w:bottom w:val="single" w:sz="4" w:space="0" w:color="000000"/>
              <w:right w:val="single" w:sz="4" w:space="0" w:color="000000"/>
            </w:tcBorders>
            <w:hideMark/>
          </w:tcPr>
          <w:p w14:paraId="752A64A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Case Management</w:t>
            </w:r>
          </w:p>
        </w:tc>
        <w:tc>
          <w:tcPr>
            <w:tcW w:w="725" w:type="dxa"/>
            <w:tcBorders>
              <w:top w:val="nil"/>
              <w:left w:val="nil"/>
              <w:bottom w:val="single" w:sz="4" w:space="0" w:color="000000"/>
              <w:right w:val="single" w:sz="4" w:space="0" w:color="000000"/>
            </w:tcBorders>
            <w:hideMark/>
          </w:tcPr>
          <w:p w14:paraId="7663D18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DMH services</w:t>
            </w:r>
          </w:p>
        </w:tc>
        <w:tc>
          <w:tcPr>
            <w:tcW w:w="1710" w:type="dxa"/>
            <w:tcBorders>
              <w:top w:val="nil"/>
              <w:left w:val="nil"/>
              <w:bottom w:val="single" w:sz="4" w:space="0" w:color="000000"/>
              <w:right w:val="single" w:sz="4" w:space="0" w:color="000000"/>
            </w:tcBorders>
            <w:hideMark/>
          </w:tcPr>
          <w:p w14:paraId="6E69FBE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Comprehensive mental health and family assessment as well as individual service planning, coordination of DMH funded services, and linkage to other community supports.</w:t>
            </w:r>
          </w:p>
        </w:tc>
        <w:tc>
          <w:tcPr>
            <w:tcW w:w="1080" w:type="dxa"/>
            <w:tcBorders>
              <w:top w:val="nil"/>
              <w:left w:val="nil"/>
              <w:bottom w:val="single" w:sz="4" w:space="0" w:color="000000"/>
              <w:right w:val="single" w:sz="4" w:space="0" w:color="000000"/>
            </w:tcBorders>
            <w:hideMark/>
          </w:tcPr>
          <w:p w14:paraId="72F1173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1170" w:type="dxa"/>
            <w:tcBorders>
              <w:top w:val="nil"/>
              <w:left w:val="nil"/>
              <w:bottom w:val="single" w:sz="4" w:space="0" w:color="000000"/>
              <w:right w:val="single" w:sz="4" w:space="0" w:color="000000"/>
            </w:tcBorders>
            <w:hideMark/>
          </w:tcPr>
          <w:p w14:paraId="2613AA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5B6E0E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and MassHealth</w:t>
            </w:r>
          </w:p>
        </w:tc>
        <w:tc>
          <w:tcPr>
            <w:tcW w:w="810" w:type="dxa"/>
            <w:tcBorders>
              <w:top w:val="nil"/>
              <w:left w:val="nil"/>
              <w:bottom w:val="single" w:sz="4" w:space="0" w:color="000000"/>
              <w:right w:val="single" w:sz="4" w:space="0" w:color="000000"/>
            </w:tcBorders>
            <w:hideMark/>
          </w:tcPr>
          <w:p w14:paraId="283412A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70BC542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03F6357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176CE3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w:t>
            </w:r>
          </w:p>
        </w:tc>
        <w:tc>
          <w:tcPr>
            <w:tcW w:w="2198" w:type="dxa"/>
            <w:tcBorders>
              <w:top w:val="nil"/>
              <w:left w:val="nil"/>
              <w:bottom w:val="single" w:sz="4" w:space="0" w:color="000000"/>
              <w:right w:val="single" w:sz="4" w:space="0" w:color="000000"/>
            </w:tcBorders>
            <w:hideMark/>
          </w:tcPr>
          <w:p w14:paraId="476183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064928D"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E7CEF0"/>
            <w:hideMark/>
          </w:tcPr>
          <w:p w14:paraId="3954253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 Mgmt and Coor</w:t>
            </w:r>
          </w:p>
        </w:tc>
        <w:tc>
          <w:tcPr>
            <w:tcW w:w="1260" w:type="dxa"/>
            <w:tcBorders>
              <w:top w:val="nil"/>
              <w:left w:val="nil"/>
              <w:bottom w:val="single" w:sz="4" w:space="0" w:color="000000"/>
              <w:right w:val="single" w:sz="4" w:space="0" w:color="000000"/>
            </w:tcBorders>
            <w:hideMark/>
          </w:tcPr>
          <w:p w14:paraId="6C2560EA" w14:textId="77777777" w:rsidR="00A42937" w:rsidRPr="00A42937" w:rsidRDefault="00A42937" w:rsidP="00A42937">
            <w:pPr>
              <w:spacing w:after="0" w:line="240" w:lineRule="auto"/>
              <w:rPr>
                <w:rFonts w:ascii="Aptos Narrow" w:eastAsia="Times New Roman" w:hAnsi="Aptos Narrow" w:cs="Calibri"/>
                <w:color w:val="242424"/>
                <w:kern w:val="0"/>
                <w:sz w:val="12"/>
                <w:szCs w:val="12"/>
                <w14:ligatures w14:val="none"/>
              </w:rPr>
            </w:pPr>
            <w:r w:rsidRPr="00A42937">
              <w:rPr>
                <w:rFonts w:ascii="Aptos Narrow" w:eastAsia="Times New Roman" w:hAnsi="Aptos Narrow" w:cs="Calibri"/>
                <w:color w:val="242424"/>
                <w:kern w:val="0"/>
                <w:sz w:val="12"/>
                <w:szCs w:val="12"/>
                <w14:ligatures w14:val="none"/>
              </w:rPr>
              <w:t>Care Coordination for Children &amp; Youth with Special Health Care Needs</w:t>
            </w:r>
          </w:p>
        </w:tc>
        <w:tc>
          <w:tcPr>
            <w:tcW w:w="725" w:type="dxa"/>
            <w:tcBorders>
              <w:top w:val="nil"/>
              <w:left w:val="nil"/>
              <w:bottom w:val="single" w:sz="4" w:space="0" w:color="000000"/>
              <w:right w:val="single" w:sz="4" w:space="0" w:color="000000"/>
            </w:tcBorders>
            <w:hideMark/>
          </w:tcPr>
          <w:p w14:paraId="7103D3F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Families with youth with special needs</w:t>
            </w:r>
          </w:p>
        </w:tc>
        <w:tc>
          <w:tcPr>
            <w:tcW w:w="1710" w:type="dxa"/>
            <w:tcBorders>
              <w:top w:val="nil"/>
              <w:left w:val="nil"/>
              <w:bottom w:val="single" w:sz="4" w:space="0" w:color="000000"/>
              <w:right w:val="single" w:sz="4" w:space="0" w:color="000000"/>
            </w:tcBorders>
            <w:hideMark/>
          </w:tcPr>
          <w:p w14:paraId="3AE868C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 coordinators help families obtain services, providing links to community-based resources and providing consultation to parents, educators, and medical and social service providers. Care coordinators partner with families and providers and promote continuity of care.</w:t>
            </w:r>
          </w:p>
        </w:tc>
        <w:tc>
          <w:tcPr>
            <w:tcW w:w="1080" w:type="dxa"/>
            <w:tcBorders>
              <w:top w:val="nil"/>
              <w:left w:val="nil"/>
              <w:bottom w:val="single" w:sz="4" w:space="0" w:color="000000"/>
              <w:right w:val="single" w:sz="4" w:space="0" w:color="000000"/>
            </w:tcBorders>
            <w:hideMark/>
          </w:tcPr>
          <w:p w14:paraId="01095CD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w:t>
            </w:r>
          </w:p>
        </w:tc>
        <w:tc>
          <w:tcPr>
            <w:tcW w:w="1170" w:type="dxa"/>
            <w:tcBorders>
              <w:top w:val="nil"/>
              <w:left w:val="nil"/>
              <w:bottom w:val="single" w:sz="4" w:space="0" w:color="000000"/>
              <w:right w:val="single" w:sz="4" w:space="0" w:color="000000"/>
            </w:tcBorders>
            <w:hideMark/>
          </w:tcPr>
          <w:p w14:paraId="5F3C3C5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24E395F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49FD318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1161A0C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69617D2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shd w:val="clear" w:color="000000" w:fill="FFFF00"/>
            <w:hideMark/>
          </w:tcPr>
          <w:p w14:paraId="5C0B4E5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2198" w:type="dxa"/>
            <w:tcBorders>
              <w:top w:val="nil"/>
              <w:left w:val="nil"/>
              <w:bottom w:val="single" w:sz="4" w:space="0" w:color="000000"/>
              <w:right w:val="single" w:sz="4" w:space="0" w:color="000000"/>
            </w:tcBorders>
            <w:hideMark/>
          </w:tcPr>
          <w:p w14:paraId="38C8F4D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6A8BF11" w14:textId="77777777" w:rsidTr="00DD751F">
        <w:trPr>
          <w:trHeight w:val="900"/>
        </w:trPr>
        <w:tc>
          <w:tcPr>
            <w:tcW w:w="1165" w:type="dxa"/>
            <w:tcBorders>
              <w:top w:val="nil"/>
              <w:left w:val="single" w:sz="4" w:space="0" w:color="000000"/>
              <w:bottom w:val="single" w:sz="4" w:space="0" w:color="000000"/>
              <w:right w:val="single" w:sz="4" w:space="0" w:color="000000"/>
            </w:tcBorders>
            <w:shd w:val="clear" w:color="000000" w:fill="E7CEF0"/>
            <w:hideMark/>
          </w:tcPr>
          <w:p w14:paraId="7D56ED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Care Mgmt and Coor</w:t>
            </w:r>
          </w:p>
        </w:tc>
        <w:tc>
          <w:tcPr>
            <w:tcW w:w="1260" w:type="dxa"/>
            <w:tcBorders>
              <w:top w:val="nil"/>
              <w:left w:val="nil"/>
              <w:bottom w:val="single" w:sz="4" w:space="0" w:color="000000"/>
              <w:right w:val="single" w:sz="4" w:space="0" w:color="000000"/>
            </w:tcBorders>
            <w:hideMark/>
          </w:tcPr>
          <w:p w14:paraId="0AE3711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Intensive Case Management</w:t>
            </w:r>
          </w:p>
        </w:tc>
        <w:tc>
          <w:tcPr>
            <w:tcW w:w="725" w:type="dxa"/>
            <w:tcBorders>
              <w:top w:val="nil"/>
              <w:left w:val="nil"/>
              <w:bottom w:val="single" w:sz="4" w:space="0" w:color="000000"/>
              <w:right w:val="single" w:sz="4" w:space="0" w:color="000000"/>
            </w:tcBorders>
            <w:hideMark/>
          </w:tcPr>
          <w:p w14:paraId="527674C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Parents of youth ages 8-17</w:t>
            </w:r>
          </w:p>
        </w:tc>
        <w:tc>
          <w:tcPr>
            <w:tcW w:w="1710" w:type="dxa"/>
            <w:tcBorders>
              <w:top w:val="nil"/>
              <w:left w:val="nil"/>
              <w:bottom w:val="single" w:sz="4" w:space="0" w:color="000000"/>
              <w:right w:val="single" w:sz="4" w:space="0" w:color="000000"/>
            </w:tcBorders>
            <w:hideMark/>
          </w:tcPr>
          <w:p w14:paraId="256A753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School-based 6-24 month intervention. Students are identified and referred by school staff for poor school attachment or academic performance, conduct problems, and family history of substance use.</w:t>
            </w:r>
          </w:p>
        </w:tc>
        <w:tc>
          <w:tcPr>
            <w:tcW w:w="1080" w:type="dxa"/>
            <w:tcBorders>
              <w:top w:val="nil"/>
              <w:left w:val="nil"/>
              <w:bottom w:val="single" w:sz="4" w:space="0" w:color="000000"/>
              <w:right w:val="single" w:sz="4" w:space="0" w:color="000000"/>
            </w:tcBorders>
            <w:hideMark/>
          </w:tcPr>
          <w:p w14:paraId="0020B6E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DPH/BSAS</w:t>
            </w:r>
          </w:p>
        </w:tc>
        <w:tc>
          <w:tcPr>
            <w:tcW w:w="1170" w:type="dxa"/>
            <w:tcBorders>
              <w:top w:val="nil"/>
              <w:left w:val="nil"/>
              <w:bottom w:val="single" w:sz="4" w:space="0" w:color="000000"/>
              <w:right w:val="single" w:sz="4" w:space="0" w:color="000000"/>
            </w:tcBorders>
            <w:hideMark/>
          </w:tcPr>
          <w:p w14:paraId="0215543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074BD65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shd w:val="clear" w:color="000000" w:fill="FFFFFF"/>
            <w:hideMark/>
          </w:tcPr>
          <w:p w14:paraId="03697C3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00D00B2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484901A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Yes </w:t>
            </w:r>
          </w:p>
        </w:tc>
        <w:tc>
          <w:tcPr>
            <w:tcW w:w="1401" w:type="dxa"/>
            <w:tcBorders>
              <w:top w:val="nil"/>
              <w:left w:val="nil"/>
              <w:bottom w:val="single" w:sz="4" w:space="0" w:color="000000"/>
              <w:right w:val="single" w:sz="4" w:space="0" w:color="000000"/>
            </w:tcBorders>
            <w:hideMark/>
          </w:tcPr>
          <w:p w14:paraId="33D1D02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Not in all schools.</w:t>
            </w:r>
          </w:p>
        </w:tc>
        <w:tc>
          <w:tcPr>
            <w:tcW w:w="2198" w:type="dxa"/>
            <w:tcBorders>
              <w:top w:val="nil"/>
              <w:left w:val="nil"/>
              <w:bottom w:val="single" w:sz="4" w:space="0" w:color="000000"/>
              <w:right w:val="single" w:sz="4" w:space="0" w:color="000000"/>
            </w:tcBorders>
            <w:hideMark/>
          </w:tcPr>
          <w:p w14:paraId="132C543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A25A602"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AB8267"/>
            <w:hideMark/>
          </w:tcPr>
          <w:p w14:paraId="32B6C24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Identification/Intervention</w:t>
            </w:r>
          </w:p>
        </w:tc>
        <w:tc>
          <w:tcPr>
            <w:tcW w:w="1260" w:type="dxa"/>
            <w:tcBorders>
              <w:top w:val="nil"/>
              <w:left w:val="nil"/>
              <w:bottom w:val="single" w:sz="4" w:space="0" w:color="000000"/>
              <w:right w:val="single" w:sz="4" w:space="0" w:color="000000"/>
            </w:tcBorders>
            <w:hideMark/>
          </w:tcPr>
          <w:p w14:paraId="2847BBC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Intervention</w:t>
            </w:r>
          </w:p>
        </w:tc>
        <w:tc>
          <w:tcPr>
            <w:tcW w:w="725" w:type="dxa"/>
            <w:tcBorders>
              <w:top w:val="nil"/>
              <w:left w:val="nil"/>
              <w:bottom w:val="single" w:sz="4" w:space="0" w:color="000000"/>
              <w:right w:val="single" w:sz="4" w:space="0" w:color="000000"/>
            </w:tcBorders>
            <w:hideMark/>
          </w:tcPr>
          <w:p w14:paraId="62FB1A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0-3</w:t>
            </w:r>
          </w:p>
        </w:tc>
        <w:tc>
          <w:tcPr>
            <w:tcW w:w="1710" w:type="dxa"/>
            <w:tcBorders>
              <w:top w:val="nil"/>
              <w:left w:val="nil"/>
              <w:bottom w:val="single" w:sz="4" w:space="0" w:color="000000"/>
              <w:right w:val="single" w:sz="4" w:space="0" w:color="000000"/>
            </w:tcBorders>
            <w:hideMark/>
          </w:tcPr>
          <w:p w14:paraId="5642166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 program for infants and toddlers (birth to 3 years old) who have developmental delays or are at risk of a developmental delay.</w:t>
            </w:r>
          </w:p>
        </w:tc>
        <w:tc>
          <w:tcPr>
            <w:tcW w:w="1080" w:type="dxa"/>
            <w:tcBorders>
              <w:top w:val="nil"/>
              <w:left w:val="nil"/>
              <w:bottom w:val="single" w:sz="4" w:space="0" w:color="000000"/>
              <w:right w:val="single" w:sz="4" w:space="0" w:color="000000"/>
            </w:tcBorders>
            <w:hideMark/>
          </w:tcPr>
          <w:p w14:paraId="40634FC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w:t>
            </w:r>
          </w:p>
        </w:tc>
        <w:tc>
          <w:tcPr>
            <w:tcW w:w="1170" w:type="dxa"/>
            <w:tcBorders>
              <w:top w:val="nil"/>
              <w:left w:val="nil"/>
              <w:bottom w:val="single" w:sz="4" w:space="0" w:color="000000"/>
              <w:right w:val="single" w:sz="4" w:space="0" w:color="000000"/>
            </w:tcBorders>
            <w:hideMark/>
          </w:tcPr>
          <w:p w14:paraId="3CF7782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7CC85BB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Also may be billed to commerical insurance. </w:t>
            </w:r>
          </w:p>
        </w:tc>
        <w:tc>
          <w:tcPr>
            <w:tcW w:w="810" w:type="dxa"/>
            <w:tcBorders>
              <w:top w:val="nil"/>
              <w:left w:val="nil"/>
              <w:bottom w:val="single" w:sz="4" w:space="0" w:color="000000"/>
              <w:right w:val="single" w:sz="4" w:space="0" w:color="000000"/>
            </w:tcBorders>
            <w:hideMark/>
          </w:tcPr>
          <w:p w14:paraId="2D741BA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720" w:type="dxa"/>
            <w:tcBorders>
              <w:top w:val="nil"/>
              <w:left w:val="nil"/>
              <w:bottom w:val="single" w:sz="4" w:space="0" w:color="000000"/>
              <w:right w:val="single" w:sz="4" w:space="0" w:color="000000"/>
            </w:tcBorders>
            <w:hideMark/>
          </w:tcPr>
          <w:p w14:paraId="5A55C64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There are EI specialty services for children with ASD.</w:t>
            </w:r>
          </w:p>
        </w:tc>
        <w:tc>
          <w:tcPr>
            <w:tcW w:w="811" w:type="dxa"/>
            <w:tcBorders>
              <w:top w:val="nil"/>
              <w:left w:val="nil"/>
              <w:bottom w:val="single" w:sz="4" w:space="0" w:color="000000"/>
              <w:right w:val="single" w:sz="4" w:space="0" w:color="000000"/>
            </w:tcBorders>
            <w:hideMark/>
          </w:tcPr>
          <w:p w14:paraId="27A4B89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54A12B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Anyone can make a referral to EI</w:t>
            </w:r>
          </w:p>
        </w:tc>
        <w:tc>
          <w:tcPr>
            <w:tcW w:w="2198" w:type="dxa"/>
            <w:tcBorders>
              <w:top w:val="nil"/>
              <w:left w:val="nil"/>
              <w:bottom w:val="single" w:sz="4" w:space="0" w:color="000000"/>
              <w:right w:val="single" w:sz="4" w:space="0" w:color="000000"/>
            </w:tcBorders>
            <w:hideMark/>
          </w:tcPr>
          <w:p w14:paraId="35BC76C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6AAE282"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AB8267"/>
            <w:hideMark/>
          </w:tcPr>
          <w:p w14:paraId="315E5BE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Identification/Intervention</w:t>
            </w:r>
          </w:p>
        </w:tc>
        <w:tc>
          <w:tcPr>
            <w:tcW w:w="1260" w:type="dxa"/>
            <w:tcBorders>
              <w:top w:val="nil"/>
              <w:left w:val="nil"/>
              <w:bottom w:val="single" w:sz="4" w:space="0" w:color="000000"/>
              <w:right w:val="single" w:sz="4" w:space="0" w:color="000000"/>
            </w:tcBorders>
            <w:hideMark/>
          </w:tcPr>
          <w:p w14:paraId="0BF8FAE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ECMHC — Early Childhood Mental Health Consultation (EEC network)</w:t>
            </w:r>
          </w:p>
        </w:tc>
        <w:tc>
          <w:tcPr>
            <w:tcW w:w="725" w:type="dxa"/>
            <w:tcBorders>
              <w:top w:val="nil"/>
              <w:left w:val="nil"/>
              <w:bottom w:val="single" w:sz="4" w:space="0" w:color="000000"/>
              <w:right w:val="single" w:sz="4" w:space="0" w:color="000000"/>
            </w:tcBorders>
            <w:hideMark/>
          </w:tcPr>
          <w:p w14:paraId="69BE09B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education/childcare consultation</w:t>
            </w:r>
          </w:p>
        </w:tc>
        <w:tc>
          <w:tcPr>
            <w:tcW w:w="1710" w:type="dxa"/>
            <w:tcBorders>
              <w:top w:val="nil"/>
              <w:left w:val="nil"/>
              <w:bottom w:val="single" w:sz="4" w:space="0" w:color="000000"/>
              <w:right w:val="single" w:sz="4" w:space="0" w:color="000000"/>
            </w:tcBorders>
            <w:hideMark/>
          </w:tcPr>
          <w:p w14:paraId="3A86B7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Consultation to early education/childcare settings to support social-emotional development &amp; behavioral health; Early childhood prevention/consultation</w:t>
            </w:r>
          </w:p>
        </w:tc>
        <w:tc>
          <w:tcPr>
            <w:tcW w:w="1080" w:type="dxa"/>
            <w:tcBorders>
              <w:top w:val="nil"/>
              <w:left w:val="nil"/>
              <w:bottom w:val="single" w:sz="4" w:space="0" w:color="000000"/>
              <w:right w:val="single" w:sz="4" w:space="0" w:color="000000"/>
            </w:tcBorders>
            <w:hideMark/>
          </w:tcPr>
          <w:p w14:paraId="5D4307A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EECS/EEC administered grant network</w:t>
            </w:r>
          </w:p>
        </w:tc>
        <w:tc>
          <w:tcPr>
            <w:tcW w:w="1170" w:type="dxa"/>
            <w:tcBorders>
              <w:top w:val="nil"/>
              <w:left w:val="nil"/>
              <w:bottom w:val="single" w:sz="4" w:space="0" w:color="000000"/>
              <w:right w:val="single" w:sz="4" w:space="0" w:color="000000"/>
            </w:tcBorders>
            <w:hideMark/>
          </w:tcPr>
          <w:p w14:paraId="6F8A5F0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A6C479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Grant-funded</w:t>
            </w:r>
          </w:p>
        </w:tc>
        <w:tc>
          <w:tcPr>
            <w:tcW w:w="810" w:type="dxa"/>
            <w:tcBorders>
              <w:top w:val="nil"/>
              <w:left w:val="nil"/>
              <w:bottom w:val="single" w:sz="4" w:space="0" w:color="000000"/>
              <w:right w:val="single" w:sz="4" w:space="0" w:color="000000"/>
            </w:tcBorders>
            <w:hideMark/>
          </w:tcPr>
          <w:p w14:paraId="1703409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72D2182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00F48F1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1215A5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education/childcare providers</w:t>
            </w:r>
          </w:p>
        </w:tc>
        <w:tc>
          <w:tcPr>
            <w:tcW w:w="2198" w:type="dxa"/>
            <w:tcBorders>
              <w:top w:val="nil"/>
              <w:left w:val="nil"/>
              <w:bottom w:val="single" w:sz="4" w:space="0" w:color="000000"/>
              <w:right w:val="single" w:sz="4" w:space="0" w:color="000000"/>
            </w:tcBorders>
            <w:hideMark/>
          </w:tcPr>
          <w:p w14:paraId="37947DC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03F97EE0"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AB8267"/>
            <w:hideMark/>
          </w:tcPr>
          <w:p w14:paraId="74C0888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Identification/Intervention</w:t>
            </w:r>
          </w:p>
        </w:tc>
        <w:tc>
          <w:tcPr>
            <w:tcW w:w="1260" w:type="dxa"/>
            <w:tcBorders>
              <w:top w:val="nil"/>
              <w:left w:val="nil"/>
              <w:bottom w:val="single" w:sz="4" w:space="0" w:color="000000"/>
              <w:right w:val="single" w:sz="4" w:space="0" w:color="000000"/>
            </w:tcBorders>
            <w:hideMark/>
          </w:tcPr>
          <w:p w14:paraId="194304E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Behavorial Health Team </w:t>
            </w:r>
          </w:p>
        </w:tc>
        <w:tc>
          <w:tcPr>
            <w:tcW w:w="725" w:type="dxa"/>
            <w:tcBorders>
              <w:top w:val="nil"/>
              <w:left w:val="nil"/>
              <w:bottom w:val="single" w:sz="4" w:space="0" w:color="000000"/>
              <w:right w:val="single" w:sz="4" w:space="0" w:color="000000"/>
            </w:tcBorders>
            <w:hideMark/>
          </w:tcPr>
          <w:p w14:paraId="3B1EF13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Early Education Licensed Programs </w:t>
            </w:r>
          </w:p>
        </w:tc>
        <w:tc>
          <w:tcPr>
            <w:tcW w:w="1710" w:type="dxa"/>
            <w:tcBorders>
              <w:top w:val="nil"/>
              <w:left w:val="nil"/>
              <w:bottom w:val="single" w:sz="4" w:space="0" w:color="000000"/>
              <w:right w:val="single" w:sz="4" w:space="0" w:color="000000"/>
            </w:tcBorders>
            <w:hideMark/>
          </w:tcPr>
          <w:p w14:paraId="2D17F39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Direct Support to Programs providing Behavoral and Mental Health Tech Assistance and Resources </w:t>
            </w:r>
          </w:p>
        </w:tc>
        <w:tc>
          <w:tcPr>
            <w:tcW w:w="1080" w:type="dxa"/>
            <w:tcBorders>
              <w:top w:val="nil"/>
              <w:left w:val="nil"/>
              <w:bottom w:val="single" w:sz="4" w:space="0" w:color="000000"/>
              <w:right w:val="single" w:sz="4" w:space="0" w:color="000000"/>
            </w:tcBorders>
            <w:hideMark/>
          </w:tcPr>
          <w:p w14:paraId="0AE9AFD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w:t>
            </w:r>
          </w:p>
        </w:tc>
        <w:tc>
          <w:tcPr>
            <w:tcW w:w="1170" w:type="dxa"/>
            <w:tcBorders>
              <w:top w:val="nil"/>
              <w:left w:val="nil"/>
              <w:bottom w:val="single" w:sz="4" w:space="0" w:color="000000"/>
              <w:right w:val="single" w:sz="4" w:space="0" w:color="000000"/>
            </w:tcBorders>
            <w:hideMark/>
          </w:tcPr>
          <w:p w14:paraId="420AC05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3181942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EEC </w:t>
            </w:r>
          </w:p>
        </w:tc>
        <w:tc>
          <w:tcPr>
            <w:tcW w:w="810" w:type="dxa"/>
            <w:tcBorders>
              <w:top w:val="nil"/>
              <w:left w:val="nil"/>
              <w:bottom w:val="single" w:sz="4" w:space="0" w:color="000000"/>
              <w:right w:val="single" w:sz="4" w:space="0" w:color="000000"/>
            </w:tcBorders>
            <w:hideMark/>
          </w:tcPr>
          <w:p w14:paraId="531DB87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720" w:type="dxa"/>
            <w:tcBorders>
              <w:top w:val="nil"/>
              <w:left w:val="nil"/>
              <w:bottom w:val="single" w:sz="4" w:space="0" w:color="000000"/>
              <w:right w:val="single" w:sz="4" w:space="0" w:color="000000"/>
            </w:tcBorders>
            <w:hideMark/>
          </w:tcPr>
          <w:p w14:paraId="363AA9B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No </w:t>
            </w:r>
          </w:p>
        </w:tc>
        <w:tc>
          <w:tcPr>
            <w:tcW w:w="811" w:type="dxa"/>
            <w:tcBorders>
              <w:top w:val="nil"/>
              <w:left w:val="nil"/>
              <w:bottom w:val="single" w:sz="4" w:space="0" w:color="000000"/>
              <w:right w:val="single" w:sz="4" w:space="0" w:color="000000"/>
            </w:tcBorders>
            <w:hideMark/>
          </w:tcPr>
          <w:p w14:paraId="038C937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301FD7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Early Education Child Care Providers </w:t>
            </w:r>
          </w:p>
        </w:tc>
        <w:tc>
          <w:tcPr>
            <w:tcW w:w="2198" w:type="dxa"/>
            <w:tcBorders>
              <w:top w:val="nil"/>
              <w:left w:val="nil"/>
              <w:bottom w:val="single" w:sz="4" w:space="0" w:color="000000"/>
              <w:right w:val="single" w:sz="4" w:space="0" w:color="000000"/>
            </w:tcBorders>
            <w:hideMark/>
          </w:tcPr>
          <w:p w14:paraId="3E66AC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265AC9AE"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AB8267"/>
            <w:hideMark/>
          </w:tcPr>
          <w:p w14:paraId="1584F77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Early Identification/Intervention</w:t>
            </w:r>
          </w:p>
        </w:tc>
        <w:tc>
          <w:tcPr>
            <w:tcW w:w="1260" w:type="dxa"/>
            <w:tcBorders>
              <w:top w:val="nil"/>
              <w:left w:val="nil"/>
              <w:bottom w:val="single" w:sz="4" w:space="0" w:color="000000"/>
              <w:right w:val="single" w:sz="4" w:space="0" w:color="000000"/>
            </w:tcBorders>
            <w:hideMark/>
          </w:tcPr>
          <w:p w14:paraId="2915A05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Integrated Behavioral Health in Pediatric Primary Care</w:t>
            </w:r>
          </w:p>
        </w:tc>
        <w:tc>
          <w:tcPr>
            <w:tcW w:w="725" w:type="dxa"/>
            <w:tcBorders>
              <w:top w:val="nil"/>
              <w:left w:val="nil"/>
              <w:bottom w:val="single" w:sz="4" w:space="0" w:color="000000"/>
              <w:right w:val="single" w:sz="4" w:space="0" w:color="000000"/>
            </w:tcBorders>
            <w:hideMark/>
          </w:tcPr>
          <w:p w14:paraId="3DB5E25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05B99D5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Integrated behavioral health clinicians as part of primary care teams support early identification of behavioral health needs and access to treatment.</w:t>
            </w:r>
          </w:p>
        </w:tc>
        <w:tc>
          <w:tcPr>
            <w:tcW w:w="1080" w:type="dxa"/>
            <w:tcBorders>
              <w:top w:val="nil"/>
              <w:left w:val="nil"/>
              <w:bottom w:val="single" w:sz="4" w:space="0" w:color="000000"/>
              <w:right w:val="single" w:sz="4" w:space="0" w:color="000000"/>
            </w:tcBorders>
            <w:hideMark/>
          </w:tcPr>
          <w:p w14:paraId="3CD5FC1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Private - Examples include Team Up, PPOC at BCH, the Colloborative Care Model (CoCM) among others</w:t>
            </w:r>
          </w:p>
        </w:tc>
        <w:tc>
          <w:tcPr>
            <w:tcW w:w="1170" w:type="dxa"/>
            <w:tcBorders>
              <w:top w:val="nil"/>
              <w:left w:val="nil"/>
              <w:bottom w:val="single" w:sz="4" w:space="0" w:color="000000"/>
              <w:right w:val="single" w:sz="4" w:space="0" w:color="000000"/>
            </w:tcBorders>
            <w:hideMark/>
          </w:tcPr>
          <w:p w14:paraId="7835680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33E5CF8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MassHealth, commerical coverage variers</w:t>
            </w:r>
          </w:p>
        </w:tc>
        <w:tc>
          <w:tcPr>
            <w:tcW w:w="810" w:type="dxa"/>
            <w:tcBorders>
              <w:top w:val="nil"/>
              <w:left w:val="nil"/>
              <w:bottom w:val="single" w:sz="4" w:space="0" w:color="000000"/>
              <w:right w:val="single" w:sz="4" w:space="0" w:color="000000"/>
            </w:tcBorders>
            <w:hideMark/>
          </w:tcPr>
          <w:p w14:paraId="1257645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Yes </w:t>
            </w:r>
          </w:p>
        </w:tc>
        <w:tc>
          <w:tcPr>
            <w:tcW w:w="720" w:type="dxa"/>
            <w:tcBorders>
              <w:top w:val="nil"/>
              <w:left w:val="nil"/>
              <w:bottom w:val="single" w:sz="4" w:space="0" w:color="000000"/>
              <w:right w:val="single" w:sz="4" w:space="0" w:color="000000"/>
            </w:tcBorders>
            <w:hideMark/>
          </w:tcPr>
          <w:p w14:paraId="3DB1C9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689105C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Can help with SU needs.</w:t>
            </w:r>
          </w:p>
        </w:tc>
        <w:tc>
          <w:tcPr>
            <w:tcW w:w="1401" w:type="dxa"/>
            <w:tcBorders>
              <w:top w:val="nil"/>
              <w:left w:val="nil"/>
              <w:bottom w:val="single" w:sz="4" w:space="0" w:color="000000"/>
              <w:right w:val="single" w:sz="4" w:space="0" w:color="000000"/>
            </w:tcBorders>
            <w:hideMark/>
          </w:tcPr>
          <w:p w14:paraId="1E97401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Primary care.</w:t>
            </w:r>
          </w:p>
        </w:tc>
        <w:tc>
          <w:tcPr>
            <w:tcW w:w="2198" w:type="dxa"/>
            <w:tcBorders>
              <w:top w:val="nil"/>
              <w:left w:val="nil"/>
              <w:bottom w:val="single" w:sz="4" w:space="0" w:color="000000"/>
              <w:right w:val="single" w:sz="4" w:space="0" w:color="000000"/>
            </w:tcBorders>
            <w:hideMark/>
          </w:tcPr>
          <w:p w14:paraId="2B819C6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3F9EE61"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FBFBF"/>
            <w:hideMark/>
          </w:tcPr>
          <w:p w14:paraId="03F7E80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Front Door/Navigation</w:t>
            </w:r>
          </w:p>
        </w:tc>
        <w:tc>
          <w:tcPr>
            <w:tcW w:w="1260" w:type="dxa"/>
            <w:tcBorders>
              <w:top w:val="nil"/>
              <w:left w:val="nil"/>
              <w:bottom w:val="single" w:sz="4" w:space="0" w:color="000000"/>
              <w:right w:val="single" w:sz="4" w:space="0" w:color="000000"/>
            </w:tcBorders>
            <w:hideMark/>
          </w:tcPr>
          <w:p w14:paraId="588C7F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Family Resource Centers (FRC) network</w:t>
            </w:r>
          </w:p>
        </w:tc>
        <w:tc>
          <w:tcPr>
            <w:tcW w:w="725" w:type="dxa"/>
            <w:tcBorders>
              <w:top w:val="nil"/>
              <w:left w:val="nil"/>
              <w:bottom w:val="single" w:sz="4" w:space="0" w:color="000000"/>
              <w:right w:val="single" w:sz="4" w:space="0" w:color="000000"/>
            </w:tcBorders>
            <w:hideMark/>
          </w:tcPr>
          <w:p w14:paraId="210CC4B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01E422B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Community-based hubs connecting families to supports (including  information and referral, parent education programs, youth/parent support groups, early childhood services, Child Requiring Assistance (CRA) intervention, basic needs support).</w:t>
            </w:r>
          </w:p>
        </w:tc>
        <w:tc>
          <w:tcPr>
            <w:tcW w:w="1080" w:type="dxa"/>
            <w:tcBorders>
              <w:top w:val="nil"/>
              <w:left w:val="nil"/>
              <w:bottom w:val="single" w:sz="4" w:space="0" w:color="000000"/>
              <w:right w:val="single" w:sz="4" w:space="0" w:color="000000"/>
            </w:tcBorders>
            <w:hideMark/>
          </w:tcPr>
          <w:p w14:paraId="28136AD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Serves any family in the state, no referrals needed</w:t>
            </w:r>
          </w:p>
        </w:tc>
        <w:tc>
          <w:tcPr>
            <w:tcW w:w="1170" w:type="dxa"/>
            <w:tcBorders>
              <w:top w:val="nil"/>
              <w:left w:val="nil"/>
              <w:bottom w:val="single" w:sz="4" w:space="0" w:color="000000"/>
              <w:right w:val="single" w:sz="4" w:space="0" w:color="000000"/>
            </w:tcBorders>
            <w:hideMark/>
          </w:tcPr>
          <w:p w14:paraId="0BF7919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DCF oversees network</w:t>
            </w:r>
          </w:p>
        </w:tc>
        <w:tc>
          <w:tcPr>
            <w:tcW w:w="1440" w:type="dxa"/>
            <w:tcBorders>
              <w:top w:val="nil"/>
              <w:left w:val="nil"/>
              <w:bottom w:val="single" w:sz="4" w:space="0" w:color="000000"/>
              <w:right w:val="single" w:sz="4" w:space="0" w:color="000000"/>
            </w:tcBorders>
            <w:hideMark/>
          </w:tcPr>
          <w:p w14:paraId="3398BDD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State-administered network w/ partners</w:t>
            </w:r>
          </w:p>
        </w:tc>
        <w:tc>
          <w:tcPr>
            <w:tcW w:w="810" w:type="dxa"/>
            <w:tcBorders>
              <w:top w:val="nil"/>
              <w:left w:val="nil"/>
              <w:bottom w:val="single" w:sz="4" w:space="0" w:color="000000"/>
              <w:right w:val="single" w:sz="4" w:space="0" w:color="000000"/>
            </w:tcBorders>
            <w:shd w:val="clear" w:color="000000" w:fill="FFFFFF"/>
            <w:hideMark/>
          </w:tcPr>
          <w:p w14:paraId="05B7001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588AAA2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5AAD639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48D198A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Engage locally at one of 33 sites. Serves any family in the state, no referrals needed</w:t>
            </w:r>
          </w:p>
        </w:tc>
        <w:tc>
          <w:tcPr>
            <w:tcW w:w="2198" w:type="dxa"/>
            <w:tcBorders>
              <w:top w:val="nil"/>
              <w:left w:val="nil"/>
              <w:bottom w:val="single" w:sz="4" w:space="0" w:color="000000"/>
              <w:right w:val="single" w:sz="4" w:space="0" w:color="000000"/>
            </w:tcBorders>
            <w:hideMark/>
          </w:tcPr>
          <w:p w14:paraId="2BD921F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D245AC5"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FBFBF"/>
            <w:hideMark/>
          </w:tcPr>
          <w:p w14:paraId="663AE8A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Front Door/Navigation</w:t>
            </w:r>
          </w:p>
        </w:tc>
        <w:tc>
          <w:tcPr>
            <w:tcW w:w="1260" w:type="dxa"/>
            <w:tcBorders>
              <w:top w:val="nil"/>
              <w:left w:val="nil"/>
              <w:bottom w:val="single" w:sz="4" w:space="0" w:color="000000"/>
              <w:right w:val="single" w:sz="4" w:space="0" w:color="000000"/>
            </w:tcBorders>
            <w:hideMark/>
          </w:tcPr>
          <w:p w14:paraId="7CFC8B0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Regional Autism Support Centers</w:t>
            </w:r>
          </w:p>
        </w:tc>
        <w:tc>
          <w:tcPr>
            <w:tcW w:w="725" w:type="dxa"/>
            <w:tcBorders>
              <w:top w:val="nil"/>
              <w:left w:val="nil"/>
              <w:bottom w:val="single" w:sz="4" w:space="0" w:color="000000"/>
              <w:right w:val="single" w:sz="4" w:space="0" w:color="000000"/>
            </w:tcBorders>
            <w:hideMark/>
          </w:tcPr>
          <w:p w14:paraId="7F6ECAD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with ASD/IDD</w:t>
            </w:r>
          </w:p>
        </w:tc>
        <w:tc>
          <w:tcPr>
            <w:tcW w:w="1710" w:type="dxa"/>
            <w:tcBorders>
              <w:top w:val="nil"/>
              <w:left w:val="nil"/>
              <w:bottom w:val="single" w:sz="4" w:space="0" w:color="000000"/>
              <w:right w:val="single" w:sz="4" w:space="0" w:color="000000"/>
            </w:tcBorders>
            <w:hideMark/>
          </w:tcPr>
          <w:p w14:paraId="5868433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Information/referral, resources and supports, navigation for ASD (regional network); Autism/IDD family navigation &amp; supports</w:t>
            </w:r>
          </w:p>
        </w:tc>
        <w:tc>
          <w:tcPr>
            <w:tcW w:w="1080" w:type="dxa"/>
            <w:tcBorders>
              <w:top w:val="nil"/>
              <w:left w:val="nil"/>
              <w:bottom w:val="single" w:sz="4" w:space="0" w:color="000000"/>
              <w:right w:val="single" w:sz="4" w:space="0" w:color="000000"/>
            </w:tcBorders>
            <w:hideMark/>
          </w:tcPr>
          <w:p w14:paraId="32E870B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1170" w:type="dxa"/>
            <w:tcBorders>
              <w:top w:val="nil"/>
              <w:left w:val="nil"/>
              <w:bottom w:val="single" w:sz="4" w:space="0" w:color="000000"/>
              <w:right w:val="single" w:sz="4" w:space="0" w:color="000000"/>
            </w:tcBorders>
            <w:hideMark/>
          </w:tcPr>
          <w:p w14:paraId="1A3942D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21C5556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DDS-funded/support model</w:t>
            </w:r>
          </w:p>
        </w:tc>
        <w:tc>
          <w:tcPr>
            <w:tcW w:w="810" w:type="dxa"/>
            <w:tcBorders>
              <w:top w:val="nil"/>
              <w:left w:val="nil"/>
              <w:bottom w:val="single" w:sz="4" w:space="0" w:color="000000"/>
              <w:right w:val="single" w:sz="4" w:space="0" w:color="000000"/>
            </w:tcBorders>
            <w:hideMark/>
          </w:tcPr>
          <w:p w14:paraId="2A6ACFA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5EABFA3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811" w:type="dxa"/>
            <w:tcBorders>
              <w:top w:val="nil"/>
              <w:left w:val="nil"/>
              <w:bottom w:val="single" w:sz="4" w:space="0" w:color="000000"/>
              <w:right w:val="single" w:sz="4" w:space="0" w:color="000000"/>
            </w:tcBorders>
            <w:hideMark/>
          </w:tcPr>
          <w:p w14:paraId="06AB59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shd w:val="clear" w:color="000000" w:fill="FFFF00"/>
            <w:hideMark/>
          </w:tcPr>
          <w:p w14:paraId="76910E6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2198" w:type="dxa"/>
            <w:tcBorders>
              <w:top w:val="nil"/>
              <w:left w:val="nil"/>
              <w:bottom w:val="single" w:sz="4" w:space="0" w:color="000000"/>
              <w:right w:val="single" w:sz="4" w:space="0" w:color="000000"/>
            </w:tcBorders>
            <w:hideMark/>
          </w:tcPr>
          <w:p w14:paraId="35E213F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5635C322"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FBFBF"/>
            <w:hideMark/>
          </w:tcPr>
          <w:p w14:paraId="36BB1D5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Front Door/Navigation</w:t>
            </w:r>
          </w:p>
        </w:tc>
        <w:tc>
          <w:tcPr>
            <w:tcW w:w="1260" w:type="dxa"/>
            <w:tcBorders>
              <w:top w:val="nil"/>
              <w:left w:val="nil"/>
              <w:bottom w:val="single" w:sz="4" w:space="0" w:color="000000"/>
              <w:right w:val="single" w:sz="4" w:space="0" w:color="000000"/>
            </w:tcBorders>
            <w:hideMark/>
          </w:tcPr>
          <w:p w14:paraId="43609FE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 Family Support Centers</w:t>
            </w:r>
          </w:p>
        </w:tc>
        <w:tc>
          <w:tcPr>
            <w:tcW w:w="725" w:type="dxa"/>
            <w:tcBorders>
              <w:top w:val="nil"/>
              <w:left w:val="nil"/>
              <w:bottom w:val="single" w:sz="4" w:space="0" w:color="000000"/>
              <w:right w:val="single" w:sz="4" w:space="0" w:color="000000"/>
            </w:tcBorders>
            <w:hideMark/>
          </w:tcPr>
          <w:p w14:paraId="6CE2C4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eligible for DDS services</w:t>
            </w:r>
          </w:p>
        </w:tc>
        <w:tc>
          <w:tcPr>
            <w:tcW w:w="1710" w:type="dxa"/>
            <w:tcBorders>
              <w:top w:val="nil"/>
              <w:left w:val="nil"/>
              <w:bottom w:val="single" w:sz="4" w:space="0" w:color="000000"/>
              <w:right w:val="single" w:sz="4" w:space="0" w:color="000000"/>
            </w:tcBorders>
            <w:hideMark/>
          </w:tcPr>
          <w:p w14:paraId="528BA2D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Provide information and referral services, support groups, trainings for families, parent networking and mentoring opportunities, social services, and family support services for children with IDD/ASD.</w:t>
            </w:r>
          </w:p>
        </w:tc>
        <w:tc>
          <w:tcPr>
            <w:tcW w:w="1080" w:type="dxa"/>
            <w:tcBorders>
              <w:top w:val="nil"/>
              <w:left w:val="nil"/>
              <w:bottom w:val="single" w:sz="4" w:space="0" w:color="000000"/>
              <w:right w:val="single" w:sz="4" w:space="0" w:color="000000"/>
            </w:tcBorders>
            <w:hideMark/>
          </w:tcPr>
          <w:p w14:paraId="51F4205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1170" w:type="dxa"/>
            <w:tcBorders>
              <w:top w:val="nil"/>
              <w:left w:val="nil"/>
              <w:bottom w:val="single" w:sz="4" w:space="0" w:color="000000"/>
              <w:right w:val="single" w:sz="4" w:space="0" w:color="000000"/>
            </w:tcBorders>
            <w:hideMark/>
          </w:tcPr>
          <w:p w14:paraId="1D89E04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4D6DFDD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DDS</w:t>
            </w:r>
          </w:p>
        </w:tc>
        <w:tc>
          <w:tcPr>
            <w:tcW w:w="810" w:type="dxa"/>
            <w:tcBorders>
              <w:top w:val="nil"/>
              <w:left w:val="nil"/>
              <w:bottom w:val="single" w:sz="4" w:space="0" w:color="000000"/>
              <w:right w:val="single" w:sz="4" w:space="0" w:color="000000"/>
            </w:tcBorders>
            <w:hideMark/>
          </w:tcPr>
          <w:p w14:paraId="0FB069E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7DDC080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Yes</w:t>
            </w:r>
          </w:p>
        </w:tc>
        <w:tc>
          <w:tcPr>
            <w:tcW w:w="811" w:type="dxa"/>
            <w:tcBorders>
              <w:top w:val="nil"/>
              <w:left w:val="nil"/>
              <w:bottom w:val="single" w:sz="4" w:space="0" w:color="000000"/>
              <w:right w:val="single" w:sz="4" w:space="0" w:color="000000"/>
            </w:tcBorders>
            <w:hideMark/>
          </w:tcPr>
          <w:p w14:paraId="7D2DD6F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shd w:val="clear" w:color="000000" w:fill="FFFF00"/>
            <w:hideMark/>
          </w:tcPr>
          <w:p w14:paraId="629C2EC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2198" w:type="dxa"/>
            <w:tcBorders>
              <w:top w:val="nil"/>
              <w:left w:val="nil"/>
              <w:bottom w:val="single" w:sz="4" w:space="0" w:color="000000"/>
              <w:right w:val="single" w:sz="4" w:space="0" w:color="000000"/>
            </w:tcBorders>
            <w:hideMark/>
          </w:tcPr>
          <w:p w14:paraId="1CBB3D9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446D7D7C"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FBFBF"/>
            <w:hideMark/>
          </w:tcPr>
          <w:p w14:paraId="678BD8E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Front Door/Navigation</w:t>
            </w:r>
          </w:p>
        </w:tc>
        <w:tc>
          <w:tcPr>
            <w:tcW w:w="1260" w:type="dxa"/>
            <w:tcBorders>
              <w:top w:val="nil"/>
              <w:left w:val="nil"/>
              <w:bottom w:val="single" w:sz="4" w:space="0" w:color="000000"/>
              <w:right w:val="single" w:sz="4" w:space="0" w:color="000000"/>
            </w:tcBorders>
            <w:hideMark/>
          </w:tcPr>
          <w:p w14:paraId="7B0DD35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Massachusetts Behavioral Health Help Line (BHHL)</w:t>
            </w:r>
          </w:p>
        </w:tc>
        <w:tc>
          <w:tcPr>
            <w:tcW w:w="725" w:type="dxa"/>
            <w:tcBorders>
              <w:top w:val="nil"/>
              <w:left w:val="nil"/>
              <w:bottom w:val="single" w:sz="4" w:space="0" w:color="000000"/>
              <w:right w:val="single" w:sz="4" w:space="0" w:color="000000"/>
            </w:tcBorders>
            <w:hideMark/>
          </w:tcPr>
          <w:p w14:paraId="5C708E62"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65133C3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24/7 call, text, chat helpline to connect people with qualified professionals for referral and connection to routine, urgent, and crisis mental health and substance use services.</w:t>
            </w:r>
          </w:p>
        </w:tc>
        <w:tc>
          <w:tcPr>
            <w:tcW w:w="1080" w:type="dxa"/>
            <w:tcBorders>
              <w:top w:val="nil"/>
              <w:left w:val="nil"/>
              <w:bottom w:val="single" w:sz="4" w:space="0" w:color="000000"/>
              <w:right w:val="single" w:sz="4" w:space="0" w:color="000000"/>
            </w:tcBorders>
            <w:hideMark/>
          </w:tcPr>
          <w:p w14:paraId="2DF9D21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DMH delivered by Carelon</w:t>
            </w:r>
          </w:p>
        </w:tc>
        <w:tc>
          <w:tcPr>
            <w:tcW w:w="1170" w:type="dxa"/>
            <w:tcBorders>
              <w:top w:val="nil"/>
              <w:left w:val="nil"/>
              <w:bottom w:val="single" w:sz="4" w:space="0" w:color="000000"/>
              <w:right w:val="single" w:sz="4" w:space="0" w:color="000000"/>
            </w:tcBorders>
            <w:hideMark/>
          </w:tcPr>
          <w:p w14:paraId="63FC7F9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68B86EA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to user; BH Access and Crisis Intervention Trust Fund</w:t>
            </w:r>
          </w:p>
        </w:tc>
        <w:tc>
          <w:tcPr>
            <w:tcW w:w="810" w:type="dxa"/>
            <w:tcBorders>
              <w:top w:val="nil"/>
              <w:left w:val="nil"/>
              <w:bottom w:val="single" w:sz="4" w:space="0" w:color="000000"/>
              <w:right w:val="single" w:sz="4" w:space="0" w:color="000000"/>
            </w:tcBorders>
            <w:hideMark/>
          </w:tcPr>
          <w:p w14:paraId="067A7EA6"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Partial</w:t>
            </w:r>
          </w:p>
        </w:tc>
        <w:tc>
          <w:tcPr>
            <w:tcW w:w="720" w:type="dxa"/>
            <w:tcBorders>
              <w:top w:val="nil"/>
              <w:left w:val="nil"/>
              <w:bottom w:val="single" w:sz="4" w:space="0" w:color="000000"/>
              <w:right w:val="single" w:sz="4" w:space="0" w:color="000000"/>
            </w:tcBorders>
            <w:hideMark/>
          </w:tcPr>
          <w:p w14:paraId="245968B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1512259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Helps people with SU needs</w:t>
            </w:r>
          </w:p>
        </w:tc>
        <w:tc>
          <w:tcPr>
            <w:tcW w:w="1401" w:type="dxa"/>
            <w:tcBorders>
              <w:top w:val="nil"/>
              <w:left w:val="nil"/>
              <w:bottom w:val="single" w:sz="4" w:space="0" w:color="000000"/>
              <w:right w:val="single" w:sz="4" w:space="0" w:color="000000"/>
            </w:tcBorders>
            <w:hideMark/>
          </w:tcPr>
          <w:p w14:paraId="74390325"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 Can call for self, friend, family member, or client</w:t>
            </w:r>
          </w:p>
        </w:tc>
        <w:tc>
          <w:tcPr>
            <w:tcW w:w="2198" w:type="dxa"/>
            <w:tcBorders>
              <w:top w:val="nil"/>
              <w:left w:val="nil"/>
              <w:bottom w:val="single" w:sz="4" w:space="0" w:color="000000"/>
              <w:right w:val="single" w:sz="4" w:space="0" w:color="000000"/>
            </w:tcBorders>
            <w:hideMark/>
          </w:tcPr>
          <w:p w14:paraId="4A3A94D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382C5A7A"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FBFBF"/>
            <w:hideMark/>
          </w:tcPr>
          <w:p w14:paraId="3773D56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Front Door/Navigation</w:t>
            </w:r>
          </w:p>
        </w:tc>
        <w:tc>
          <w:tcPr>
            <w:tcW w:w="1260" w:type="dxa"/>
            <w:tcBorders>
              <w:top w:val="nil"/>
              <w:left w:val="nil"/>
              <w:bottom w:val="single" w:sz="4" w:space="0" w:color="000000"/>
              <w:right w:val="single" w:sz="4" w:space="0" w:color="000000"/>
            </w:tcBorders>
            <w:hideMark/>
          </w:tcPr>
          <w:p w14:paraId="71CF156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Children &amp; Youth with Special Needs Community Support Line</w:t>
            </w:r>
          </w:p>
        </w:tc>
        <w:tc>
          <w:tcPr>
            <w:tcW w:w="725" w:type="dxa"/>
            <w:tcBorders>
              <w:top w:val="nil"/>
              <w:left w:val="nil"/>
              <w:bottom w:val="single" w:sz="4" w:space="0" w:color="000000"/>
              <w:right w:val="single" w:sz="4" w:space="0" w:color="000000"/>
            </w:tcBorders>
            <w:hideMark/>
          </w:tcPr>
          <w:p w14:paraId="3074FEB7"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Families with youth with special needs</w:t>
            </w:r>
          </w:p>
        </w:tc>
        <w:tc>
          <w:tcPr>
            <w:tcW w:w="1710" w:type="dxa"/>
            <w:tcBorders>
              <w:top w:val="nil"/>
              <w:left w:val="nil"/>
              <w:bottom w:val="single" w:sz="4" w:space="0" w:color="000000"/>
              <w:right w:val="single" w:sz="4" w:space="0" w:color="000000"/>
            </w:tcBorders>
            <w:hideMark/>
          </w:tcPr>
          <w:p w14:paraId="135C745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The Division for Children &amp; Youth with Special Health Needs toll free statewide Community Support Line provides information, technical assistance and resources for families with children and youth with special health needs and the providers serving these families.</w:t>
            </w:r>
          </w:p>
        </w:tc>
        <w:tc>
          <w:tcPr>
            <w:tcW w:w="1080" w:type="dxa"/>
            <w:tcBorders>
              <w:top w:val="nil"/>
              <w:left w:val="nil"/>
              <w:bottom w:val="single" w:sz="4" w:space="0" w:color="000000"/>
              <w:right w:val="single" w:sz="4" w:space="0" w:color="000000"/>
            </w:tcBorders>
            <w:hideMark/>
          </w:tcPr>
          <w:p w14:paraId="5CE820D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DPH</w:t>
            </w:r>
          </w:p>
        </w:tc>
        <w:tc>
          <w:tcPr>
            <w:tcW w:w="1170" w:type="dxa"/>
            <w:tcBorders>
              <w:top w:val="nil"/>
              <w:left w:val="nil"/>
              <w:bottom w:val="single" w:sz="4" w:space="0" w:color="000000"/>
              <w:right w:val="single" w:sz="4" w:space="0" w:color="000000"/>
            </w:tcBorders>
            <w:hideMark/>
          </w:tcPr>
          <w:p w14:paraId="5040E63E"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shd w:val="clear" w:color="000000" w:fill="FFFF00"/>
            <w:hideMark/>
          </w:tcPr>
          <w:p w14:paraId="64CDC85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w:t>
            </w:r>
          </w:p>
        </w:tc>
        <w:tc>
          <w:tcPr>
            <w:tcW w:w="810" w:type="dxa"/>
            <w:tcBorders>
              <w:top w:val="nil"/>
              <w:left w:val="nil"/>
              <w:bottom w:val="single" w:sz="4" w:space="0" w:color="000000"/>
              <w:right w:val="single" w:sz="4" w:space="0" w:color="000000"/>
            </w:tcBorders>
            <w:hideMark/>
          </w:tcPr>
          <w:p w14:paraId="458AA591"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72FE72D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26892AD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773CD6D0"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Available to everyone</w:t>
            </w:r>
          </w:p>
        </w:tc>
        <w:tc>
          <w:tcPr>
            <w:tcW w:w="2198" w:type="dxa"/>
            <w:tcBorders>
              <w:top w:val="nil"/>
              <w:left w:val="nil"/>
              <w:bottom w:val="single" w:sz="4" w:space="0" w:color="000000"/>
              <w:right w:val="single" w:sz="4" w:space="0" w:color="000000"/>
            </w:tcBorders>
            <w:hideMark/>
          </w:tcPr>
          <w:p w14:paraId="7409D48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r w:rsidR="00A42937" w:rsidRPr="00A42937" w14:paraId="155593B6" w14:textId="77777777" w:rsidTr="00DD751F">
        <w:trPr>
          <w:trHeight w:val="900"/>
        </w:trPr>
        <w:tc>
          <w:tcPr>
            <w:tcW w:w="1165" w:type="dxa"/>
            <w:tcBorders>
              <w:top w:val="single" w:sz="4" w:space="0" w:color="000000"/>
              <w:left w:val="single" w:sz="4" w:space="0" w:color="000000"/>
              <w:bottom w:val="single" w:sz="4" w:space="0" w:color="000000"/>
              <w:right w:val="single" w:sz="4" w:space="0" w:color="000000"/>
            </w:tcBorders>
            <w:shd w:val="clear" w:color="000000" w:fill="BFBFBF"/>
            <w:hideMark/>
          </w:tcPr>
          <w:p w14:paraId="1897BCC9"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Front Door/Navigation</w:t>
            </w:r>
          </w:p>
        </w:tc>
        <w:tc>
          <w:tcPr>
            <w:tcW w:w="1260" w:type="dxa"/>
            <w:tcBorders>
              <w:top w:val="nil"/>
              <w:left w:val="nil"/>
              <w:bottom w:val="single" w:sz="4" w:space="0" w:color="000000"/>
              <w:right w:val="single" w:sz="4" w:space="0" w:color="000000"/>
            </w:tcBorders>
            <w:hideMark/>
          </w:tcPr>
          <w:p w14:paraId="103222E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MA Substance Use Helpline</w:t>
            </w:r>
          </w:p>
        </w:tc>
        <w:tc>
          <w:tcPr>
            <w:tcW w:w="725" w:type="dxa"/>
            <w:tcBorders>
              <w:top w:val="nil"/>
              <w:left w:val="nil"/>
              <w:bottom w:val="single" w:sz="4" w:space="0" w:color="000000"/>
              <w:right w:val="single" w:sz="4" w:space="0" w:color="000000"/>
            </w:tcBorders>
            <w:hideMark/>
          </w:tcPr>
          <w:p w14:paraId="6E72582D"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All</w:t>
            </w:r>
          </w:p>
        </w:tc>
        <w:tc>
          <w:tcPr>
            <w:tcW w:w="1710" w:type="dxa"/>
            <w:tcBorders>
              <w:top w:val="nil"/>
              <w:left w:val="nil"/>
              <w:bottom w:val="single" w:sz="4" w:space="0" w:color="000000"/>
              <w:right w:val="single" w:sz="4" w:space="0" w:color="000000"/>
            </w:tcBorders>
            <w:hideMark/>
          </w:tcPr>
          <w:p w14:paraId="33ADA924"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24/7 free/confidential navigation to SUD harm reduction, treatment, recovery, and problem gambling.</w:t>
            </w:r>
          </w:p>
        </w:tc>
        <w:tc>
          <w:tcPr>
            <w:tcW w:w="1080" w:type="dxa"/>
            <w:tcBorders>
              <w:top w:val="nil"/>
              <w:left w:val="nil"/>
              <w:bottom w:val="single" w:sz="4" w:space="0" w:color="000000"/>
              <w:right w:val="single" w:sz="4" w:space="0" w:color="000000"/>
            </w:tcBorders>
            <w:hideMark/>
          </w:tcPr>
          <w:p w14:paraId="283E880C"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xml:space="preserve">DPH/BSAS </w:t>
            </w:r>
          </w:p>
        </w:tc>
        <w:tc>
          <w:tcPr>
            <w:tcW w:w="1170" w:type="dxa"/>
            <w:tcBorders>
              <w:top w:val="nil"/>
              <w:left w:val="nil"/>
              <w:bottom w:val="single" w:sz="4" w:space="0" w:color="000000"/>
              <w:right w:val="single" w:sz="4" w:space="0" w:color="000000"/>
            </w:tcBorders>
            <w:hideMark/>
          </w:tcPr>
          <w:p w14:paraId="01F5F028"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c>
          <w:tcPr>
            <w:tcW w:w="1440" w:type="dxa"/>
            <w:tcBorders>
              <w:top w:val="nil"/>
              <w:left w:val="nil"/>
              <w:bottom w:val="single" w:sz="4" w:space="0" w:color="000000"/>
              <w:right w:val="single" w:sz="4" w:space="0" w:color="000000"/>
            </w:tcBorders>
            <w:hideMark/>
          </w:tcPr>
          <w:p w14:paraId="530AE00F"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to user</w:t>
            </w:r>
          </w:p>
        </w:tc>
        <w:tc>
          <w:tcPr>
            <w:tcW w:w="810" w:type="dxa"/>
            <w:tcBorders>
              <w:top w:val="nil"/>
              <w:left w:val="nil"/>
              <w:bottom w:val="single" w:sz="4" w:space="0" w:color="000000"/>
              <w:right w:val="single" w:sz="4" w:space="0" w:color="000000"/>
            </w:tcBorders>
            <w:hideMark/>
          </w:tcPr>
          <w:p w14:paraId="63427BC3"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720" w:type="dxa"/>
            <w:tcBorders>
              <w:top w:val="nil"/>
              <w:left w:val="nil"/>
              <w:bottom w:val="single" w:sz="4" w:space="0" w:color="000000"/>
              <w:right w:val="single" w:sz="4" w:space="0" w:color="000000"/>
            </w:tcBorders>
            <w:hideMark/>
          </w:tcPr>
          <w:p w14:paraId="0892D04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811" w:type="dxa"/>
            <w:tcBorders>
              <w:top w:val="nil"/>
              <w:left w:val="nil"/>
              <w:bottom w:val="single" w:sz="4" w:space="0" w:color="000000"/>
              <w:right w:val="single" w:sz="4" w:space="0" w:color="000000"/>
            </w:tcBorders>
            <w:hideMark/>
          </w:tcPr>
          <w:p w14:paraId="034D88A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No</w:t>
            </w:r>
          </w:p>
        </w:tc>
        <w:tc>
          <w:tcPr>
            <w:tcW w:w="1401" w:type="dxa"/>
            <w:tcBorders>
              <w:top w:val="nil"/>
              <w:left w:val="nil"/>
              <w:bottom w:val="single" w:sz="4" w:space="0" w:color="000000"/>
              <w:right w:val="single" w:sz="4" w:space="0" w:color="000000"/>
            </w:tcBorders>
            <w:hideMark/>
          </w:tcPr>
          <w:p w14:paraId="5080BD2B"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Free - Can call for self, friend, family member, or client</w:t>
            </w:r>
          </w:p>
        </w:tc>
        <w:tc>
          <w:tcPr>
            <w:tcW w:w="2198" w:type="dxa"/>
            <w:tcBorders>
              <w:top w:val="nil"/>
              <w:left w:val="nil"/>
              <w:bottom w:val="single" w:sz="4" w:space="0" w:color="000000"/>
              <w:right w:val="single" w:sz="4" w:space="0" w:color="000000"/>
            </w:tcBorders>
            <w:hideMark/>
          </w:tcPr>
          <w:p w14:paraId="75E60B8A" w14:textId="77777777" w:rsidR="00A42937" w:rsidRPr="00A42937" w:rsidRDefault="00A42937" w:rsidP="00A42937">
            <w:pPr>
              <w:spacing w:after="0" w:line="240" w:lineRule="auto"/>
              <w:rPr>
                <w:rFonts w:ascii="Calibri" w:eastAsia="Times New Roman" w:hAnsi="Calibri" w:cs="Calibri"/>
                <w:color w:val="000000"/>
                <w:kern w:val="0"/>
                <w:sz w:val="12"/>
                <w:szCs w:val="12"/>
                <w14:ligatures w14:val="none"/>
              </w:rPr>
            </w:pPr>
            <w:r w:rsidRPr="00A42937">
              <w:rPr>
                <w:rFonts w:ascii="Calibri" w:eastAsia="Times New Roman" w:hAnsi="Calibri" w:cs="Calibri"/>
                <w:color w:val="000000"/>
                <w:kern w:val="0"/>
                <w:sz w:val="12"/>
                <w:szCs w:val="12"/>
                <w14:ligatures w14:val="none"/>
              </w:rPr>
              <w:t> </w:t>
            </w:r>
          </w:p>
        </w:tc>
      </w:tr>
    </w:tbl>
    <w:p w14:paraId="4DF2B95D" w14:textId="77777777" w:rsidR="00EA50BE" w:rsidRDefault="00EA50BE" w:rsidP="000A7747">
      <w:pPr>
        <w:rPr>
          <w:rFonts w:cs="Calibri"/>
          <w:b/>
          <w:bCs/>
          <w:sz w:val="22"/>
          <w:szCs w:val="22"/>
        </w:rPr>
      </w:pPr>
    </w:p>
    <w:p w14:paraId="1F4C6A43" w14:textId="77777777" w:rsidR="0020322B" w:rsidRDefault="0020322B" w:rsidP="000A7747">
      <w:pPr>
        <w:rPr>
          <w:rFonts w:cs="Calibri"/>
          <w:b/>
          <w:bCs/>
          <w:sz w:val="22"/>
          <w:szCs w:val="22"/>
        </w:rPr>
        <w:sectPr w:rsidR="0020322B" w:rsidSect="00636D5A">
          <w:pgSz w:w="15840" w:h="12240" w:orient="landscape"/>
          <w:pgMar w:top="1440" w:right="1440" w:bottom="1440" w:left="1440" w:header="720" w:footer="720" w:gutter="0"/>
          <w:cols w:space="720"/>
          <w:docGrid w:linePitch="360"/>
        </w:sectPr>
      </w:pPr>
    </w:p>
    <w:p w14:paraId="1483F3BA" w14:textId="3190C661" w:rsidR="001D09BD" w:rsidRPr="006B36F7" w:rsidRDefault="001D09BD" w:rsidP="001D09BD">
      <w:pPr>
        <w:rPr>
          <w:rFonts w:cs="Calibri"/>
          <w:b/>
          <w:sz w:val="22"/>
          <w:szCs w:val="22"/>
          <w:u w:val="single"/>
        </w:rPr>
      </w:pPr>
      <w:r w:rsidRPr="006B36F7">
        <w:rPr>
          <w:rFonts w:cs="Calibri"/>
          <w:b/>
          <w:sz w:val="22"/>
          <w:szCs w:val="22"/>
          <w:u w:val="single"/>
        </w:rPr>
        <w:t>Appendix E – Workgroup #2 – Summary of Challenges and Recommendations</w:t>
      </w:r>
    </w:p>
    <w:p w14:paraId="44B048D9" w14:textId="5271E493" w:rsidR="000601E8" w:rsidRPr="009519DA" w:rsidRDefault="001D228E" w:rsidP="000601E8">
      <w:pPr>
        <w:rPr>
          <w:rFonts w:cs="Calibri"/>
          <w:sz w:val="22"/>
          <w:szCs w:val="22"/>
        </w:rPr>
      </w:pPr>
      <w:r>
        <w:rPr>
          <w:rFonts w:cs="Calibri"/>
          <w:b/>
          <w:bCs/>
          <w:sz w:val="22"/>
          <w:szCs w:val="22"/>
          <w:u w:val="single"/>
        </w:rPr>
        <w:br/>
      </w:r>
      <w:r w:rsidR="000601E8" w:rsidRPr="009519DA">
        <w:rPr>
          <w:rFonts w:cs="Calibri"/>
          <w:b/>
          <w:sz w:val="22"/>
          <w:szCs w:val="22"/>
          <w:u w:val="single"/>
        </w:rPr>
        <w:t>Workgroup Members:</w:t>
      </w:r>
      <w:r w:rsidR="000601E8">
        <w:rPr>
          <w:rFonts w:cs="Calibri"/>
          <w:b/>
          <w:bCs/>
          <w:sz w:val="22"/>
          <w:szCs w:val="22"/>
        </w:rPr>
        <w:t xml:space="preserve"> </w:t>
      </w:r>
      <w:r w:rsidR="000601E8" w:rsidRPr="009519DA">
        <w:rPr>
          <w:rFonts w:cs="Calibri"/>
          <w:sz w:val="22"/>
          <w:szCs w:val="22"/>
        </w:rPr>
        <w:t xml:space="preserve">Carmel Craig, </w:t>
      </w:r>
      <w:r w:rsidR="00696AD1" w:rsidRPr="009519DA">
        <w:rPr>
          <w:rFonts w:cs="Calibri"/>
          <w:sz w:val="22"/>
          <w:szCs w:val="22"/>
        </w:rPr>
        <w:t xml:space="preserve">Kristen McKinnon, </w:t>
      </w:r>
      <w:r w:rsidR="000601E8" w:rsidRPr="009519DA">
        <w:rPr>
          <w:rFonts w:cs="Calibri"/>
          <w:sz w:val="22"/>
          <w:szCs w:val="22"/>
        </w:rPr>
        <w:t xml:space="preserve">Pam Sager, Leigh Simons, </w:t>
      </w:r>
      <w:r w:rsidR="00696AD1" w:rsidRPr="009519DA">
        <w:rPr>
          <w:rFonts w:cs="Calibri"/>
          <w:sz w:val="22"/>
          <w:szCs w:val="22"/>
        </w:rPr>
        <w:t>Aimee Smith-Zeoli, Charlene Zuffante</w:t>
      </w:r>
    </w:p>
    <w:p w14:paraId="02C3BAC0" w14:textId="77777777" w:rsidR="00166FF1" w:rsidRPr="009519DA" w:rsidRDefault="00166FF1" w:rsidP="000A7747">
      <w:pPr>
        <w:rPr>
          <w:rStyle w:val="normaltextrun"/>
          <w:rFonts w:eastAsiaTheme="majorEastAsia" w:cs="Calibri"/>
          <w:color w:val="153D63" w:themeColor="text2" w:themeTint="E6"/>
          <w:sz w:val="22"/>
          <w:szCs w:val="22"/>
        </w:rPr>
      </w:pPr>
    </w:p>
    <w:p w14:paraId="03E4C3F5" w14:textId="211BBB9A" w:rsidR="008F652D" w:rsidRPr="00FD1DBC" w:rsidRDefault="00FD1DBC" w:rsidP="00FD1DBC">
      <w:pPr>
        <w:shd w:val="clear" w:color="auto" w:fill="DAE9F7" w:themeFill="text2" w:themeFillTint="1A"/>
        <w:rPr>
          <w:rStyle w:val="normaltextrun"/>
          <w:rFonts w:eastAsiaTheme="majorEastAsia" w:cs="Calibri"/>
          <w:b/>
          <w:bCs/>
          <w:color w:val="153D63" w:themeColor="text2" w:themeTint="E6"/>
          <w:sz w:val="22"/>
          <w:szCs w:val="22"/>
        </w:rPr>
      </w:pPr>
      <w:r>
        <w:rPr>
          <w:rStyle w:val="normaltextrun"/>
          <w:rFonts w:eastAsiaTheme="majorEastAsia" w:cs="Calibri"/>
          <w:b/>
          <w:bCs/>
          <w:color w:val="153D63" w:themeColor="text2" w:themeTint="E6"/>
          <w:sz w:val="22"/>
          <w:szCs w:val="22"/>
        </w:rPr>
        <w:t xml:space="preserve">1. </w:t>
      </w:r>
      <w:r w:rsidR="008F652D" w:rsidRPr="00FD1DBC">
        <w:rPr>
          <w:rStyle w:val="normaltextrun"/>
          <w:rFonts w:eastAsiaTheme="majorEastAsia" w:cs="Calibri"/>
          <w:b/>
          <w:bCs/>
          <w:color w:val="153D63" w:themeColor="text2" w:themeTint="E6"/>
          <w:sz w:val="22"/>
          <w:szCs w:val="22"/>
        </w:rPr>
        <w:t xml:space="preserve">Access, Entry &amp; Navigation  - Challenges and Recommendations  </w:t>
      </w:r>
    </w:p>
    <w:p w14:paraId="7A3E50D6" w14:textId="77777777" w:rsidR="008F652D" w:rsidRPr="006F11FF" w:rsidRDefault="008F652D" w:rsidP="00BE4783">
      <w:pPr>
        <w:pStyle w:val="ListParagraph"/>
        <w:numPr>
          <w:ilvl w:val="0"/>
          <w:numId w:val="22"/>
        </w:numPr>
        <w:spacing w:after="0" w:line="240" w:lineRule="auto"/>
        <w:rPr>
          <w:rFonts w:eastAsia="Calibri" w:cs="Calibri"/>
          <w:sz w:val="22"/>
          <w:szCs w:val="22"/>
        </w:rPr>
      </w:pPr>
      <w:r w:rsidRPr="006F11FF">
        <w:rPr>
          <w:rFonts w:eastAsia="Calibri" w:cs="Calibri"/>
          <w:sz w:val="22"/>
          <w:szCs w:val="22"/>
        </w:rPr>
        <w:t>No clear starting place; inconsistent entry, referral, and intake pathways</w:t>
      </w:r>
    </w:p>
    <w:p w14:paraId="43B022D8" w14:textId="77777777" w:rsidR="008F652D" w:rsidRPr="006F11FF" w:rsidRDefault="008F652D" w:rsidP="00BE4783">
      <w:pPr>
        <w:pStyle w:val="ListParagraph"/>
        <w:numPr>
          <w:ilvl w:val="0"/>
          <w:numId w:val="22"/>
        </w:numPr>
        <w:spacing w:after="0" w:line="240" w:lineRule="auto"/>
        <w:rPr>
          <w:rFonts w:eastAsia="Calibri" w:cs="Calibri"/>
          <w:sz w:val="22"/>
          <w:szCs w:val="22"/>
        </w:rPr>
      </w:pPr>
      <w:r w:rsidRPr="006F11FF">
        <w:rPr>
          <w:rFonts w:eastAsia="Calibri" w:cs="Calibri"/>
          <w:sz w:val="22"/>
          <w:szCs w:val="22"/>
        </w:rPr>
        <w:t>Families lack clear information on services, roles, and eligibility</w:t>
      </w:r>
    </w:p>
    <w:p w14:paraId="5735911C" w14:textId="77777777" w:rsidR="008F652D" w:rsidRPr="006F11FF" w:rsidRDefault="008F652D" w:rsidP="00BE4783">
      <w:pPr>
        <w:pStyle w:val="ListParagraph"/>
        <w:numPr>
          <w:ilvl w:val="0"/>
          <w:numId w:val="22"/>
        </w:numPr>
        <w:spacing w:after="0" w:line="240" w:lineRule="auto"/>
        <w:rPr>
          <w:rFonts w:eastAsia="Calibri" w:cs="Calibri"/>
          <w:sz w:val="22"/>
          <w:szCs w:val="22"/>
        </w:rPr>
      </w:pPr>
      <w:r w:rsidRPr="006F11FF">
        <w:rPr>
          <w:rFonts w:eastAsia="Calibri" w:cs="Calibri"/>
          <w:sz w:val="22"/>
          <w:szCs w:val="22"/>
        </w:rPr>
        <w:t>Caregiver burden + barriers from requirements, hours, transportation, transitions</w:t>
      </w:r>
    </w:p>
    <w:p w14:paraId="3D0CB471"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sz w:val="22"/>
          <w:szCs w:val="22"/>
        </w:rPr>
      </w:pPr>
    </w:p>
    <w:p w14:paraId="2B7321A7"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0" w:name="_Hlk222312278"/>
      <w:r w:rsidRPr="006F11FF">
        <w:rPr>
          <w:rStyle w:val="normaltextrun"/>
          <w:rFonts w:asciiTheme="minorHAnsi" w:eastAsiaTheme="majorEastAsia" w:hAnsiTheme="minorHAnsi" w:cs="Calibri"/>
          <w:b/>
          <w:bCs/>
          <w:color w:val="215E99" w:themeColor="text2" w:themeTint="BF"/>
          <w:sz w:val="22"/>
          <w:szCs w:val="22"/>
        </w:rPr>
        <w:t>Policy Recommendation:</w:t>
      </w:r>
    </w:p>
    <w:bookmarkEnd w:id="0"/>
    <w:p w14:paraId="7ADECBE5" w14:textId="77777777" w:rsidR="008F652D" w:rsidRPr="006F11FF" w:rsidRDefault="008F652D" w:rsidP="008F652D">
      <w:pPr>
        <w:pStyle w:val="paragraph"/>
        <w:spacing w:before="0" w:beforeAutospacing="0" w:after="0" w:afterAutospacing="0"/>
        <w:textAlignment w:val="baseline"/>
        <w:rPr>
          <w:rFonts w:asciiTheme="minorHAnsi" w:hAnsiTheme="minorHAnsi" w:cs="Segoe UI"/>
          <w:sz w:val="22"/>
          <w:szCs w:val="22"/>
        </w:rPr>
      </w:pPr>
      <w:r w:rsidRPr="006F11FF">
        <w:rPr>
          <w:rStyle w:val="normaltextrun"/>
          <w:rFonts w:asciiTheme="minorHAnsi" w:eastAsiaTheme="majorEastAsia" w:hAnsiTheme="minorHAnsi" w:cs="Calibri"/>
          <w:sz w:val="22"/>
          <w:szCs w:val="22"/>
        </w:rPr>
        <w:t>Reduce unnecessary burdens and service delivery delay by ensuring access, entry, and navigation system design is family centered and family driven.  </w:t>
      </w:r>
      <w:r w:rsidRPr="006F11FF">
        <w:rPr>
          <w:rStyle w:val="eop"/>
          <w:rFonts w:asciiTheme="minorHAnsi" w:hAnsiTheme="minorHAnsi" w:cs="Calibri"/>
          <w:sz w:val="22"/>
          <w:szCs w:val="22"/>
        </w:rPr>
        <w:t> </w:t>
      </w:r>
    </w:p>
    <w:p w14:paraId="5041144A"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sz w:val="22"/>
          <w:szCs w:val="22"/>
        </w:rPr>
      </w:pPr>
    </w:p>
    <w:p w14:paraId="6BB43DB6"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1" w:name="_Hlk222312418"/>
      <w:r w:rsidRPr="006F11FF">
        <w:rPr>
          <w:rStyle w:val="normaltextrun"/>
          <w:rFonts w:asciiTheme="minorHAnsi" w:eastAsiaTheme="majorEastAsia" w:hAnsiTheme="minorHAnsi" w:cs="Calibri"/>
          <w:b/>
          <w:bCs/>
          <w:color w:val="215E99" w:themeColor="text2" w:themeTint="BF"/>
          <w:sz w:val="22"/>
          <w:szCs w:val="22"/>
        </w:rPr>
        <w:t>Key Elements:</w:t>
      </w:r>
    </w:p>
    <w:bookmarkEnd w:id="1"/>
    <w:p w14:paraId="7CB05F5B" w14:textId="77777777" w:rsidR="008F652D" w:rsidRPr="006F11FF" w:rsidRDefault="008F652D" w:rsidP="00BE4783">
      <w:pPr>
        <w:pStyle w:val="paragraph"/>
        <w:numPr>
          <w:ilvl w:val="0"/>
          <w:numId w:val="16"/>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Utilize existing behavioral health groups, such as the Children’s Behavioral Health Advisory Council, the various Family Advisory Councils, and family-serving community agencies to elicit significant input from families on potential improvements to the child-serving systems.</w:t>
      </w:r>
      <w:r w:rsidRPr="006F11FF">
        <w:rPr>
          <w:rStyle w:val="eop"/>
          <w:rFonts w:asciiTheme="minorHAnsi" w:hAnsiTheme="minorHAnsi" w:cs="Calibri"/>
          <w:sz w:val="22"/>
          <w:szCs w:val="22"/>
        </w:rPr>
        <w:t> </w:t>
      </w:r>
    </w:p>
    <w:p w14:paraId="15472A29" w14:textId="77777777" w:rsidR="008F652D" w:rsidRPr="006F11FF" w:rsidRDefault="008F652D" w:rsidP="00BE4783">
      <w:pPr>
        <w:pStyle w:val="paragraph"/>
        <w:numPr>
          <w:ilvl w:val="0"/>
          <w:numId w:val="16"/>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Gather information from stakeholders (i.e., providers, schools, pediatricians, behavioral health professionals, MassHealth, community health centers, family advisory councils, first responders, etc.) regarding potential improvements to the child-serving systems.  </w:t>
      </w:r>
      <w:r w:rsidRPr="006F11FF">
        <w:rPr>
          <w:rStyle w:val="eop"/>
          <w:rFonts w:asciiTheme="minorHAnsi" w:hAnsiTheme="minorHAnsi" w:cs="Calibri"/>
          <w:sz w:val="22"/>
          <w:szCs w:val="22"/>
        </w:rPr>
        <w:t> </w:t>
      </w:r>
    </w:p>
    <w:p w14:paraId="6629235C" w14:textId="77777777" w:rsidR="008F652D" w:rsidRPr="006F11FF" w:rsidRDefault="008F652D" w:rsidP="00BE4783">
      <w:pPr>
        <w:pStyle w:val="paragraph"/>
        <w:numPr>
          <w:ilvl w:val="0"/>
          <w:numId w:val="16"/>
        </w:numPr>
        <w:spacing w:before="0" w:beforeAutospacing="0" w:after="0" w:afterAutospacing="0"/>
        <w:textAlignment w:val="baseline"/>
        <w:rPr>
          <w:rStyle w:val="normaltextrun"/>
          <w:rFonts w:asciiTheme="minorHAnsi" w:hAnsiTheme="minorHAnsi" w:cs="Calibri"/>
          <w:sz w:val="22"/>
          <w:szCs w:val="22"/>
        </w:rPr>
      </w:pPr>
      <w:r w:rsidRPr="006F11FF">
        <w:rPr>
          <w:rStyle w:val="normaltextrun"/>
          <w:rFonts w:asciiTheme="minorHAnsi" w:eastAsiaTheme="majorEastAsia" w:hAnsiTheme="minorHAnsi" w:cs="Calibri"/>
          <w:sz w:val="22"/>
          <w:szCs w:val="22"/>
        </w:rPr>
        <w:t>Utilize the Children’s Behavioral Health Advisory Council or an extension of this Special Commission to develop and make recommendations gathered from stakeholder input for a framework to access, enter, and navigate children’s services that will reduce the burden on caregivers and ensure timely services. </w:t>
      </w:r>
    </w:p>
    <w:p w14:paraId="533E70AA" w14:textId="77777777" w:rsidR="008F652D" w:rsidRPr="006F11FF" w:rsidRDefault="008F652D" w:rsidP="00BE4783">
      <w:pPr>
        <w:pStyle w:val="paragraph"/>
        <w:numPr>
          <w:ilvl w:val="1"/>
          <w:numId w:val="16"/>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The recommendations should include proposed funding mechanisms for the framework.</w:t>
      </w:r>
      <w:r w:rsidRPr="006F11FF">
        <w:rPr>
          <w:rStyle w:val="eop"/>
          <w:rFonts w:asciiTheme="minorHAnsi" w:hAnsiTheme="minorHAnsi" w:cs="Calibri"/>
          <w:sz w:val="22"/>
          <w:szCs w:val="22"/>
        </w:rPr>
        <w:t> </w:t>
      </w:r>
    </w:p>
    <w:p w14:paraId="1D750758" w14:textId="77777777" w:rsidR="008F652D" w:rsidRPr="006F11FF" w:rsidRDefault="008F652D" w:rsidP="00BE4783">
      <w:pPr>
        <w:pStyle w:val="paragraph"/>
        <w:numPr>
          <w:ilvl w:val="1"/>
          <w:numId w:val="16"/>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Provide sufficient time for the Council or Commission to gather the data and develop the framework in a meaningful and thorough manner.</w:t>
      </w:r>
      <w:r w:rsidRPr="006F11FF">
        <w:rPr>
          <w:rStyle w:val="eop"/>
          <w:rFonts w:asciiTheme="minorHAnsi" w:hAnsiTheme="minorHAnsi" w:cs="Calibri"/>
          <w:sz w:val="22"/>
          <w:szCs w:val="22"/>
        </w:rPr>
        <w:t> </w:t>
      </w:r>
    </w:p>
    <w:p w14:paraId="2DA78FCA" w14:textId="77777777" w:rsidR="008F652D" w:rsidRPr="006F11FF" w:rsidRDefault="008F652D" w:rsidP="008F652D">
      <w:pPr>
        <w:pStyle w:val="paragraph"/>
        <w:spacing w:before="0" w:beforeAutospacing="0" w:after="0" w:afterAutospacing="0"/>
        <w:textAlignment w:val="baseline"/>
        <w:rPr>
          <w:rFonts w:asciiTheme="minorHAnsi" w:hAnsiTheme="minorHAnsi" w:cs="Segoe UI"/>
          <w:sz w:val="22"/>
          <w:szCs w:val="22"/>
        </w:rPr>
      </w:pPr>
      <w:r w:rsidRPr="006F11FF">
        <w:rPr>
          <w:rStyle w:val="eop"/>
          <w:rFonts w:asciiTheme="minorHAnsi" w:hAnsiTheme="minorHAnsi" w:cs="Calibri"/>
          <w:sz w:val="22"/>
          <w:szCs w:val="22"/>
        </w:rPr>
        <w:t> </w:t>
      </w:r>
    </w:p>
    <w:p w14:paraId="1044038A"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2" w:name="_Hlk222312621"/>
      <w:r w:rsidRPr="006F11FF">
        <w:rPr>
          <w:rStyle w:val="normaltextrun"/>
          <w:rFonts w:asciiTheme="minorHAnsi" w:eastAsiaTheme="majorEastAsia" w:hAnsiTheme="minorHAnsi" w:cs="Calibri"/>
          <w:b/>
          <w:bCs/>
          <w:color w:val="215E99" w:themeColor="text2" w:themeTint="BF"/>
          <w:sz w:val="22"/>
          <w:szCs w:val="22"/>
        </w:rPr>
        <w:t>Policy Recommendation:</w:t>
      </w:r>
    </w:p>
    <w:bookmarkEnd w:id="2"/>
    <w:p w14:paraId="1C487FBB" w14:textId="77777777" w:rsidR="008F652D" w:rsidRPr="006F11FF" w:rsidRDefault="008F652D" w:rsidP="008F652D">
      <w:pPr>
        <w:pStyle w:val="paragraph"/>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Provide clear information to families, providers, professionals, and the community about state agency (or community-based program/service, such as CBHC or CBHI) roles and services.</w:t>
      </w:r>
      <w:r w:rsidRPr="006F11FF">
        <w:rPr>
          <w:rStyle w:val="eop"/>
          <w:rFonts w:asciiTheme="minorHAnsi" w:hAnsiTheme="minorHAnsi" w:cs="Calibri"/>
          <w:sz w:val="22"/>
          <w:szCs w:val="22"/>
        </w:rPr>
        <w:t> </w:t>
      </w:r>
    </w:p>
    <w:p w14:paraId="2458DE0F" w14:textId="77777777" w:rsidR="008F652D" w:rsidRPr="006F11FF" w:rsidRDefault="008F652D" w:rsidP="008F652D">
      <w:pPr>
        <w:pStyle w:val="paragraph"/>
        <w:spacing w:before="0" w:beforeAutospacing="0" w:after="0" w:afterAutospacing="0"/>
        <w:textAlignment w:val="baseline"/>
        <w:rPr>
          <w:rFonts w:asciiTheme="minorHAnsi" w:hAnsiTheme="minorHAnsi" w:cs="Segoe UI"/>
          <w:sz w:val="22"/>
          <w:szCs w:val="22"/>
        </w:rPr>
      </w:pPr>
      <w:r w:rsidRPr="006F11FF">
        <w:rPr>
          <w:rStyle w:val="eop"/>
          <w:rFonts w:asciiTheme="minorHAnsi" w:hAnsiTheme="minorHAnsi" w:cs="Calibri"/>
          <w:sz w:val="22"/>
          <w:szCs w:val="22"/>
        </w:rPr>
        <w:t> </w:t>
      </w:r>
    </w:p>
    <w:p w14:paraId="004BB6FA"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3" w:name="_Hlk222314726"/>
      <w:r w:rsidRPr="006F11FF">
        <w:rPr>
          <w:rStyle w:val="normaltextrun"/>
          <w:rFonts w:asciiTheme="minorHAnsi" w:eastAsiaTheme="majorEastAsia" w:hAnsiTheme="minorHAnsi" w:cs="Calibri"/>
          <w:b/>
          <w:bCs/>
          <w:color w:val="215E99" w:themeColor="text2" w:themeTint="BF"/>
          <w:sz w:val="22"/>
          <w:szCs w:val="22"/>
        </w:rPr>
        <w:t>Key Elements:</w:t>
      </w:r>
    </w:p>
    <w:bookmarkEnd w:id="3"/>
    <w:p w14:paraId="73B739E8" w14:textId="77777777" w:rsidR="008F652D" w:rsidRPr="006F11FF" w:rsidRDefault="008F652D" w:rsidP="00BE4783">
      <w:pPr>
        <w:pStyle w:val="paragraph"/>
        <w:numPr>
          <w:ilvl w:val="0"/>
          <w:numId w:val="17"/>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Engage users of the services (families and children), service providers, professionals, and community agencies at the outset to help design materials and programs to educate stakeholders and the public about state agency, CBHC, BHUC, and CBHI roles and services.</w:t>
      </w:r>
      <w:r w:rsidRPr="006F11FF">
        <w:rPr>
          <w:rStyle w:val="eop"/>
          <w:rFonts w:asciiTheme="minorHAnsi" w:hAnsiTheme="minorHAnsi" w:cs="Calibri"/>
          <w:sz w:val="22"/>
          <w:szCs w:val="22"/>
        </w:rPr>
        <w:t> </w:t>
      </w:r>
    </w:p>
    <w:p w14:paraId="5735761D" w14:textId="77777777" w:rsidR="008F652D" w:rsidRPr="006F11FF" w:rsidRDefault="008F652D" w:rsidP="00BE4783">
      <w:pPr>
        <w:pStyle w:val="paragraph"/>
        <w:numPr>
          <w:ilvl w:val="1"/>
          <w:numId w:val="17"/>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Ensure that such materials and programs are widely disseminated using service providers, professionals, and community agencies on an ongoing basis.  </w:t>
      </w:r>
      <w:r w:rsidRPr="006F11FF">
        <w:rPr>
          <w:rStyle w:val="eop"/>
          <w:rFonts w:asciiTheme="minorHAnsi" w:hAnsiTheme="minorHAnsi" w:cs="Calibri"/>
          <w:sz w:val="22"/>
          <w:szCs w:val="22"/>
        </w:rPr>
        <w:t> </w:t>
      </w:r>
    </w:p>
    <w:p w14:paraId="62BACCE7" w14:textId="630471F8" w:rsidR="008F652D" w:rsidRPr="006F11FF" w:rsidRDefault="008F652D" w:rsidP="00BE4783">
      <w:pPr>
        <w:pStyle w:val="paragraph"/>
        <w:numPr>
          <w:ilvl w:val="1"/>
          <w:numId w:val="17"/>
        </w:numPr>
        <w:spacing w:before="0" w:beforeAutospacing="0" w:after="0" w:afterAutospacing="0"/>
        <w:textAlignment w:val="baseline"/>
        <w:rPr>
          <w:rStyle w:val="normaltextrun"/>
          <w:rFonts w:asciiTheme="minorHAnsi" w:hAnsiTheme="minorHAnsi" w:cs="Calibri"/>
          <w:sz w:val="22"/>
          <w:szCs w:val="22"/>
        </w:rPr>
      </w:pPr>
      <w:r w:rsidRPr="006F11FF">
        <w:rPr>
          <w:rStyle w:val="normaltextrun"/>
          <w:rFonts w:asciiTheme="minorHAnsi" w:eastAsiaTheme="majorEastAsia" w:hAnsiTheme="minorHAnsi" w:cs="Calibri"/>
          <w:sz w:val="22"/>
          <w:szCs w:val="22"/>
        </w:rPr>
        <w:t>Keep the materials updated.  </w:t>
      </w:r>
      <w:r w:rsidRPr="006F11FF">
        <w:rPr>
          <w:rStyle w:val="eop"/>
          <w:rFonts w:asciiTheme="minorHAnsi" w:hAnsiTheme="minorHAnsi" w:cs="Calibri"/>
          <w:sz w:val="22"/>
          <w:szCs w:val="22"/>
        </w:rPr>
        <w:t> </w:t>
      </w:r>
      <w:bookmarkStart w:id="4" w:name="_Hlk222314796"/>
    </w:p>
    <w:p w14:paraId="3353AC56"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p>
    <w:p w14:paraId="2C0720BB" w14:textId="034E9765"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r w:rsidRPr="006F11FF">
        <w:rPr>
          <w:rStyle w:val="normaltextrun"/>
          <w:rFonts w:asciiTheme="minorHAnsi" w:eastAsiaTheme="majorEastAsia" w:hAnsiTheme="minorHAnsi" w:cs="Calibri"/>
          <w:b/>
          <w:bCs/>
          <w:color w:val="215E99" w:themeColor="text2" w:themeTint="BF"/>
          <w:sz w:val="22"/>
          <w:szCs w:val="22"/>
        </w:rPr>
        <w:t>Policy Recommendation:</w:t>
      </w:r>
    </w:p>
    <w:bookmarkEnd w:id="4"/>
    <w:p w14:paraId="287F7655" w14:textId="77777777" w:rsidR="008F652D" w:rsidRPr="006F11FF" w:rsidRDefault="008F652D" w:rsidP="008F652D">
      <w:pPr>
        <w:pStyle w:val="paragraph"/>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Create a clear starting place for obtaining children’s services.  Too many helpline numbers and siloed agencies confuse not only families, but also providers, professionals, and the community when making referrals.</w:t>
      </w:r>
      <w:r w:rsidRPr="006F11FF">
        <w:rPr>
          <w:rStyle w:val="eop"/>
          <w:rFonts w:asciiTheme="minorHAnsi" w:hAnsiTheme="minorHAnsi" w:cs="Calibri"/>
          <w:sz w:val="22"/>
          <w:szCs w:val="22"/>
        </w:rPr>
        <w:t> </w:t>
      </w:r>
    </w:p>
    <w:p w14:paraId="3CEB70E6" w14:textId="77777777" w:rsidR="008F652D" w:rsidRPr="006F11FF" w:rsidRDefault="008F652D" w:rsidP="008F652D">
      <w:pPr>
        <w:pStyle w:val="paragraph"/>
        <w:spacing w:before="0" w:beforeAutospacing="0" w:after="0" w:afterAutospacing="0"/>
        <w:ind w:left="720"/>
        <w:textAlignment w:val="baseline"/>
        <w:rPr>
          <w:rFonts w:asciiTheme="minorHAnsi" w:hAnsiTheme="minorHAnsi" w:cs="Segoe UI"/>
          <w:sz w:val="22"/>
          <w:szCs w:val="22"/>
        </w:rPr>
      </w:pPr>
      <w:r w:rsidRPr="006F11FF">
        <w:rPr>
          <w:rStyle w:val="eop"/>
          <w:rFonts w:asciiTheme="minorHAnsi" w:hAnsiTheme="minorHAnsi" w:cs="Calibri"/>
          <w:sz w:val="22"/>
          <w:szCs w:val="22"/>
        </w:rPr>
        <w:t> </w:t>
      </w:r>
    </w:p>
    <w:p w14:paraId="2F56EF1D" w14:textId="77777777" w:rsidR="008F652D" w:rsidRPr="006F11FF"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5" w:name="_Hlk222313694"/>
      <w:r w:rsidRPr="006F11FF">
        <w:rPr>
          <w:rStyle w:val="normaltextrun"/>
          <w:rFonts w:asciiTheme="minorHAnsi" w:eastAsiaTheme="majorEastAsia" w:hAnsiTheme="minorHAnsi" w:cs="Calibri"/>
          <w:b/>
          <w:bCs/>
          <w:color w:val="215E99" w:themeColor="text2" w:themeTint="BF"/>
          <w:sz w:val="22"/>
          <w:szCs w:val="22"/>
        </w:rPr>
        <w:t>Key Elements:</w:t>
      </w:r>
    </w:p>
    <w:bookmarkEnd w:id="5"/>
    <w:p w14:paraId="351FF0EB" w14:textId="77777777" w:rsidR="008F652D" w:rsidRPr="006F11FF" w:rsidRDefault="008F652D" w:rsidP="00BE4783">
      <w:pPr>
        <w:pStyle w:val="paragraph"/>
        <w:numPr>
          <w:ilvl w:val="0"/>
          <w:numId w:val="18"/>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b/>
          <w:bCs/>
          <w:sz w:val="22"/>
          <w:szCs w:val="22"/>
        </w:rPr>
        <w:t>Create a single point of entry (“single entry door”) with cross-agency trained staff who can help families navigate across child-serving systems</w:t>
      </w:r>
      <w:r w:rsidRPr="006F11FF">
        <w:rPr>
          <w:rStyle w:val="normaltextrun"/>
          <w:rFonts w:asciiTheme="minorHAnsi" w:eastAsiaTheme="majorEastAsia" w:hAnsiTheme="minorHAnsi" w:cs="Calibri"/>
          <w:sz w:val="22"/>
          <w:szCs w:val="22"/>
        </w:rPr>
        <w:t>.  </w:t>
      </w:r>
      <w:r w:rsidRPr="006F11FF">
        <w:rPr>
          <w:rStyle w:val="eop"/>
          <w:rFonts w:asciiTheme="minorHAnsi" w:hAnsiTheme="minorHAnsi" w:cs="Calibri"/>
          <w:sz w:val="22"/>
          <w:szCs w:val="22"/>
        </w:rPr>
        <w:t> </w:t>
      </w:r>
    </w:p>
    <w:p w14:paraId="256A48DB" w14:textId="77777777" w:rsidR="008F652D" w:rsidRPr="006F11FF" w:rsidRDefault="008F652D" w:rsidP="00BE4783">
      <w:pPr>
        <w:pStyle w:val="paragraph"/>
        <w:numPr>
          <w:ilvl w:val="0"/>
          <w:numId w:val="18"/>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Create a single pool of funds for this purpose regardless of utilization of the service by a particular agency (DMH, DDS, DYS, DCF, DPH, DESE). </w:t>
      </w:r>
      <w:r w:rsidRPr="006F11FF">
        <w:rPr>
          <w:rStyle w:val="eop"/>
          <w:rFonts w:asciiTheme="minorHAnsi" w:hAnsiTheme="minorHAnsi" w:cs="Calibri"/>
          <w:sz w:val="22"/>
          <w:szCs w:val="22"/>
        </w:rPr>
        <w:t> </w:t>
      </w:r>
    </w:p>
    <w:p w14:paraId="7979B918" w14:textId="77777777" w:rsidR="008F652D" w:rsidRPr="006F11FF" w:rsidRDefault="008F652D" w:rsidP="00BE4783">
      <w:pPr>
        <w:pStyle w:val="paragraph"/>
        <w:numPr>
          <w:ilvl w:val="0"/>
          <w:numId w:val="18"/>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After input from single-entry staff, create an interagency centralized data dashboard of information helpful to them so that they can efficiently and successfully perform their job.  </w:t>
      </w:r>
      <w:r w:rsidRPr="006F11FF">
        <w:rPr>
          <w:rStyle w:val="eop"/>
          <w:rFonts w:asciiTheme="minorHAnsi" w:hAnsiTheme="minorHAnsi" w:cs="Calibri"/>
          <w:sz w:val="22"/>
          <w:szCs w:val="22"/>
        </w:rPr>
        <w:t> </w:t>
      </w:r>
    </w:p>
    <w:p w14:paraId="4DBECF1F" w14:textId="77777777" w:rsidR="008F652D" w:rsidRPr="006F11FF" w:rsidRDefault="008F652D" w:rsidP="00BE4783">
      <w:pPr>
        <w:pStyle w:val="paragraph"/>
        <w:numPr>
          <w:ilvl w:val="0"/>
          <w:numId w:val="18"/>
        </w:numPr>
        <w:spacing w:before="0" w:beforeAutospacing="0" w:after="0" w:afterAutospacing="0"/>
        <w:textAlignment w:val="baseline"/>
        <w:rPr>
          <w:rFonts w:asciiTheme="minorHAnsi" w:hAnsiTheme="minorHAnsi" w:cs="Calibri"/>
          <w:sz w:val="22"/>
          <w:szCs w:val="22"/>
        </w:rPr>
      </w:pPr>
      <w:r w:rsidRPr="006F11FF">
        <w:rPr>
          <w:rStyle w:val="normaltextrun"/>
          <w:rFonts w:asciiTheme="minorHAnsi" w:eastAsiaTheme="majorEastAsia" w:hAnsiTheme="minorHAnsi" w:cs="Calibri"/>
          <w:sz w:val="22"/>
          <w:szCs w:val="22"/>
        </w:rPr>
        <w:t>Utilize all agency, providers, professionals, community partners, first responders, and the OBHPP to market this single-entry door in a family centered manner.</w:t>
      </w:r>
      <w:r w:rsidRPr="006F11FF">
        <w:rPr>
          <w:rStyle w:val="eop"/>
          <w:rFonts w:asciiTheme="minorHAnsi" w:hAnsiTheme="minorHAnsi" w:cs="Calibri"/>
          <w:sz w:val="22"/>
          <w:szCs w:val="22"/>
        </w:rPr>
        <w:t> </w:t>
      </w:r>
    </w:p>
    <w:p w14:paraId="2C1CA66A" w14:textId="77777777" w:rsidR="008F652D" w:rsidRPr="006F11FF" w:rsidRDefault="008F652D" w:rsidP="008F652D">
      <w:pPr>
        <w:pStyle w:val="paragraph"/>
        <w:spacing w:before="0" w:beforeAutospacing="0" w:after="0" w:afterAutospacing="0"/>
        <w:ind w:left="1440"/>
        <w:textAlignment w:val="baseline"/>
        <w:rPr>
          <w:rFonts w:asciiTheme="minorHAnsi" w:hAnsiTheme="minorHAnsi" w:cs="Segoe UI"/>
          <w:sz w:val="22"/>
          <w:szCs w:val="22"/>
        </w:rPr>
      </w:pPr>
      <w:r w:rsidRPr="006F11FF">
        <w:rPr>
          <w:rStyle w:val="eop"/>
          <w:rFonts w:asciiTheme="minorHAnsi" w:hAnsiTheme="minorHAnsi" w:cs="Calibri"/>
          <w:sz w:val="22"/>
          <w:szCs w:val="22"/>
        </w:rPr>
        <w:t> </w:t>
      </w:r>
    </w:p>
    <w:p w14:paraId="6228F54A"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6" w:name="_Hlk222313820"/>
      <w:r w:rsidRPr="000709D9">
        <w:rPr>
          <w:rStyle w:val="normaltextrun"/>
          <w:rFonts w:asciiTheme="minorHAnsi" w:eastAsiaTheme="majorEastAsia" w:hAnsiTheme="minorHAnsi" w:cs="Calibri"/>
          <w:b/>
          <w:bCs/>
          <w:color w:val="215E99" w:themeColor="text2" w:themeTint="BF"/>
          <w:sz w:val="22"/>
          <w:szCs w:val="22"/>
        </w:rPr>
        <w:t>Policy Recommendation</w:t>
      </w:r>
      <w:bookmarkEnd w:id="6"/>
      <w:r w:rsidRPr="000709D9">
        <w:rPr>
          <w:rStyle w:val="normaltextrun"/>
          <w:rFonts w:asciiTheme="minorHAnsi" w:eastAsiaTheme="majorEastAsia" w:hAnsiTheme="minorHAnsi" w:cs="Calibri"/>
          <w:b/>
          <w:bCs/>
          <w:color w:val="215E99" w:themeColor="text2" w:themeTint="BF"/>
          <w:sz w:val="22"/>
          <w:szCs w:val="22"/>
        </w:rPr>
        <w:t>:</w:t>
      </w:r>
    </w:p>
    <w:p w14:paraId="58570E58" w14:textId="77777777" w:rsidR="008F652D" w:rsidRPr="000709D9" w:rsidRDefault="008F652D" w:rsidP="008F652D">
      <w:pPr>
        <w:pStyle w:val="paragraph"/>
        <w:spacing w:before="0" w:beforeAutospacing="0" w:after="0" w:afterAutospacing="0"/>
        <w:textAlignment w:val="baseline"/>
        <w:rPr>
          <w:rFonts w:asciiTheme="minorHAnsi" w:hAnsiTheme="minorHAnsi" w:cs="Calibri"/>
          <w:sz w:val="22"/>
          <w:szCs w:val="22"/>
        </w:rPr>
      </w:pPr>
      <w:r w:rsidRPr="00B11A09">
        <w:rPr>
          <w:rStyle w:val="normaltextrun"/>
          <w:rFonts w:asciiTheme="minorHAnsi" w:eastAsiaTheme="majorEastAsia" w:hAnsiTheme="minorHAnsi" w:cs="Calibri"/>
          <w:sz w:val="22"/>
          <w:szCs w:val="22"/>
        </w:rPr>
        <w:t>Standardize application processes and eligibility criteria across agencies, child-serving system, and/or programs to eliminate undue burden and confusion for families and those making referrals</w:t>
      </w:r>
      <w:r w:rsidRPr="000709D9">
        <w:rPr>
          <w:rStyle w:val="normaltextrun"/>
          <w:rFonts w:asciiTheme="minorHAnsi" w:eastAsiaTheme="majorEastAsia" w:hAnsiTheme="minorHAnsi" w:cs="Calibri"/>
          <w:sz w:val="22"/>
          <w:szCs w:val="22"/>
        </w:rPr>
        <w:t>. </w:t>
      </w:r>
      <w:r w:rsidRPr="000709D9">
        <w:rPr>
          <w:rStyle w:val="normaltextrun"/>
          <w:rFonts w:asciiTheme="minorHAnsi" w:eastAsiaTheme="majorEastAsia" w:hAnsiTheme="minorHAnsi" w:cs="Calibri"/>
          <w:b/>
          <w:bCs/>
          <w:sz w:val="22"/>
          <w:szCs w:val="22"/>
        </w:rPr>
        <w:t> (Overlap with Coverage &amp; Affordability, Equity, and System Design)</w:t>
      </w:r>
      <w:r w:rsidRPr="000709D9">
        <w:rPr>
          <w:rStyle w:val="normaltextrun"/>
          <w:rFonts w:asciiTheme="minorHAnsi" w:eastAsiaTheme="majorEastAsia" w:hAnsiTheme="minorHAnsi" w:cs="Calibri"/>
          <w:sz w:val="22"/>
          <w:szCs w:val="22"/>
        </w:rPr>
        <w:t xml:space="preserve">    </w:t>
      </w:r>
      <w:r w:rsidRPr="000709D9">
        <w:rPr>
          <w:rStyle w:val="eop"/>
          <w:rFonts w:asciiTheme="minorHAnsi" w:hAnsiTheme="minorHAnsi" w:cs="Calibri"/>
          <w:sz w:val="22"/>
          <w:szCs w:val="22"/>
        </w:rPr>
        <w:t> </w:t>
      </w:r>
    </w:p>
    <w:p w14:paraId="1ECE267B" w14:textId="77777777" w:rsidR="008F652D" w:rsidRPr="000709D9" w:rsidRDefault="008F652D" w:rsidP="008F652D">
      <w:pPr>
        <w:pStyle w:val="paragraph"/>
        <w:spacing w:before="0" w:beforeAutospacing="0" w:after="0" w:afterAutospacing="0"/>
        <w:textAlignment w:val="baseline"/>
        <w:rPr>
          <w:rFonts w:asciiTheme="minorHAnsi" w:hAnsiTheme="minorHAnsi" w:cs="Segoe UI"/>
          <w:sz w:val="22"/>
          <w:szCs w:val="22"/>
        </w:rPr>
      </w:pPr>
      <w:r w:rsidRPr="000709D9">
        <w:rPr>
          <w:rStyle w:val="eop"/>
          <w:rFonts w:asciiTheme="minorHAnsi" w:hAnsiTheme="minorHAnsi" w:cs="Calibri"/>
          <w:sz w:val="22"/>
          <w:szCs w:val="22"/>
        </w:rPr>
        <w:t> </w:t>
      </w:r>
    </w:p>
    <w:p w14:paraId="65A6EE5C"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r w:rsidRPr="000709D9">
        <w:rPr>
          <w:rStyle w:val="normaltextrun"/>
          <w:rFonts w:asciiTheme="minorHAnsi" w:eastAsiaTheme="majorEastAsia" w:hAnsiTheme="minorHAnsi" w:cs="Calibri"/>
          <w:b/>
          <w:bCs/>
          <w:color w:val="215E99" w:themeColor="text2" w:themeTint="BF"/>
          <w:sz w:val="22"/>
          <w:szCs w:val="22"/>
        </w:rPr>
        <w:t>Key Elements:</w:t>
      </w:r>
    </w:p>
    <w:p w14:paraId="501329AB" w14:textId="77777777" w:rsidR="008F652D" w:rsidRPr="000709D9" w:rsidRDefault="008F652D" w:rsidP="00BE4783">
      <w:pPr>
        <w:pStyle w:val="paragraph"/>
        <w:numPr>
          <w:ilvl w:val="0"/>
          <w:numId w:val="19"/>
        </w:numPr>
        <w:spacing w:before="0" w:beforeAutospacing="0" w:after="0" w:afterAutospacing="0"/>
        <w:textAlignment w:val="baseline"/>
        <w:rPr>
          <w:rFonts w:asciiTheme="minorHAnsi" w:hAnsiTheme="minorHAnsi" w:cs="Calibri"/>
          <w:sz w:val="22"/>
          <w:szCs w:val="22"/>
        </w:rPr>
      </w:pPr>
      <w:r w:rsidRPr="00B11A09">
        <w:rPr>
          <w:rStyle w:val="normaltextrun"/>
          <w:rFonts w:asciiTheme="minorHAnsi" w:eastAsiaTheme="majorEastAsia" w:hAnsiTheme="minorHAnsi" w:cs="Calibri"/>
          <w:sz w:val="22"/>
          <w:szCs w:val="22"/>
        </w:rPr>
        <w:t>Create a standardized, streamlined, digitized</w:t>
      </w:r>
      <w:r w:rsidRPr="00B11A09">
        <w:rPr>
          <w:rStyle w:val="normaltextrun"/>
          <w:rFonts w:asciiTheme="minorHAnsi" w:eastAsiaTheme="majorEastAsia" w:hAnsiTheme="minorHAnsi" w:cs="Calibri"/>
          <w:b/>
          <w:bCs/>
          <w:sz w:val="22"/>
          <w:szCs w:val="22"/>
        </w:rPr>
        <w:t> </w:t>
      </w:r>
      <w:r w:rsidRPr="00B11A09">
        <w:rPr>
          <w:rStyle w:val="normaltextrun"/>
          <w:rFonts w:asciiTheme="minorHAnsi" w:eastAsiaTheme="majorEastAsia" w:hAnsiTheme="minorHAnsi" w:cs="Calibri"/>
          <w:b/>
          <w:bCs/>
          <w:i/>
          <w:iCs/>
          <w:sz w:val="22"/>
          <w:szCs w:val="22"/>
        </w:rPr>
        <w:t>referral</w:t>
      </w:r>
      <w:r w:rsidRPr="00B11A09">
        <w:rPr>
          <w:rStyle w:val="normaltextrun"/>
          <w:rFonts w:asciiTheme="minorHAnsi" w:eastAsiaTheme="majorEastAsia" w:hAnsiTheme="minorHAnsi" w:cs="Calibri"/>
          <w:b/>
          <w:bCs/>
          <w:sz w:val="22"/>
          <w:szCs w:val="22"/>
        </w:rPr>
        <w:t xml:space="preserve"> process </w:t>
      </w:r>
      <w:r w:rsidRPr="00B11A09">
        <w:rPr>
          <w:rStyle w:val="normaltextrun"/>
          <w:rFonts w:asciiTheme="minorHAnsi" w:eastAsiaTheme="majorEastAsia" w:hAnsiTheme="minorHAnsi" w:cs="Calibri"/>
          <w:sz w:val="22"/>
          <w:szCs w:val="22"/>
        </w:rPr>
        <w:t>across all</w:t>
      </w:r>
      <w:r w:rsidRPr="00B11A09">
        <w:rPr>
          <w:rStyle w:val="normaltextrun"/>
          <w:rFonts w:asciiTheme="minorHAnsi" w:eastAsiaTheme="majorEastAsia" w:hAnsiTheme="minorHAnsi" w:cs="Calibri"/>
          <w:b/>
          <w:bCs/>
          <w:sz w:val="22"/>
          <w:szCs w:val="22"/>
        </w:rPr>
        <w:t> </w:t>
      </w:r>
      <w:r w:rsidRPr="00B11A09">
        <w:rPr>
          <w:rStyle w:val="normaltextrun"/>
          <w:rFonts w:asciiTheme="minorHAnsi" w:eastAsiaTheme="majorEastAsia" w:hAnsiTheme="minorHAnsi" w:cs="Calibri"/>
          <w:sz w:val="22"/>
          <w:szCs w:val="22"/>
        </w:rPr>
        <w:t>referring partners (agencies, providers, professionals, families, first responders, community</w:t>
      </w:r>
      <w:r w:rsidRPr="000709D9">
        <w:rPr>
          <w:rStyle w:val="normaltextrun"/>
          <w:rFonts w:asciiTheme="minorHAnsi" w:eastAsiaTheme="majorEastAsia" w:hAnsiTheme="minorHAnsi" w:cs="Calibri"/>
          <w:sz w:val="22"/>
          <w:szCs w:val="22"/>
        </w:rPr>
        <w:t>.)</w:t>
      </w:r>
      <w:r w:rsidRPr="000709D9">
        <w:rPr>
          <w:rStyle w:val="eop"/>
          <w:rFonts w:asciiTheme="minorHAnsi" w:hAnsiTheme="minorHAnsi" w:cs="Calibri"/>
          <w:sz w:val="22"/>
          <w:szCs w:val="22"/>
        </w:rPr>
        <w:t xml:space="preserve">  </w:t>
      </w:r>
      <w:r w:rsidRPr="000709D9">
        <w:rPr>
          <w:rStyle w:val="eop"/>
          <w:rFonts w:asciiTheme="minorHAnsi" w:hAnsiTheme="minorHAnsi" w:cs="Calibri"/>
          <w:b/>
          <w:bCs/>
          <w:sz w:val="22"/>
          <w:szCs w:val="22"/>
        </w:rPr>
        <w:t>(Overlap with System Design)</w:t>
      </w:r>
    </w:p>
    <w:p w14:paraId="0A3274B1" w14:textId="77777777" w:rsidR="008F652D" w:rsidRPr="000709D9" w:rsidRDefault="008F652D" w:rsidP="00BE4783">
      <w:pPr>
        <w:pStyle w:val="paragraph"/>
        <w:numPr>
          <w:ilvl w:val="0"/>
          <w:numId w:val="19"/>
        </w:numPr>
        <w:spacing w:before="0" w:beforeAutospacing="0" w:after="0" w:afterAutospacing="0"/>
        <w:textAlignment w:val="baseline"/>
        <w:rPr>
          <w:rFonts w:asciiTheme="minorHAnsi" w:hAnsiTheme="minorHAnsi" w:cs="Calibri"/>
          <w:b/>
          <w:bCs/>
          <w:sz w:val="22"/>
          <w:szCs w:val="22"/>
        </w:rPr>
      </w:pPr>
      <w:r w:rsidRPr="00B11A09">
        <w:rPr>
          <w:rStyle w:val="normaltextrun"/>
          <w:rFonts w:asciiTheme="minorHAnsi" w:eastAsiaTheme="majorEastAsia" w:hAnsiTheme="minorHAnsi" w:cs="Calibri"/>
          <w:sz w:val="22"/>
          <w:szCs w:val="22"/>
        </w:rPr>
        <w:t>Create a standardized, streamlined, digitized </w:t>
      </w:r>
      <w:r w:rsidRPr="00B11A09">
        <w:rPr>
          <w:rStyle w:val="normaltextrun"/>
          <w:rFonts w:asciiTheme="minorHAnsi" w:eastAsiaTheme="majorEastAsia" w:hAnsiTheme="minorHAnsi" w:cs="Calibri"/>
          <w:b/>
          <w:bCs/>
          <w:i/>
          <w:iCs/>
          <w:sz w:val="22"/>
          <w:szCs w:val="22"/>
        </w:rPr>
        <w:t>application</w:t>
      </w:r>
      <w:r w:rsidRPr="00B11A09">
        <w:rPr>
          <w:rStyle w:val="normaltextrun"/>
          <w:rFonts w:asciiTheme="minorHAnsi" w:eastAsiaTheme="majorEastAsia" w:hAnsiTheme="minorHAnsi" w:cs="Calibri"/>
          <w:b/>
          <w:bCs/>
          <w:sz w:val="22"/>
          <w:szCs w:val="22"/>
        </w:rPr>
        <w:t> process</w:t>
      </w:r>
      <w:r w:rsidRPr="00B11A09">
        <w:rPr>
          <w:rStyle w:val="normaltextrun"/>
          <w:rFonts w:asciiTheme="minorHAnsi" w:eastAsiaTheme="majorEastAsia" w:hAnsiTheme="minorHAnsi" w:cs="Calibri"/>
          <w:sz w:val="22"/>
          <w:szCs w:val="22"/>
        </w:rPr>
        <w:t xml:space="preserve"> across all agencies with succinct addendums for needed agency specific information</w:t>
      </w:r>
      <w:r w:rsidRPr="000709D9">
        <w:rPr>
          <w:rStyle w:val="normaltextrun"/>
          <w:rFonts w:asciiTheme="minorHAnsi" w:eastAsiaTheme="majorEastAsia" w:hAnsiTheme="minorHAnsi" w:cs="Calibri"/>
          <w:sz w:val="22"/>
          <w:szCs w:val="22"/>
        </w:rPr>
        <w:t>.</w:t>
      </w:r>
      <w:r w:rsidRPr="000709D9">
        <w:rPr>
          <w:rStyle w:val="eop"/>
          <w:rFonts w:asciiTheme="minorHAnsi" w:hAnsiTheme="minorHAnsi" w:cs="Calibri"/>
          <w:sz w:val="22"/>
          <w:szCs w:val="22"/>
        </w:rPr>
        <w:t> </w:t>
      </w:r>
      <w:r w:rsidRPr="000709D9">
        <w:rPr>
          <w:rStyle w:val="eop"/>
          <w:rFonts w:asciiTheme="minorHAnsi" w:hAnsiTheme="minorHAnsi" w:cs="Calibri"/>
          <w:b/>
          <w:bCs/>
          <w:sz w:val="22"/>
          <w:szCs w:val="22"/>
        </w:rPr>
        <w:t>(Overlap with System Design)</w:t>
      </w:r>
    </w:p>
    <w:p w14:paraId="4CB36F89" w14:textId="77777777" w:rsidR="008F652D" w:rsidRPr="000709D9" w:rsidRDefault="008F652D" w:rsidP="00BE4783">
      <w:pPr>
        <w:pStyle w:val="ListParagraph"/>
        <w:numPr>
          <w:ilvl w:val="0"/>
          <w:numId w:val="19"/>
        </w:numPr>
        <w:spacing w:after="0" w:line="240" w:lineRule="auto"/>
        <w:textAlignment w:val="baseline"/>
        <w:rPr>
          <w:rFonts w:cs="Calibri"/>
          <w:sz w:val="22"/>
          <w:szCs w:val="22"/>
        </w:rPr>
      </w:pPr>
      <w:r w:rsidRPr="00B11A09">
        <w:rPr>
          <w:rStyle w:val="normaltextrun"/>
          <w:rFonts w:eastAsiaTheme="majorEastAsia" w:cs="Calibri"/>
          <w:sz w:val="22"/>
          <w:szCs w:val="22"/>
        </w:rPr>
        <w:t>Align eligibility criteria across all agencies as much as possible</w:t>
      </w:r>
      <w:r w:rsidRPr="000709D9">
        <w:rPr>
          <w:rStyle w:val="normaltextrun"/>
          <w:rFonts w:eastAsiaTheme="majorEastAsia" w:cs="Calibri"/>
          <w:sz w:val="22"/>
          <w:szCs w:val="22"/>
        </w:rPr>
        <w:t xml:space="preserve">. </w:t>
      </w:r>
      <w:bookmarkStart w:id="7" w:name="_Hlk222410709"/>
      <w:r w:rsidRPr="000709D9">
        <w:rPr>
          <w:rStyle w:val="normaltextrun"/>
          <w:rFonts w:eastAsiaTheme="majorEastAsia" w:cs="Calibri"/>
          <w:b/>
          <w:bCs/>
          <w:sz w:val="22"/>
          <w:szCs w:val="22"/>
        </w:rPr>
        <w:t>(Overlap with Coverage &amp; Affordability, Equity, and System Design)</w:t>
      </w:r>
      <w:r w:rsidRPr="000709D9">
        <w:rPr>
          <w:rStyle w:val="normaltextrun"/>
          <w:rFonts w:eastAsiaTheme="majorEastAsia" w:cs="Calibri"/>
          <w:sz w:val="22"/>
          <w:szCs w:val="22"/>
        </w:rPr>
        <w:t>  </w:t>
      </w:r>
      <w:r w:rsidRPr="000709D9">
        <w:rPr>
          <w:rStyle w:val="eop"/>
          <w:rFonts w:cs="Calibri"/>
          <w:sz w:val="22"/>
          <w:szCs w:val="22"/>
        </w:rPr>
        <w:t> </w:t>
      </w:r>
    </w:p>
    <w:bookmarkEnd w:id="7"/>
    <w:p w14:paraId="1ACAAE51" w14:textId="77777777" w:rsidR="008F652D" w:rsidRPr="000709D9" w:rsidRDefault="008F652D" w:rsidP="00BE4783">
      <w:pPr>
        <w:pStyle w:val="paragraph"/>
        <w:numPr>
          <w:ilvl w:val="0"/>
          <w:numId w:val="19"/>
        </w:numPr>
        <w:spacing w:before="0" w:beforeAutospacing="0" w:after="0" w:afterAutospacing="0"/>
        <w:textAlignment w:val="baseline"/>
        <w:rPr>
          <w:rFonts w:asciiTheme="minorHAnsi" w:hAnsiTheme="minorHAnsi" w:cs="Calibri"/>
          <w:sz w:val="22"/>
          <w:szCs w:val="22"/>
        </w:rPr>
      </w:pPr>
      <w:r w:rsidRPr="000709D9">
        <w:rPr>
          <w:rStyle w:val="normaltextrun"/>
          <w:rFonts w:asciiTheme="minorHAnsi" w:eastAsiaTheme="majorEastAsia" w:hAnsiTheme="minorHAnsi" w:cs="Calibri"/>
          <w:sz w:val="22"/>
          <w:szCs w:val="22"/>
        </w:rPr>
        <w:t>Ensure single-entry staff are well trained and receive ongoing </w:t>
      </w:r>
      <w:r w:rsidRPr="000709D9">
        <w:rPr>
          <w:rStyle w:val="normaltextrun"/>
          <w:rFonts w:asciiTheme="minorHAnsi" w:eastAsiaTheme="majorEastAsia" w:hAnsiTheme="minorHAnsi" w:cs="Calibri"/>
          <w:i/>
          <w:iCs/>
          <w:sz w:val="22"/>
          <w:szCs w:val="22"/>
        </w:rPr>
        <w:t>effective</w:t>
      </w:r>
      <w:r w:rsidRPr="000709D9">
        <w:rPr>
          <w:rStyle w:val="normaltextrun"/>
          <w:rFonts w:asciiTheme="minorHAnsi" w:eastAsiaTheme="majorEastAsia" w:hAnsiTheme="minorHAnsi" w:cs="Calibri"/>
          <w:sz w:val="22"/>
          <w:szCs w:val="22"/>
        </w:rPr>
        <w:t> training and updates across all agencies.   </w:t>
      </w:r>
      <w:r w:rsidRPr="000709D9">
        <w:rPr>
          <w:rStyle w:val="eop"/>
          <w:rFonts w:asciiTheme="minorHAnsi" w:hAnsiTheme="minorHAnsi" w:cs="Calibri"/>
          <w:sz w:val="22"/>
          <w:szCs w:val="22"/>
        </w:rPr>
        <w:t> </w:t>
      </w:r>
    </w:p>
    <w:p w14:paraId="6C8E2134" w14:textId="77777777" w:rsidR="008F652D" w:rsidRPr="000709D9" w:rsidRDefault="008F652D" w:rsidP="008F652D">
      <w:pPr>
        <w:pStyle w:val="paragraph"/>
        <w:spacing w:before="0" w:beforeAutospacing="0" w:after="0" w:afterAutospacing="0"/>
        <w:textAlignment w:val="baseline"/>
        <w:rPr>
          <w:rFonts w:asciiTheme="minorHAnsi" w:hAnsiTheme="minorHAnsi" w:cs="Segoe UI"/>
          <w:sz w:val="22"/>
          <w:szCs w:val="22"/>
        </w:rPr>
      </w:pPr>
      <w:r w:rsidRPr="000709D9">
        <w:rPr>
          <w:rStyle w:val="eop"/>
          <w:rFonts w:asciiTheme="minorHAnsi" w:hAnsiTheme="minorHAnsi" w:cs="Calibri"/>
          <w:sz w:val="22"/>
          <w:szCs w:val="22"/>
        </w:rPr>
        <w:t> </w:t>
      </w:r>
    </w:p>
    <w:p w14:paraId="239CC88B"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color w:val="215E99" w:themeColor="text2" w:themeTint="BF"/>
          <w:sz w:val="22"/>
          <w:szCs w:val="22"/>
        </w:rPr>
      </w:pPr>
      <w:r w:rsidRPr="000709D9">
        <w:rPr>
          <w:rStyle w:val="normaltextrun"/>
          <w:rFonts w:asciiTheme="minorHAnsi" w:eastAsiaTheme="majorEastAsia" w:hAnsiTheme="minorHAnsi" w:cs="Calibri"/>
          <w:b/>
          <w:bCs/>
          <w:color w:val="215E99" w:themeColor="text2" w:themeTint="BF"/>
          <w:sz w:val="22"/>
          <w:szCs w:val="22"/>
        </w:rPr>
        <w:t>Policy Recommendation:</w:t>
      </w:r>
    </w:p>
    <w:p w14:paraId="50C651B0" w14:textId="77777777" w:rsidR="008F652D" w:rsidRPr="000709D9" w:rsidRDefault="008F652D" w:rsidP="008F652D">
      <w:pPr>
        <w:pStyle w:val="paragraph"/>
        <w:spacing w:before="0" w:beforeAutospacing="0" w:after="0" w:afterAutospacing="0"/>
        <w:textAlignment w:val="baseline"/>
        <w:rPr>
          <w:rFonts w:asciiTheme="minorHAnsi" w:hAnsiTheme="minorHAnsi" w:cs="Segoe UI"/>
          <w:sz w:val="22"/>
          <w:szCs w:val="22"/>
        </w:rPr>
      </w:pPr>
      <w:r w:rsidRPr="000709D9">
        <w:rPr>
          <w:rStyle w:val="normaltextrun"/>
          <w:rFonts w:asciiTheme="minorHAnsi" w:eastAsiaTheme="majorEastAsia" w:hAnsiTheme="minorHAnsi" w:cs="Calibri"/>
          <w:sz w:val="22"/>
          <w:szCs w:val="22"/>
        </w:rPr>
        <w:t>Ensure access for those children whose multi-complex needs do not fit squarely within a single agency through agency collaboration and clarifying service accessibility.  </w:t>
      </w:r>
    </w:p>
    <w:p w14:paraId="6338BAEE"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sz w:val="22"/>
          <w:szCs w:val="22"/>
        </w:rPr>
      </w:pPr>
    </w:p>
    <w:p w14:paraId="12682F2E"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bookmarkStart w:id="8" w:name="_Hlk222314970"/>
      <w:r w:rsidRPr="000709D9">
        <w:rPr>
          <w:rStyle w:val="normaltextrun"/>
          <w:rFonts w:asciiTheme="minorHAnsi" w:eastAsiaTheme="majorEastAsia" w:hAnsiTheme="minorHAnsi" w:cs="Calibri"/>
          <w:b/>
          <w:bCs/>
          <w:color w:val="215E99" w:themeColor="text2" w:themeTint="BF"/>
          <w:sz w:val="22"/>
          <w:szCs w:val="22"/>
        </w:rPr>
        <w:t>Key Elements:</w:t>
      </w:r>
    </w:p>
    <w:bookmarkEnd w:id="8"/>
    <w:p w14:paraId="41E6AEB5" w14:textId="77777777" w:rsidR="008F652D" w:rsidRPr="000709D9" w:rsidRDefault="008F652D" w:rsidP="00BE4783">
      <w:pPr>
        <w:pStyle w:val="paragraph"/>
        <w:numPr>
          <w:ilvl w:val="0"/>
          <w:numId w:val="20"/>
        </w:numPr>
        <w:spacing w:before="0" w:beforeAutospacing="0" w:after="0" w:afterAutospacing="0"/>
        <w:textAlignment w:val="baseline"/>
        <w:rPr>
          <w:rFonts w:asciiTheme="minorHAnsi" w:hAnsiTheme="minorHAnsi" w:cs="Calibri"/>
          <w:b/>
          <w:bCs/>
          <w:sz w:val="22"/>
          <w:szCs w:val="22"/>
        </w:rPr>
      </w:pPr>
      <w:r w:rsidRPr="00B11A09">
        <w:rPr>
          <w:rStyle w:val="normaltextrun"/>
          <w:rFonts w:asciiTheme="minorHAnsi" w:eastAsiaTheme="majorEastAsia" w:hAnsiTheme="minorHAnsi" w:cs="Calibri"/>
          <w:b/>
          <w:bCs/>
          <w:sz w:val="22"/>
          <w:szCs w:val="22"/>
        </w:rPr>
        <w:t>Improve meaningful cross-agency and cross-sector communication</w:t>
      </w:r>
      <w:r w:rsidRPr="00B11A09">
        <w:rPr>
          <w:rStyle w:val="normaltextrun"/>
          <w:rFonts w:asciiTheme="minorHAnsi" w:eastAsiaTheme="majorEastAsia" w:hAnsiTheme="minorHAnsi" w:cs="Calibri"/>
          <w:sz w:val="22"/>
          <w:szCs w:val="22"/>
        </w:rPr>
        <w:t> among child-serving agencies with targeted goals and collaborative problem-solving</w:t>
      </w:r>
      <w:r w:rsidRPr="000709D9">
        <w:rPr>
          <w:rStyle w:val="normaltextrun"/>
          <w:rFonts w:asciiTheme="minorHAnsi" w:eastAsiaTheme="majorEastAsia" w:hAnsiTheme="minorHAnsi" w:cs="Calibri"/>
          <w:sz w:val="22"/>
          <w:szCs w:val="22"/>
        </w:rPr>
        <w:t>.</w:t>
      </w:r>
      <w:r w:rsidRPr="000709D9">
        <w:rPr>
          <w:rStyle w:val="eop"/>
          <w:rFonts w:asciiTheme="minorHAnsi" w:hAnsiTheme="minorHAnsi" w:cs="Calibri"/>
          <w:sz w:val="22"/>
          <w:szCs w:val="22"/>
        </w:rPr>
        <w:t> </w:t>
      </w:r>
      <w:r w:rsidRPr="000709D9">
        <w:rPr>
          <w:rStyle w:val="eop"/>
          <w:rFonts w:asciiTheme="minorHAnsi" w:hAnsiTheme="minorHAnsi" w:cs="Calibri"/>
          <w:b/>
          <w:bCs/>
          <w:sz w:val="22"/>
          <w:szCs w:val="22"/>
        </w:rPr>
        <w:t>(Overlap with Equity and System Design)</w:t>
      </w:r>
    </w:p>
    <w:p w14:paraId="49C93C08" w14:textId="77777777" w:rsidR="008F652D" w:rsidRPr="000709D9" w:rsidRDefault="008F652D" w:rsidP="00BE4783">
      <w:pPr>
        <w:pStyle w:val="paragraph"/>
        <w:numPr>
          <w:ilvl w:val="0"/>
          <w:numId w:val="20"/>
        </w:numPr>
        <w:spacing w:before="0" w:beforeAutospacing="0" w:after="0" w:afterAutospacing="0"/>
        <w:textAlignment w:val="baseline"/>
        <w:rPr>
          <w:rFonts w:asciiTheme="minorHAnsi" w:hAnsiTheme="minorHAnsi" w:cs="Calibri"/>
          <w:sz w:val="22"/>
          <w:szCs w:val="22"/>
        </w:rPr>
      </w:pPr>
      <w:r w:rsidRPr="000709D9">
        <w:rPr>
          <w:rStyle w:val="normaltextrun"/>
          <w:rFonts w:asciiTheme="minorHAnsi" w:eastAsiaTheme="majorEastAsia" w:hAnsiTheme="minorHAnsi" w:cs="Calibri"/>
          <w:sz w:val="22"/>
          <w:szCs w:val="22"/>
        </w:rPr>
        <w:t>Utilize the single-entry point system to bring agencies together to best serve the needs of the children and families.  </w:t>
      </w:r>
      <w:r w:rsidRPr="000709D9">
        <w:rPr>
          <w:rStyle w:val="eop"/>
          <w:rFonts w:asciiTheme="minorHAnsi" w:hAnsiTheme="minorHAnsi" w:cs="Calibri"/>
          <w:sz w:val="22"/>
          <w:szCs w:val="22"/>
        </w:rPr>
        <w:t> </w:t>
      </w:r>
    </w:p>
    <w:p w14:paraId="4810D66C" w14:textId="77777777" w:rsidR="008F652D" w:rsidRPr="000709D9" w:rsidRDefault="008F652D" w:rsidP="00BE4783">
      <w:pPr>
        <w:pStyle w:val="paragraph"/>
        <w:numPr>
          <w:ilvl w:val="0"/>
          <w:numId w:val="20"/>
        </w:numPr>
        <w:spacing w:before="0" w:beforeAutospacing="0" w:after="0" w:afterAutospacing="0"/>
        <w:textAlignment w:val="baseline"/>
        <w:rPr>
          <w:rFonts w:asciiTheme="minorHAnsi" w:hAnsiTheme="minorHAnsi" w:cs="Calibri"/>
          <w:sz w:val="22"/>
          <w:szCs w:val="22"/>
        </w:rPr>
      </w:pPr>
      <w:r w:rsidRPr="000709D9">
        <w:rPr>
          <w:rStyle w:val="normaltextrun"/>
          <w:rFonts w:asciiTheme="minorHAnsi" w:eastAsiaTheme="majorEastAsia" w:hAnsiTheme="minorHAnsi" w:cs="Calibri"/>
          <w:sz w:val="22"/>
          <w:szCs w:val="22"/>
        </w:rPr>
        <w:t>Utilize the pooling of funds concept to reduce the concern of individual agency budget expenditures.  </w:t>
      </w:r>
      <w:r w:rsidRPr="000709D9">
        <w:rPr>
          <w:rStyle w:val="eop"/>
          <w:rFonts w:asciiTheme="minorHAnsi" w:hAnsiTheme="minorHAnsi" w:cs="Calibri"/>
          <w:sz w:val="22"/>
          <w:szCs w:val="22"/>
        </w:rPr>
        <w:t> </w:t>
      </w:r>
    </w:p>
    <w:p w14:paraId="06557729" w14:textId="77777777" w:rsidR="00B6101D" w:rsidRPr="000709D9" w:rsidRDefault="00B6101D" w:rsidP="008F652D">
      <w:pPr>
        <w:pStyle w:val="paragraph"/>
        <w:spacing w:before="0" w:beforeAutospacing="0" w:after="0" w:afterAutospacing="0"/>
        <w:ind w:left="1440"/>
        <w:textAlignment w:val="baseline"/>
        <w:rPr>
          <w:rStyle w:val="eop"/>
          <w:rFonts w:asciiTheme="minorHAnsi" w:hAnsiTheme="minorHAnsi" w:cs="Calibri"/>
          <w:sz w:val="22"/>
          <w:szCs w:val="22"/>
        </w:rPr>
      </w:pPr>
    </w:p>
    <w:p w14:paraId="48FECD11" w14:textId="1F6470D1" w:rsidR="008F652D" w:rsidRPr="000709D9" w:rsidRDefault="008F652D" w:rsidP="008F652D">
      <w:pPr>
        <w:pStyle w:val="paragraph"/>
        <w:spacing w:before="0" w:beforeAutospacing="0" w:after="0" w:afterAutospacing="0"/>
        <w:ind w:left="1440"/>
        <w:textAlignment w:val="baseline"/>
        <w:rPr>
          <w:rFonts w:asciiTheme="minorHAnsi" w:hAnsiTheme="minorHAnsi" w:cs="Segoe UI"/>
          <w:sz w:val="22"/>
          <w:szCs w:val="22"/>
        </w:rPr>
      </w:pPr>
      <w:r w:rsidRPr="000709D9">
        <w:rPr>
          <w:rStyle w:val="eop"/>
          <w:rFonts w:asciiTheme="minorHAnsi" w:hAnsiTheme="minorHAnsi" w:cs="Calibri"/>
          <w:sz w:val="22"/>
          <w:szCs w:val="22"/>
        </w:rPr>
        <w:t> </w:t>
      </w:r>
    </w:p>
    <w:p w14:paraId="720DEB3A"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r w:rsidRPr="000709D9">
        <w:rPr>
          <w:rStyle w:val="normaltextrun"/>
          <w:rFonts w:asciiTheme="minorHAnsi" w:eastAsiaTheme="majorEastAsia" w:hAnsiTheme="minorHAnsi" w:cs="Calibri"/>
          <w:b/>
          <w:bCs/>
          <w:color w:val="215E99" w:themeColor="text2" w:themeTint="BF"/>
          <w:sz w:val="22"/>
          <w:szCs w:val="22"/>
        </w:rPr>
        <w:t>Policy Recommendation:</w:t>
      </w:r>
    </w:p>
    <w:p w14:paraId="1B05F90C" w14:textId="77777777" w:rsidR="008F652D" w:rsidRPr="000709D9" w:rsidRDefault="008F652D" w:rsidP="008F652D">
      <w:pPr>
        <w:pStyle w:val="paragraph"/>
        <w:spacing w:before="0" w:beforeAutospacing="0" w:after="0" w:afterAutospacing="0"/>
        <w:textAlignment w:val="baseline"/>
        <w:rPr>
          <w:rFonts w:asciiTheme="minorHAnsi" w:hAnsiTheme="minorHAnsi" w:cs="Calibri"/>
          <w:sz w:val="22"/>
          <w:szCs w:val="22"/>
        </w:rPr>
      </w:pPr>
      <w:r w:rsidRPr="00B11A09">
        <w:rPr>
          <w:rStyle w:val="normaltextrun"/>
          <w:rFonts w:asciiTheme="minorHAnsi" w:eastAsiaTheme="majorEastAsia" w:hAnsiTheme="minorHAnsi" w:cs="Calibri"/>
          <w:sz w:val="22"/>
          <w:szCs w:val="22"/>
        </w:rPr>
        <w:t>Clarify what services are covered by MassHealth, by commercial insurers, and which providers take which insurances to reduce confusion, misinformation, and inaccessibility of covered services</w:t>
      </w:r>
      <w:r w:rsidRPr="000709D9">
        <w:rPr>
          <w:rStyle w:val="normaltextrun"/>
          <w:rFonts w:asciiTheme="minorHAnsi" w:eastAsiaTheme="majorEastAsia" w:hAnsiTheme="minorHAnsi" w:cs="Calibri"/>
          <w:sz w:val="22"/>
          <w:szCs w:val="22"/>
        </w:rPr>
        <w:t>. </w:t>
      </w:r>
      <w:r w:rsidRPr="000709D9">
        <w:rPr>
          <w:rStyle w:val="eop"/>
          <w:rFonts w:asciiTheme="minorHAnsi" w:hAnsiTheme="minorHAnsi" w:cs="Calibri"/>
          <w:sz w:val="22"/>
          <w:szCs w:val="22"/>
        </w:rPr>
        <w:t> </w:t>
      </w:r>
      <w:r w:rsidRPr="000709D9">
        <w:rPr>
          <w:rStyle w:val="eop"/>
          <w:rFonts w:asciiTheme="minorHAnsi" w:hAnsiTheme="minorHAnsi" w:cs="Calibri"/>
          <w:b/>
          <w:bCs/>
          <w:sz w:val="22"/>
          <w:szCs w:val="22"/>
        </w:rPr>
        <w:t>(Overlap with Coverage &amp; Affordability and Service Design)</w:t>
      </w:r>
    </w:p>
    <w:p w14:paraId="4F300744" w14:textId="77777777" w:rsidR="008F652D" w:rsidRPr="000709D9" w:rsidRDefault="008F652D" w:rsidP="008F652D">
      <w:pPr>
        <w:pStyle w:val="paragraph"/>
        <w:spacing w:before="0" w:beforeAutospacing="0" w:after="0" w:afterAutospacing="0"/>
        <w:ind w:left="720"/>
        <w:textAlignment w:val="baseline"/>
        <w:rPr>
          <w:rFonts w:asciiTheme="minorHAnsi" w:hAnsiTheme="minorHAnsi" w:cs="Segoe UI"/>
          <w:sz w:val="22"/>
          <w:szCs w:val="22"/>
        </w:rPr>
      </w:pPr>
      <w:r w:rsidRPr="000709D9">
        <w:rPr>
          <w:rStyle w:val="eop"/>
          <w:rFonts w:asciiTheme="minorHAnsi" w:hAnsiTheme="minorHAnsi" w:cs="Calibri"/>
          <w:sz w:val="22"/>
          <w:szCs w:val="22"/>
        </w:rPr>
        <w:t> </w:t>
      </w:r>
    </w:p>
    <w:p w14:paraId="0093A79B" w14:textId="77777777" w:rsidR="008F652D" w:rsidRPr="000709D9" w:rsidRDefault="008F652D" w:rsidP="008F652D">
      <w:pPr>
        <w:pStyle w:val="paragraph"/>
        <w:spacing w:before="0" w:beforeAutospacing="0" w:after="0" w:afterAutospacing="0"/>
        <w:textAlignment w:val="baseline"/>
        <w:rPr>
          <w:rStyle w:val="normaltextrun"/>
          <w:rFonts w:asciiTheme="minorHAnsi" w:eastAsiaTheme="majorEastAsia" w:hAnsiTheme="minorHAnsi" w:cs="Calibri"/>
          <w:b/>
          <w:bCs/>
          <w:color w:val="215E99" w:themeColor="text2" w:themeTint="BF"/>
          <w:sz w:val="22"/>
          <w:szCs w:val="22"/>
        </w:rPr>
      </w:pPr>
      <w:r w:rsidRPr="000709D9">
        <w:rPr>
          <w:rStyle w:val="normaltextrun"/>
          <w:rFonts w:asciiTheme="minorHAnsi" w:eastAsiaTheme="majorEastAsia" w:hAnsiTheme="minorHAnsi" w:cs="Calibri"/>
          <w:b/>
          <w:bCs/>
          <w:color w:val="215E99" w:themeColor="text2" w:themeTint="BF"/>
          <w:sz w:val="22"/>
          <w:szCs w:val="22"/>
        </w:rPr>
        <w:t>Key Elements:</w:t>
      </w:r>
    </w:p>
    <w:p w14:paraId="3B918800" w14:textId="77777777" w:rsidR="008F652D" w:rsidRPr="000709D9" w:rsidRDefault="008F652D" w:rsidP="00BE4783">
      <w:pPr>
        <w:pStyle w:val="paragraph"/>
        <w:numPr>
          <w:ilvl w:val="0"/>
          <w:numId w:val="21"/>
        </w:numPr>
        <w:spacing w:before="0" w:beforeAutospacing="0" w:after="0" w:afterAutospacing="0"/>
        <w:textAlignment w:val="baseline"/>
        <w:rPr>
          <w:rFonts w:asciiTheme="minorHAnsi" w:hAnsiTheme="minorHAnsi" w:cs="Calibri"/>
          <w:sz w:val="22"/>
          <w:szCs w:val="22"/>
        </w:rPr>
      </w:pPr>
      <w:r w:rsidRPr="00B11A09">
        <w:rPr>
          <w:rStyle w:val="normaltextrun"/>
          <w:rFonts w:asciiTheme="minorHAnsi" w:eastAsiaTheme="majorEastAsia" w:hAnsiTheme="minorHAnsi" w:cs="Calibri"/>
          <w:sz w:val="22"/>
          <w:szCs w:val="22"/>
        </w:rPr>
        <w:t>Work with MassHealth and commercial insurers to align language around services as much as possible</w:t>
      </w:r>
      <w:r w:rsidRPr="000709D9">
        <w:rPr>
          <w:rStyle w:val="normaltextrun"/>
          <w:rFonts w:asciiTheme="minorHAnsi" w:eastAsiaTheme="majorEastAsia" w:hAnsiTheme="minorHAnsi" w:cs="Calibri"/>
          <w:sz w:val="22"/>
          <w:szCs w:val="22"/>
        </w:rPr>
        <w:t>.  </w:t>
      </w:r>
      <w:r w:rsidRPr="000709D9">
        <w:rPr>
          <w:rStyle w:val="eop"/>
          <w:rFonts w:asciiTheme="minorHAnsi" w:hAnsiTheme="minorHAnsi" w:cs="Calibri"/>
          <w:sz w:val="22"/>
          <w:szCs w:val="22"/>
        </w:rPr>
        <w:t> </w:t>
      </w:r>
      <w:r w:rsidRPr="000709D9">
        <w:rPr>
          <w:rStyle w:val="eop"/>
          <w:rFonts w:asciiTheme="minorHAnsi" w:hAnsiTheme="minorHAnsi" w:cs="Calibri"/>
          <w:b/>
          <w:bCs/>
          <w:sz w:val="22"/>
          <w:szCs w:val="22"/>
        </w:rPr>
        <w:t>(Overlap with Service Design)</w:t>
      </w:r>
    </w:p>
    <w:p w14:paraId="591B45A9" w14:textId="77777777" w:rsidR="008F652D" w:rsidRPr="000709D9" w:rsidRDefault="008F652D" w:rsidP="00BE4783">
      <w:pPr>
        <w:pStyle w:val="paragraph"/>
        <w:numPr>
          <w:ilvl w:val="0"/>
          <w:numId w:val="21"/>
        </w:numPr>
        <w:spacing w:before="0" w:beforeAutospacing="0" w:after="0" w:afterAutospacing="0"/>
        <w:textAlignment w:val="baseline"/>
        <w:rPr>
          <w:rFonts w:asciiTheme="minorHAnsi" w:hAnsiTheme="minorHAnsi" w:cs="Calibri"/>
          <w:sz w:val="22"/>
          <w:szCs w:val="22"/>
        </w:rPr>
      </w:pPr>
      <w:r w:rsidRPr="00B11A09">
        <w:rPr>
          <w:rStyle w:val="normaltextrun"/>
          <w:rFonts w:asciiTheme="minorHAnsi" w:eastAsiaTheme="majorEastAsia" w:hAnsiTheme="minorHAnsi" w:cs="Calibri"/>
          <w:sz w:val="22"/>
          <w:szCs w:val="22"/>
        </w:rPr>
        <w:t>Encourage community providers, particularly CBHCs, to align commercial insurance payors they accept</w:t>
      </w:r>
      <w:r w:rsidRPr="000709D9">
        <w:rPr>
          <w:rStyle w:val="normaltextrun"/>
          <w:rFonts w:asciiTheme="minorHAnsi" w:eastAsiaTheme="majorEastAsia" w:hAnsiTheme="minorHAnsi" w:cs="Calibri"/>
          <w:sz w:val="22"/>
          <w:szCs w:val="22"/>
        </w:rPr>
        <w:t>.</w:t>
      </w:r>
      <w:r w:rsidRPr="000709D9">
        <w:rPr>
          <w:rStyle w:val="eop"/>
          <w:rFonts w:asciiTheme="minorHAnsi" w:hAnsiTheme="minorHAnsi" w:cs="Calibri"/>
          <w:sz w:val="22"/>
          <w:szCs w:val="22"/>
        </w:rPr>
        <w:t> </w:t>
      </w:r>
      <w:r w:rsidRPr="000709D9">
        <w:rPr>
          <w:rStyle w:val="eop"/>
          <w:rFonts w:asciiTheme="minorHAnsi" w:hAnsiTheme="minorHAnsi" w:cs="Calibri"/>
          <w:b/>
          <w:bCs/>
          <w:sz w:val="22"/>
          <w:szCs w:val="22"/>
        </w:rPr>
        <w:t>(Overlap with Coverage &amp; Affordability)</w:t>
      </w:r>
    </w:p>
    <w:p w14:paraId="064C4BA6" w14:textId="77777777" w:rsidR="008F652D" w:rsidRPr="000709D9" w:rsidRDefault="008F652D" w:rsidP="00BE4783">
      <w:pPr>
        <w:pStyle w:val="paragraph"/>
        <w:numPr>
          <w:ilvl w:val="0"/>
          <w:numId w:val="21"/>
        </w:numPr>
        <w:spacing w:before="0" w:beforeAutospacing="0" w:after="0" w:afterAutospacing="0"/>
        <w:textAlignment w:val="baseline"/>
        <w:rPr>
          <w:rFonts w:asciiTheme="minorHAnsi" w:hAnsiTheme="minorHAnsi" w:cs="Calibri"/>
          <w:sz w:val="22"/>
          <w:szCs w:val="22"/>
        </w:rPr>
      </w:pPr>
      <w:r w:rsidRPr="000709D9">
        <w:rPr>
          <w:rStyle w:val="normaltextrun"/>
          <w:rFonts w:asciiTheme="minorHAnsi" w:eastAsiaTheme="majorEastAsia" w:hAnsiTheme="minorHAnsi" w:cs="Calibri"/>
          <w:sz w:val="22"/>
          <w:szCs w:val="22"/>
        </w:rPr>
        <w:t>Utilize all avenues available to educate families, providers, professionals, and the community about the availability of insurance reimbursable services in a family-driven, understandable manner.  </w:t>
      </w:r>
      <w:r w:rsidRPr="000709D9">
        <w:rPr>
          <w:rStyle w:val="eop"/>
          <w:rFonts w:asciiTheme="minorHAnsi" w:hAnsiTheme="minorHAnsi" w:cs="Calibri"/>
          <w:sz w:val="22"/>
          <w:szCs w:val="22"/>
        </w:rPr>
        <w:t> </w:t>
      </w:r>
    </w:p>
    <w:p w14:paraId="37FEDE52" w14:textId="1FAB09C4" w:rsidR="008F652D" w:rsidRDefault="008F652D" w:rsidP="008F652D">
      <w:pPr>
        <w:rPr>
          <w:sz w:val="22"/>
          <w:szCs w:val="22"/>
        </w:rPr>
      </w:pPr>
    </w:p>
    <w:p w14:paraId="0DA49F18" w14:textId="77777777" w:rsidR="00D46FDC" w:rsidRPr="000709D9" w:rsidRDefault="00D46FDC" w:rsidP="008F652D">
      <w:pPr>
        <w:rPr>
          <w:sz w:val="22"/>
          <w:szCs w:val="22"/>
        </w:rPr>
      </w:pPr>
    </w:p>
    <w:p w14:paraId="47A3C069" w14:textId="56BABC32" w:rsidR="008F652D" w:rsidRPr="00FD1DBC" w:rsidRDefault="00FD1DBC" w:rsidP="00FD1DBC">
      <w:pPr>
        <w:shd w:val="clear" w:color="auto" w:fill="DAE9F7" w:themeFill="text2" w:themeFillTint="1A"/>
        <w:rPr>
          <w:rFonts w:eastAsia="Calibri" w:cs="Calibri"/>
          <w:b/>
          <w:bCs/>
          <w:color w:val="153D63" w:themeColor="text2" w:themeTint="E6"/>
          <w:sz w:val="22"/>
          <w:szCs w:val="22"/>
        </w:rPr>
      </w:pPr>
      <w:r>
        <w:rPr>
          <w:rFonts w:eastAsia="Calibri" w:cs="Calibri"/>
          <w:b/>
          <w:bCs/>
          <w:color w:val="153D63" w:themeColor="text2" w:themeTint="E6"/>
          <w:sz w:val="22"/>
          <w:szCs w:val="22"/>
        </w:rPr>
        <w:t xml:space="preserve">2. </w:t>
      </w:r>
      <w:r w:rsidR="008F652D" w:rsidRPr="00FD1DBC">
        <w:rPr>
          <w:rFonts w:eastAsia="Calibri" w:cs="Calibri"/>
          <w:b/>
          <w:bCs/>
          <w:color w:val="153D63" w:themeColor="text2" w:themeTint="E6"/>
          <w:sz w:val="22"/>
          <w:szCs w:val="22"/>
        </w:rPr>
        <w:t>Workforce Capacity, Stability &amp; Training</w:t>
      </w:r>
    </w:p>
    <w:p w14:paraId="70196711" w14:textId="77777777" w:rsidR="008F652D" w:rsidRPr="000709D9" w:rsidRDefault="008F652D" w:rsidP="00BE4783">
      <w:pPr>
        <w:numPr>
          <w:ilvl w:val="0"/>
          <w:numId w:val="23"/>
        </w:numPr>
        <w:spacing w:line="240" w:lineRule="auto"/>
        <w:contextualSpacing/>
        <w:rPr>
          <w:rFonts w:eastAsia="Calibri" w:cs="Calibri"/>
          <w:sz w:val="22"/>
          <w:szCs w:val="22"/>
        </w:rPr>
      </w:pPr>
      <w:r w:rsidRPr="000709D9">
        <w:rPr>
          <w:rFonts w:eastAsia="Calibri" w:cs="Calibri"/>
          <w:sz w:val="22"/>
          <w:szCs w:val="22"/>
        </w:rPr>
        <w:t>Shortages and closures reduce availability and continuity</w:t>
      </w:r>
    </w:p>
    <w:p w14:paraId="1993D8BC" w14:textId="77777777" w:rsidR="008F652D" w:rsidRPr="000709D9" w:rsidRDefault="008F652D" w:rsidP="00BE4783">
      <w:pPr>
        <w:numPr>
          <w:ilvl w:val="0"/>
          <w:numId w:val="23"/>
        </w:numPr>
        <w:spacing w:line="240" w:lineRule="auto"/>
        <w:contextualSpacing/>
        <w:rPr>
          <w:rFonts w:eastAsia="Calibri" w:cs="Calibri"/>
          <w:sz w:val="22"/>
          <w:szCs w:val="22"/>
        </w:rPr>
      </w:pPr>
      <w:r w:rsidRPr="000709D9">
        <w:rPr>
          <w:rFonts w:eastAsia="Calibri" w:cs="Calibri"/>
          <w:sz w:val="22"/>
          <w:szCs w:val="22"/>
        </w:rPr>
        <w:t>Turnover (wages, burnout, competition) undermines stability and responsiveness</w:t>
      </w:r>
    </w:p>
    <w:p w14:paraId="57EE6AF4" w14:textId="77777777" w:rsidR="008F652D" w:rsidRPr="000709D9" w:rsidRDefault="008F652D" w:rsidP="00BE4783">
      <w:pPr>
        <w:numPr>
          <w:ilvl w:val="0"/>
          <w:numId w:val="23"/>
        </w:numPr>
        <w:spacing w:line="240" w:lineRule="auto"/>
        <w:contextualSpacing/>
        <w:rPr>
          <w:sz w:val="22"/>
          <w:szCs w:val="22"/>
        </w:rPr>
      </w:pPr>
      <w:r w:rsidRPr="000709D9">
        <w:rPr>
          <w:rFonts w:eastAsia="Calibri" w:cs="Calibri"/>
          <w:sz w:val="22"/>
          <w:szCs w:val="22"/>
        </w:rPr>
        <w:t>Training gaps + lack of diverse/bilingual workforce limits appropriate care (ASD/IECMH)</w:t>
      </w:r>
    </w:p>
    <w:p w14:paraId="7089F77E" w14:textId="77777777" w:rsidR="008F652D" w:rsidRPr="000709D9" w:rsidRDefault="008F652D" w:rsidP="008F652D">
      <w:pPr>
        <w:textAlignment w:val="baseline"/>
        <w:rPr>
          <w:rFonts w:eastAsiaTheme="majorEastAsia" w:cs="Calibri"/>
          <w:b/>
          <w:bCs/>
          <w:color w:val="215E99" w:themeColor="text2" w:themeTint="BF"/>
          <w:sz w:val="22"/>
          <w:szCs w:val="22"/>
        </w:rPr>
      </w:pPr>
    </w:p>
    <w:p w14:paraId="77E88957"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Policy Recommendation:</w:t>
      </w:r>
    </w:p>
    <w:p w14:paraId="2EE9D674" w14:textId="77777777" w:rsidR="008F652D" w:rsidRPr="000709D9" w:rsidRDefault="008F652D" w:rsidP="008F652D">
      <w:pPr>
        <w:textAlignment w:val="baseline"/>
        <w:rPr>
          <w:rFonts w:eastAsiaTheme="majorEastAsia" w:cs="Calibri"/>
          <w:sz w:val="22"/>
          <w:szCs w:val="22"/>
        </w:rPr>
      </w:pPr>
      <w:r w:rsidRPr="000709D9">
        <w:rPr>
          <w:rFonts w:eastAsiaTheme="majorEastAsia" w:cs="Calibri"/>
          <w:sz w:val="22"/>
          <w:szCs w:val="22"/>
        </w:rPr>
        <w:t>Address workforce shortages across settings to ensure availability and continuity of care, as well as reducing waitlists, limited capacity, and service gaps.</w:t>
      </w:r>
    </w:p>
    <w:p w14:paraId="1098D11F"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519B5C37" w14:textId="77777777" w:rsidR="008F652D" w:rsidRPr="000709D9" w:rsidRDefault="008F652D" w:rsidP="00BE4783">
      <w:pPr>
        <w:numPr>
          <w:ilvl w:val="0"/>
          <w:numId w:val="24"/>
        </w:numPr>
        <w:spacing w:line="240" w:lineRule="auto"/>
        <w:contextualSpacing/>
        <w:rPr>
          <w:rFonts w:eastAsiaTheme="majorEastAsia" w:cs="Calibri"/>
          <w:sz w:val="22"/>
          <w:szCs w:val="22"/>
        </w:rPr>
      </w:pPr>
      <w:r w:rsidRPr="000709D9">
        <w:rPr>
          <w:rFonts w:eastAsiaTheme="majorEastAsia" w:cs="Calibri"/>
          <w:sz w:val="22"/>
          <w:szCs w:val="22"/>
        </w:rPr>
        <w:t xml:space="preserve">Address the root cause of workforce declines  </w:t>
      </w:r>
    </w:p>
    <w:p w14:paraId="502D8E89" w14:textId="77777777" w:rsidR="008F652D" w:rsidRPr="000709D9" w:rsidRDefault="008F652D" w:rsidP="00BE4783">
      <w:pPr>
        <w:numPr>
          <w:ilvl w:val="1"/>
          <w:numId w:val="24"/>
        </w:numPr>
        <w:spacing w:line="240" w:lineRule="auto"/>
        <w:contextualSpacing/>
        <w:rPr>
          <w:rFonts w:eastAsiaTheme="majorEastAsia" w:cs="Calibri"/>
          <w:sz w:val="22"/>
          <w:szCs w:val="22"/>
        </w:rPr>
      </w:pPr>
      <w:r w:rsidRPr="000709D9">
        <w:rPr>
          <w:rFonts w:eastAsiaTheme="majorEastAsia" w:cs="Calibri"/>
          <w:sz w:val="22"/>
          <w:szCs w:val="22"/>
        </w:rPr>
        <w:t>Make salaries and benefits competitive and comparable to market rate, including by ensuring sufficient reimbursement</w:t>
      </w:r>
    </w:p>
    <w:p w14:paraId="7EC1EE77" w14:textId="77777777" w:rsidR="008F652D" w:rsidRPr="000709D9" w:rsidRDefault="008F652D" w:rsidP="00BE4783">
      <w:pPr>
        <w:numPr>
          <w:ilvl w:val="1"/>
          <w:numId w:val="24"/>
        </w:numPr>
        <w:spacing w:line="240" w:lineRule="auto"/>
        <w:contextualSpacing/>
        <w:rPr>
          <w:rFonts w:eastAsiaTheme="majorEastAsia" w:cs="Calibri"/>
          <w:sz w:val="22"/>
          <w:szCs w:val="22"/>
        </w:rPr>
      </w:pPr>
      <w:r w:rsidRPr="000709D9">
        <w:rPr>
          <w:rFonts w:eastAsiaTheme="majorEastAsia" w:cs="Calibri"/>
          <w:sz w:val="22"/>
          <w:szCs w:val="22"/>
        </w:rPr>
        <w:t>Offer flexible scheduling to meet both staff and family needs (e.g., matching families with staff employed on weeknights and weekends).</w:t>
      </w:r>
    </w:p>
    <w:p w14:paraId="70E63D1E" w14:textId="77777777" w:rsidR="008F652D" w:rsidRPr="000709D9" w:rsidRDefault="008F652D" w:rsidP="00BE4783">
      <w:pPr>
        <w:numPr>
          <w:ilvl w:val="1"/>
          <w:numId w:val="24"/>
        </w:numPr>
        <w:spacing w:line="240" w:lineRule="auto"/>
        <w:contextualSpacing/>
        <w:rPr>
          <w:rFonts w:eastAsiaTheme="majorEastAsia" w:cs="Calibri"/>
          <w:sz w:val="22"/>
          <w:szCs w:val="22"/>
        </w:rPr>
      </w:pPr>
      <w:r w:rsidRPr="000709D9">
        <w:rPr>
          <w:rFonts w:eastAsiaTheme="majorEastAsia" w:cs="Calibri"/>
          <w:sz w:val="22"/>
          <w:szCs w:val="22"/>
        </w:rPr>
        <w:t>Ensure manageable caseloads with awareness of needs and intensity</w:t>
      </w:r>
    </w:p>
    <w:p w14:paraId="4BC3ABB2" w14:textId="77777777" w:rsidR="008F652D" w:rsidRPr="000709D9" w:rsidRDefault="008F652D" w:rsidP="00BE4783">
      <w:pPr>
        <w:numPr>
          <w:ilvl w:val="2"/>
          <w:numId w:val="24"/>
        </w:numPr>
        <w:spacing w:line="240" w:lineRule="auto"/>
        <w:contextualSpacing/>
        <w:rPr>
          <w:rFonts w:eastAsiaTheme="majorEastAsia" w:cs="Calibri"/>
          <w:sz w:val="22"/>
          <w:szCs w:val="22"/>
        </w:rPr>
      </w:pPr>
      <w:r w:rsidRPr="000709D9">
        <w:rPr>
          <w:rFonts w:eastAsiaTheme="majorEastAsia" w:cs="Calibri"/>
          <w:sz w:val="22"/>
          <w:szCs w:val="22"/>
        </w:rPr>
        <w:t xml:space="preserve">Establish foundational behavioral health staffing benchmarks/ratios for BHI services as well as school- and community-based children’s services. </w:t>
      </w:r>
    </w:p>
    <w:p w14:paraId="2C9EB8FC" w14:textId="77777777" w:rsidR="008F652D" w:rsidRPr="000709D9" w:rsidRDefault="008F652D" w:rsidP="00BE4783">
      <w:pPr>
        <w:numPr>
          <w:ilvl w:val="0"/>
          <w:numId w:val="24"/>
        </w:numPr>
        <w:spacing w:before="100" w:beforeAutospacing="1" w:after="0" w:line="240" w:lineRule="auto"/>
        <w:textAlignment w:val="baseline"/>
        <w:rPr>
          <w:rFonts w:eastAsiaTheme="majorEastAsia" w:cs="Calibri"/>
          <w:b/>
          <w:bCs/>
          <w:sz w:val="22"/>
          <w:szCs w:val="22"/>
        </w:rPr>
      </w:pPr>
      <w:r w:rsidRPr="00B11A09">
        <w:rPr>
          <w:rFonts w:eastAsiaTheme="majorEastAsia" w:cs="Calibri"/>
          <w:sz w:val="22"/>
          <w:szCs w:val="22"/>
        </w:rPr>
        <w:t>Create a Mental Health Talent/Workforce pipeline</w:t>
      </w:r>
      <w:r w:rsidRPr="000709D9">
        <w:rPr>
          <w:rFonts w:eastAsiaTheme="majorEastAsia" w:cs="Calibri"/>
          <w:sz w:val="22"/>
          <w:szCs w:val="22"/>
        </w:rPr>
        <w:t xml:space="preserve">  </w:t>
      </w:r>
      <w:r w:rsidRPr="000709D9">
        <w:rPr>
          <w:rFonts w:eastAsiaTheme="majorEastAsia" w:cs="Calibri"/>
          <w:b/>
          <w:bCs/>
          <w:sz w:val="22"/>
          <w:szCs w:val="22"/>
        </w:rPr>
        <w:t>(Overlap with Equity)</w:t>
      </w:r>
    </w:p>
    <w:p w14:paraId="602B75E9" w14:textId="77777777" w:rsidR="008F652D" w:rsidRPr="000709D9" w:rsidRDefault="008F652D" w:rsidP="00BE4783">
      <w:pPr>
        <w:numPr>
          <w:ilvl w:val="1"/>
          <w:numId w:val="24"/>
        </w:numPr>
        <w:spacing w:before="100" w:beforeAutospacing="1" w:after="0" w:line="240" w:lineRule="auto"/>
        <w:textAlignment w:val="baseline"/>
        <w:rPr>
          <w:rFonts w:eastAsiaTheme="majorEastAsia" w:cs="Calibri"/>
          <w:sz w:val="22"/>
          <w:szCs w:val="22"/>
        </w:rPr>
      </w:pPr>
      <w:r w:rsidRPr="000709D9">
        <w:rPr>
          <w:rFonts w:eastAsiaTheme="majorEastAsia" w:cs="Calibri"/>
          <w:sz w:val="22"/>
          <w:szCs w:val="22"/>
        </w:rPr>
        <w:t>Provide a clear path to careers in behavioral health from entry-level positions to individuals seeking bachelor’s- and master’s-level degrees, paying for part of MA’s degree in return for a 2- or 3-year commitment to work in children’s behavioral health community services.</w:t>
      </w:r>
    </w:p>
    <w:p w14:paraId="7E5747BA" w14:textId="77777777" w:rsidR="008F652D" w:rsidRPr="000709D9" w:rsidRDefault="008F652D" w:rsidP="00BE4783">
      <w:pPr>
        <w:numPr>
          <w:ilvl w:val="1"/>
          <w:numId w:val="24"/>
        </w:numPr>
        <w:spacing w:before="100" w:beforeAutospacing="1" w:afterAutospacing="1" w:line="240" w:lineRule="auto"/>
        <w:textAlignment w:val="baseline"/>
        <w:rPr>
          <w:rFonts w:eastAsiaTheme="majorEastAsia" w:cs="Calibri"/>
          <w:sz w:val="22"/>
          <w:szCs w:val="22"/>
        </w:rPr>
      </w:pPr>
      <w:r w:rsidRPr="000709D9">
        <w:rPr>
          <w:rFonts w:eastAsiaTheme="majorEastAsia" w:cs="Calibri"/>
          <w:sz w:val="22"/>
          <w:szCs w:val="22"/>
        </w:rPr>
        <w:t xml:space="preserve">Provide incentives to higher education institutions to grow school and community behavioral health programs. </w:t>
      </w:r>
    </w:p>
    <w:p w14:paraId="7567B3D6" w14:textId="77777777" w:rsidR="008F652D" w:rsidRPr="000709D9" w:rsidRDefault="008F652D" w:rsidP="00BE4783">
      <w:pPr>
        <w:numPr>
          <w:ilvl w:val="0"/>
          <w:numId w:val="24"/>
        </w:numPr>
        <w:spacing w:before="100" w:beforeAutospacing="1" w:afterAutospacing="1" w:line="240" w:lineRule="auto"/>
        <w:textAlignment w:val="baseline"/>
        <w:rPr>
          <w:rFonts w:eastAsiaTheme="majorEastAsia" w:cs="Calibri"/>
          <w:sz w:val="22"/>
          <w:szCs w:val="22"/>
        </w:rPr>
      </w:pPr>
      <w:r w:rsidRPr="000709D9">
        <w:rPr>
          <w:rFonts w:eastAsiaTheme="majorEastAsia" w:cs="Calibri"/>
          <w:sz w:val="22"/>
          <w:szCs w:val="22"/>
        </w:rPr>
        <w:t>Develop a program/cohort of providers and students that meet regularly (e.g., throughout a semester) to better understand school and community behavioral health programs.</w:t>
      </w:r>
    </w:p>
    <w:p w14:paraId="266B0FF4" w14:textId="77777777" w:rsidR="008F652D" w:rsidRPr="000709D9" w:rsidRDefault="008F652D" w:rsidP="00BE4783">
      <w:pPr>
        <w:numPr>
          <w:ilvl w:val="0"/>
          <w:numId w:val="24"/>
        </w:numPr>
        <w:spacing w:before="100" w:beforeAutospacing="1" w:afterAutospacing="1" w:line="240" w:lineRule="auto"/>
        <w:textAlignment w:val="baseline"/>
        <w:rPr>
          <w:rFonts w:eastAsiaTheme="majorEastAsia" w:cs="Calibri"/>
          <w:sz w:val="22"/>
          <w:szCs w:val="22"/>
        </w:rPr>
      </w:pPr>
      <w:r w:rsidRPr="000709D9">
        <w:rPr>
          <w:rFonts w:eastAsiaTheme="majorEastAsia" w:cs="Calibri"/>
          <w:sz w:val="22"/>
          <w:szCs w:val="22"/>
        </w:rPr>
        <w:t>Incentivize providers to finance MA-level program for staff</w:t>
      </w:r>
    </w:p>
    <w:p w14:paraId="744FDD2D"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Policy Recommendation:</w:t>
      </w:r>
    </w:p>
    <w:p w14:paraId="36E509E0" w14:textId="77777777" w:rsidR="008F652D" w:rsidRPr="000709D9" w:rsidRDefault="008F652D" w:rsidP="008F652D">
      <w:pPr>
        <w:textAlignment w:val="baseline"/>
        <w:rPr>
          <w:rFonts w:eastAsia="Times New Roman" w:cs="Calibri"/>
          <w:sz w:val="22"/>
          <w:szCs w:val="22"/>
        </w:rPr>
      </w:pPr>
      <w:r w:rsidRPr="000709D9">
        <w:rPr>
          <w:rFonts w:eastAsia="Times New Roman" w:cs="Calibri"/>
          <w:sz w:val="22"/>
          <w:szCs w:val="22"/>
        </w:rPr>
        <w:t>Reduce high turnover and instability that disrupt relationships, responsiveness, and care continuity.</w:t>
      </w:r>
    </w:p>
    <w:p w14:paraId="43FA25EF"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6E8E136B" w14:textId="77777777" w:rsidR="008F652D" w:rsidRPr="000709D9" w:rsidRDefault="008F652D" w:rsidP="00BE4783">
      <w:pPr>
        <w:numPr>
          <w:ilvl w:val="0"/>
          <w:numId w:val="25"/>
        </w:numPr>
        <w:spacing w:after="0" w:line="240" w:lineRule="auto"/>
        <w:textAlignment w:val="baseline"/>
        <w:rPr>
          <w:rFonts w:eastAsia="Times New Roman" w:cs="Calibri"/>
          <w:sz w:val="22"/>
          <w:szCs w:val="22"/>
        </w:rPr>
      </w:pPr>
      <w:r w:rsidRPr="00B11A09">
        <w:rPr>
          <w:rFonts w:eastAsia="Times New Roman" w:cs="Calibri"/>
          <w:sz w:val="22"/>
          <w:szCs w:val="22"/>
        </w:rPr>
        <w:t>Identify, improve, and develop new investment in retention initiatives through the Health Policy Commission Behavioral Health Workforce Center or other appropriate agency/entity.</w:t>
      </w:r>
      <w:r w:rsidRPr="000709D9">
        <w:rPr>
          <w:rFonts w:eastAsia="Times New Roman" w:cs="Calibri"/>
          <w:sz w:val="22"/>
          <w:szCs w:val="22"/>
        </w:rPr>
        <w:t xml:space="preserve"> </w:t>
      </w:r>
      <w:r w:rsidRPr="000709D9">
        <w:rPr>
          <w:rFonts w:eastAsia="Times New Roman" w:cs="Calibri"/>
          <w:b/>
          <w:bCs/>
          <w:sz w:val="22"/>
          <w:szCs w:val="22"/>
        </w:rPr>
        <w:t>(Overlap with Equity)</w:t>
      </w:r>
    </w:p>
    <w:p w14:paraId="5B8BE8A7" w14:textId="77777777" w:rsidR="008F652D" w:rsidRPr="000709D9" w:rsidRDefault="008F652D" w:rsidP="00BE4783">
      <w:pPr>
        <w:numPr>
          <w:ilvl w:val="1"/>
          <w:numId w:val="25"/>
        </w:numPr>
        <w:spacing w:after="0" w:line="240" w:lineRule="auto"/>
        <w:textAlignment w:val="baseline"/>
        <w:rPr>
          <w:rFonts w:eastAsia="Times New Roman" w:cs="Calibri"/>
          <w:sz w:val="22"/>
          <w:szCs w:val="22"/>
        </w:rPr>
      </w:pPr>
      <w:r w:rsidRPr="000709D9">
        <w:rPr>
          <w:rFonts w:eastAsia="Times New Roman" w:cs="Calibri"/>
          <w:sz w:val="22"/>
          <w:szCs w:val="22"/>
        </w:rPr>
        <w:t xml:space="preserve">Reinvestment in MA Repay program </w:t>
      </w:r>
    </w:p>
    <w:p w14:paraId="21694761" w14:textId="77777777" w:rsidR="008F652D" w:rsidRPr="000709D9" w:rsidRDefault="008F652D" w:rsidP="00BE4783">
      <w:pPr>
        <w:numPr>
          <w:ilvl w:val="1"/>
          <w:numId w:val="25"/>
        </w:numPr>
        <w:spacing w:before="100" w:beforeAutospacing="1" w:afterAutospacing="1" w:line="240" w:lineRule="auto"/>
        <w:textAlignment w:val="baseline"/>
        <w:rPr>
          <w:rFonts w:eastAsia="Times New Roman" w:cs="Calibri"/>
          <w:sz w:val="22"/>
          <w:szCs w:val="22"/>
        </w:rPr>
      </w:pPr>
      <w:r w:rsidRPr="00B11A09">
        <w:rPr>
          <w:rFonts w:eastAsia="Times New Roman" w:cs="Calibri"/>
          <w:sz w:val="22"/>
          <w:szCs w:val="22"/>
        </w:rPr>
        <w:t>Develop a scholarship program that prioritizes diverse applicants and placements in areas of highest need, including recruiting efforts in underrepresented communities (e.g., Franciscan Children’s Community Health Initiative, William James College, etc.)</w:t>
      </w:r>
      <w:r w:rsidRPr="000709D9">
        <w:rPr>
          <w:rFonts w:eastAsia="Times New Roman" w:cs="Calibri"/>
          <w:sz w:val="22"/>
          <w:szCs w:val="22"/>
        </w:rPr>
        <w:t xml:space="preserve"> </w:t>
      </w:r>
      <w:r w:rsidRPr="000709D9">
        <w:rPr>
          <w:rFonts w:eastAsia="Times New Roman" w:cs="Calibri"/>
          <w:b/>
          <w:bCs/>
          <w:sz w:val="22"/>
          <w:szCs w:val="22"/>
        </w:rPr>
        <w:t>(Overlap with Equity)</w:t>
      </w:r>
    </w:p>
    <w:p w14:paraId="5EE41F9D" w14:textId="77777777" w:rsidR="008F652D" w:rsidRPr="000709D9" w:rsidRDefault="008F652D" w:rsidP="00BE4783">
      <w:pPr>
        <w:numPr>
          <w:ilvl w:val="0"/>
          <w:numId w:val="25"/>
        </w:numPr>
        <w:spacing w:before="100" w:beforeAutospacing="1" w:afterAutospacing="1" w:line="240" w:lineRule="auto"/>
        <w:textAlignment w:val="baseline"/>
        <w:rPr>
          <w:rFonts w:eastAsia="Times New Roman" w:cs="Calibri"/>
          <w:sz w:val="22"/>
          <w:szCs w:val="22"/>
        </w:rPr>
      </w:pPr>
      <w:r w:rsidRPr="000709D9">
        <w:rPr>
          <w:rFonts w:eastAsia="Times New Roman" w:cs="Calibri"/>
          <w:sz w:val="22"/>
          <w:szCs w:val="22"/>
        </w:rPr>
        <w:t>Simplify licensing processes and reciprocity from other states/US territories/etc.</w:t>
      </w:r>
    </w:p>
    <w:p w14:paraId="709DBFE5"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Policy Recommendation:</w:t>
      </w:r>
    </w:p>
    <w:p w14:paraId="6ED7A9AD" w14:textId="77777777" w:rsidR="008F652D" w:rsidRPr="000709D9" w:rsidRDefault="008F652D" w:rsidP="008F652D">
      <w:pPr>
        <w:rPr>
          <w:rFonts w:cs="Calibri"/>
          <w:sz w:val="22"/>
          <w:szCs w:val="22"/>
        </w:rPr>
      </w:pPr>
      <w:r w:rsidRPr="000709D9">
        <w:rPr>
          <w:rFonts w:cs="Calibri"/>
          <w:sz w:val="22"/>
          <w:szCs w:val="22"/>
        </w:rPr>
        <w:t>Enable the children’s behavioral health delivery system to serve children and families by eliminating training and specialization gaps.</w:t>
      </w:r>
    </w:p>
    <w:p w14:paraId="62954ADB"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14659AE3" w14:textId="77777777" w:rsidR="008F652D" w:rsidRPr="000709D9" w:rsidRDefault="008F652D" w:rsidP="00BE4783">
      <w:pPr>
        <w:numPr>
          <w:ilvl w:val="0"/>
          <w:numId w:val="26"/>
        </w:numPr>
        <w:spacing w:line="240" w:lineRule="auto"/>
        <w:contextualSpacing/>
        <w:rPr>
          <w:rFonts w:cs="Calibri"/>
          <w:sz w:val="22"/>
          <w:szCs w:val="22"/>
        </w:rPr>
      </w:pPr>
      <w:r w:rsidRPr="00B11A09">
        <w:rPr>
          <w:rFonts w:cs="Calibri"/>
          <w:sz w:val="22"/>
          <w:szCs w:val="22"/>
        </w:rPr>
        <w:t>Provide adequate and ongoing training for staff delivering child behavioral health</w:t>
      </w:r>
      <w:r w:rsidRPr="000709D9">
        <w:rPr>
          <w:rFonts w:cs="Calibri"/>
          <w:sz w:val="22"/>
          <w:szCs w:val="22"/>
        </w:rPr>
        <w:t xml:space="preserve"> </w:t>
      </w:r>
      <w:r w:rsidRPr="00B11A09">
        <w:rPr>
          <w:rFonts w:cs="Calibri"/>
          <w:sz w:val="22"/>
          <w:szCs w:val="22"/>
        </w:rPr>
        <w:t>services</w:t>
      </w:r>
      <w:r w:rsidRPr="000709D9">
        <w:rPr>
          <w:rFonts w:cs="Calibri"/>
          <w:sz w:val="22"/>
          <w:szCs w:val="22"/>
        </w:rPr>
        <w:t xml:space="preserve">  </w:t>
      </w:r>
      <w:r w:rsidRPr="000709D9">
        <w:rPr>
          <w:rFonts w:cs="Calibri"/>
          <w:b/>
          <w:bCs/>
          <w:sz w:val="22"/>
          <w:szCs w:val="22"/>
        </w:rPr>
        <w:t>(Overlap with Equity recommendations)</w:t>
      </w:r>
    </w:p>
    <w:p w14:paraId="18F3BC73" w14:textId="77777777" w:rsidR="008F652D" w:rsidRPr="000709D9" w:rsidRDefault="008F652D" w:rsidP="00BE4783">
      <w:pPr>
        <w:numPr>
          <w:ilvl w:val="0"/>
          <w:numId w:val="26"/>
        </w:numPr>
        <w:spacing w:line="240" w:lineRule="auto"/>
        <w:contextualSpacing/>
        <w:rPr>
          <w:rFonts w:cs="Calibri"/>
          <w:sz w:val="22"/>
          <w:szCs w:val="22"/>
        </w:rPr>
      </w:pPr>
      <w:r w:rsidRPr="000709D9">
        <w:rPr>
          <w:rFonts w:cs="Calibri"/>
          <w:sz w:val="22"/>
          <w:szCs w:val="22"/>
        </w:rPr>
        <w:t xml:space="preserve">Expand the trainings offered through the </w:t>
      </w:r>
      <w:hyperlink r:id="rId47" w:history="1">
        <w:r w:rsidRPr="000709D9">
          <w:rPr>
            <w:rFonts w:cs="Calibri"/>
            <w:color w:val="467886" w:themeColor="hyperlink"/>
            <w:sz w:val="22"/>
            <w:szCs w:val="22"/>
            <w:u w:val="single"/>
          </w:rPr>
          <w:t>Behavioral Health Workforce Training Clearinghouse</w:t>
        </w:r>
      </w:hyperlink>
      <w:r w:rsidRPr="000709D9">
        <w:rPr>
          <w:rFonts w:cs="Calibri"/>
          <w:sz w:val="22"/>
          <w:szCs w:val="22"/>
        </w:rPr>
        <w:t xml:space="preserve"> to all state agencies, schools, etc.</w:t>
      </w:r>
    </w:p>
    <w:p w14:paraId="59915447" w14:textId="77777777" w:rsidR="008F652D" w:rsidRPr="000709D9" w:rsidRDefault="008F652D" w:rsidP="00BE4783">
      <w:pPr>
        <w:numPr>
          <w:ilvl w:val="0"/>
          <w:numId w:val="26"/>
        </w:numPr>
        <w:spacing w:line="240" w:lineRule="auto"/>
        <w:contextualSpacing/>
        <w:rPr>
          <w:rFonts w:cs="Calibri"/>
          <w:sz w:val="22"/>
          <w:szCs w:val="22"/>
        </w:rPr>
      </w:pPr>
      <w:r w:rsidRPr="000709D9">
        <w:rPr>
          <w:rFonts w:cs="Calibri"/>
          <w:sz w:val="22"/>
          <w:szCs w:val="22"/>
        </w:rPr>
        <w:t xml:space="preserve">Maximize existing workforce  </w:t>
      </w:r>
    </w:p>
    <w:p w14:paraId="375B1317" w14:textId="77777777" w:rsidR="008F652D" w:rsidRPr="000709D9" w:rsidRDefault="008F652D" w:rsidP="00BE4783">
      <w:pPr>
        <w:numPr>
          <w:ilvl w:val="1"/>
          <w:numId w:val="26"/>
        </w:numPr>
        <w:spacing w:line="240" w:lineRule="auto"/>
        <w:contextualSpacing/>
        <w:rPr>
          <w:rFonts w:cs="Calibri"/>
          <w:sz w:val="22"/>
          <w:szCs w:val="22"/>
        </w:rPr>
      </w:pPr>
      <w:r w:rsidRPr="000709D9">
        <w:rPr>
          <w:rFonts w:cs="Calibri"/>
          <w:sz w:val="22"/>
          <w:szCs w:val="22"/>
        </w:rPr>
        <w:t>Remove the Hub requirement from CBHI services so that families can appropriately access just a Family Partner or Therapeutic Mentor</w:t>
      </w:r>
    </w:p>
    <w:p w14:paraId="3BF83764" w14:textId="77777777" w:rsidR="008F652D" w:rsidRPr="000709D9" w:rsidRDefault="008F652D" w:rsidP="00BE4783">
      <w:pPr>
        <w:numPr>
          <w:ilvl w:val="1"/>
          <w:numId w:val="26"/>
        </w:numPr>
        <w:spacing w:line="240" w:lineRule="auto"/>
        <w:contextualSpacing/>
        <w:rPr>
          <w:rFonts w:cs="Calibri"/>
          <w:sz w:val="22"/>
          <w:szCs w:val="22"/>
        </w:rPr>
      </w:pPr>
      <w:r w:rsidRPr="00B11A09">
        <w:rPr>
          <w:rFonts w:cs="Calibri"/>
          <w:sz w:val="22"/>
          <w:szCs w:val="22"/>
        </w:rPr>
        <w:t>Build workforce using paraprofessionals and other support roles with incentives and creative approaches to credentialing</w:t>
      </w:r>
      <w:r w:rsidRPr="000709D9">
        <w:rPr>
          <w:rFonts w:cs="Calibri"/>
          <w:sz w:val="22"/>
          <w:szCs w:val="22"/>
        </w:rPr>
        <w:t xml:space="preserve"> </w:t>
      </w:r>
      <w:r w:rsidRPr="000709D9">
        <w:rPr>
          <w:rFonts w:cs="Calibri"/>
          <w:b/>
          <w:bCs/>
          <w:sz w:val="22"/>
          <w:szCs w:val="22"/>
        </w:rPr>
        <w:t>(Overlap with Equity recommendations)</w:t>
      </w:r>
    </w:p>
    <w:p w14:paraId="3C71CF98" w14:textId="77777777" w:rsidR="008F652D" w:rsidRPr="000709D9" w:rsidRDefault="008F652D" w:rsidP="00BE4783">
      <w:pPr>
        <w:numPr>
          <w:ilvl w:val="1"/>
          <w:numId w:val="26"/>
        </w:numPr>
        <w:spacing w:line="240" w:lineRule="auto"/>
        <w:contextualSpacing/>
        <w:rPr>
          <w:rFonts w:cs="Calibri"/>
          <w:sz w:val="22"/>
          <w:szCs w:val="22"/>
        </w:rPr>
      </w:pPr>
      <w:r w:rsidRPr="000709D9">
        <w:rPr>
          <w:rFonts w:cs="Calibri"/>
          <w:sz w:val="22"/>
          <w:szCs w:val="22"/>
        </w:rPr>
        <w:t xml:space="preserve">Provide compensation for clinical supervision and reflective supervision </w:t>
      </w:r>
    </w:p>
    <w:p w14:paraId="7535D301" w14:textId="77777777" w:rsidR="008F652D" w:rsidRPr="000709D9" w:rsidRDefault="008F652D" w:rsidP="00BE4783">
      <w:pPr>
        <w:numPr>
          <w:ilvl w:val="0"/>
          <w:numId w:val="26"/>
        </w:numPr>
        <w:spacing w:line="240" w:lineRule="auto"/>
        <w:contextualSpacing/>
        <w:rPr>
          <w:rFonts w:cs="Calibri"/>
          <w:b/>
          <w:bCs/>
          <w:sz w:val="22"/>
          <w:szCs w:val="22"/>
        </w:rPr>
      </w:pPr>
      <w:r w:rsidRPr="00B11A09">
        <w:rPr>
          <w:rFonts w:cs="Calibri"/>
          <w:sz w:val="22"/>
          <w:szCs w:val="22"/>
        </w:rPr>
        <w:t>Improve access to linguistically and culturally competent care (including ASL) through a rate differential for services offered in a language other than English</w:t>
      </w:r>
      <w:r w:rsidRPr="000709D9">
        <w:rPr>
          <w:rFonts w:cs="Calibri"/>
          <w:sz w:val="22"/>
          <w:szCs w:val="22"/>
        </w:rPr>
        <w:t xml:space="preserve"> </w:t>
      </w:r>
      <w:bookmarkStart w:id="9" w:name="_Hlk222411142"/>
      <w:r w:rsidRPr="000709D9">
        <w:rPr>
          <w:rFonts w:cs="Calibri"/>
          <w:b/>
          <w:bCs/>
          <w:sz w:val="22"/>
          <w:szCs w:val="22"/>
        </w:rPr>
        <w:t>(Overlap with Equity recommendations)</w:t>
      </w:r>
    </w:p>
    <w:bookmarkEnd w:id="9"/>
    <w:p w14:paraId="2CECD6EF" w14:textId="77777777" w:rsidR="008F652D" w:rsidRPr="000709D9" w:rsidRDefault="008F652D" w:rsidP="00BE4783">
      <w:pPr>
        <w:numPr>
          <w:ilvl w:val="0"/>
          <w:numId w:val="26"/>
        </w:numPr>
        <w:spacing w:line="240" w:lineRule="auto"/>
        <w:contextualSpacing/>
        <w:rPr>
          <w:rFonts w:cs="Calibri"/>
          <w:sz w:val="22"/>
          <w:szCs w:val="22"/>
        </w:rPr>
      </w:pPr>
      <w:r w:rsidRPr="000709D9">
        <w:rPr>
          <w:rFonts w:cs="Calibri"/>
          <w:sz w:val="22"/>
          <w:szCs w:val="22"/>
        </w:rPr>
        <w:t xml:space="preserve">Expand fellowship slots and residency training grants for child psychiatrists/psychologists focusing on co-occurring ASD and behavioral health </w:t>
      </w:r>
    </w:p>
    <w:p w14:paraId="14FE552F" w14:textId="77777777" w:rsidR="008F652D" w:rsidRPr="000709D9" w:rsidRDefault="008F652D" w:rsidP="00BE4783">
      <w:pPr>
        <w:numPr>
          <w:ilvl w:val="0"/>
          <w:numId w:val="26"/>
        </w:numPr>
        <w:spacing w:line="240" w:lineRule="auto"/>
        <w:contextualSpacing/>
        <w:rPr>
          <w:rFonts w:cs="Calibri"/>
          <w:sz w:val="22"/>
          <w:szCs w:val="22"/>
        </w:rPr>
      </w:pPr>
      <w:r w:rsidRPr="000709D9">
        <w:rPr>
          <w:rFonts w:cs="Calibri"/>
          <w:sz w:val="22"/>
          <w:szCs w:val="22"/>
        </w:rPr>
        <w:t xml:space="preserve">ASD Expansion </w:t>
      </w:r>
    </w:p>
    <w:p w14:paraId="7C16B50D" w14:textId="77777777" w:rsidR="008F652D" w:rsidRPr="000709D9" w:rsidRDefault="008F652D" w:rsidP="00BE4783">
      <w:pPr>
        <w:numPr>
          <w:ilvl w:val="1"/>
          <w:numId w:val="26"/>
        </w:numPr>
        <w:spacing w:line="240" w:lineRule="auto"/>
        <w:contextualSpacing/>
        <w:rPr>
          <w:rFonts w:cs="Calibri"/>
          <w:sz w:val="22"/>
          <w:szCs w:val="22"/>
        </w:rPr>
      </w:pPr>
      <w:r w:rsidRPr="000709D9">
        <w:rPr>
          <w:rFonts w:cs="Calibri"/>
          <w:sz w:val="22"/>
          <w:szCs w:val="22"/>
        </w:rPr>
        <w:t>Expand training to focus on ASD, complex medical, and aggressive behaviors.</w:t>
      </w:r>
    </w:p>
    <w:p w14:paraId="0E2CB0C8" w14:textId="77777777" w:rsidR="008F652D" w:rsidRPr="000709D9" w:rsidRDefault="008F652D" w:rsidP="00BE4783">
      <w:pPr>
        <w:numPr>
          <w:ilvl w:val="1"/>
          <w:numId w:val="26"/>
        </w:numPr>
        <w:spacing w:line="240" w:lineRule="auto"/>
        <w:contextualSpacing/>
        <w:rPr>
          <w:rFonts w:cs="Calibri"/>
          <w:sz w:val="22"/>
          <w:szCs w:val="22"/>
        </w:rPr>
      </w:pPr>
      <w:r w:rsidRPr="000709D9">
        <w:rPr>
          <w:rFonts w:cs="Calibri"/>
          <w:sz w:val="22"/>
          <w:szCs w:val="22"/>
        </w:rPr>
        <w:t xml:space="preserve">Legislative changes to allow a broader array of licensed professionals to diagnose ASD, reducing diagnostic bottlenecks.  </w:t>
      </w:r>
    </w:p>
    <w:p w14:paraId="6386A246" w14:textId="755B3337" w:rsidR="008F652D" w:rsidRPr="000709D9" w:rsidRDefault="008F652D" w:rsidP="008F652D">
      <w:pPr>
        <w:rPr>
          <w:sz w:val="22"/>
          <w:szCs w:val="22"/>
        </w:rPr>
      </w:pPr>
    </w:p>
    <w:p w14:paraId="3F0C4B6B" w14:textId="0FFDE929" w:rsidR="008F652D" w:rsidRPr="00FD1DBC" w:rsidRDefault="00FD1DBC" w:rsidP="00FD1DBC">
      <w:pPr>
        <w:rPr>
          <w:rFonts w:eastAsia="Calibri" w:cs="Calibri"/>
          <w:b/>
          <w:bCs/>
          <w:color w:val="153D63" w:themeColor="text2" w:themeTint="E6"/>
          <w:sz w:val="22"/>
          <w:szCs w:val="22"/>
        </w:rPr>
      </w:pPr>
      <w:r>
        <w:rPr>
          <w:rFonts w:eastAsia="Calibri" w:cs="Calibri"/>
          <w:b/>
          <w:bCs/>
          <w:color w:val="153D63" w:themeColor="text2" w:themeTint="E6"/>
          <w:sz w:val="22"/>
          <w:szCs w:val="22"/>
          <w:shd w:val="clear" w:color="auto" w:fill="DAE9F7" w:themeFill="text2" w:themeFillTint="1A"/>
        </w:rPr>
        <w:t xml:space="preserve">3. </w:t>
      </w:r>
      <w:r w:rsidR="008F652D" w:rsidRPr="00FD1DBC">
        <w:rPr>
          <w:rFonts w:eastAsia="Calibri" w:cs="Calibri"/>
          <w:b/>
          <w:bCs/>
          <w:color w:val="153D63" w:themeColor="text2" w:themeTint="E6"/>
          <w:sz w:val="22"/>
          <w:szCs w:val="22"/>
          <w:shd w:val="clear" w:color="auto" w:fill="DAE9F7" w:themeFill="text2" w:themeFillTint="1A"/>
        </w:rPr>
        <w:t>Coverage, Affordability, Administrative Barriers &amp; Financing/Sustainability</w:t>
      </w:r>
    </w:p>
    <w:p w14:paraId="55B6289A" w14:textId="77777777" w:rsidR="008F652D" w:rsidRPr="000709D9" w:rsidRDefault="008F652D" w:rsidP="00BE4783">
      <w:pPr>
        <w:numPr>
          <w:ilvl w:val="0"/>
          <w:numId w:val="27"/>
        </w:numPr>
        <w:spacing w:line="240" w:lineRule="auto"/>
        <w:contextualSpacing/>
        <w:rPr>
          <w:rFonts w:eastAsia="Calibri" w:cs="Calibri"/>
          <w:sz w:val="22"/>
          <w:szCs w:val="22"/>
        </w:rPr>
      </w:pPr>
      <w:r w:rsidRPr="000709D9">
        <w:rPr>
          <w:rFonts w:eastAsia="Calibri" w:cs="Calibri"/>
          <w:sz w:val="22"/>
          <w:szCs w:val="22"/>
        </w:rPr>
        <w:t xml:space="preserve">Coverage gaps/denials, cost-sharing, reimbursement issues block access </w:t>
      </w:r>
    </w:p>
    <w:p w14:paraId="484088E4" w14:textId="77777777" w:rsidR="008F652D" w:rsidRPr="000709D9" w:rsidRDefault="008F652D" w:rsidP="00BE4783">
      <w:pPr>
        <w:numPr>
          <w:ilvl w:val="0"/>
          <w:numId w:val="27"/>
        </w:numPr>
        <w:spacing w:line="240" w:lineRule="auto"/>
        <w:contextualSpacing/>
        <w:rPr>
          <w:rFonts w:eastAsia="Calibri" w:cs="Calibri"/>
          <w:sz w:val="22"/>
          <w:szCs w:val="22"/>
        </w:rPr>
      </w:pPr>
      <w:r w:rsidRPr="000709D9">
        <w:rPr>
          <w:rFonts w:eastAsia="Calibri" w:cs="Calibri"/>
          <w:sz w:val="22"/>
          <w:szCs w:val="22"/>
        </w:rPr>
        <w:t>Administrative complexity (eligibility, authorizations, billing) delays care</w:t>
      </w:r>
    </w:p>
    <w:p w14:paraId="6ED070B6" w14:textId="77777777" w:rsidR="008F652D" w:rsidRPr="000709D9" w:rsidRDefault="008F652D" w:rsidP="00BE4783">
      <w:pPr>
        <w:numPr>
          <w:ilvl w:val="0"/>
          <w:numId w:val="27"/>
        </w:numPr>
        <w:spacing w:line="240" w:lineRule="auto"/>
        <w:contextualSpacing/>
        <w:rPr>
          <w:rFonts w:eastAsia="Calibri" w:cs="Calibri"/>
          <w:sz w:val="22"/>
          <w:szCs w:val="22"/>
        </w:rPr>
      </w:pPr>
      <w:r w:rsidRPr="000709D9">
        <w:rPr>
          <w:rFonts w:eastAsia="Calibri" w:cs="Calibri"/>
          <w:sz w:val="22"/>
          <w:szCs w:val="22"/>
        </w:rPr>
        <w:t>Financing/payment rules (rates, grants) affect sustainability and provider participation</w:t>
      </w:r>
    </w:p>
    <w:p w14:paraId="6523743B" w14:textId="77777777" w:rsidR="008F652D" w:rsidRPr="000709D9" w:rsidRDefault="008F652D" w:rsidP="008F652D">
      <w:pPr>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 xml:space="preserve">Policy Recommendation: </w:t>
      </w:r>
    </w:p>
    <w:p w14:paraId="1C2EDDE4" w14:textId="77777777" w:rsidR="008F652D" w:rsidRPr="000709D9" w:rsidRDefault="008F652D" w:rsidP="008F652D">
      <w:pPr>
        <w:rPr>
          <w:rFonts w:eastAsia="Times New Roman" w:cs="Calibri"/>
          <w:sz w:val="22"/>
          <w:szCs w:val="22"/>
        </w:rPr>
      </w:pPr>
      <w:r w:rsidRPr="000709D9">
        <w:rPr>
          <w:rFonts w:eastAsia="Times New Roman" w:cs="Calibri"/>
          <w:sz w:val="22"/>
          <w:szCs w:val="22"/>
        </w:rPr>
        <w:t xml:space="preserve">Reduce and/or eliminate insurance coverage gaps and denials so that children promptly receive appropriate and timely services   </w:t>
      </w:r>
    </w:p>
    <w:p w14:paraId="10EA4044"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05B01D4A" w14:textId="77777777" w:rsidR="008F652D" w:rsidRPr="000709D9" w:rsidRDefault="008F652D" w:rsidP="00BE4783">
      <w:pPr>
        <w:numPr>
          <w:ilvl w:val="0"/>
          <w:numId w:val="28"/>
        </w:numPr>
        <w:spacing w:line="240" w:lineRule="auto"/>
        <w:contextualSpacing/>
        <w:rPr>
          <w:rFonts w:eastAsia="Times New Roman" w:cs="Calibri"/>
          <w:sz w:val="22"/>
          <w:szCs w:val="22"/>
        </w:rPr>
      </w:pPr>
      <w:r w:rsidRPr="000709D9">
        <w:rPr>
          <w:rFonts w:eastAsia="Times New Roman" w:cs="Calibri"/>
          <w:sz w:val="22"/>
          <w:szCs w:val="22"/>
        </w:rPr>
        <w:t xml:space="preserve">Solicit BHCA utilization and reimbursement feedback from stakeholders through on-going DOI information sessions and other various channels </w:t>
      </w:r>
    </w:p>
    <w:p w14:paraId="50605648" w14:textId="77777777" w:rsidR="008F652D" w:rsidRPr="000709D9" w:rsidRDefault="008F652D" w:rsidP="00BE4783">
      <w:pPr>
        <w:numPr>
          <w:ilvl w:val="1"/>
          <w:numId w:val="28"/>
        </w:numPr>
        <w:spacing w:line="240" w:lineRule="auto"/>
        <w:contextualSpacing/>
        <w:rPr>
          <w:rFonts w:eastAsia="Times New Roman" w:cs="Calibri"/>
          <w:sz w:val="22"/>
          <w:szCs w:val="22"/>
        </w:rPr>
      </w:pPr>
      <w:r w:rsidRPr="000709D9">
        <w:rPr>
          <w:rFonts w:eastAsia="Times New Roman" w:cs="Calibri"/>
          <w:sz w:val="22"/>
          <w:szCs w:val="22"/>
        </w:rPr>
        <w:t>Gather data, analyze it to ensure a clear understanding among stakeholders of commercial insurance challenges encountered by families and CBHI providers (e.g., limited services, incomplete reimbursement, etc.)</w:t>
      </w:r>
    </w:p>
    <w:p w14:paraId="1ADADD0D" w14:textId="77777777" w:rsidR="008F652D" w:rsidRPr="000709D9" w:rsidRDefault="008F652D" w:rsidP="00BE4783">
      <w:pPr>
        <w:numPr>
          <w:ilvl w:val="1"/>
          <w:numId w:val="28"/>
        </w:numPr>
        <w:spacing w:line="240" w:lineRule="auto"/>
        <w:contextualSpacing/>
        <w:rPr>
          <w:rFonts w:eastAsia="Times New Roman" w:cs="Calibri"/>
          <w:sz w:val="22"/>
          <w:szCs w:val="22"/>
        </w:rPr>
      </w:pPr>
      <w:r w:rsidRPr="000709D9">
        <w:rPr>
          <w:rFonts w:eastAsia="Times New Roman" w:cs="Calibri"/>
          <w:sz w:val="22"/>
          <w:szCs w:val="22"/>
        </w:rPr>
        <w:t xml:space="preserve">In conjunction with various stakeholders, including families, develop a comprehensive market conduct survey to better understand BHCA utilization, including what works and what doesn’t </w:t>
      </w:r>
    </w:p>
    <w:p w14:paraId="595F0DD8" w14:textId="77777777" w:rsidR="008F652D" w:rsidRPr="000709D9" w:rsidRDefault="008F652D" w:rsidP="00BE4783">
      <w:pPr>
        <w:numPr>
          <w:ilvl w:val="2"/>
          <w:numId w:val="28"/>
        </w:numPr>
        <w:spacing w:line="240" w:lineRule="auto"/>
        <w:contextualSpacing/>
        <w:rPr>
          <w:rFonts w:eastAsia="Times New Roman" w:cs="Calibri"/>
          <w:sz w:val="22"/>
          <w:szCs w:val="22"/>
        </w:rPr>
      </w:pPr>
      <w:r w:rsidRPr="000709D9">
        <w:rPr>
          <w:rFonts w:eastAsia="Times New Roman" w:cs="Calibri"/>
          <w:sz w:val="22"/>
          <w:szCs w:val="22"/>
        </w:rPr>
        <w:t xml:space="preserve">Survey children/families to determine whether they have had timely and effective access to mandated benefits.  </w:t>
      </w:r>
    </w:p>
    <w:p w14:paraId="2EA2F44E" w14:textId="77777777" w:rsidR="008F652D" w:rsidRPr="000709D9" w:rsidRDefault="008F652D" w:rsidP="00BE4783">
      <w:pPr>
        <w:numPr>
          <w:ilvl w:val="1"/>
          <w:numId w:val="28"/>
        </w:numPr>
        <w:spacing w:line="240" w:lineRule="auto"/>
        <w:contextualSpacing/>
        <w:rPr>
          <w:rFonts w:eastAsia="Times New Roman" w:cs="Calibri"/>
          <w:sz w:val="22"/>
          <w:szCs w:val="22"/>
        </w:rPr>
      </w:pPr>
      <w:r w:rsidRPr="000709D9">
        <w:rPr>
          <w:rFonts w:eastAsia="Times New Roman" w:cs="Calibri"/>
          <w:sz w:val="22"/>
          <w:szCs w:val="22"/>
        </w:rPr>
        <w:t>Compile, analyze, and publish stakeholder feedback information and data accompanied by specific proposals to address gaps and denials</w:t>
      </w:r>
    </w:p>
    <w:p w14:paraId="3C833033" w14:textId="77777777" w:rsidR="008F652D" w:rsidRPr="000709D9" w:rsidRDefault="008F652D" w:rsidP="00BE4783">
      <w:pPr>
        <w:numPr>
          <w:ilvl w:val="0"/>
          <w:numId w:val="28"/>
        </w:numPr>
        <w:spacing w:line="240" w:lineRule="auto"/>
        <w:contextualSpacing/>
        <w:rPr>
          <w:rFonts w:eastAsia="Times New Roman" w:cs="Calibri"/>
          <w:sz w:val="22"/>
          <w:szCs w:val="22"/>
        </w:rPr>
      </w:pPr>
      <w:r w:rsidRPr="000709D9">
        <w:rPr>
          <w:rFonts w:eastAsia="Times New Roman" w:cs="Calibri"/>
          <w:sz w:val="22"/>
          <w:szCs w:val="22"/>
        </w:rPr>
        <w:t>Eliminate cost-sharing, including co-pays, for home-based behavioral health services for children</w:t>
      </w:r>
    </w:p>
    <w:p w14:paraId="0FDCE288" w14:textId="77777777" w:rsidR="008F652D" w:rsidRPr="000709D9" w:rsidRDefault="008F652D" w:rsidP="00BE4783">
      <w:pPr>
        <w:numPr>
          <w:ilvl w:val="0"/>
          <w:numId w:val="28"/>
        </w:numPr>
        <w:spacing w:line="240" w:lineRule="auto"/>
        <w:contextualSpacing/>
        <w:rPr>
          <w:rFonts w:eastAsia="Times New Roman" w:cs="Calibri"/>
          <w:sz w:val="22"/>
          <w:szCs w:val="22"/>
        </w:rPr>
      </w:pPr>
      <w:r w:rsidRPr="000709D9">
        <w:rPr>
          <w:rFonts w:eastAsia="Times New Roman" w:cs="Calibri"/>
          <w:sz w:val="22"/>
          <w:szCs w:val="22"/>
        </w:rPr>
        <w:t>Expand Medicaid coverage for early screening and promotion services.</w:t>
      </w:r>
    </w:p>
    <w:p w14:paraId="27EB3241" w14:textId="77777777" w:rsidR="008F652D" w:rsidRPr="000709D9" w:rsidRDefault="008F652D" w:rsidP="00BE4783">
      <w:pPr>
        <w:numPr>
          <w:ilvl w:val="0"/>
          <w:numId w:val="28"/>
        </w:numPr>
        <w:spacing w:line="240" w:lineRule="auto"/>
        <w:contextualSpacing/>
        <w:rPr>
          <w:rFonts w:eastAsia="Times New Roman" w:cs="Calibri"/>
          <w:sz w:val="22"/>
          <w:szCs w:val="22"/>
        </w:rPr>
      </w:pPr>
      <w:r w:rsidRPr="000709D9">
        <w:rPr>
          <w:rFonts w:eastAsia="Times New Roman" w:cs="Calibri"/>
          <w:sz w:val="22"/>
          <w:szCs w:val="22"/>
        </w:rPr>
        <w:t>Add information to insurance cards indicating whether the plan is subject to MA insurance laws.</w:t>
      </w:r>
    </w:p>
    <w:p w14:paraId="7E540940" w14:textId="77777777" w:rsidR="00F07EA2" w:rsidRDefault="00F07EA2" w:rsidP="008F652D">
      <w:pPr>
        <w:rPr>
          <w:rFonts w:eastAsiaTheme="majorEastAsia" w:cs="Calibri"/>
          <w:b/>
          <w:bCs/>
          <w:color w:val="215E99" w:themeColor="text2" w:themeTint="BF"/>
          <w:sz w:val="22"/>
          <w:szCs w:val="22"/>
        </w:rPr>
      </w:pPr>
    </w:p>
    <w:p w14:paraId="1617D367" w14:textId="4E99D382" w:rsidR="008F652D" w:rsidRPr="000709D9" w:rsidRDefault="008F652D" w:rsidP="008F652D">
      <w:pPr>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 xml:space="preserve">Policy Recommendation: </w:t>
      </w:r>
    </w:p>
    <w:p w14:paraId="2B15CF24" w14:textId="77777777" w:rsidR="008F652D" w:rsidRPr="000709D9" w:rsidRDefault="008F652D" w:rsidP="008F652D">
      <w:pPr>
        <w:rPr>
          <w:rFonts w:eastAsia="Calibri" w:cs="Calibri"/>
          <w:sz w:val="22"/>
          <w:szCs w:val="22"/>
        </w:rPr>
      </w:pPr>
      <w:r w:rsidRPr="000709D9">
        <w:rPr>
          <w:rFonts w:eastAsia="Calibri" w:cs="Calibri"/>
          <w:sz w:val="22"/>
          <w:szCs w:val="22"/>
        </w:rPr>
        <w:t xml:space="preserve">Reduce administrative complexity (e.g., eligibility, authorizations, billing, etc.) within child-serving systems for families, providers, agencies, and payors.  </w:t>
      </w:r>
    </w:p>
    <w:p w14:paraId="021A1706" w14:textId="77777777" w:rsidR="008F652D" w:rsidRPr="000709D9" w:rsidRDefault="008F652D" w:rsidP="008F652D">
      <w:pPr>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3DF20358" w14:textId="77777777" w:rsidR="008F652D" w:rsidRPr="000709D9" w:rsidRDefault="008F652D" w:rsidP="00BE4783">
      <w:pPr>
        <w:numPr>
          <w:ilvl w:val="0"/>
          <w:numId w:val="29"/>
        </w:numPr>
        <w:spacing w:line="240" w:lineRule="auto"/>
        <w:contextualSpacing/>
        <w:rPr>
          <w:rFonts w:eastAsia="Times New Roman" w:cs="Calibri"/>
          <w:sz w:val="22"/>
          <w:szCs w:val="22"/>
        </w:rPr>
      </w:pPr>
      <w:r w:rsidRPr="00C45308">
        <w:rPr>
          <w:rFonts w:eastAsia="Times New Roman" w:cs="Calibri"/>
          <w:sz w:val="22"/>
          <w:szCs w:val="22"/>
        </w:rPr>
        <w:t>Identify administrative burdens across the child-serving systems that limit or delay access to services (e.g., eligibility criteria, prior authorization, billing complexity, credentialing delays</w:t>
      </w:r>
      <w:r w:rsidRPr="000709D9">
        <w:rPr>
          <w:rFonts w:eastAsia="Times New Roman" w:cs="Calibri"/>
          <w:sz w:val="22"/>
          <w:szCs w:val="22"/>
        </w:rPr>
        <w:t xml:space="preserve">).  </w:t>
      </w:r>
      <w:bookmarkStart w:id="10" w:name="_Hlk222408830"/>
      <w:r w:rsidRPr="000709D9">
        <w:rPr>
          <w:rFonts w:eastAsia="Times New Roman" w:cs="Calibri"/>
          <w:b/>
          <w:bCs/>
          <w:sz w:val="22"/>
          <w:szCs w:val="22"/>
        </w:rPr>
        <w:t>(Overlap with Access recommendations)</w:t>
      </w:r>
      <w:bookmarkEnd w:id="10"/>
    </w:p>
    <w:p w14:paraId="0877095C" w14:textId="77777777" w:rsidR="008F652D" w:rsidRPr="000709D9" w:rsidRDefault="008F652D" w:rsidP="00BE4783">
      <w:pPr>
        <w:numPr>
          <w:ilvl w:val="1"/>
          <w:numId w:val="29"/>
        </w:numPr>
        <w:spacing w:line="240" w:lineRule="auto"/>
        <w:contextualSpacing/>
        <w:rPr>
          <w:rFonts w:eastAsia="Times New Roman" w:cs="Calibri"/>
          <w:sz w:val="22"/>
          <w:szCs w:val="22"/>
        </w:rPr>
      </w:pPr>
      <w:r w:rsidRPr="000709D9">
        <w:rPr>
          <w:rFonts w:eastAsia="Times New Roman" w:cs="Calibri"/>
          <w:sz w:val="22"/>
          <w:szCs w:val="22"/>
        </w:rPr>
        <w:t>Gather data, input, and recommendations from all stakeholders including families, providers, agencies, and payors.</w:t>
      </w:r>
    </w:p>
    <w:p w14:paraId="59AED65A" w14:textId="77777777" w:rsidR="008F652D" w:rsidRPr="00C45308" w:rsidRDefault="008F652D" w:rsidP="00BE4783">
      <w:pPr>
        <w:numPr>
          <w:ilvl w:val="0"/>
          <w:numId w:val="29"/>
        </w:numPr>
        <w:spacing w:line="240" w:lineRule="auto"/>
        <w:contextualSpacing/>
        <w:rPr>
          <w:rFonts w:eastAsia="Times New Roman" w:cs="Calibri"/>
          <w:sz w:val="22"/>
          <w:szCs w:val="22"/>
        </w:rPr>
      </w:pPr>
      <w:r w:rsidRPr="00C45308">
        <w:rPr>
          <w:rFonts w:eastAsia="Times New Roman" w:cs="Calibri"/>
          <w:sz w:val="22"/>
          <w:szCs w:val="22"/>
        </w:rPr>
        <w:t xml:space="preserve">Streamline and reduce administrative hurdles to improve timely access to services </w:t>
      </w:r>
      <w:r w:rsidRPr="000709D9">
        <w:rPr>
          <w:rFonts w:eastAsia="Times New Roman" w:cs="Calibri"/>
          <w:b/>
          <w:bCs/>
          <w:sz w:val="22"/>
          <w:szCs w:val="22"/>
        </w:rPr>
        <w:t>(Overlap with Access recommendations)</w:t>
      </w:r>
    </w:p>
    <w:p w14:paraId="2B5E8660" w14:textId="77777777" w:rsidR="00B6101D" w:rsidRPr="000709D9" w:rsidRDefault="00B6101D" w:rsidP="008F652D">
      <w:pPr>
        <w:rPr>
          <w:rFonts w:eastAsiaTheme="majorEastAsia" w:cs="Calibri"/>
          <w:b/>
          <w:bCs/>
          <w:color w:val="215E99" w:themeColor="text2" w:themeTint="BF"/>
          <w:sz w:val="22"/>
          <w:szCs w:val="22"/>
        </w:rPr>
      </w:pPr>
    </w:p>
    <w:p w14:paraId="06E2849D" w14:textId="667B8307" w:rsidR="008F652D" w:rsidRPr="000709D9" w:rsidRDefault="008F652D" w:rsidP="008F652D">
      <w:pPr>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 xml:space="preserve">Policy Recommendation: </w:t>
      </w:r>
    </w:p>
    <w:p w14:paraId="3B063C73" w14:textId="77777777" w:rsidR="008F652D" w:rsidRPr="000709D9" w:rsidRDefault="008F652D" w:rsidP="008F652D">
      <w:pPr>
        <w:spacing w:before="100" w:beforeAutospacing="1" w:after="100" w:afterAutospacing="1"/>
        <w:rPr>
          <w:rFonts w:eastAsia="Times New Roman" w:cs="Calibri"/>
          <w:sz w:val="22"/>
          <w:szCs w:val="22"/>
        </w:rPr>
      </w:pPr>
      <w:r w:rsidRPr="000709D9">
        <w:rPr>
          <w:rFonts w:eastAsia="Times New Roman" w:cs="Calibri"/>
          <w:sz w:val="22"/>
          <w:szCs w:val="22"/>
        </w:rPr>
        <w:t>Maximize the impact and sustainability of funding across child-serving agencies and programs</w:t>
      </w:r>
    </w:p>
    <w:p w14:paraId="7949D134" w14:textId="77777777" w:rsidR="008F652D" w:rsidRPr="000709D9" w:rsidRDefault="008F652D" w:rsidP="008F652D">
      <w:pPr>
        <w:rPr>
          <w:rFonts w:eastAsia="Calibri" w:cs="Calibri"/>
          <w:sz w:val="22"/>
          <w:szCs w:val="22"/>
        </w:rPr>
      </w:pPr>
      <w:r w:rsidRPr="000709D9">
        <w:rPr>
          <w:rFonts w:eastAsiaTheme="majorEastAsia" w:cs="Calibri"/>
          <w:b/>
          <w:bCs/>
          <w:color w:val="215E99" w:themeColor="text2" w:themeTint="BF"/>
          <w:sz w:val="22"/>
          <w:szCs w:val="22"/>
        </w:rPr>
        <w:t>Key Elements:</w:t>
      </w:r>
    </w:p>
    <w:p w14:paraId="1FEBB865" w14:textId="77777777" w:rsidR="008F652D" w:rsidRPr="000709D9" w:rsidRDefault="008F652D" w:rsidP="00BE4783">
      <w:pPr>
        <w:numPr>
          <w:ilvl w:val="0"/>
          <w:numId w:val="30"/>
        </w:numPr>
        <w:spacing w:line="240" w:lineRule="auto"/>
        <w:contextualSpacing/>
        <w:rPr>
          <w:rFonts w:eastAsia="Times New Roman" w:cs="Calibri"/>
          <w:sz w:val="22"/>
          <w:szCs w:val="22"/>
        </w:rPr>
      </w:pPr>
      <w:r w:rsidRPr="000709D9">
        <w:rPr>
          <w:rFonts w:eastAsia="Times New Roman" w:cs="Calibri"/>
          <w:sz w:val="22"/>
          <w:szCs w:val="22"/>
        </w:rPr>
        <w:t>Incentivize primary care providers (PCPs) to deliver behavioral health services.</w:t>
      </w:r>
    </w:p>
    <w:p w14:paraId="310DC1F3" w14:textId="77777777" w:rsidR="008F652D" w:rsidRPr="000709D9" w:rsidRDefault="008F652D" w:rsidP="00BE4783">
      <w:pPr>
        <w:numPr>
          <w:ilvl w:val="0"/>
          <w:numId w:val="30"/>
        </w:numPr>
        <w:spacing w:line="240" w:lineRule="auto"/>
        <w:contextualSpacing/>
        <w:rPr>
          <w:rFonts w:eastAsia="Times New Roman" w:cs="Calibri"/>
          <w:i/>
          <w:sz w:val="22"/>
          <w:szCs w:val="22"/>
        </w:rPr>
      </w:pPr>
      <w:r w:rsidRPr="000709D9">
        <w:rPr>
          <w:rFonts w:eastAsia="Times New Roman" w:cs="Calibri"/>
          <w:sz w:val="22"/>
          <w:szCs w:val="22"/>
        </w:rPr>
        <w:t>Use data from various sources, including BHHL, to guide investment or reinvestment of funds across state agencies, ensuring that adequate and representative data is gathered as to both adult BH services and children’s BH services.</w:t>
      </w:r>
    </w:p>
    <w:p w14:paraId="77D65726" w14:textId="77777777" w:rsidR="008F652D" w:rsidRPr="000709D9" w:rsidRDefault="008F652D" w:rsidP="00BE4783">
      <w:pPr>
        <w:numPr>
          <w:ilvl w:val="0"/>
          <w:numId w:val="30"/>
        </w:numPr>
        <w:spacing w:line="240" w:lineRule="auto"/>
        <w:contextualSpacing/>
        <w:rPr>
          <w:rFonts w:eastAsia="Calibri" w:cs="Calibri"/>
          <w:sz w:val="22"/>
          <w:szCs w:val="22"/>
        </w:rPr>
      </w:pPr>
      <w:r w:rsidRPr="000709D9">
        <w:rPr>
          <w:rFonts w:eastAsia="Calibri" w:cs="Calibri"/>
          <w:sz w:val="22"/>
          <w:szCs w:val="22"/>
        </w:rPr>
        <w:t xml:space="preserve">Use a fiscal cost analysis to guide sustainability of current services and the potential scale-up of children’s behavioral health services. </w:t>
      </w:r>
    </w:p>
    <w:p w14:paraId="74DA3EC5" w14:textId="77777777" w:rsidR="008F652D" w:rsidRPr="000709D9" w:rsidRDefault="008F652D" w:rsidP="00BE4783">
      <w:pPr>
        <w:numPr>
          <w:ilvl w:val="1"/>
          <w:numId w:val="30"/>
        </w:numPr>
        <w:spacing w:line="240" w:lineRule="auto"/>
        <w:contextualSpacing/>
        <w:rPr>
          <w:rFonts w:eastAsia="Calibri" w:cs="Calibri"/>
          <w:sz w:val="22"/>
          <w:szCs w:val="22"/>
        </w:rPr>
      </w:pPr>
      <w:r w:rsidRPr="000709D9">
        <w:rPr>
          <w:rFonts w:eastAsia="Calibri" w:cs="Calibri"/>
          <w:sz w:val="22"/>
          <w:szCs w:val="22"/>
        </w:rPr>
        <w:t>Fiscal analysis considerations should include short-term vs. long-term cost implications, budget neutrality requirements, prevention cost offsets, and workforce availability and sustainability.</w:t>
      </w:r>
    </w:p>
    <w:p w14:paraId="73A6F00B" w14:textId="77777777" w:rsidR="008F652D" w:rsidRPr="000709D9" w:rsidRDefault="008F652D" w:rsidP="00BE4783">
      <w:pPr>
        <w:numPr>
          <w:ilvl w:val="0"/>
          <w:numId w:val="30"/>
        </w:numPr>
        <w:spacing w:before="100" w:beforeAutospacing="1" w:after="100" w:afterAutospacing="1" w:line="240" w:lineRule="auto"/>
        <w:contextualSpacing/>
        <w:rPr>
          <w:rFonts w:eastAsia="Times New Roman" w:cs="Calibri"/>
          <w:sz w:val="22"/>
          <w:szCs w:val="22"/>
        </w:rPr>
      </w:pPr>
      <w:r w:rsidRPr="000709D9">
        <w:rPr>
          <w:rFonts w:eastAsia="Calibri" w:cs="Calibri"/>
          <w:sz w:val="22"/>
          <w:szCs w:val="22"/>
        </w:rPr>
        <w:t xml:space="preserve">Align and coordinate federal and state funding streams. </w:t>
      </w:r>
    </w:p>
    <w:p w14:paraId="6653C629" w14:textId="77777777" w:rsidR="008F652D" w:rsidRPr="000709D9" w:rsidRDefault="008F652D" w:rsidP="00BE4783">
      <w:pPr>
        <w:numPr>
          <w:ilvl w:val="1"/>
          <w:numId w:val="30"/>
        </w:numPr>
        <w:spacing w:before="100" w:beforeAutospacing="1" w:after="100" w:afterAutospacing="1" w:line="240" w:lineRule="auto"/>
        <w:contextualSpacing/>
        <w:rPr>
          <w:rFonts w:eastAsia="Times New Roman" w:cs="Calibri"/>
          <w:sz w:val="22"/>
          <w:szCs w:val="22"/>
        </w:rPr>
      </w:pPr>
      <w:r w:rsidRPr="000709D9">
        <w:rPr>
          <w:rFonts w:eastAsia="Times New Roman" w:cs="Calibri"/>
          <w:sz w:val="22"/>
          <w:szCs w:val="22"/>
        </w:rPr>
        <w:t>Coordinate Medicaid, CBHI, and other funding streams for prevention and family support.</w:t>
      </w:r>
    </w:p>
    <w:p w14:paraId="36E60FF3" w14:textId="77777777" w:rsidR="008F652D" w:rsidRPr="000709D9" w:rsidRDefault="008F652D" w:rsidP="00BE4783">
      <w:pPr>
        <w:numPr>
          <w:ilvl w:val="1"/>
          <w:numId w:val="30"/>
        </w:numPr>
        <w:spacing w:before="100" w:beforeAutospacing="1" w:after="100" w:afterAutospacing="1" w:line="240" w:lineRule="auto"/>
        <w:contextualSpacing/>
        <w:rPr>
          <w:rFonts w:eastAsia="Times New Roman" w:cs="Calibri"/>
          <w:sz w:val="22"/>
          <w:szCs w:val="22"/>
        </w:rPr>
      </w:pPr>
      <w:r w:rsidRPr="000709D9">
        <w:rPr>
          <w:rFonts w:eastAsia="Times New Roman" w:cs="Calibri"/>
          <w:sz w:val="22"/>
          <w:szCs w:val="22"/>
        </w:rPr>
        <w:t>Standardize rates for similar services across state agencies.</w:t>
      </w:r>
    </w:p>
    <w:p w14:paraId="32FEBD30" w14:textId="77777777" w:rsidR="008F652D" w:rsidRPr="000709D9" w:rsidRDefault="008F652D" w:rsidP="00BE4783">
      <w:pPr>
        <w:numPr>
          <w:ilvl w:val="1"/>
          <w:numId w:val="30"/>
        </w:numPr>
        <w:spacing w:before="100" w:beforeAutospacing="1" w:after="100" w:afterAutospacing="1" w:line="240" w:lineRule="auto"/>
        <w:contextualSpacing/>
        <w:rPr>
          <w:rFonts w:eastAsia="Times New Roman" w:cs="Calibri"/>
          <w:sz w:val="22"/>
          <w:szCs w:val="22"/>
        </w:rPr>
      </w:pPr>
      <w:r w:rsidRPr="000709D9">
        <w:rPr>
          <w:rFonts w:eastAsia="Times New Roman" w:cs="Calibri"/>
          <w:sz w:val="22"/>
          <w:szCs w:val="22"/>
        </w:rPr>
        <w:t>Coordinate funding to strengthen workforce capacity and culturally responsive community care.</w:t>
      </w:r>
    </w:p>
    <w:p w14:paraId="71ACA118" w14:textId="77777777" w:rsidR="008F652D" w:rsidRPr="000709D9" w:rsidRDefault="008F652D" w:rsidP="00BE4783">
      <w:pPr>
        <w:numPr>
          <w:ilvl w:val="1"/>
          <w:numId w:val="30"/>
        </w:numPr>
        <w:spacing w:before="100" w:beforeAutospacing="1" w:after="100" w:afterAutospacing="1" w:line="240" w:lineRule="auto"/>
        <w:contextualSpacing/>
        <w:rPr>
          <w:rFonts w:eastAsia="Times New Roman" w:cs="Calibri"/>
          <w:sz w:val="22"/>
          <w:szCs w:val="22"/>
        </w:rPr>
      </w:pPr>
      <w:r w:rsidRPr="000709D9">
        <w:rPr>
          <w:rFonts w:eastAsia="Times New Roman" w:cs="Calibri"/>
          <w:sz w:val="22"/>
          <w:szCs w:val="22"/>
        </w:rPr>
        <w:t>Ensure alignment and coordination activities consider legal and regulatory impacts (i.e., state insurance mandates vs Medicaid rules, federal waivers, parity compliance, and coverage that exceeds federal requirements services)</w:t>
      </w:r>
    </w:p>
    <w:p w14:paraId="06ACFA93" w14:textId="77777777" w:rsidR="008F652D" w:rsidRPr="000709D9" w:rsidRDefault="008F652D" w:rsidP="00BE4783">
      <w:pPr>
        <w:numPr>
          <w:ilvl w:val="0"/>
          <w:numId w:val="30"/>
        </w:numPr>
        <w:spacing w:before="100" w:beforeAutospacing="1" w:after="100" w:afterAutospacing="1" w:line="240" w:lineRule="auto"/>
        <w:contextualSpacing/>
        <w:rPr>
          <w:rFonts w:eastAsia="Times New Roman" w:cs="Calibri"/>
          <w:sz w:val="22"/>
          <w:szCs w:val="22"/>
        </w:rPr>
      </w:pPr>
      <w:r w:rsidRPr="000709D9">
        <w:rPr>
          <w:rFonts w:eastAsia="Times New Roman" w:cs="Calibri"/>
          <w:sz w:val="22"/>
          <w:szCs w:val="22"/>
        </w:rPr>
        <w:t>Sustain IECMH funding beyond short-term grants by identifying revenue sources and workforce investment.</w:t>
      </w:r>
    </w:p>
    <w:p w14:paraId="35159FC3" w14:textId="5E63DC5A" w:rsidR="008F652D" w:rsidRPr="000709D9" w:rsidRDefault="008F652D" w:rsidP="008F652D">
      <w:pPr>
        <w:rPr>
          <w:sz w:val="22"/>
          <w:szCs w:val="22"/>
        </w:rPr>
      </w:pPr>
    </w:p>
    <w:p w14:paraId="199EC4D3" w14:textId="373A26CE" w:rsidR="008F652D" w:rsidRPr="00FD1DBC" w:rsidRDefault="00FD1DBC" w:rsidP="00FD1DBC">
      <w:pPr>
        <w:rPr>
          <w:rFonts w:cs="Calibri"/>
          <w:b/>
          <w:bCs/>
          <w:color w:val="153D63" w:themeColor="text2" w:themeTint="E6"/>
          <w:sz w:val="22"/>
          <w:szCs w:val="22"/>
        </w:rPr>
      </w:pPr>
      <w:r>
        <w:rPr>
          <w:rFonts w:cs="Calibri"/>
          <w:b/>
          <w:bCs/>
          <w:color w:val="153D63" w:themeColor="text2" w:themeTint="E6"/>
          <w:sz w:val="22"/>
          <w:szCs w:val="22"/>
          <w:shd w:val="clear" w:color="auto" w:fill="DAE9F7" w:themeFill="text2" w:themeFillTint="1A"/>
        </w:rPr>
        <w:t xml:space="preserve">4. </w:t>
      </w:r>
      <w:r w:rsidR="008F652D" w:rsidRPr="00FD1DBC">
        <w:rPr>
          <w:rFonts w:cs="Calibri"/>
          <w:b/>
          <w:bCs/>
          <w:color w:val="153D63" w:themeColor="text2" w:themeTint="E6"/>
          <w:sz w:val="22"/>
          <w:szCs w:val="22"/>
          <w:shd w:val="clear" w:color="auto" w:fill="DAE9F7" w:themeFill="text2" w:themeFillTint="1A"/>
        </w:rPr>
        <w:t>System Design, Fragmentation &amp; Coordination </w:t>
      </w:r>
    </w:p>
    <w:p w14:paraId="7AF182FA" w14:textId="77777777" w:rsidR="008F652D" w:rsidRPr="000709D9" w:rsidRDefault="008F652D" w:rsidP="00BE4783">
      <w:pPr>
        <w:numPr>
          <w:ilvl w:val="0"/>
          <w:numId w:val="31"/>
        </w:numPr>
        <w:spacing w:line="240" w:lineRule="auto"/>
        <w:contextualSpacing/>
        <w:rPr>
          <w:rFonts w:cs="Calibri"/>
          <w:sz w:val="22"/>
          <w:szCs w:val="22"/>
        </w:rPr>
      </w:pPr>
      <w:r w:rsidRPr="000709D9">
        <w:rPr>
          <w:rFonts w:cs="Calibri"/>
          <w:sz w:val="22"/>
          <w:szCs w:val="22"/>
        </w:rPr>
        <w:t xml:space="preserve">Multiple agencies/payors with limited coordination and accountability </w:t>
      </w:r>
    </w:p>
    <w:p w14:paraId="1E3AB718" w14:textId="77777777" w:rsidR="008F652D" w:rsidRPr="000709D9" w:rsidRDefault="008F652D" w:rsidP="00BE4783">
      <w:pPr>
        <w:numPr>
          <w:ilvl w:val="0"/>
          <w:numId w:val="31"/>
        </w:numPr>
        <w:spacing w:line="240" w:lineRule="auto"/>
        <w:contextualSpacing/>
        <w:rPr>
          <w:rFonts w:cs="Calibri"/>
          <w:sz w:val="22"/>
          <w:szCs w:val="22"/>
        </w:rPr>
      </w:pPr>
      <w:r w:rsidRPr="000709D9">
        <w:rPr>
          <w:rFonts w:cs="Calibri"/>
          <w:sz w:val="22"/>
          <w:szCs w:val="22"/>
        </w:rPr>
        <w:t xml:space="preserve">Inconsistent care coordination processes create gaps and duplication </w:t>
      </w:r>
    </w:p>
    <w:p w14:paraId="4D8EDA60" w14:textId="77777777" w:rsidR="008F652D" w:rsidRPr="000709D9" w:rsidRDefault="008F652D" w:rsidP="00BE4783">
      <w:pPr>
        <w:numPr>
          <w:ilvl w:val="0"/>
          <w:numId w:val="31"/>
        </w:numPr>
        <w:spacing w:line="240" w:lineRule="auto"/>
        <w:contextualSpacing/>
        <w:rPr>
          <w:rFonts w:cs="Calibri"/>
          <w:sz w:val="22"/>
          <w:szCs w:val="22"/>
        </w:rPr>
      </w:pPr>
      <w:r w:rsidRPr="000709D9">
        <w:rPr>
          <w:rFonts w:cs="Calibri"/>
          <w:sz w:val="22"/>
          <w:szCs w:val="22"/>
        </w:rPr>
        <w:t>Limited cross-system integration; unclear roles/leadership (incl. ASD coordination)</w:t>
      </w:r>
    </w:p>
    <w:p w14:paraId="417C27FD" w14:textId="77777777" w:rsidR="00F07EA2" w:rsidRDefault="00F07EA2" w:rsidP="008F652D">
      <w:pPr>
        <w:textAlignment w:val="baseline"/>
        <w:rPr>
          <w:rFonts w:eastAsiaTheme="majorEastAsia" w:cs="Calibri"/>
          <w:b/>
          <w:bCs/>
          <w:color w:val="215E99" w:themeColor="text2" w:themeTint="BF"/>
          <w:sz w:val="22"/>
          <w:szCs w:val="22"/>
        </w:rPr>
      </w:pPr>
    </w:p>
    <w:p w14:paraId="02B6C125" w14:textId="6D391233"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Policy Recommendation:</w:t>
      </w:r>
    </w:p>
    <w:p w14:paraId="381C6390" w14:textId="77777777" w:rsidR="008F652D" w:rsidRPr="000709D9" w:rsidRDefault="008F652D" w:rsidP="008F652D">
      <w:pPr>
        <w:rPr>
          <w:rFonts w:cs="Calibri"/>
          <w:b/>
          <w:bCs/>
          <w:sz w:val="22"/>
          <w:szCs w:val="22"/>
        </w:rPr>
      </w:pPr>
      <w:r w:rsidRPr="00C45308">
        <w:rPr>
          <w:rFonts w:cs="Calibri"/>
          <w:sz w:val="22"/>
          <w:szCs w:val="22"/>
        </w:rPr>
        <w:t>Create and empower a leadership hub to facilitate consistency and alignment across children’s behavioral health systems</w:t>
      </w:r>
      <w:r w:rsidRPr="000709D9">
        <w:rPr>
          <w:rFonts w:cs="Calibri"/>
          <w:sz w:val="22"/>
          <w:szCs w:val="22"/>
        </w:rPr>
        <w:t xml:space="preserve"> </w:t>
      </w:r>
      <w:r w:rsidRPr="000709D9">
        <w:rPr>
          <w:rFonts w:cs="Calibri"/>
          <w:b/>
          <w:bCs/>
          <w:sz w:val="22"/>
          <w:szCs w:val="22"/>
        </w:rPr>
        <w:t>(Overlap with Equity)</w:t>
      </w:r>
    </w:p>
    <w:p w14:paraId="6F587F3C"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31160C2C" w14:textId="77777777" w:rsidR="008F652D" w:rsidRPr="000709D9" w:rsidRDefault="008F652D" w:rsidP="00BE4783">
      <w:pPr>
        <w:numPr>
          <w:ilvl w:val="0"/>
          <w:numId w:val="32"/>
        </w:numPr>
        <w:spacing w:line="240" w:lineRule="auto"/>
        <w:contextualSpacing/>
        <w:rPr>
          <w:rFonts w:cs="Calibri"/>
          <w:sz w:val="22"/>
          <w:szCs w:val="22"/>
        </w:rPr>
      </w:pPr>
      <w:r w:rsidRPr="00C45308">
        <w:rPr>
          <w:rFonts w:cs="Calibri"/>
          <w:sz w:val="22"/>
          <w:szCs w:val="22"/>
        </w:rPr>
        <w:t>Develop, incentivize, and coordinate/streamline both interagency and cross-sector collaborations among health care providers (physical and behavioral), child welfare, schools, juvenile justice, and payors (Medicaid, private insurers), families, etc.</w:t>
      </w:r>
      <w:r w:rsidRPr="000709D9">
        <w:rPr>
          <w:rFonts w:cs="Calibri"/>
          <w:sz w:val="22"/>
          <w:szCs w:val="22"/>
        </w:rPr>
        <w:t xml:space="preserve">  </w:t>
      </w:r>
      <w:r w:rsidRPr="000709D9">
        <w:rPr>
          <w:rFonts w:cs="Calibri"/>
          <w:b/>
          <w:bCs/>
          <w:sz w:val="22"/>
          <w:szCs w:val="22"/>
        </w:rPr>
        <w:t>(Overlap with Access and Equity)</w:t>
      </w:r>
    </w:p>
    <w:p w14:paraId="35DDB2B3" w14:textId="77777777" w:rsidR="008F652D" w:rsidRPr="000709D9" w:rsidRDefault="008F652D" w:rsidP="00BE4783">
      <w:pPr>
        <w:numPr>
          <w:ilvl w:val="0"/>
          <w:numId w:val="32"/>
        </w:numPr>
        <w:spacing w:line="240" w:lineRule="auto"/>
        <w:contextualSpacing/>
        <w:rPr>
          <w:rFonts w:cs="Calibri"/>
          <w:sz w:val="22"/>
          <w:szCs w:val="22"/>
        </w:rPr>
      </w:pPr>
      <w:r w:rsidRPr="000709D9">
        <w:rPr>
          <w:rFonts w:cs="Calibri"/>
          <w:sz w:val="22"/>
          <w:szCs w:val="22"/>
        </w:rPr>
        <w:t xml:space="preserve">Align definitions and language across systems (e.g., “crisis”) </w:t>
      </w:r>
    </w:p>
    <w:p w14:paraId="151D5825" w14:textId="77777777" w:rsidR="008F652D" w:rsidRPr="000709D9" w:rsidRDefault="008F652D" w:rsidP="00BE4783">
      <w:pPr>
        <w:numPr>
          <w:ilvl w:val="0"/>
          <w:numId w:val="32"/>
        </w:numPr>
        <w:spacing w:line="240" w:lineRule="auto"/>
        <w:contextualSpacing/>
        <w:rPr>
          <w:rFonts w:cs="Calibri"/>
          <w:b/>
          <w:bCs/>
          <w:sz w:val="22"/>
          <w:szCs w:val="22"/>
        </w:rPr>
      </w:pPr>
      <w:r w:rsidRPr="00C45308">
        <w:rPr>
          <w:rFonts w:cs="Calibri"/>
          <w:sz w:val="22"/>
          <w:szCs w:val="22"/>
        </w:rPr>
        <w:t>Align referral, intake and eligibility requirements (need to account for insurance approval/payor challenges/differences)</w:t>
      </w:r>
      <w:r w:rsidRPr="000709D9">
        <w:rPr>
          <w:rFonts w:cs="Calibri"/>
          <w:sz w:val="22"/>
          <w:szCs w:val="22"/>
        </w:rPr>
        <w:t xml:space="preserve"> </w:t>
      </w:r>
      <w:r w:rsidRPr="000709D9">
        <w:rPr>
          <w:rFonts w:cs="Calibri"/>
          <w:b/>
          <w:bCs/>
          <w:sz w:val="22"/>
          <w:szCs w:val="22"/>
        </w:rPr>
        <w:t>(Overlap with Access and Service Capacity)</w:t>
      </w:r>
    </w:p>
    <w:p w14:paraId="21CB3220" w14:textId="77777777" w:rsidR="008F652D" w:rsidRPr="000709D9" w:rsidRDefault="008F652D" w:rsidP="00BE4783">
      <w:pPr>
        <w:numPr>
          <w:ilvl w:val="0"/>
          <w:numId w:val="32"/>
        </w:numPr>
        <w:spacing w:line="240" w:lineRule="auto"/>
        <w:contextualSpacing/>
        <w:rPr>
          <w:rFonts w:cs="Calibri"/>
          <w:sz w:val="22"/>
          <w:szCs w:val="22"/>
        </w:rPr>
      </w:pPr>
      <w:r w:rsidRPr="00C45308">
        <w:rPr>
          <w:rFonts w:cs="Calibri"/>
          <w:sz w:val="22"/>
          <w:szCs w:val="22"/>
        </w:rPr>
        <w:t>Ensure care coordination across systems by integrating health records across care settings</w:t>
      </w:r>
      <w:r w:rsidRPr="000709D9">
        <w:rPr>
          <w:rFonts w:cs="Calibri"/>
          <w:sz w:val="22"/>
          <w:szCs w:val="22"/>
        </w:rPr>
        <w:t xml:space="preserve"> </w:t>
      </w:r>
      <w:r w:rsidRPr="000709D9">
        <w:rPr>
          <w:rFonts w:cs="Calibri"/>
          <w:b/>
          <w:bCs/>
          <w:sz w:val="22"/>
          <w:szCs w:val="22"/>
        </w:rPr>
        <w:t>(Overlap with Access)</w:t>
      </w:r>
    </w:p>
    <w:p w14:paraId="0B4EAF53" w14:textId="77777777" w:rsidR="008F652D" w:rsidRPr="000709D9" w:rsidRDefault="008F652D" w:rsidP="00BE4783">
      <w:pPr>
        <w:numPr>
          <w:ilvl w:val="0"/>
          <w:numId w:val="32"/>
        </w:numPr>
        <w:spacing w:line="240" w:lineRule="auto"/>
        <w:contextualSpacing/>
        <w:rPr>
          <w:rFonts w:cs="Calibri"/>
          <w:b/>
          <w:bCs/>
          <w:sz w:val="22"/>
          <w:szCs w:val="22"/>
        </w:rPr>
      </w:pPr>
      <w:r w:rsidRPr="00C45308">
        <w:rPr>
          <w:rFonts w:cs="Calibri"/>
          <w:sz w:val="22"/>
          <w:szCs w:val="22"/>
        </w:rPr>
        <w:t>Align service areas, to the extent possible</w:t>
      </w:r>
      <w:r w:rsidRPr="000709D9">
        <w:rPr>
          <w:sz w:val="22"/>
          <w:szCs w:val="22"/>
        </w:rPr>
        <w:t xml:space="preserve"> </w:t>
      </w:r>
      <w:r w:rsidRPr="000709D9">
        <w:rPr>
          <w:rFonts w:cs="Calibri"/>
          <w:b/>
          <w:bCs/>
          <w:sz w:val="22"/>
          <w:szCs w:val="22"/>
        </w:rPr>
        <w:t>(Overlap with Access and Service Capacity)</w:t>
      </w:r>
    </w:p>
    <w:p w14:paraId="64A8B162" w14:textId="77777777" w:rsidR="008F652D" w:rsidRPr="000709D9" w:rsidRDefault="008F652D" w:rsidP="00BE4783">
      <w:pPr>
        <w:numPr>
          <w:ilvl w:val="0"/>
          <w:numId w:val="32"/>
        </w:numPr>
        <w:spacing w:line="240" w:lineRule="auto"/>
        <w:contextualSpacing/>
        <w:rPr>
          <w:rFonts w:cs="Calibri"/>
          <w:sz w:val="22"/>
          <w:szCs w:val="22"/>
        </w:rPr>
      </w:pPr>
      <w:r w:rsidRPr="000709D9">
        <w:rPr>
          <w:rFonts w:cs="Calibri"/>
          <w:sz w:val="22"/>
          <w:szCs w:val="22"/>
        </w:rPr>
        <w:t xml:space="preserve">Add MCO contract deliverables to coordinate and standardize children’s mental health services and operational processes. (CBAT, ICBAT, CBHI) </w:t>
      </w:r>
    </w:p>
    <w:p w14:paraId="36A9D937" w14:textId="77777777" w:rsidR="008F652D" w:rsidRPr="000709D9" w:rsidRDefault="008F652D" w:rsidP="008F652D">
      <w:pPr>
        <w:rPr>
          <w:rFonts w:cs="Calibri"/>
          <w:sz w:val="22"/>
          <w:szCs w:val="22"/>
        </w:rPr>
      </w:pPr>
    </w:p>
    <w:p w14:paraId="2CFED9F0"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Policy Recommendation:</w:t>
      </w:r>
    </w:p>
    <w:p w14:paraId="47FBA68D" w14:textId="77777777" w:rsidR="008F652D" w:rsidRPr="000709D9" w:rsidRDefault="008F652D" w:rsidP="008F652D">
      <w:pPr>
        <w:rPr>
          <w:rFonts w:cs="Calibri"/>
          <w:sz w:val="22"/>
          <w:szCs w:val="22"/>
        </w:rPr>
      </w:pPr>
      <w:r w:rsidRPr="00C45308">
        <w:rPr>
          <w:rFonts w:cs="Calibri"/>
          <w:sz w:val="22"/>
          <w:szCs w:val="22"/>
        </w:rPr>
        <w:t>Create a “front door” system through which children access the care they need, regardless of the point of entry.</w:t>
      </w:r>
      <w:r w:rsidRPr="000709D9">
        <w:rPr>
          <w:rFonts w:cs="Calibri"/>
          <w:sz w:val="22"/>
          <w:szCs w:val="22"/>
        </w:rPr>
        <w:t> </w:t>
      </w:r>
      <w:r w:rsidRPr="000709D9">
        <w:rPr>
          <w:rFonts w:cs="Calibri"/>
          <w:b/>
          <w:bCs/>
          <w:sz w:val="22"/>
          <w:szCs w:val="22"/>
        </w:rPr>
        <w:t>(Overlap with Access)</w:t>
      </w:r>
    </w:p>
    <w:p w14:paraId="2A22F89B" w14:textId="77777777" w:rsidR="008F652D" w:rsidRPr="000709D9" w:rsidRDefault="008F652D" w:rsidP="008F652D">
      <w:pPr>
        <w:textAlignment w:val="baseline"/>
        <w:rPr>
          <w:rFonts w:eastAsiaTheme="majorEastAsia" w:cs="Calibri"/>
          <w:b/>
          <w:bCs/>
          <w:color w:val="215E99" w:themeColor="text2" w:themeTint="BF"/>
          <w:sz w:val="22"/>
          <w:szCs w:val="22"/>
        </w:rPr>
      </w:pPr>
      <w:r w:rsidRPr="000709D9">
        <w:rPr>
          <w:rFonts w:eastAsiaTheme="majorEastAsia" w:cs="Calibri"/>
          <w:b/>
          <w:bCs/>
          <w:color w:val="215E99" w:themeColor="text2" w:themeTint="BF"/>
          <w:sz w:val="22"/>
          <w:szCs w:val="22"/>
        </w:rPr>
        <w:t>Key Elements:</w:t>
      </w:r>
    </w:p>
    <w:p w14:paraId="1AA82329" w14:textId="77777777" w:rsidR="008F652D" w:rsidRPr="000709D9" w:rsidRDefault="008F652D" w:rsidP="00BE4783">
      <w:pPr>
        <w:numPr>
          <w:ilvl w:val="0"/>
          <w:numId w:val="33"/>
        </w:numPr>
        <w:spacing w:line="240" w:lineRule="auto"/>
        <w:contextualSpacing/>
        <w:rPr>
          <w:rFonts w:cs="Calibri"/>
          <w:b/>
          <w:bCs/>
          <w:sz w:val="22"/>
          <w:szCs w:val="22"/>
        </w:rPr>
      </w:pPr>
      <w:r w:rsidRPr="00C45308">
        <w:rPr>
          <w:rFonts w:cs="Calibri"/>
          <w:sz w:val="22"/>
          <w:szCs w:val="22"/>
        </w:rPr>
        <w:t>Identify appropriate entity and/or individuals to provide “front door” services</w:t>
      </w:r>
      <w:r w:rsidRPr="000709D9">
        <w:rPr>
          <w:rFonts w:cs="Calibri"/>
          <w:sz w:val="22"/>
          <w:szCs w:val="22"/>
        </w:rPr>
        <w:t xml:space="preserve"> </w:t>
      </w:r>
      <w:r w:rsidRPr="000709D9">
        <w:rPr>
          <w:rFonts w:cs="Calibri"/>
          <w:b/>
          <w:bCs/>
          <w:sz w:val="22"/>
          <w:szCs w:val="22"/>
        </w:rPr>
        <w:t>(Overlap with Access)</w:t>
      </w:r>
    </w:p>
    <w:p w14:paraId="3F598EFF" w14:textId="77777777" w:rsidR="008F652D" w:rsidRPr="006F11FF" w:rsidRDefault="008F652D" w:rsidP="00BE4783">
      <w:pPr>
        <w:numPr>
          <w:ilvl w:val="1"/>
          <w:numId w:val="33"/>
        </w:numPr>
        <w:spacing w:line="240" w:lineRule="auto"/>
        <w:contextualSpacing/>
        <w:rPr>
          <w:rFonts w:cs="Calibri"/>
          <w:sz w:val="22"/>
          <w:szCs w:val="22"/>
        </w:rPr>
      </w:pPr>
      <w:r w:rsidRPr="006F11FF">
        <w:rPr>
          <w:rFonts w:cs="Calibri"/>
          <w:sz w:val="22"/>
          <w:szCs w:val="22"/>
        </w:rPr>
        <w:t>Family Partners</w:t>
      </w:r>
    </w:p>
    <w:p w14:paraId="69CFA1D4" w14:textId="77777777" w:rsidR="008F652D" w:rsidRPr="006F11FF" w:rsidRDefault="008F652D" w:rsidP="00BE4783">
      <w:pPr>
        <w:numPr>
          <w:ilvl w:val="1"/>
          <w:numId w:val="33"/>
        </w:numPr>
        <w:spacing w:line="240" w:lineRule="auto"/>
        <w:contextualSpacing/>
        <w:rPr>
          <w:rFonts w:cs="Calibri"/>
          <w:sz w:val="22"/>
          <w:szCs w:val="22"/>
        </w:rPr>
      </w:pPr>
      <w:r w:rsidRPr="006F11FF">
        <w:rPr>
          <w:rFonts w:cs="Calibri"/>
          <w:sz w:val="22"/>
          <w:szCs w:val="22"/>
        </w:rPr>
        <w:t>Systems Navigator</w:t>
      </w:r>
    </w:p>
    <w:p w14:paraId="5D803002" w14:textId="77777777" w:rsidR="008F652D" w:rsidRPr="006F11FF" w:rsidRDefault="008F652D" w:rsidP="00BE4783">
      <w:pPr>
        <w:numPr>
          <w:ilvl w:val="1"/>
          <w:numId w:val="33"/>
        </w:numPr>
        <w:spacing w:line="240" w:lineRule="auto"/>
        <w:contextualSpacing/>
        <w:rPr>
          <w:rFonts w:cs="Calibri"/>
          <w:sz w:val="22"/>
          <w:szCs w:val="22"/>
        </w:rPr>
      </w:pPr>
      <w:r w:rsidRPr="006F11FF">
        <w:rPr>
          <w:rFonts w:cs="Calibri"/>
          <w:sz w:val="22"/>
          <w:szCs w:val="22"/>
        </w:rPr>
        <w:t>Family Resource Centers?</w:t>
      </w:r>
    </w:p>
    <w:p w14:paraId="19BEAF72" w14:textId="77777777" w:rsidR="008F652D" w:rsidRPr="006F11FF" w:rsidRDefault="008F652D" w:rsidP="00BE4783">
      <w:pPr>
        <w:numPr>
          <w:ilvl w:val="1"/>
          <w:numId w:val="33"/>
        </w:numPr>
        <w:spacing w:line="240" w:lineRule="auto"/>
        <w:contextualSpacing/>
        <w:rPr>
          <w:rFonts w:cs="Calibri"/>
          <w:sz w:val="22"/>
          <w:szCs w:val="22"/>
        </w:rPr>
      </w:pPr>
      <w:r w:rsidRPr="006F11FF">
        <w:rPr>
          <w:rFonts w:cs="Calibri"/>
          <w:sz w:val="22"/>
          <w:szCs w:val="22"/>
        </w:rPr>
        <w:t>New Jersey has developed a model</w:t>
      </w:r>
    </w:p>
    <w:p w14:paraId="435D5F69" w14:textId="77777777" w:rsidR="008F652D" w:rsidRPr="006F11FF" w:rsidRDefault="008F652D" w:rsidP="00BE4783">
      <w:pPr>
        <w:numPr>
          <w:ilvl w:val="0"/>
          <w:numId w:val="33"/>
        </w:numPr>
        <w:spacing w:line="240" w:lineRule="auto"/>
        <w:contextualSpacing/>
        <w:rPr>
          <w:rFonts w:cs="Calibri"/>
          <w:sz w:val="22"/>
          <w:szCs w:val="22"/>
        </w:rPr>
      </w:pPr>
      <w:r w:rsidRPr="006F11FF">
        <w:rPr>
          <w:rFonts w:cs="Calibri"/>
          <w:sz w:val="22"/>
          <w:szCs w:val="22"/>
        </w:rPr>
        <w:t xml:space="preserve">Improve transparency/accountability for BH managers (apply DOI provider directory requirements; identify key contact). </w:t>
      </w:r>
    </w:p>
    <w:p w14:paraId="7022256B" w14:textId="77777777" w:rsidR="008F652D" w:rsidRPr="006F11FF" w:rsidRDefault="008F652D" w:rsidP="00BE4783">
      <w:pPr>
        <w:numPr>
          <w:ilvl w:val="0"/>
          <w:numId w:val="33"/>
        </w:numPr>
        <w:spacing w:line="240" w:lineRule="auto"/>
        <w:contextualSpacing/>
        <w:rPr>
          <w:rFonts w:cs="Calibri"/>
          <w:sz w:val="22"/>
          <w:szCs w:val="22"/>
        </w:rPr>
      </w:pPr>
      <w:r w:rsidRPr="006F11FF">
        <w:rPr>
          <w:rFonts w:cs="Calibri"/>
          <w:sz w:val="22"/>
          <w:szCs w:val="22"/>
        </w:rPr>
        <w:t>Participate in MassHealth ACO / integrated care payment model</w:t>
      </w:r>
    </w:p>
    <w:p w14:paraId="690277C0" w14:textId="77777777" w:rsidR="008F652D" w:rsidRPr="006F11FF" w:rsidRDefault="008F652D" w:rsidP="008F652D">
      <w:pPr>
        <w:contextualSpacing/>
        <w:rPr>
          <w:rFonts w:cs="Calibri"/>
          <w:sz w:val="22"/>
          <w:szCs w:val="22"/>
        </w:rPr>
      </w:pPr>
    </w:p>
    <w:p w14:paraId="1EB8E096" w14:textId="7191185E" w:rsidR="008F652D" w:rsidRPr="006F11FF" w:rsidRDefault="008F652D" w:rsidP="008F652D">
      <w:pPr>
        <w:rPr>
          <w:rFonts w:cs="Calibri"/>
          <w:sz w:val="22"/>
          <w:szCs w:val="22"/>
        </w:rPr>
      </w:pPr>
    </w:p>
    <w:p w14:paraId="358C9A2F" w14:textId="344EBD33" w:rsidR="008F652D" w:rsidRPr="006F11FF" w:rsidRDefault="009557D6" w:rsidP="008F652D">
      <w:pPr>
        <w:rPr>
          <w:rFonts w:eastAsia="Calibri" w:cs="Calibri"/>
          <w:b/>
          <w:bCs/>
          <w:color w:val="153D63" w:themeColor="text2" w:themeTint="E6"/>
          <w:sz w:val="22"/>
          <w:szCs w:val="22"/>
        </w:rPr>
      </w:pPr>
      <w:r>
        <w:rPr>
          <w:rFonts w:eastAsia="Calibri" w:cs="Calibri"/>
          <w:b/>
          <w:bCs/>
          <w:color w:val="153D63" w:themeColor="text2" w:themeTint="E6"/>
          <w:sz w:val="22"/>
          <w:szCs w:val="22"/>
          <w:shd w:val="clear" w:color="auto" w:fill="DAE9F7" w:themeFill="text2" w:themeFillTint="1A"/>
        </w:rPr>
        <w:t>5. E</w:t>
      </w:r>
      <w:r w:rsidR="008F652D" w:rsidRPr="00FD1DBC">
        <w:rPr>
          <w:rFonts w:eastAsia="Calibri" w:cs="Calibri"/>
          <w:b/>
          <w:bCs/>
          <w:color w:val="153D63" w:themeColor="text2" w:themeTint="E6"/>
          <w:sz w:val="22"/>
          <w:szCs w:val="22"/>
          <w:shd w:val="clear" w:color="auto" w:fill="DAE9F7" w:themeFill="text2" w:themeFillTint="1A"/>
        </w:rPr>
        <w:t>quity &amp; Population-Specific Gaps</w:t>
      </w:r>
    </w:p>
    <w:p w14:paraId="6E03BFAF" w14:textId="77777777" w:rsidR="008F652D" w:rsidRPr="006F11FF" w:rsidRDefault="008F652D" w:rsidP="00BE4783">
      <w:pPr>
        <w:numPr>
          <w:ilvl w:val="0"/>
          <w:numId w:val="34"/>
        </w:numPr>
        <w:spacing w:line="240" w:lineRule="auto"/>
        <w:contextualSpacing/>
        <w:rPr>
          <w:rFonts w:eastAsia="Calibri" w:cs="Calibri"/>
          <w:sz w:val="22"/>
          <w:szCs w:val="22"/>
        </w:rPr>
      </w:pPr>
      <w:r w:rsidRPr="006F11FF">
        <w:rPr>
          <w:rFonts w:eastAsia="Calibri" w:cs="Calibri"/>
          <w:sz w:val="22"/>
          <w:szCs w:val="22"/>
        </w:rPr>
        <w:t>Persistent inequities by race, language, geography, income, disability, identity</w:t>
      </w:r>
    </w:p>
    <w:p w14:paraId="20DD88C6" w14:textId="77777777" w:rsidR="008F652D" w:rsidRPr="006F11FF" w:rsidRDefault="008F652D" w:rsidP="00BE4783">
      <w:pPr>
        <w:numPr>
          <w:ilvl w:val="0"/>
          <w:numId w:val="34"/>
        </w:numPr>
        <w:spacing w:line="240" w:lineRule="auto"/>
        <w:contextualSpacing/>
        <w:rPr>
          <w:rFonts w:eastAsia="Calibri" w:cs="Calibri"/>
          <w:sz w:val="22"/>
          <w:szCs w:val="22"/>
        </w:rPr>
      </w:pPr>
      <w:r w:rsidRPr="006F11FF">
        <w:rPr>
          <w:rFonts w:eastAsia="Calibri" w:cs="Calibri"/>
          <w:sz w:val="22"/>
          <w:szCs w:val="22"/>
        </w:rPr>
        <w:t>Insufficient language access and culturally responsive care</w:t>
      </w:r>
    </w:p>
    <w:p w14:paraId="6DD4D27E" w14:textId="77777777" w:rsidR="008F652D" w:rsidRPr="006F11FF" w:rsidRDefault="008F652D" w:rsidP="00BE4783">
      <w:pPr>
        <w:numPr>
          <w:ilvl w:val="0"/>
          <w:numId w:val="34"/>
        </w:numPr>
        <w:spacing w:line="240" w:lineRule="auto"/>
        <w:contextualSpacing/>
        <w:rPr>
          <w:rFonts w:eastAsia="Calibri" w:cs="Calibri"/>
          <w:sz w:val="22"/>
          <w:szCs w:val="22"/>
        </w:rPr>
      </w:pPr>
      <w:r w:rsidRPr="006F11FF">
        <w:rPr>
          <w:rFonts w:eastAsia="Calibri" w:cs="Calibri"/>
          <w:sz w:val="22"/>
          <w:szCs w:val="22"/>
        </w:rPr>
        <w:t>Systems don’t fit high-need groups (ASD/DD, medical complexity, DCF/homelessness; ACEs)</w:t>
      </w:r>
    </w:p>
    <w:p w14:paraId="602063B9" w14:textId="77777777" w:rsidR="00342578" w:rsidRDefault="00342578" w:rsidP="008F652D">
      <w:pPr>
        <w:textAlignment w:val="baseline"/>
        <w:rPr>
          <w:rFonts w:eastAsiaTheme="majorEastAsia" w:cs="Calibri"/>
          <w:b/>
          <w:bCs/>
          <w:color w:val="215E99" w:themeColor="text2" w:themeTint="BF"/>
          <w:sz w:val="22"/>
          <w:szCs w:val="22"/>
        </w:rPr>
      </w:pPr>
    </w:p>
    <w:p w14:paraId="386A1D80" w14:textId="5FA1E022"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Policy Recommendation:</w:t>
      </w:r>
    </w:p>
    <w:p w14:paraId="59FA7E62" w14:textId="77777777" w:rsidR="008F652D" w:rsidRPr="006F11FF" w:rsidRDefault="008F652D" w:rsidP="008F652D">
      <w:pPr>
        <w:rPr>
          <w:rFonts w:cs="Calibri"/>
          <w:sz w:val="22"/>
          <w:szCs w:val="22"/>
        </w:rPr>
      </w:pPr>
      <w:r w:rsidRPr="006F11FF">
        <w:rPr>
          <w:rFonts w:cs="Calibri"/>
          <w:sz w:val="22"/>
          <w:szCs w:val="22"/>
        </w:rPr>
        <w:t>Require an Equity Impact Framework across all publicly funded children’s behavioral health services.</w:t>
      </w:r>
    </w:p>
    <w:p w14:paraId="20303ED9"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Key Elements:</w:t>
      </w:r>
    </w:p>
    <w:p w14:paraId="75E7C6FF" w14:textId="77777777" w:rsidR="008F652D" w:rsidRPr="006F11FF" w:rsidRDefault="008F652D" w:rsidP="00BE4783">
      <w:pPr>
        <w:numPr>
          <w:ilvl w:val="0"/>
          <w:numId w:val="35"/>
        </w:numPr>
        <w:spacing w:line="240" w:lineRule="auto"/>
        <w:contextualSpacing/>
        <w:rPr>
          <w:rFonts w:cs="Calibri"/>
          <w:sz w:val="22"/>
          <w:szCs w:val="22"/>
        </w:rPr>
      </w:pPr>
      <w:r w:rsidRPr="006F11FF">
        <w:rPr>
          <w:rFonts w:cs="Calibri"/>
          <w:sz w:val="22"/>
          <w:szCs w:val="22"/>
        </w:rPr>
        <w:t xml:space="preserve">Implement a unified equity accountability framework across MassHealth, DMH, DCF, DPH, DYS, DDS, and EEC-funded behavioral health services. </w:t>
      </w:r>
    </w:p>
    <w:p w14:paraId="57CA1F5E" w14:textId="77777777" w:rsidR="008F652D" w:rsidRPr="006F11FF" w:rsidRDefault="008F652D" w:rsidP="00BE4783">
      <w:pPr>
        <w:numPr>
          <w:ilvl w:val="1"/>
          <w:numId w:val="35"/>
        </w:numPr>
        <w:spacing w:line="240" w:lineRule="auto"/>
        <w:contextualSpacing/>
        <w:rPr>
          <w:rFonts w:cs="Calibri"/>
          <w:sz w:val="22"/>
          <w:szCs w:val="22"/>
        </w:rPr>
      </w:pPr>
      <w:r w:rsidRPr="006F11FF">
        <w:rPr>
          <w:rFonts w:cs="Calibri"/>
          <w:sz w:val="22"/>
          <w:szCs w:val="22"/>
        </w:rPr>
        <w:t xml:space="preserve">Framework could consist of data collection through required quarterly reporting of access, utilization, wait times, level-of-care decisions, length of stay, discharge outcomes, and readmissions, disaggregated by race, ethnicity, primary language, disability (including ASD/DD), ZIP code, insurance type, DCF involvement, and housing instability.  </w:t>
      </w:r>
    </w:p>
    <w:p w14:paraId="0022475F" w14:textId="77777777" w:rsidR="008F652D" w:rsidRPr="006F11FF" w:rsidRDefault="008F652D" w:rsidP="00BE4783">
      <w:pPr>
        <w:numPr>
          <w:ilvl w:val="1"/>
          <w:numId w:val="35"/>
        </w:numPr>
        <w:spacing w:line="240" w:lineRule="auto"/>
        <w:contextualSpacing/>
        <w:rPr>
          <w:rFonts w:cs="Calibri"/>
          <w:sz w:val="22"/>
          <w:szCs w:val="22"/>
        </w:rPr>
      </w:pPr>
      <w:r w:rsidRPr="006F11FF">
        <w:rPr>
          <w:rFonts w:cs="Calibri"/>
          <w:sz w:val="22"/>
          <w:szCs w:val="22"/>
        </w:rPr>
        <w:t xml:space="preserve">Establish measurable disparity thresholds and require corrective action plans for providers or managed care entities exceeding them. </w:t>
      </w:r>
    </w:p>
    <w:p w14:paraId="3E18C268" w14:textId="77777777" w:rsidR="008F652D" w:rsidRPr="006F11FF" w:rsidRDefault="008F652D" w:rsidP="00BE4783">
      <w:pPr>
        <w:numPr>
          <w:ilvl w:val="1"/>
          <w:numId w:val="35"/>
        </w:numPr>
        <w:spacing w:line="240" w:lineRule="auto"/>
        <w:contextualSpacing/>
        <w:rPr>
          <w:rFonts w:cs="Calibri"/>
          <w:sz w:val="22"/>
          <w:szCs w:val="22"/>
        </w:rPr>
      </w:pPr>
      <w:r w:rsidRPr="006F11FF">
        <w:rPr>
          <w:rFonts w:cs="Calibri"/>
          <w:sz w:val="22"/>
          <w:szCs w:val="22"/>
        </w:rPr>
        <w:t xml:space="preserve">Incorporate equity metrics into MassHealth managed care contracts and state agency procurement standards. </w:t>
      </w:r>
    </w:p>
    <w:p w14:paraId="56E6E0C7" w14:textId="77777777" w:rsidR="008F652D" w:rsidRPr="006F11FF" w:rsidRDefault="008F652D" w:rsidP="00BE4783">
      <w:pPr>
        <w:numPr>
          <w:ilvl w:val="1"/>
          <w:numId w:val="35"/>
        </w:numPr>
        <w:spacing w:line="240" w:lineRule="auto"/>
        <w:contextualSpacing/>
        <w:rPr>
          <w:rFonts w:cs="Calibri"/>
          <w:sz w:val="22"/>
          <w:szCs w:val="22"/>
        </w:rPr>
      </w:pPr>
      <w:r w:rsidRPr="006F11FF">
        <w:rPr>
          <w:rFonts w:cs="Calibri"/>
          <w:sz w:val="22"/>
          <w:szCs w:val="22"/>
        </w:rPr>
        <w:t xml:space="preserve">Produce an annual public equity report and/or dashboard. </w:t>
      </w:r>
    </w:p>
    <w:p w14:paraId="724A2814" w14:textId="77777777" w:rsidR="008F652D" w:rsidRPr="006F11FF" w:rsidRDefault="008F652D" w:rsidP="00BE4783">
      <w:pPr>
        <w:numPr>
          <w:ilvl w:val="0"/>
          <w:numId w:val="35"/>
        </w:numPr>
        <w:spacing w:line="240" w:lineRule="auto"/>
        <w:contextualSpacing/>
        <w:rPr>
          <w:rFonts w:cs="Calibri"/>
          <w:sz w:val="22"/>
          <w:szCs w:val="22"/>
        </w:rPr>
      </w:pPr>
      <w:r w:rsidRPr="006F11FF">
        <w:rPr>
          <w:rFonts w:cs="Calibri"/>
          <w:sz w:val="22"/>
          <w:szCs w:val="22"/>
        </w:rPr>
        <w:t>Embed equity in contracting and rate-setting to ensure accountability across agencies</w:t>
      </w:r>
    </w:p>
    <w:p w14:paraId="21F075C9" w14:textId="77777777" w:rsidR="008F652D" w:rsidRPr="006F11FF" w:rsidRDefault="008F652D" w:rsidP="00BE4783">
      <w:pPr>
        <w:numPr>
          <w:ilvl w:val="1"/>
          <w:numId w:val="35"/>
        </w:numPr>
        <w:spacing w:line="240" w:lineRule="auto"/>
        <w:contextualSpacing/>
        <w:rPr>
          <w:rFonts w:cs="Calibri"/>
          <w:sz w:val="22"/>
          <w:szCs w:val="22"/>
        </w:rPr>
      </w:pPr>
      <w:r w:rsidRPr="006F11FF">
        <w:rPr>
          <w:rFonts w:cs="Calibri"/>
          <w:sz w:val="22"/>
          <w:szCs w:val="22"/>
        </w:rPr>
        <w:t xml:space="preserve">Mandate routine </w:t>
      </w:r>
      <w:r w:rsidRPr="006F11FF">
        <w:rPr>
          <w:rFonts w:cs="Calibri"/>
          <w:b/>
          <w:bCs/>
          <w:sz w:val="22"/>
          <w:szCs w:val="22"/>
        </w:rPr>
        <w:t>equity impact reviews</w:t>
      </w:r>
      <w:r w:rsidRPr="006F11FF">
        <w:rPr>
          <w:rFonts w:cs="Calibri"/>
          <w:sz w:val="22"/>
          <w:szCs w:val="22"/>
        </w:rPr>
        <w:t xml:space="preserve"> internally: </w:t>
      </w:r>
    </w:p>
    <w:p w14:paraId="20E376DD"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Service access </w:t>
      </w:r>
    </w:p>
    <w:p w14:paraId="5153C3C4"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Referral pathways </w:t>
      </w:r>
    </w:p>
    <w:p w14:paraId="158A1AFC"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Waitlists </w:t>
      </w:r>
    </w:p>
    <w:p w14:paraId="6E39F4C9"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Placement decisions (including inpatient and residential) </w:t>
      </w:r>
    </w:p>
    <w:p w14:paraId="4070A88C" w14:textId="77777777" w:rsidR="008F652D" w:rsidRPr="006F11FF" w:rsidRDefault="008F652D" w:rsidP="00BE4783">
      <w:pPr>
        <w:numPr>
          <w:ilvl w:val="1"/>
          <w:numId w:val="35"/>
        </w:numPr>
        <w:spacing w:line="240" w:lineRule="auto"/>
        <w:contextualSpacing/>
        <w:rPr>
          <w:rFonts w:cs="Calibri"/>
          <w:sz w:val="22"/>
          <w:szCs w:val="22"/>
        </w:rPr>
      </w:pPr>
      <w:r w:rsidRPr="006F11FF">
        <w:rPr>
          <w:rFonts w:cs="Calibri"/>
          <w:sz w:val="22"/>
          <w:szCs w:val="22"/>
        </w:rPr>
        <w:t xml:space="preserve">Disaggregate all utilization and outcome data by: </w:t>
      </w:r>
    </w:p>
    <w:p w14:paraId="3CFEE17F"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Race, ethnicity </w:t>
      </w:r>
    </w:p>
    <w:p w14:paraId="191D886D"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Primary language </w:t>
      </w:r>
    </w:p>
    <w:p w14:paraId="1D07756C"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Geography (urban/rural, region) </w:t>
      </w:r>
    </w:p>
    <w:p w14:paraId="42307013"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Disability status </w:t>
      </w:r>
    </w:p>
    <w:p w14:paraId="57485973"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Child welfare involvement </w:t>
      </w:r>
    </w:p>
    <w:p w14:paraId="0D9C74BC" w14:textId="77777777" w:rsidR="008F652D" w:rsidRPr="006F11FF" w:rsidRDefault="008F652D" w:rsidP="00BE4783">
      <w:pPr>
        <w:numPr>
          <w:ilvl w:val="2"/>
          <w:numId w:val="35"/>
        </w:numPr>
        <w:spacing w:line="240" w:lineRule="auto"/>
        <w:contextualSpacing/>
        <w:rPr>
          <w:rFonts w:cs="Calibri"/>
          <w:sz w:val="22"/>
          <w:szCs w:val="22"/>
        </w:rPr>
      </w:pPr>
      <w:r w:rsidRPr="006F11FF">
        <w:rPr>
          <w:rFonts w:cs="Calibri"/>
          <w:sz w:val="22"/>
          <w:szCs w:val="22"/>
        </w:rPr>
        <w:t xml:space="preserve">Housing instability/homelessness </w:t>
      </w:r>
    </w:p>
    <w:p w14:paraId="46370F9C" w14:textId="77777777" w:rsidR="008F652D" w:rsidRPr="006F11FF" w:rsidRDefault="008F652D" w:rsidP="008F652D">
      <w:pPr>
        <w:ind w:left="720"/>
        <w:contextualSpacing/>
        <w:rPr>
          <w:rFonts w:cs="Calibri"/>
          <w:sz w:val="22"/>
          <w:szCs w:val="22"/>
        </w:rPr>
      </w:pPr>
    </w:p>
    <w:p w14:paraId="495EC02B"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Policy Recommendation:</w:t>
      </w:r>
    </w:p>
    <w:p w14:paraId="52FF0C0F" w14:textId="77777777" w:rsidR="008F652D" w:rsidRPr="006F11FF" w:rsidRDefault="008F652D" w:rsidP="008F652D">
      <w:pPr>
        <w:rPr>
          <w:rFonts w:cs="Calibri"/>
          <w:sz w:val="22"/>
          <w:szCs w:val="22"/>
        </w:rPr>
      </w:pPr>
      <w:r w:rsidRPr="006F11FF">
        <w:rPr>
          <w:rFonts w:cs="Calibri"/>
          <w:b/>
          <w:bCs/>
          <w:sz w:val="22"/>
          <w:szCs w:val="22"/>
        </w:rPr>
        <w:t>Establish enforceable language access standards across the behavioral health continuum</w:t>
      </w:r>
      <w:r w:rsidRPr="006F11FF">
        <w:rPr>
          <w:rFonts w:cs="Calibri"/>
          <w:sz w:val="22"/>
          <w:szCs w:val="22"/>
        </w:rPr>
        <w:t xml:space="preserve">. </w:t>
      </w:r>
    </w:p>
    <w:p w14:paraId="18C7F9A6"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Key Elements:</w:t>
      </w:r>
    </w:p>
    <w:p w14:paraId="4AC12687" w14:textId="77777777" w:rsidR="008F652D" w:rsidRPr="006F11FF" w:rsidRDefault="008F652D" w:rsidP="00BE4783">
      <w:pPr>
        <w:numPr>
          <w:ilvl w:val="0"/>
          <w:numId w:val="36"/>
        </w:numPr>
        <w:spacing w:line="240" w:lineRule="auto"/>
        <w:contextualSpacing/>
        <w:rPr>
          <w:rFonts w:cs="Calibri"/>
          <w:sz w:val="22"/>
          <w:szCs w:val="22"/>
        </w:rPr>
      </w:pPr>
      <w:r w:rsidRPr="006F11FF">
        <w:rPr>
          <w:rFonts w:cs="Calibri"/>
          <w:sz w:val="22"/>
          <w:szCs w:val="22"/>
        </w:rPr>
        <w:t xml:space="preserve">Direct the Office for Refugees and Immigrants (ORI) and relevant agencies to establish enforceable language access standards applicable to MassHealth providers, DMH and DCF-contracted services, EEC-funded early childhood mental health programs, and inpatient and residential settings. </w:t>
      </w:r>
    </w:p>
    <w:p w14:paraId="6EEFDEFC" w14:textId="77777777" w:rsidR="008F652D" w:rsidRPr="006F11FF" w:rsidRDefault="008F652D" w:rsidP="00BE4783">
      <w:pPr>
        <w:numPr>
          <w:ilvl w:val="1"/>
          <w:numId w:val="36"/>
        </w:numPr>
        <w:spacing w:line="240" w:lineRule="auto"/>
        <w:contextualSpacing/>
        <w:rPr>
          <w:rFonts w:cs="Calibri"/>
          <w:sz w:val="22"/>
          <w:szCs w:val="22"/>
        </w:rPr>
      </w:pPr>
      <w:r w:rsidRPr="006F11FF">
        <w:rPr>
          <w:rFonts w:cs="Calibri"/>
          <w:sz w:val="22"/>
          <w:szCs w:val="22"/>
        </w:rPr>
        <w:t xml:space="preserve">Timely access to </w:t>
      </w:r>
      <w:r w:rsidRPr="006F11FF">
        <w:rPr>
          <w:rFonts w:cs="Calibri"/>
          <w:b/>
          <w:bCs/>
          <w:sz w:val="22"/>
          <w:szCs w:val="22"/>
        </w:rPr>
        <w:t>trained medical/behavioral health interpreters</w:t>
      </w:r>
      <w:r w:rsidRPr="006F11FF">
        <w:rPr>
          <w:rFonts w:cs="Calibri"/>
          <w:sz w:val="22"/>
          <w:szCs w:val="22"/>
        </w:rPr>
        <w:t xml:space="preserve"> </w:t>
      </w:r>
    </w:p>
    <w:p w14:paraId="034A5081" w14:textId="77777777" w:rsidR="008F652D" w:rsidRPr="006F11FF" w:rsidRDefault="008F652D" w:rsidP="00BE4783">
      <w:pPr>
        <w:numPr>
          <w:ilvl w:val="1"/>
          <w:numId w:val="36"/>
        </w:numPr>
        <w:spacing w:line="240" w:lineRule="auto"/>
        <w:contextualSpacing/>
        <w:rPr>
          <w:rFonts w:cs="Calibri"/>
          <w:sz w:val="22"/>
          <w:szCs w:val="22"/>
        </w:rPr>
      </w:pPr>
      <w:r w:rsidRPr="006F11FF">
        <w:rPr>
          <w:rFonts w:cs="Calibri"/>
          <w:sz w:val="22"/>
          <w:szCs w:val="22"/>
        </w:rPr>
        <w:t xml:space="preserve">Translate materials at </w:t>
      </w:r>
      <w:r w:rsidRPr="006F11FF">
        <w:rPr>
          <w:rFonts w:cs="Calibri"/>
          <w:b/>
          <w:bCs/>
          <w:sz w:val="22"/>
          <w:szCs w:val="22"/>
        </w:rPr>
        <w:t>all points of entry</w:t>
      </w:r>
      <w:r w:rsidRPr="006F11FF">
        <w:rPr>
          <w:rFonts w:cs="Calibri"/>
          <w:sz w:val="22"/>
          <w:szCs w:val="22"/>
        </w:rPr>
        <w:t xml:space="preserve"> (referrals, intake, consent, discharge) </w:t>
      </w:r>
    </w:p>
    <w:p w14:paraId="54FF0827" w14:textId="77777777" w:rsidR="008F652D" w:rsidRPr="006F11FF" w:rsidRDefault="008F652D" w:rsidP="00BE4783">
      <w:pPr>
        <w:numPr>
          <w:ilvl w:val="1"/>
          <w:numId w:val="36"/>
        </w:numPr>
        <w:spacing w:line="240" w:lineRule="auto"/>
        <w:contextualSpacing/>
        <w:rPr>
          <w:rFonts w:cs="Calibri"/>
          <w:sz w:val="22"/>
          <w:szCs w:val="22"/>
        </w:rPr>
      </w:pPr>
      <w:r w:rsidRPr="006F11FF">
        <w:rPr>
          <w:rFonts w:cs="Calibri"/>
          <w:sz w:val="22"/>
          <w:szCs w:val="22"/>
        </w:rPr>
        <w:t xml:space="preserve">Prohibit reliance on children, family members or untrained staff as interpreters </w:t>
      </w:r>
    </w:p>
    <w:p w14:paraId="56E8AF37" w14:textId="77777777" w:rsidR="008F652D" w:rsidRPr="006F11FF" w:rsidRDefault="008F652D" w:rsidP="00BE4783">
      <w:pPr>
        <w:numPr>
          <w:ilvl w:val="1"/>
          <w:numId w:val="36"/>
        </w:numPr>
        <w:spacing w:line="240" w:lineRule="auto"/>
        <w:contextualSpacing/>
        <w:rPr>
          <w:rFonts w:cs="Calibri"/>
          <w:sz w:val="22"/>
          <w:szCs w:val="22"/>
        </w:rPr>
      </w:pPr>
      <w:r w:rsidRPr="006F11FF">
        <w:rPr>
          <w:rFonts w:cs="Calibri"/>
          <w:sz w:val="22"/>
          <w:szCs w:val="22"/>
        </w:rPr>
        <w:t xml:space="preserve">Fund and credential </w:t>
      </w:r>
      <w:r w:rsidRPr="006F11FF">
        <w:rPr>
          <w:rFonts w:cs="Calibri"/>
          <w:b/>
          <w:bCs/>
          <w:sz w:val="22"/>
          <w:szCs w:val="22"/>
        </w:rPr>
        <w:t>bilingual/bicultural clinicians</w:t>
      </w:r>
      <w:r w:rsidRPr="006F11FF">
        <w:rPr>
          <w:rFonts w:cs="Calibri"/>
          <w:sz w:val="22"/>
          <w:szCs w:val="22"/>
        </w:rPr>
        <w:t xml:space="preserve"> and community-based language brokers </w:t>
      </w:r>
    </w:p>
    <w:p w14:paraId="3796A2CE" w14:textId="77777777" w:rsidR="008F652D" w:rsidRPr="006F11FF" w:rsidRDefault="008F652D" w:rsidP="00BE4783">
      <w:pPr>
        <w:numPr>
          <w:ilvl w:val="1"/>
          <w:numId w:val="36"/>
        </w:numPr>
        <w:spacing w:line="240" w:lineRule="auto"/>
        <w:contextualSpacing/>
        <w:rPr>
          <w:rFonts w:cs="Calibri"/>
          <w:sz w:val="22"/>
          <w:szCs w:val="22"/>
        </w:rPr>
      </w:pPr>
      <w:r w:rsidRPr="006F11FF">
        <w:rPr>
          <w:rFonts w:cs="Calibri"/>
          <w:sz w:val="22"/>
          <w:szCs w:val="22"/>
        </w:rPr>
        <w:t xml:space="preserve">Monitor compliance through licensing and contract oversight. </w:t>
      </w:r>
    </w:p>
    <w:p w14:paraId="638A4987" w14:textId="77777777" w:rsidR="00342578" w:rsidRDefault="00342578" w:rsidP="008F652D">
      <w:pPr>
        <w:textAlignment w:val="baseline"/>
        <w:rPr>
          <w:rFonts w:eastAsiaTheme="majorEastAsia" w:cs="Calibri"/>
          <w:b/>
          <w:bCs/>
          <w:color w:val="215E99" w:themeColor="text2" w:themeTint="BF"/>
          <w:sz w:val="22"/>
          <w:szCs w:val="22"/>
        </w:rPr>
      </w:pPr>
    </w:p>
    <w:p w14:paraId="2C7D7375" w14:textId="4D73838B"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Policy Recommendation:</w:t>
      </w:r>
    </w:p>
    <w:p w14:paraId="63C31C01" w14:textId="77777777" w:rsidR="008F652D" w:rsidRPr="006F11FF" w:rsidRDefault="008F652D" w:rsidP="008F652D">
      <w:pPr>
        <w:textAlignment w:val="baseline"/>
        <w:rPr>
          <w:rFonts w:eastAsiaTheme="majorEastAsia" w:cs="Calibri"/>
          <w:sz w:val="22"/>
          <w:szCs w:val="22"/>
        </w:rPr>
      </w:pPr>
      <w:r w:rsidRPr="006F11FF">
        <w:rPr>
          <w:rFonts w:eastAsiaTheme="majorEastAsia" w:cs="Calibri"/>
          <w:sz w:val="22"/>
          <w:szCs w:val="22"/>
        </w:rPr>
        <w:t xml:space="preserve">Prioritize culturally responsive care as a reimbursable, measurable standard of quality. </w:t>
      </w:r>
    </w:p>
    <w:p w14:paraId="23485A6E" w14:textId="77777777" w:rsidR="008F652D" w:rsidRPr="008B453D" w:rsidRDefault="008F652D" w:rsidP="008F652D">
      <w:pPr>
        <w:textAlignment w:val="baseline"/>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Key Elements:</w:t>
      </w:r>
    </w:p>
    <w:p w14:paraId="29C2063A" w14:textId="77777777" w:rsidR="008F652D" w:rsidRPr="008B453D" w:rsidRDefault="008F652D" w:rsidP="00BE4783">
      <w:pPr>
        <w:numPr>
          <w:ilvl w:val="0"/>
          <w:numId w:val="37"/>
        </w:numPr>
        <w:spacing w:line="240" w:lineRule="auto"/>
        <w:contextualSpacing/>
        <w:rPr>
          <w:rFonts w:cs="Calibri"/>
          <w:sz w:val="22"/>
          <w:szCs w:val="22"/>
        </w:rPr>
      </w:pPr>
      <w:r w:rsidRPr="00FB4049">
        <w:rPr>
          <w:rFonts w:cs="Calibri"/>
          <w:sz w:val="22"/>
          <w:szCs w:val="22"/>
        </w:rPr>
        <w:t>Require providers to demonstrate culturally responsive practices and documented partnerships with community-based organizations serving historically marginalized populations (e.g., faith groups, cultural organizations, mutual aid networks, etc</w:t>
      </w:r>
      <w:r w:rsidRPr="008B453D">
        <w:rPr>
          <w:rFonts w:cs="Calibri"/>
          <w:sz w:val="22"/>
          <w:szCs w:val="22"/>
        </w:rPr>
        <w:t xml:space="preserve">.) </w:t>
      </w:r>
      <w:r w:rsidRPr="008B453D">
        <w:rPr>
          <w:rFonts w:cs="Calibri"/>
          <w:b/>
          <w:bCs/>
          <w:sz w:val="22"/>
          <w:szCs w:val="22"/>
        </w:rPr>
        <w:t>(Expansion of Access recommendations)</w:t>
      </w:r>
    </w:p>
    <w:p w14:paraId="1375B7DD" w14:textId="77777777" w:rsidR="008F652D" w:rsidRPr="008B453D" w:rsidRDefault="008F652D" w:rsidP="00BE4783">
      <w:pPr>
        <w:numPr>
          <w:ilvl w:val="0"/>
          <w:numId w:val="37"/>
        </w:numPr>
        <w:spacing w:line="240" w:lineRule="auto"/>
        <w:contextualSpacing/>
        <w:rPr>
          <w:rFonts w:cs="Calibri"/>
          <w:sz w:val="22"/>
          <w:szCs w:val="22"/>
        </w:rPr>
      </w:pPr>
      <w:r w:rsidRPr="008B453D">
        <w:rPr>
          <w:rFonts w:cs="Calibri"/>
          <w:sz w:val="22"/>
          <w:szCs w:val="22"/>
        </w:rPr>
        <w:t xml:space="preserve">Fund community-based, identity-affirming models (i.e., BIPOC-led, immigrant-serving, LGBTQIA+ affirming) and community-rooted providers. </w:t>
      </w:r>
    </w:p>
    <w:p w14:paraId="261B5621" w14:textId="77777777" w:rsidR="008F652D" w:rsidRPr="008B453D" w:rsidRDefault="008F652D" w:rsidP="00BE4783">
      <w:pPr>
        <w:numPr>
          <w:ilvl w:val="0"/>
          <w:numId w:val="37"/>
        </w:numPr>
        <w:spacing w:line="240" w:lineRule="auto"/>
        <w:contextualSpacing/>
        <w:rPr>
          <w:rFonts w:cs="Calibri"/>
          <w:sz w:val="22"/>
          <w:szCs w:val="22"/>
        </w:rPr>
      </w:pPr>
      <w:r w:rsidRPr="00FB4049">
        <w:rPr>
          <w:rFonts w:cs="Calibri"/>
          <w:sz w:val="22"/>
          <w:szCs w:val="22"/>
        </w:rPr>
        <w:t xml:space="preserve">Embed </w:t>
      </w:r>
      <w:r w:rsidRPr="00FB4049">
        <w:rPr>
          <w:rFonts w:cs="Calibri"/>
          <w:b/>
          <w:bCs/>
          <w:sz w:val="22"/>
          <w:szCs w:val="22"/>
        </w:rPr>
        <w:t>family and youth voice</w:t>
      </w:r>
      <w:r w:rsidRPr="00FB4049">
        <w:rPr>
          <w:rFonts w:cs="Calibri"/>
          <w:sz w:val="22"/>
          <w:szCs w:val="22"/>
        </w:rPr>
        <w:t>, particularly from historically marginalized communities, in program design, evaluation and oversight</w:t>
      </w:r>
      <w:r w:rsidRPr="008B453D">
        <w:rPr>
          <w:rFonts w:cs="Calibri"/>
          <w:sz w:val="22"/>
          <w:szCs w:val="22"/>
        </w:rPr>
        <w:t xml:space="preserve">. </w:t>
      </w:r>
      <w:r w:rsidRPr="008B453D">
        <w:rPr>
          <w:rFonts w:cs="Calibri"/>
          <w:b/>
          <w:bCs/>
          <w:sz w:val="22"/>
          <w:szCs w:val="22"/>
        </w:rPr>
        <w:t>(Expansion of Access recommendations)</w:t>
      </w:r>
    </w:p>
    <w:p w14:paraId="01C3F65A" w14:textId="77777777" w:rsidR="008F652D" w:rsidRPr="008B453D" w:rsidRDefault="008F652D" w:rsidP="00BE4783">
      <w:pPr>
        <w:numPr>
          <w:ilvl w:val="0"/>
          <w:numId w:val="37"/>
        </w:numPr>
        <w:spacing w:line="240" w:lineRule="auto"/>
        <w:contextualSpacing/>
        <w:rPr>
          <w:rFonts w:cs="Calibri"/>
          <w:b/>
          <w:bCs/>
          <w:sz w:val="22"/>
          <w:szCs w:val="22"/>
        </w:rPr>
      </w:pPr>
      <w:r w:rsidRPr="00FB4049">
        <w:rPr>
          <w:rFonts w:cs="Calibri"/>
          <w:sz w:val="22"/>
          <w:szCs w:val="22"/>
        </w:rPr>
        <w:t>Ensure ongoing training in culturally responsive and anti-racist practices</w:t>
      </w:r>
      <w:r w:rsidRPr="008B453D">
        <w:rPr>
          <w:rFonts w:cs="Calibri"/>
          <w:sz w:val="22"/>
          <w:szCs w:val="22"/>
        </w:rPr>
        <w:t xml:space="preserve">. </w:t>
      </w:r>
      <w:r w:rsidRPr="008B453D">
        <w:rPr>
          <w:rFonts w:cs="Calibri"/>
          <w:b/>
          <w:bCs/>
          <w:sz w:val="22"/>
          <w:szCs w:val="22"/>
        </w:rPr>
        <w:t>(Expansion of Work Capacity recommendations)</w:t>
      </w:r>
    </w:p>
    <w:p w14:paraId="55CE7D50" w14:textId="77777777" w:rsidR="008F652D" w:rsidRPr="008B453D" w:rsidRDefault="008F652D" w:rsidP="008F652D">
      <w:pPr>
        <w:ind w:left="720"/>
        <w:contextualSpacing/>
        <w:rPr>
          <w:rFonts w:cs="Calibri"/>
          <w:sz w:val="22"/>
          <w:szCs w:val="22"/>
        </w:rPr>
      </w:pPr>
    </w:p>
    <w:p w14:paraId="0B74A42F" w14:textId="77777777" w:rsidR="00342578" w:rsidRDefault="00342578" w:rsidP="008F652D">
      <w:pPr>
        <w:textAlignment w:val="baseline"/>
        <w:rPr>
          <w:rFonts w:eastAsiaTheme="majorEastAsia" w:cs="Calibri"/>
          <w:b/>
          <w:bCs/>
          <w:color w:val="215E99" w:themeColor="text2" w:themeTint="BF"/>
          <w:sz w:val="22"/>
          <w:szCs w:val="22"/>
        </w:rPr>
      </w:pPr>
    </w:p>
    <w:p w14:paraId="20C6EEBC" w14:textId="77777777" w:rsidR="00342578" w:rsidRDefault="00342578" w:rsidP="008F652D">
      <w:pPr>
        <w:textAlignment w:val="baseline"/>
        <w:rPr>
          <w:rFonts w:eastAsiaTheme="majorEastAsia" w:cs="Calibri"/>
          <w:b/>
          <w:bCs/>
          <w:color w:val="215E99" w:themeColor="text2" w:themeTint="BF"/>
          <w:sz w:val="22"/>
          <w:szCs w:val="22"/>
        </w:rPr>
      </w:pPr>
    </w:p>
    <w:p w14:paraId="6DAA3CC1" w14:textId="51FE3869" w:rsidR="008F652D" w:rsidRPr="008B453D" w:rsidRDefault="008F652D" w:rsidP="008F652D">
      <w:pPr>
        <w:textAlignment w:val="baseline"/>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Policy Recommendation:</w:t>
      </w:r>
    </w:p>
    <w:p w14:paraId="36E9AF06" w14:textId="77777777" w:rsidR="008F652D" w:rsidRPr="008B453D" w:rsidRDefault="008F652D" w:rsidP="008F652D">
      <w:pPr>
        <w:rPr>
          <w:rFonts w:cs="Calibri"/>
          <w:b/>
          <w:bCs/>
          <w:sz w:val="22"/>
          <w:szCs w:val="22"/>
        </w:rPr>
      </w:pPr>
      <w:r w:rsidRPr="00FB4049">
        <w:rPr>
          <w:rFonts w:cs="Calibri"/>
          <w:sz w:val="22"/>
          <w:szCs w:val="22"/>
        </w:rPr>
        <w:t>Create specialized pathways for children and youth whose needs do not fit traditional service models</w:t>
      </w:r>
      <w:r w:rsidRPr="008B453D">
        <w:rPr>
          <w:rFonts w:cs="Calibri"/>
          <w:sz w:val="22"/>
          <w:szCs w:val="22"/>
        </w:rPr>
        <w:t xml:space="preserve">. </w:t>
      </w:r>
      <w:bookmarkStart w:id="11" w:name="_Hlk222410120"/>
      <w:r w:rsidRPr="008B453D">
        <w:rPr>
          <w:rFonts w:cs="Calibri"/>
          <w:b/>
          <w:bCs/>
          <w:sz w:val="22"/>
          <w:szCs w:val="22"/>
        </w:rPr>
        <w:t>(Expansion of Access Recommendations)</w:t>
      </w:r>
      <w:bookmarkEnd w:id="11"/>
    </w:p>
    <w:p w14:paraId="2FC0A6E7" w14:textId="77777777" w:rsidR="008F652D" w:rsidRPr="006F11FF" w:rsidRDefault="008F652D" w:rsidP="008F652D">
      <w:pPr>
        <w:textAlignment w:val="baseline"/>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Key Elements:</w:t>
      </w:r>
    </w:p>
    <w:p w14:paraId="0CCFADEF" w14:textId="77777777" w:rsidR="008F652D" w:rsidRPr="008B453D" w:rsidRDefault="008F652D" w:rsidP="00BE4783">
      <w:pPr>
        <w:numPr>
          <w:ilvl w:val="0"/>
          <w:numId w:val="38"/>
        </w:numPr>
        <w:spacing w:line="240" w:lineRule="auto"/>
        <w:contextualSpacing/>
        <w:rPr>
          <w:rFonts w:cs="Calibri"/>
          <w:b/>
          <w:bCs/>
          <w:sz w:val="22"/>
          <w:szCs w:val="22"/>
        </w:rPr>
      </w:pPr>
      <w:r w:rsidRPr="00FB4049">
        <w:rPr>
          <w:rFonts w:cs="Calibri"/>
          <w:sz w:val="22"/>
          <w:szCs w:val="22"/>
        </w:rPr>
        <w:t xml:space="preserve">Establish a formal interagency pathway for children with complex behavioral health profiles, including those with ASD/DD, medical complexity, aggressive behavior, DCF involvement, or homelessness. </w:t>
      </w:r>
      <w:r w:rsidRPr="008B453D">
        <w:rPr>
          <w:rFonts w:cs="Calibri"/>
          <w:sz w:val="22"/>
          <w:szCs w:val="22"/>
        </w:rPr>
        <w:t>(</w:t>
      </w:r>
      <w:r w:rsidRPr="008B453D">
        <w:rPr>
          <w:rFonts w:cs="Calibri"/>
          <w:b/>
          <w:bCs/>
          <w:sz w:val="22"/>
          <w:szCs w:val="22"/>
        </w:rPr>
        <w:t>Expansion of Access Recommendations)</w:t>
      </w:r>
    </w:p>
    <w:p w14:paraId="16505E47" w14:textId="77777777" w:rsidR="008F652D" w:rsidRPr="008B453D" w:rsidRDefault="008F652D" w:rsidP="00BE4783">
      <w:pPr>
        <w:numPr>
          <w:ilvl w:val="0"/>
          <w:numId w:val="38"/>
        </w:numPr>
        <w:spacing w:line="240" w:lineRule="auto"/>
        <w:contextualSpacing/>
        <w:rPr>
          <w:rFonts w:cs="Calibri"/>
          <w:sz w:val="22"/>
          <w:szCs w:val="22"/>
        </w:rPr>
      </w:pPr>
      <w:r w:rsidRPr="008B453D">
        <w:rPr>
          <w:rFonts w:cs="Calibri"/>
          <w:sz w:val="22"/>
          <w:szCs w:val="22"/>
        </w:rPr>
        <w:t xml:space="preserve">Require inpatient and residential providers licensed by DPH and/or contracted by DMH, DCF, DYS, DDS, or MassHealth to demonstrate competency serving youth with developmental disabilities, aggressive behavior, and complex medical needs. </w:t>
      </w:r>
    </w:p>
    <w:p w14:paraId="243D82F7" w14:textId="77777777" w:rsidR="008F652D" w:rsidRPr="008B453D" w:rsidRDefault="008F652D" w:rsidP="00BE4783">
      <w:pPr>
        <w:numPr>
          <w:ilvl w:val="0"/>
          <w:numId w:val="38"/>
        </w:numPr>
        <w:spacing w:line="240" w:lineRule="auto"/>
        <w:contextualSpacing/>
        <w:rPr>
          <w:rFonts w:cs="Calibri"/>
          <w:sz w:val="22"/>
          <w:szCs w:val="22"/>
        </w:rPr>
      </w:pPr>
      <w:r w:rsidRPr="008B453D">
        <w:rPr>
          <w:rFonts w:cs="Calibri"/>
          <w:sz w:val="22"/>
          <w:szCs w:val="22"/>
        </w:rPr>
        <w:t xml:space="preserve">Prohibit denial of admission or exclusion of care to multi-complex children or children with cross-system involvement </w:t>
      </w:r>
    </w:p>
    <w:p w14:paraId="66D607E8" w14:textId="77777777" w:rsidR="008F652D" w:rsidRPr="008B453D" w:rsidRDefault="008F652D" w:rsidP="00BE4783">
      <w:pPr>
        <w:numPr>
          <w:ilvl w:val="0"/>
          <w:numId w:val="38"/>
        </w:numPr>
        <w:spacing w:line="240" w:lineRule="auto"/>
        <w:contextualSpacing/>
        <w:rPr>
          <w:rFonts w:cs="Calibri"/>
          <w:sz w:val="22"/>
          <w:szCs w:val="22"/>
        </w:rPr>
      </w:pPr>
      <w:r w:rsidRPr="008B453D">
        <w:rPr>
          <w:rFonts w:cs="Calibri"/>
          <w:sz w:val="22"/>
          <w:szCs w:val="22"/>
        </w:rPr>
        <w:t xml:space="preserve">Create regional multidisciplinary care coordination teams with representation from DMH, DCF, DYS, DDS, MassHealth, DESE, and housing agencies to expedite placement and align funding. </w:t>
      </w:r>
    </w:p>
    <w:p w14:paraId="3BFA48BE" w14:textId="77777777" w:rsidR="008F652D" w:rsidRPr="008B453D" w:rsidRDefault="008F652D" w:rsidP="00BE4783">
      <w:pPr>
        <w:numPr>
          <w:ilvl w:val="0"/>
          <w:numId w:val="38"/>
        </w:numPr>
        <w:spacing w:line="240" w:lineRule="auto"/>
        <w:contextualSpacing/>
        <w:rPr>
          <w:rFonts w:cs="Calibri"/>
          <w:sz w:val="22"/>
          <w:szCs w:val="22"/>
        </w:rPr>
      </w:pPr>
      <w:r w:rsidRPr="008B453D">
        <w:rPr>
          <w:rFonts w:cs="Calibri"/>
          <w:sz w:val="22"/>
          <w:szCs w:val="22"/>
        </w:rPr>
        <w:t xml:space="preserve">Establish enhanced reimbursement tiers for high-acuity youth to incentivize appropriate placement. </w:t>
      </w:r>
    </w:p>
    <w:p w14:paraId="0BC5655D" w14:textId="77777777" w:rsidR="008F652D" w:rsidRPr="008B453D" w:rsidRDefault="008F652D" w:rsidP="00BE4783">
      <w:pPr>
        <w:numPr>
          <w:ilvl w:val="0"/>
          <w:numId w:val="38"/>
        </w:numPr>
        <w:spacing w:line="240" w:lineRule="auto"/>
        <w:contextualSpacing/>
        <w:rPr>
          <w:rFonts w:cs="Calibri"/>
          <w:sz w:val="22"/>
          <w:szCs w:val="22"/>
        </w:rPr>
      </w:pPr>
      <w:r w:rsidRPr="008B453D">
        <w:rPr>
          <w:rFonts w:cs="Calibri"/>
          <w:sz w:val="22"/>
          <w:szCs w:val="22"/>
        </w:rPr>
        <w:t xml:space="preserve">Require inpatient and residential programs to demonstrate disability competence, trauma-responsive practices, and medical-behavioral integration </w:t>
      </w:r>
    </w:p>
    <w:p w14:paraId="2ECE4713" w14:textId="77777777" w:rsidR="008F652D" w:rsidRPr="008B453D" w:rsidRDefault="008F652D" w:rsidP="00BE4783">
      <w:pPr>
        <w:numPr>
          <w:ilvl w:val="0"/>
          <w:numId w:val="38"/>
        </w:numPr>
        <w:spacing w:line="240" w:lineRule="auto"/>
        <w:contextualSpacing/>
        <w:rPr>
          <w:rFonts w:cs="Calibri"/>
          <w:sz w:val="22"/>
          <w:szCs w:val="22"/>
        </w:rPr>
      </w:pPr>
      <w:r w:rsidRPr="008B453D">
        <w:rPr>
          <w:rFonts w:cs="Calibri"/>
          <w:sz w:val="22"/>
          <w:szCs w:val="22"/>
        </w:rPr>
        <w:t>Expand step-down and continuing care options to prevent unnecessary re-hospitalization</w:t>
      </w:r>
    </w:p>
    <w:p w14:paraId="3A8976C6" w14:textId="77777777" w:rsidR="008F652D" w:rsidRPr="008B453D" w:rsidRDefault="008F652D" w:rsidP="008F652D">
      <w:pPr>
        <w:rPr>
          <w:rFonts w:cs="Calibri"/>
          <w:sz w:val="22"/>
          <w:szCs w:val="22"/>
        </w:rPr>
      </w:pPr>
    </w:p>
    <w:p w14:paraId="469E5FB9"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Policy Recommendation:</w:t>
      </w:r>
    </w:p>
    <w:p w14:paraId="44CB1539" w14:textId="77777777" w:rsidR="008F652D" w:rsidRPr="008B453D" w:rsidRDefault="008F652D" w:rsidP="008F652D">
      <w:pPr>
        <w:rPr>
          <w:rFonts w:cs="Calibri"/>
          <w:b/>
          <w:bCs/>
          <w:sz w:val="22"/>
          <w:szCs w:val="22"/>
        </w:rPr>
      </w:pPr>
      <w:r w:rsidRPr="00FB4049">
        <w:rPr>
          <w:rFonts w:cs="Calibri"/>
          <w:b/>
          <w:bCs/>
          <w:sz w:val="22"/>
          <w:szCs w:val="22"/>
        </w:rPr>
        <w:t>Establish a unified, child- and family-centered access system for behavioral health services</w:t>
      </w:r>
      <w:r w:rsidRPr="00FB4049">
        <w:rPr>
          <w:rFonts w:cs="Calibri"/>
          <w:sz w:val="22"/>
          <w:szCs w:val="22"/>
        </w:rPr>
        <w:t xml:space="preserve">. </w:t>
      </w:r>
      <w:r w:rsidRPr="008B453D">
        <w:rPr>
          <w:rFonts w:cs="Calibri"/>
          <w:b/>
          <w:bCs/>
          <w:sz w:val="22"/>
          <w:szCs w:val="22"/>
        </w:rPr>
        <w:t>(Expansion of Access Recommendations)</w:t>
      </w:r>
    </w:p>
    <w:p w14:paraId="3A7D2B80"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Key Elements:</w:t>
      </w:r>
    </w:p>
    <w:p w14:paraId="6EFA979A" w14:textId="77777777" w:rsidR="008F652D" w:rsidRPr="008B453D" w:rsidRDefault="008F652D" w:rsidP="00BE4783">
      <w:pPr>
        <w:numPr>
          <w:ilvl w:val="0"/>
          <w:numId w:val="39"/>
        </w:numPr>
        <w:spacing w:line="240" w:lineRule="auto"/>
        <w:contextualSpacing/>
        <w:rPr>
          <w:rFonts w:cs="Calibri"/>
          <w:b/>
          <w:bCs/>
          <w:sz w:val="22"/>
          <w:szCs w:val="22"/>
        </w:rPr>
      </w:pPr>
      <w:r w:rsidRPr="00FB4049">
        <w:rPr>
          <w:rFonts w:cs="Calibri"/>
          <w:sz w:val="22"/>
          <w:szCs w:val="22"/>
        </w:rPr>
        <w:t>Develop a centralized, real-time bed and service availability tracking system for inpatient, CBAT, residential, and step-down programs</w:t>
      </w:r>
      <w:r w:rsidRPr="008B453D">
        <w:rPr>
          <w:rFonts w:cs="Calibri"/>
          <w:sz w:val="22"/>
          <w:szCs w:val="22"/>
        </w:rPr>
        <w:t xml:space="preserve">. </w:t>
      </w:r>
      <w:r w:rsidRPr="008B453D">
        <w:rPr>
          <w:rFonts w:cs="Calibri"/>
          <w:b/>
          <w:bCs/>
          <w:sz w:val="22"/>
          <w:szCs w:val="22"/>
        </w:rPr>
        <w:t>(Overlap with Access and Service Capacity Recommendations)</w:t>
      </w:r>
    </w:p>
    <w:p w14:paraId="1E96E170" w14:textId="77777777" w:rsidR="008F652D" w:rsidRPr="008B453D" w:rsidRDefault="008F652D" w:rsidP="00BE4783">
      <w:pPr>
        <w:numPr>
          <w:ilvl w:val="1"/>
          <w:numId w:val="39"/>
        </w:numPr>
        <w:spacing w:line="240" w:lineRule="auto"/>
        <w:contextualSpacing/>
        <w:rPr>
          <w:rFonts w:cs="Calibri"/>
          <w:sz w:val="22"/>
          <w:szCs w:val="22"/>
        </w:rPr>
      </w:pPr>
      <w:r w:rsidRPr="00FB4049">
        <w:rPr>
          <w:rFonts w:cs="Calibri"/>
          <w:sz w:val="22"/>
          <w:szCs w:val="22"/>
        </w:rPr>
        <w:t>Create a single point of entry for behavioral health referrals across agencies</w:t>
      </w:r>
      <w:r w:rsidRPr="008B453D">
        <w:rPr>
          <w:rFonts w:cs="Calibri"/>
          <w:sz w:val="22"/>
          <w:szCs w:val="22"/>
        </w:rPr>
        <w:t xml:space="preserve"> </w:t>
      </w:r>
      <w:bookmarkStart w:id="12" w:name="_Hlk222410648"/>
      <w:r w:rsidRPr="008B453D">
        <w:rPr>
          <w:rFonts w:cs="Calibri"/>
          <w:b/>
          <w:bCs/>
          <w:sz w:val="22"/>
          <w:szCs w:val="22"/>
        </w:rPr>
        <w:t>(Expansion of Access Recommendations)</w:t>
      </w:r>
      <w:bookmarkEnd w:id="12"/>
    </w:p>
    <w:p w14:paraId="1D534E25" w14:textId="77777777" w:rsidR="008F652D" w:rsidRPr="008B453D" w:rsidRDefault="008F652D" w:rsidP="00BE4783">
      <w:pPr>
        <w:numPr>
          <w:ilvl w:val="0"/>
          <w:numId w:val="39"/>
        </w:numPr>
        <w:spacing w:line="240" w:lineRule="auto"/>
        <w:contextualSpacing/>
        <w:rPr>
          <w:rFonts w:cs="Calibri"/>
          <w:b/>
          <w:bCs/>
          <w:sz w:val="22"/>
          <w:szCs w:val="22"/>
        </w:rPr>
      </w:pPr>
      <w:r w:rsidRPr="00FB4049">
        <w:rPr>
          <w:rFonts w:cs="Calibri"/>
          <w:sz w:val="22"/>
          <w:szCs w:val="22"/>
        </w:rPr>
        <w:t>Standardize level-of-care criteria across MassHealth managed care plans and state agencies (e.g., Outpatient, Inpatient, Residential and continuing care</w:t>
      </w:r>
      <w:r w:rsidRPr="008B453D">
        <w:rPr>
          <w:rFonts w:cs="Calibri"/>
          <w:sz w:val="22"/>
          <w:szCs w:val="22"/>
        </w:rPr>
        <w:t xml:space="preserve">) </w:t>
      </w:r>
      <w:r w:rsidRPr="008B453D">
        <w:rPr>
          <w:rFonts w:cs="Calibri"/>
          <w:b/>
          <w:bCs/>
          <w:sz w:val="22"/>
          <w:szCs w:val="22"/>
        </w:rPr>
        <w:t>(Expansion of Access Recommendations)</w:t>
      </w:r>
    </w:p>
    <w:p w14:paraId="1FE9ADB8" w14:textId="77777777" w:rsidR="008F652D" w:rsidRPr="008B453D" w:rsidRDefault="008F652D" w:rsidP="00BE4783">
      <w:pPr>
        <w:numPr>
          <w:ilvl w:val="0"/>
          <w:numId w:val="39"/>
        </w:numPr>
        <w:spacing w:line="240" w:lineRule="auto"/>
        <w:contextualSpacing/>
        <w:rPr>
          <w:rFonts w:cs="Calibri"/>
          <w:sz w:val="22"/>
          <w:szCs w:val="22"/>
        </w:rPr>
      </w:pPr>
      <w:r w:rsidRPr="008B453D">
        <w:rPr>
          <w:rFonts w:cs="Calibri"/>
          <w:sz w:val="22"/>
          <w:szCs w:val="22"/>
        </w:rPr>
        <w:t xml:space="preserve">Require warm handoffs and documented transition planning between levels of care. </w:t>
      </w:r>
    </w:p>
    <w:p w14:paraId="62BA423C" w14:textId="77777777" w:rsidR="008F652D" w:rsidRPr="008B453D" w:rsidRDefault="008F652D" w:rsidP="00BE4783">
      <w:pPr>
        <w:numPr>
          <w:ilvl w:val="1"/>
          <w:numId w:val="39"/>
        </w:numPr>
        <w:spacing w:line="240" w:lineRule="auto"/>
        <w:contextualSpacing/>
        <w:rPr>
          <w:rFonts w:cs="Calibri"/>
          <w:sz w:val="22"/>
          <w:szCs w:val="22"/>
        </w:rPr>
      </w:pPr>
      <w:r w:rsidRPr="008B453D">
        <w:rPr>
          <w:rFonts w:cs="Calibri"/>
          <w:sz w:val="22"/>
          <w:szCs w:val="22"/>
        </w:rPr>
        <w:t xml:space="preserve">Prohibit discharge to “no services available.” </w:t>
      </w:r>
    </w:p>
    <w:p w14:paraId="1E8BE233" w14:textId="77777777" w:rsidR="008F652D" w:rsidRPr="008B453D" w:rsidRDefault="008F652D" w:rsidP="00BE4783">
      <w:pPr>
        <w:numPr>
          <w:ilvl w:val="0"/>
          <w:numId w:val="39"/>
        </w:numPr>
        <w:spacing w:line="240" w:lineRule="auto"/>
        <w:contextualSpacing/>
        <w:rPr>
          <w:rFonts w:cs="Calibri"/>
          <w:sz w:val="22"/>
          <w:szCs w:val="22"/>
        </w:rPr>
      </w:pPr>
      <w:r w:rsidRPr="008B453D">
        <w:rPr>
          <w:rFonts w:cs="Calibri"/>
          <w:sz w:val="22"/>
          <w:szCs w:val="22"/>
        </w:rPr>
        <w:t xml:space="preserve">Fund regional family navigation services through MassHealth or braided EOHHS resources. </w:t>
      </w:r>
    </w:p>
    <w:p w14:paraId="77716F4D" w14:textId="77777777" w:rsidR="008F652D" w:rsidRPr="008B453D" w:rsidRDefault="008F652D" w:rsidP="00BE4783">
      <w:pPr>
        <w:numPr>
          <w:ilvl w:val="0"/>
          <w:numId w:val="39"/>
        </w:numPr>
        <w:spacing w:line="240" w:lineRule="auto"/>
        <w:contextualSpacing/>
        <w:rPr>
          <w:rFonts w:cs="Calibri"/>
          <w:sz w:val="22"/>
          <w:szCs w:val="22"/>
        </w:rPr>
      </w:pPr>
      <w:r w:rsidRPr="008B453D">
        <w:rPr>
          <w:rFonts w:cs="Calibri"/>
          <w:sz w:val="22"/>
          <w:szCs w:val="22"/>
        </w:rPr>
        <w:t>Develop and monitor maximum wait-time standards with escalation protocols for urgent referrals.</w:t>
      </w:r>
    </w:p>
    <w:p w14:paraId="55C7E6B1" w14:textId="77777777" w:rsidR="008F652D" w:rsidRDefault="008F652D" w:rsidP="008F652D">
      <w:pPr>
        <w:rPr>
          <w:rFonts w:cs="Calibri"/>
          <w:sz w:val="22"/>
          <w:szCs w:val="22"/>
        </w:rPr>
      </w:pPr>
    </w:p>
    <w:p w14:paraId="1695E60E" w14:textId="77777777" w:rsidR="00342578" w:rsidRDefault="00342578" w:rsidP="008F652D">
      <w:pPr>
        <w:rPr>
          <w:rFonts w:cs="Calibri"/>
          <w:sz w:val="22"/>
          <w:szCs w:val="22"/>
        </w:rPr>
      </w:pPr>
    </w:p>
    <w:p w14:paraId="3F3A0F31" w14:textId="77777777" w:rsidR="00342578" w:rsidRPr="008B453D" w:rsidRDefault="00342578" w:rsidP="008F652D">
      <w:pPr>
        <w:rPr>
          <w:rFonts w:cs="Calibri"/>
          <w:sz w:val="22"/>
          <w:szCs w:val="22"/>
        </w:rPr>
      </w:pPr>
    </w:p>
    <w:p w14:paraId="70E9E8BE"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Policy Recommendation:</w:t>
      </w:r>
    </w:p>
    <w:p w14:paraId="5892B60F" w14:textId="77777777" w:rsidR="008F652D" w:rsidRPr="008B453D" w:rsidRDefault="008F652D" w:rsidP="008F652D">
      <w:pPr>
        <w:rPr>
          <w:rFonts w:cs="Calibri"/>
          <w:b/>
          <w:bCs/>
          <w:sz w:val="22"/>
          <w:szCs w:val="22"/>
        </w:rPr>
      </w:pPr>
      <w:r w:rsidRPr="008B453D">
        <w:rPr>
          <w:rFonts w:cs="Calibri"/>
          <w:sz w:val="22"/>
          <w:szCs w:val="22"/>
        </w:rPr>
        <w:t>Modernize child and adolescent inpatient and residential systems to emphasize continuity, equity, and recovery for the child or adolescent and family</w:t>
      </w:r>
      <w:r w:rsidRPr="008B453D">
        <w:rPr>
          <w:rFonts w:cs="Calibri"/>
          <w:b/>
          <w:bCs/>
          <w:sz w:val="22"/>
          <w:szCs w:val="22"/>
        </w:rPr>
        <w:t>.</w:t>
      </w:r>
    </w:p>
    <w:p w14:paraId="57063372" w14:textId="77777777" w:rsidR="008F652D" w:rsidRPr="008B453D" w:rsidRDefault="008F652D" w:rsidP="008F652D">
      <w:pPr>
        <w:textAlignment w:val="baseline"/>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Key Elements:</w:t>
      </w:r>
    </w:p>
    <w:p w14:paraId="23F0774E" w14:textId="77777777" w:rsidR="008F652D" w:rsidRPr="008B453D" w:rsidRDefault="008F652D" w:rsidP="00BE4783">
      <w:pPr>
        <w:numPr>
          <w:ilvl w:val="0"/>
          <w:numId w:val="40"/>
        </w:numPr>
        <w:spacing w:line="240" w:lineRule="auto"/>
        <w:contextualSpacing/>
        <w:rPr>
          <w:rFonts w:cs="Calibri"/>
          <w:sz w:val="22"/>
          <w:szCs w:val="22"/>
        </w:rPr>
      </w:pPr>
      <w:r w:rsidRPr="008B453D">
        <w:rPr>
          <w:rFonts w:cs="Calibri"/>
          <w:sz w:val="22"/>
          <w:szCs w:val="22"/>
        </w:rPr>
        <w:t xml:space="preserve">Encourage individualized transition planning early in an inpatient admission that is patient and family centered and confirm step-down appointments prior to discharge to ensure next steps in the continuum of care. </w:t>
      </w:r>
    </w:p>
    <w:p w14:paraId="5B1DAB79" w14:textId="77777777" w:rsidR="008F652D" w:rsidRPr="008B453D" w:rsidRDefault="008F652D" w:rsidP="00BE4783">
      <w:pPr>
        <w:numPr>
          <w:ilvl w:val="1"/>
          <w:numId w:val="40"/>
        </w:numPr>
        <w:spacing w:line="240" w:lineRule="auto"/>
        <w:contextualSpacing/>
        <w:rPr>
          <w:rFonts w:cs="Calibri"/>
          <w:sz w:val="22"/>
          <w:szCs w:val="22"/>
        </w:rPr>
      </w:pPr>
      <w:r w:rsidRPr="008B453D">
        <w:rPr>
          <w:rFonts w:cs="Calibri"/>
          <w:sz w:val="22"/>
          <w:szCs w:val="22"/>
        </w:rPr>
        <w:t>Family engagement should be culturally and linguistically inclusive and consider geography.</w:t>
      </w:r>
    </w:p>
    <w:p w14:paraId="1C482D61" w14:textId="77777777" w:rsidR="008F652D" w:rsidRPr="008B453D" w:rsidRDefault="008F652D" w:rsidP="00BE4783">
      <w:pPr>
        <w:numPr>
          <w:ilvl w:val="1"/>
          <w:numId w:val="40"/>
        </w:numPr>
        <w:spacing w:line="240" w:lineRule="auto"/>
        <w:contextualSpacing/>
        <w:rPr>
          <w:rFonts w:cs="Calibri"/>
          <w:sz w:val="22"/>
          <w:szCs w:val="22"/>
        </w:rPr>
      </w:pPr>
      <w:r w:rsidRPr="008B453D">
        <w:rPr>
          <w:rFonts w:cs="Calibri"/>
          <w:sz w:val="22"/>
          <w:szCs w:val="22"/>
        </w:rPr>
        <w:t xml:space="preserve">Transition planning should occur regardless of custody status.  </w:t>
      </w:r>
    </w:p>
    <w:p w14:paraId="1801B5B6" w14:textId="77777777" w:rsidR="008F652D" w:rsidRPr="008B453D" w:rsidRDefault="008F652D" w:rsidP="00BE4783">
      <w:pPr>
        <w:numPr>
          <w:ilvl w:val="0"/>
          <w:numId w:val="40"/>
        </w:numPr>
        <w:spacing w:line="240" w:lineRule="auto"/>
        <w:contextualSpacing/>
        <w:rPr>
          <w:rFonts w:cs="Calibri"/>
          <w:sz w:val="22"/>
          <w:szCs w:val="22"/>
        </w:rPr>
      </w:pPr>
      <w:r w:rsidRPr="008B453D">
        <w:rPr>
          <w:rFonts w:cs="Calibri"/>
          <w:sz w:val="22"/>
          <w:szCs w:val="22"/>
        </w:rPr>
        <w:t xml:space="preserve">Expand intensive outpatient, partial hospitalization, in-home therapy, and community-based step-down services. </w:t>
      </w:r>
    </w:p>
    <w:p w14:paraId="14A4C7EF" w14:textId="77777777" w:rsidR="008F652D" w:rsidRPr="008B453D" w:rsidRDefault="008F652D" w:rsidP="00BE4783">
      <w:pPr>
        <w:numPr>
          <w:ilvl w:val="0"/>
          <w:numId w:val="40"/>
        </w:numPr>
        <w:spacing w:line="240" w:lineRule="auto"/>
        <w:contextualSpacing/>
        <w:rPr>
          <w:rFonts w:cs="Calibri"/>
          <w:sz w:val="22"/>
          <w:szCs w:val="22"/>
        </w:rPr>
      </w:pPr>
      <w:r w:rsidRPr="008B453D">
        <w:rPr>
          <w:rFonts w:cs="Calibri"/>
          <w:sz w:val="22"/>
          <w:szCs w:val="22"/>
        </w:rPr>
        <w:t xml:space="preserve">Monitor disparities in admissions, length of stay, restraints, and readmissions. </w:t>
      </w:r>
    </w:p>
    <w:p w14:paraId="1096D3E0" w14:textId="77777777" w:rsidR="008F652D" w:rsidRPr="008B453D" w:rsidRDefault="008F652D" w:rsidP="00BE4783">
      <w:pPr>
        <w:numPr>
          <w:ilvl w:val="0"/>
          <w:numId w:val="40"/>
        </w:numPr>
        <w:spacing w:line="240" w:lineRule="auto"/>
        <w:contextualSpacing/>
        <w:rPr>
          <w:rFonts w:cs="Calibri"/>
          <w:sz w:val="22"/>
          <w:szCs w:val="22"/>
        </w:rPr>
      </w:pPr>
      <w:r w:rsidRPr="008B453D">
        <w:rPr>
          <w:rFonts w:cs="Calibri"/>
          <w:sz w:val="22"/>
          <w:szCs w:val="22"/>
        </w:rPr>
        <w:t>Align payment models to incentivize successful community reintegration rather than prolonged institutional stays.</w:t>
      </w:r>
    </w:p>
    <w:p w14:paraId="054AE6C2" w14:textId="77777777" w:rsidR="008F652D" w:rsidRPr="008B453D" w:rsidRDefault="008F652D" w:rsidP="00BE4783">
      <w:pPr>
        <w:numPr>
          <w:ilvl w:val="1"/>
          <w:numId w:val="40"/>
        </w:numPr>
        <w:spacing w:line="240" w:lineRule="auto"/>
        <w:contextualSpacing/>
        <w:rPr>
          <w:rFonts w:cs="Calibri"/>
          <w:sz w:val="22"/>
          <w:szCs w:val="22"/>
        </w:rPr>
      </w:pPr>
      <w:r w:rsidRPr="008B453D">
        <w:rPr>
          <w:rFonts w:cs="Calibri"/>
          <w:sz w:val="22"/>
          <w:szCs w:val="22"/>
        </w:rPr>
        <w:t>Support step-down care</w:t>
      </w:r>
    </w:p>
    <w:p w14:paraId="258364AA" w14:textId="77777777" w:rsidR="008F652D" w:rsidRPr="008B453D" w:rsidRDefault="008F652D" w:rsidP="00BE4783">
      <w:pPr>
        <w:numPr>
          <w:ilvl w:val="1"/>
          <w:numId w:val="40"/>
        </w:numPr>
        <w:spacing w:line="240" w:lineRule="auto"/>
        <w:contextualSpacing/>
        <w:rPr>
          <w:rFonts w:cs="Calibri"/>
          <w:sz w:val="22"/>
          <w:szCs w:val="22"/>
        </w:rPr>
      </w:pPr>
      <w:r w:rsidRPr="008B453D">
        <w:rPr>
          <w:rFonts w:cs="Calibri"/>
          <w:sz w:val="22"/>
          <w:szCs w:val="22"/>
        </w:rPr>
        <w:t>Incentivize successful transitions, not just occupancy</w:t>
      </w:r>
    </w:p>
    <w:p w14:paraId="3CB98C79" w14:textId="77777777" w:rsidR="008F652D" w:rsidRPr="008B453D" w:rsidRDefault="008F652D" w:rsidP="008F652D">
      <w:pPr>
        <w:rPr>
          <w:rFonts w:cs="Calibri"/>
          <w:sz w:val="22"/>
          <w:szCs w:val="22"/>
        </w:rPr>
      </w:pPr>
    </w:p>
    <w:p w14:paraId="354ED912"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Policy Recommendation:</w:t>
      </w:r>
    </w:p>
    <w:p w14:paraId="2CEA5C96" w14:textId="77777777" w:rsidR="008F652D" w:rsidRPr="008B453D" w:rsidRDefault="008F652D" w:rsidP="008F652D">
      <w:pPr>
        <w:rPr>
          <w:rFonts w:cs="Calibri"/>
          <w:sz w:val="22"/>
          <w:szCs w:val="22"/>
        </w:rPr>
      </w:pPr>
      <w:r w:rsidRPr="00FB4049">
        <w:rPr>
          <w:rFonts w:cs="Calibri"/>
          <w:sz w:val="22"/>
          <w:szCs w:val="22"/>
        </w:rPr>
        <w:t>Implement a coordinated workforce strategy to address provider shortages and improve culturally responsive care</w:t>
      </w:r>
      <w:r w:rsidRPr="008B453D">
        <w:rPr>
          <w:rFonts w:cs="Calibri"/>
          <w:sz w:val="22"/>
          <w:szCs w:val="22"/>
        </w:rPr>
        <w:t xml:space="preserve">. </w:t>
      </w:r>
      <w:r w:rsidRPr="008B453D">
        <w:rPr>
          <w:rFonts w:cs="Calibri"/>
          <w:b/>
          <w:bCs/>
          <w:sz w:val="22"/>
          <w:szCs w:val="22"/>
        </w:rPr>
        <w:t>(Overlap with Workforce Capacity)</w:t>
      </w:r>
    </w:p>
    <w:p w14:paraId="1E842609"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Key Elements:</w:t>
      </w:r>
    </w:p>
    <w:p w14:paraId="4EB3DD84" w14:textId="77777777" w:rsidR="008F652D" w:rsidRPr="008B453D" w:rsidRDefault="008F652D" w:rsidP="00BE4783">
      <w:pPr>
        <w:numPr>
          <w:ilvl w:val="0"/>
          <w:numId w:val="41"/>
        </w:numPr>
        <w:spacing w:line="240" w:lineRule="auto"/>
        <w:contextualSpacing/>
        <w:rPr>
          <w:rFonts w:cs="Calibri"/>
          <w:b/>
          <w:bCs/>
          <w:sz w:val="22"/>
          <w:szCs w:val="22"/>
        </w:rPr>
      </w:pPr>
      <w:r w:rsidRPr="00FB4049">
        <w:rPr>
          <w:rFonts w:cs="Calibri"/>
          <w:sz w:val="22"/>
          <w:szCs w:val="22"/>
        </w:rPr>
        <w:t>Invest in and expand loan repayment and scholarship programs for bilingual and culturally responsive workforce and clinicians</w:t>
      </w:r>
      <w:r w:rsidRPr="008B453D">
        <w:rPr>
          <w:rFonts w:cs="Calibri"/>
          <w:sz w:val="22"/>
          <w:szCs w:val="22"/>
        </w:rPr>
        <w:t xml:space="preserve">. </w:t>
      </w:r>
      <w:r w:rsidRPr="008B453D">
        <w:rPr>
          <w:rFonts w:cs="Calibri"/>
          <w:b/>
          <w:bCs/>
          <w:sz w:val="22"/>
          <w:szCs w:val="22"/>
        </w:rPr>
        <w:t>(Overlap with Workforce Capacity)</w:t>
      </w:r>
    </w:p>
    <w:p w14:paraId="6545FE46" w14:textId="77777777" w:rsidR="008F652D" w:rsidRPr="008B453D" w:rsidRDefault="008F652D" w:rsidP="00BE4783">
      <w:pPr>
        <w:numPr>
          <w:ilvl w:val="0"/>
          <w:numId w:val="41"/>
        </w:numPr>
        <w:spacing w:line="240" w:lineRule="auto"/>
        <w:contextualSpacing/>
        <w:rPr>
          <w:rFonts w:cs="Calibri"/>
          <w:b/>
          <w:bCs/>
          <w:sz w:val="22"/>
          <w:szCs w:val="22"/>
        </w:rPr>
      </w:pPr>
      <w:r w:rsidRPr="00FB4049">
        <w:rPr>
          <w:rFonts w:cs="Calibri"/>
          <w:sz w:val="22"/>
          <w:szCs w:val="22"/>
        </w:rPr>
        <w:t>Create workforce pipeline partnerships with public higher education institutions</w:t>
      </w:r>
      <w:r w:rsidRPr="008B453D">
        <w:rPr>
          <w:rFonts w:cs="Calibri"/>
          <w:sz w:val="22"/>
          <w:szCs w:val="22"/>
        </w:rPr>
        <w:t xml:space="preserve">. </w:t>
      </w:r>
      <w:bookmarkStart w:id="13" w:name="_Hlk222410565"/>
      <w:r w:rsidRPr="008B453D">
        <w:rPr>
          <w:rFonts w:cs="Calibri"/>
          <w:b/>
          <w:bCs/>
          <w:sz w:val="22"/>
          <w:szCs w:val="22"/>
        </w:rPr>
        <w:t>(Overlap with Workforce Capacity)</w:t>
      </w:r>
      <w:bookmarkEnd w:id="13"/>
    </w:p>
    <w:p w14:paraId="49389DCB" w14:textId="77777777" w:rsidR="008F652D" w:rsidRPr="008B453D" w:rsidRDefault="008F652D" w:rsidP="00BE4783">
      <w:pPr>
        <w:numPr>
          <w:ilvl w:val="0"/>
          <w:numId w:val="41"/>
        </w:numPr>
        <w:spacing w:line="240" w:lineRule="auto"/>
        <w:contextualSpacing/>
        <w:rPr>
          <w:rFonts w:cs="Calibri"/>
          <w:b/>
          <w:bCs/>
          <w:sz w:val="22"/>
          <w:szCs w:val="22"/>
        </w:rPr>
      </w:pPr>
      <w:r w:rsidRPr="00FB4049">
        <w:rPr>
          <w:rFonts w:cs="Calibri"/>
          <w:sz w:val="22"/>
          <w:szCs w:val="22"/>
        </w:rPr>
        <w:t>Expand adequate reimbursement for peer specialists and family partners through MassHealth</w:t>
      </w:r>
      <w:r w:rsidRPr="008B453D">
        <w:rPr>
          <w:rFonts w:cs="Calibri"/>
          <w:sz w:val="22"/>
          <w:szCs w:val="22"/>
        </w:rPr>
        <w:t xml:space="preserve">. </w:t>
      </w:r>
      <w:r w:rsidRPr="008B453D">
        <w:rPr>
          <w:rFonts w:cs="Calibri"/>
          <w:b/>
          <w:bCs/>
          <w:sz w:val="22"/>
          <w:szCs w:val="22"/>
        </w:rPr>
        <w:t>(Overlap with Workforce Capacity)</w:t>
      </w:r>
    </w:p>
    <w:p w14:paraId="1C0A50D6" w14:textId="77777777" w:rsidR="008F652D" w:rsidRPr="008B453D" w:rsidRDefault="008F652D" w:rsidP="00BE4783">
      <w:pPr>
        <w:numPr>
          <w:ilvl w:val="0"/>
          <w:numId w:val="41"/>
        </w:numPr>
        <w:spacing w:line="240" w:lineRule="auto"/>
        <w:contextualSpacing/>
        <w:rPr>
          <w:rFonts w:cs="Calibri"/>
          <w:b/>
          <w:bCs/>
          <w:sz w:val="22"/>
          <w:szCs w:val="22"/>
        </w:rPr>
      </w:pPr>
      <w:r w:rsidRPr="00FB4049">
        <w:rPr>
          <w:rFonts w:cs="Calibri"/>
          <w:sz w:val="22"/>
          <w:szCs w:val="22"/>
        </w:rPr>
        <w:t>Require annual training in trauma-informed care, disability inclusion, and culturally responsive practices for state-contracted providers</w:t>
      </w:r>
      <w:r w:rsidRPr="008B453D">
        <w:rPr>
          <w:rFonts w:cs="Calibri"/>
          <w:sz w:val="22"/>
          <w:szCs w:val="22"/>
        </w:rPr>
        <w:t xml:space="preserve">. </w:t>
      </w:r>
      <w:r w:rsidRPr="008B453D">
        <w:rPr>
          <w:rFonts w:cs="Calibri"/>
          <w:b/>
          <w:bCs/>
          <w:sz w:val="22"/>
          <w:szCs w:val="22"/>
        </w:rPr>
        <w:t>(Expansion of Work Capacity Recommendations)</w:t>
      </w:r>
    </w:p>
    <w:p w14:paraId="52CBDE49" w14:textId="77777777" w:rsidR="008F652D" w:rsidRPr="008B453D" w:rsidRDefault="008F652D" w:rsidP="008F652D">
      <w:pPr>
        <w:rPr>
          <w:rFonts w:eastAsiaTheme="majorEastAsia" w:cs="Calibri"/>
          <w:b/>
          <w:bCs/>
          <w:color w:val="215E99" w:themeColor="text2" w:themeTint="BF"/>
          <w:sz w:val="22"/>
          <w:szCs w:val="22"/>
        </w:rPr>
      </w:pPr>
    </w:p>
    <w:p w14:paraId="721B675D"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Policy Recommendation:</w:t>
      </w:r>
    </w:p>
    <w:p w14:paraId="20595A9D" w14:textId="77777777" w:rsidR="008F652D" w:rsidRPr="008B453D" w:rsidRDefault="008F652D" w:rsidP="008F652D">
      <w:pPr>
        <w:rPr>
          <w:rFonts w:cs="Calibri"/>
          <w:sz w:val="22"/>
          <w:szCs w:val="22"/>
        </w:rPr>
      </w:pPr>
      <w:r w:rsidRPr="008B453D">
        <w:rPr>
          <w:rFonts w:cs="Calibri"/>
          <w:sz w:val="22"/>
          <w:szCs w:val="22"/>
        </w:rPr>
        <w:t>Mandate cross-agency coordination with shared outcomes and data systems.</w:t>
      </w:r>
    </w:p>
    <w:p w14:paraId="609274CE" w14:textId="77777777" w:rsidR="008F652D" w:rsidRPr="008B453D" w:rsidRDefault="008F652D" w:rsidP="008F652D">
      <w:pPr>
        <w:rPr>
          <w:rFonts w:eastAsiaTheme="majorEastAsia" w:cs="Calibri"/>
          <w:b/>
          <w:bCs/>
          <w:color w:val="215E99" w:themeColor="text2" w:themeTint="BF"/>
          <w:sz w:val="22"/>
          <w:szCs w:val="22"/>
        </w:rPr>
      </w:pPr>
      <w:r w:rsidRPr="008B453D">
        <w:rPr>
          <w:rFonts w:eastAsiaTheme="majorEastAsia" w:cs="Calibri"/>
          <w:b/>
          <w:bCs/>
          <w:color w:val="215E99" w:themeColor="text2" w:themeTint="BF"/>
          <w:sz w:val="22"/>
          <w:szCs w:val="22"/>
        </w:rPr>
        <w:t>Key Elements:</w:t>
      </w:r>
    </w:p>
    <w:p w14:paraId="6D97ED4E" w14:textId="77777777" w:rsidR="008F652D" w:rsidRPr="008B453D" w:rsidRDefault="008F652D" w:rsidP="00BE4783">
      <w:pPr>
        <w:numPr>
          <w:ilvl w:val="0"/>
          <w:numId w:val="42"/>
        </w:numPr>
        <w:spacing w:line="240" w:lineRule="auto"/>
        <w:contextualSpacing/>
        <w:rPr>
          <w:rFonts w:cs="Calibri"/>
          <w:sz w:val="22"/>
          <w:szCs w:val="22"/>
        </w:rPr>
      </w:pPr>
      <w:r w:rsidRPr="008B453D">
        <w:rPr>
          <w:rFonts w:cs="Calibri"/>
          <w:sz w:val="22"/>
          <w:szCs w:val="22"/>
        </w:rPr>
        <w:t>Formalize an interagency Children’s Behavioral Health Council within EOHHS with representation from state agencies (i.e., MassHealth, DMH, DCF, DPH, DYS, EEC, DESE, housing and homelessness agencies, and family representatives</w:t>
      </w:r>
    </w:p>
    <w:p w14:paraId="7877CDCE" w14:textId="77777777" w:rsidR="008F652D" w:rsidRPr="008B453D" w:rsidRDefault="008F652D" w:rsidP="00BE4783">
      <w:pPr>
        <w:numPr>
          <w:ilvl w:val="1"/>
          <w:numId w:val="42"/>
        </w:numPr>
        <w:spacing w:line="240" w:lineRule="auto"/>
        <w:contextualSpacing/>
        <w:rPr>
          <w:rFonts w:cs="Calibri"/>
          <w:sz w:val="22"/>
          <w:szCs w:val="22"/>
        </w:rPr>
      </w:pPr>
      <w:r w:rsidRPr="008B453D">
        <w:rPr>
          <w:rFonts w:cs="Calibri"/>
          <w:sz w:val="22"/>
          <w:szCs w:val="22"/>
        </w:rPr>
        <w:t>Require shared accountability for wait times, placement stability, and family experience</w:t>
      </w:r>
    </w:p>
    <w:p w14:paraId="271F5D6F" w14:textId="77777777" w:rsidR="008F652D" w:rsidRPr="008B453D" w:rsidRDefault="008F652D" w:rsidP="00BE4783">
      <w:pPr>
        <w:numPr>
          <w:ilvl w:val="0"/>
          <w:numId w:val="42"/>
        </w:numPr>
        <w:spacing w:line="240" w:lineRule="auto"/>
        <w:contextualSpacing/>
        <w:rPr>
          <w:rFonts w:cs="Calibri"/>
          <w:sz w:val="22"/>
          <w:szCs w:val="22"/>
        </w:rPr>
      </w:pPr>
      <w:r w:rsidRPr="008B453D">
        <w:rPr>
          <w:rFonts w:cs="Calibri"/>
          <w:sz w:val="22"/>
          <w:szCs w:val="22"/>
        </w:rPr>
        <w:t>Issue annual public reports on system performance and equity outcomes</w:t>
      </w:r>
    </w:p>
    <w:p w14:paraId="79504011" w14:textId="77777777" w:rsidR="008F652D" w:rsidRPr="008B453D" w:rsidRDefault="008F652D" w:rsidP="00BE4783">
      <w:pPr>
        <w:numPr>
          <w:ilvl w:val="0"/>
          <w:numId w:val="42"/>
        </w:numPr>
        <w:spacing w:line="240" w:lineRule="auto"/>
        <w:contextualSpacing/>
        <w:rPr>
          <w:rFonts w:cs="Calibri"/>
          <w:sz w:val="22"/>
          <w:szCs w:val="22"/>
        </w:rPr>
      </w:pPr>
      <w:r w:rsidRPr="008B453D">
        <w:rPr>
          <w:rFonts w:cs="Calibri"/>
          <w:sz w:val="22"/>
          <w:szCs w:val="22"/>
        </w:rPr>
        <w:t>Oversee data-sharing agreements across agencies</w:t>
      </w:r>
    </w:p>
    <w:p w14:paraId="16B6B6BA" w14:textId="77777777" w:rsidR="008F652D" w:rsidRPr="006F11FF" w:rsidRDefault="008F652D" w:rsidP="00BE4783">
      <w:pPr>
        <w:numPr>
          <w:ilvl w:val="0"/>
          <w:numId w:val="42"/>
        </w:numPr>
        <w:spacing w:line="240" w:lineRule="auto"/>
        <w:contextualSpacing/>
        <w:rPr>
          <w:rFonts w:cs="Calibri"/>
          <w:b/>
          <w:bCs/>
          <w:sz w:val="22"/>
          <w:szCs w:val="22"/>
        </w:rPr>
      </w:pPr>
      <w:r w:rsidRPr="008B453D">
        <w:rPr>
          <w:rFonts w:cs="Calibri"/>
          <w:sz w:val="22"/>
          <w:szCs w:val="22"/>
        </w:rPr>
        <w:t>Coordin</w:t>
      </w:r>
      <w:r w:rsidRPr="006F11FF">
        <w:rPr>
          <w:rFonts w:cs="Calibri"/>
          <w:sz w:val="22"/>
          <w:szCs w:val="22"/>
        </w:rPr>
        <w:t xml:space="preserve">ate braided funding strategies for high-need youth </w:t>
      </w:r>
    </w:p>
    <w:p w14:paraId="7A8CBC6F" w14:textId="77777777" w:rsidR="008F652D" w:rsidRPr="006F11FF" w:rsidRDefault="008F652D" w:rsidP="00BE4783">
      <w:pPr>
        <w:numPr>
          <w:ilvl w:val="0"/>
          <w:numId w:val="42"/>
        </w:numPr>
        <w:spacing w:line="240" w:lineRule="auto"/>
        <w:contextualSpacing/>
        <w:rPr>
          <w:rFonts w:cs="Calibri"/>
          <w:sz w:val="22"/>
          <w:szCs w:val="22"/>
        </w:rPr>
      </w:pPr>
      <w:r w:rsidRPr="006F11FF">
        <w:rPr>
          <w:rFonts w:cs="Calibri"/>
          <w:sz w:val="22"/>
          <w:szCs w:val="22"/>
        </w:rPr>
        <w:t>Include youth and family representatives in governance structures</w:t>
      </w:r>
    </w:p>
    <w:p w14:paraId="0425D761" w14:textId="77777777" w:rsidR="008F652D" w:rsidRPr="006F11FF" w:rsidRDefault="008F652D" w:rsidP="008F652D">
      <w:pPr>
        <w:contextualSpacing/>
        <w:rPr>
          <w:rFonts w:cs="Calibri"/>
          <w:sz w:val="22"/>
          <w:szCs w:val="22"/>
        </w:rPr>
      </w:pPr>
    </w:p>
    <w:p w14:paraId="3AC44AD4" w14:textId="3C2E43ED" w:rsidR="008F652D" w:rsidRPr="006F11FF" w:rsidRDefault="008F652D" w:rsidP="008F652D">
      <w:pPr>
        <w:rPr>
          <w:sz w:val="22"/>
          <w:szCs w:val="22"/>
        </w:rPr>
      </w:pPr>
    </w:p>
    <w:p w14:paraId="17776F66" w14:textId="6524B58B" w:rsidR="008F652D" w:rsidRPr="006F11FF" w:rsidRDefault="00342578" w:rsidP="008F652D">
      <w:pPr>
        <w:rPr>
          <w:rFonts w:eastAsia="Calibri" w:cs="Calibri"/>
          <w:b/>
          <w:color w:val="153D63" w:themeColor="text2" w:themeTint="E6"/>
          <w:sz w:val="22"/>
          <w:szCs w:val="22"/>
        </w:rPr>
      </w:pPr>
      <w:r w:rsidRPr="00342578">
        <w:rPr>
          <w:rFonts w:eastAsia="Calibri" w:cs="Calibri"/>
          <w:b/>
          <w:color w:val="153D63" w:themeColor="text2" w:themeTint="E6"/>
          <w:sz w:val="22"/>
          <w:szCs w:val="22"/>
          <w:shd w:val="clear" w:color="auto" w:fill="DAE9F7" w:themeFill="text2" w:themeFillTint="1A"/>
        </w:rPr>
        <w:t xml:space="preserve">6. </w:t>
      </w:r>
      <w:r w:rsidR="008F652D" w:rsidRPr="00342578">
        <w:rPr>
          <w:rFonts w:eastAsia="Calibri" w:cs="Calibri"/>
          <w:b/>
          <w:color w:val="153D63" w:themeColor="text2" w:themeTint="E6"/>
          <w:sz w:val="22"/>
          <w:szCs w:val="22"/>
          <w:shd w:val="clear" w:color="auto" w:fill="DAE9F7" w:themeFill="text2" w:themeFillTint="1A"/>
        </w:rPr>
        <w:t>Service Capacity, Wait Times &amp; Crisis Dependence</w:t>
      </w:r>
    </w:p>
    <w:p w14:paraId="5BF9615D" w14:textId="77777777" w:rsidR="008F652D" w:rsidRPr="006F11FF" w:rsidRDefault="008F652D" w:rsidP="00BE4783">
      <w:pPr>
        <w:numPr>
          <w:ilvl w:val="0"/>
          <w:numId w:val="43"/>
        </w:numPr>
        <w:spacing w:line="240" w:lineRule="auto"/>
        <w:contextualSpacing/>
        <w:rPr>
          <w:rFonts w:eastAsia="Calibri" w:cs="Calibri"/>
          <w:color w:val="153D63" w:themeColor="text2" w:themeTint="E6"/>
          <w:sz w:val="22"/>
          <w:szCs w:val="22"/>
        </w:rPr>
      </w:pPr>
      <w:r w:rsidRPr="006F11FF">
        <w:rPr>
          <w:rFonts w:cs="Calibri"/>
          <w:color w:val="000000"/>
          <w:sz w:val="22"/>
          <w:szCs w:val="22"/>
          <w:shd w:val="clear" w:color="auto" w:fill="FFFFFF"/>
        </w:rPr>
        <w:t>Demand exceeds capacity across community and inpatient settings </w:t>
      </w:r>
    </w:p>
    <w:p w14:paraId="0919074D" w14:textId="77777777" w:rsidR="008F652D" w:rsidRPr="006F11FF" w:rsidRDefault="008F652D" w:rsidP="00BE4783">
      <w:pPr>
        <w:numPr>
          <w:ilvl w:val="0"/>
          <w:numId w:val="43"/>
        </w:numPr>
        <w:spacing w:line="240" w:lineRule="auto"/>
        <w:contextualSpacing/>
        <w:rPr>
          <w:rFonts w:eastAsia="Calibri" w:cs="Calibri"/>
          <w:sz w:val="22"/>
          <w:szCs w:val="22"/>
        </w:rPr>
      </w:pPr>
      <w:r w:rsidRPr="006F11FF">
        <w:rPr>
          <w:rFonts w:eastAsia="Calibri" w:cs="Calibri"/>
          <w:sz w:val="22"/>
          <w:szCs w:val="22"/>
        </w:rPr>
        <w:t xml:space="preserve">Long waits and evaluation backlogs delay diagnosis and treatment </w:t>
      </w:r>
    </w:p>
    <w:p w14:paraId="2039D8A3" w14:textId="77777777" w:rsidR="008F652D" w:rsidRPr="006F11FF" w:rsidRDefault="008F652D" w:rsidP="00BE4783">
      <w:pPr>
        <w:numPr>
          <w:ilvl w:val="0"/>
          <w:numId w:val="43"/>
        </w:numPr>
        <w:spacing w:line="240" w:lineRule="auto"/>
        <w:contextualSpacing/>
        <w:rPr>
          <w:rFonts w:eastAsia="Calibri" w:cs="Calibri"/>
          <w:sz w:val="22"/>
          <w:szCs w:val="22"/>
        </w:rPr>
      </w:pPr>
      <w:r w:rsidRPr="006F11FF">
        <w:rPr>
          <w:rFonts w:eastAsia="Calibri" w:cs="Calibri"/>
          <w:sz w:val="22"/>
          <w:szCs w:val="22"/>
        </w:rPr>
        <w:t xml:space="preserve">Limited community options drive ED use and boarding (beds/workforce/step-down limits; acuity) </w:t>
      </w:r>
    </w:p>
    <w:p w14:paraId="66389983" w14:textId="77777777" w:rsidR="008F652D" w:rsidRPr="006F11FF" w:rsidRDefault="008F652D" w:rsidP="008F652D">
      <w:pPr>
        <w:textAlignment w:val="baseline"/>
        <w:rPr>
          <w:rFonts w:eastAsiaTheme="majorEastAsia" w:cs="Calibri"/>
          <w:b/>
          <w:bCs/>
          <w:color w:val="215E99" w:themeColor="text2" w:themeTint="BF"/>
          <w:sz w:val="22"/>
          <w:szCs w:val="22"/>
        </w:rPr>
      </w:pPr>
    </w:p>
    <w:p w14:paraId="24662E8D"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Policy Recommendation:</w:t>
      </w:r>
    </w:p>
    <w:p w14:paraId="7F14A9A4" w14:textId="77777777" w:rsidR="008F652D" w:rsidRPr="006F11FF" w:rsidRDefault="008F652D" w:rsidP="008F652D">
      <w:pPr>
        <w:rPr>
          <w:rFonts w:eastAsia="Calibri" w:cs="Calibri"/>
          <w:color w:val="000000" w:themeColor="text1"/>
          <w:sz w:val="22"/>
          <w:szCs w:val="22"/>
        </w:rPr>
      </w:pPr>
      <w:r w:rsidRPr="006F11FF">
        <w:rPr>
          <w:rFonts w:eastAsia="Calibri" w:cs="Calibri"/>
          <w:color w:val="000000" w:themeColor="text1"/>
          <w:sz w:val="22"/>
          <w:szCs w:val="22"/>
        </w:rPr>
        <w:t xml:space="preserve">Enhance/expand the existing Behavioral Health Treatment and Referral Platform (BH TRP) </w:t>
      </w:r>
    </w:p>
    <w:p w14:paraId="29816F56"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Key Elements:</w:t>
      </w:r>
    </w:p>
    <w:p w14:paraId="65990CB5" w14:textId="77777777" w:rsidR="008F652D" w:rsidRPr="006F11FF" w:rsidRDefault="008F652D" w:rsidP="00BE4783">
      <w:pPr>
        <w:numPr>
          <w:ilvl w:val="0"/>
          <w:numId w:val="44"/>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Publicly report boarding data, including data on those who tend to board the longest</w:t>
      </w:r>
    </w:p>
    <w:p w14:paraId="3B896D1F" w14:textId="77777777" w:rsidR="008F652D" w:rsidRPr="006F11FF" w:rsidRDefault="008F652D" w:rsidP="00BE4783">
      <w:pPr>
        <w:numPr>
          <w:ilvl w:val="0"/>
          <w:numId w:val="44"/>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Data elements should include age, diagnosis, demographics, geography, and payer</w:t>
      </w:r>
    </w:p>
    <w:p w14:paraId="222C1149" w14:textId="77777777" w:rsidR="008F652D" w:rsidRPr="006F11FF" w:rsidRDefault="008F652D" w:rsidP="008F652D">
      <w:pPr>
        <w:textAlignment w:val="baseline"/>
        <w:rPr>
          <w:rFonts w:eastAsiaTheme="majorEastAsia" w:cs="Calibri"/>
          <w:b/>
          <w:bCs/>
          <w:color w:val="215E99" w:themeColor="text2" w:themeTint="BF"/>
          <w:sz w:val="22"/>
          <w:szCs w:val="22"/>
        </w:rPr>
      </w:pPr>
      <w:bookmarkStart w:id="14" w:name="_Hlk222386365"/>
    </w:p>
    <w:p w14:paraId="0F9FDAE4"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Policy Recommendation:</w:t>
      </w:r>
    </w:p>
    <w:bookmarkEnd w:id="14"/>
    <w:p w14:paraId="029D073E" w14:textId="77777777" w:rsidR="008F652D" w:rsidRPr="006F11FF" w:rsidRDefault="008F652D" w:rsidP="008F652D">
      <w:pPr>
        <w:rPr>
          <w:rFonts w:eastAsia="Calibri" w:cs="Calibri"/>
          <w:color w:val="000000" w:themeColor="text1"/>
          <w:sz w:val="22"/>
          <w:szCs w:val="22"/>
        </w:rPr>
      </w:pPr>
      <w:r w:rsidRPr="006F11FF">
        <w:rPr>
          <w:rFonts w:eastAsia="Calibri" w:cs="Calibri"/>
          <w:color w:val="000000" w:themeColor="text1"/>
          <w:sz w:val="22"/>
          <w:szCs w:val="22"/>
        </w:rPr>
        <w:t>Strengthen transition services and communication channels for children/families</w:t>
      </w:r>
    </w:p>
    <w:p w14:paraId="5D2B81A8" w14:textId="77777777" w:rsidR="008F652D" w:rsidRPr="006F11FF" w:rsidRDefault="008F652D" w:rsidP="008F652D">
      <w:pPr>
        <w:textAlignment w:val="baseline"/>
        <w:rPr>
          <w:rFonts w:eastAsiaTheme="majorEastAsia" w:cs="Calibri"/>
          <w:b/>
          <w:bCs/>
          <w:color w:val="215E99" w:themeColor="text2" w:themeTint="BF"/>
          <w:sz w:val="22"/>
          <w:szCs w:val="22"/>
        </w:rPr>
      </w:pPr>
      <w:bookmarkStart w:id="15" w:name="_Hlk222386503"/>
      <w:r w:rsidRPr="006F11FF">
        <w:rPr>
          <w:rFonts w:eastAsiaTheme="majorEastAsia" w:cs="Calibri"/>
          <w:b/>
          <w:bCs/>
          <w:color w:val="215E99" w:themeColor="text2" w:themeTint="BF"/>
          <w:sz w:val="22"/>
          <w:szCs w:val="22"/>
        </w:rPr>
        <w:t>Key Elements:</w:t>
      </w:r>
    </w:p>
    <w:bookmarkEnd w:id="15"/>
    <w:p w14:paraId="6919E359" w14:textId="77777777" w:rsidR="008F652D" w:rsidRPr="006F11FF" w:rsidRDefault="008F652D" w:rsidP="00BE4783">
      <w:pPr>
        <w:numPr>
          <w:ilvl w:val="0"/>
          <w:numId w:val="45"/>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Smooth transition back to school by expanding bridge program for kids who have not been in school (i.e., BRYT &amp; BIRCh or BRYT- and BIRCh-like services) to other state agencies serving kids with similar profiles. Bridge programs should be available for all schools and ages</w:t>
      </w:r>
    </w:p>
    <w:p w14:paraId="2133AB98" w14:textId="77777777" w:rsidR="008F652D" w:rsidRPr="008B453D" w:rsidRDefault="008F652D" w:rsidP="00BE4783">
      <w:pPr>
        <w:numPr>
          <w:ilvl w:val="0"/>
          <w:numId w:val="45"/>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Use upcoming BH TRP expa</w:t>
      </w:r>
      <w:r w:rsidRPr="008B453D">
        <w:rPr>
          <w:rFonts w:eastAsia="Calibri" w:cs="Calibri"/>
          <w:color w:val="000000" w:themeColor="text1"/>
          <w:sz w:val="22"/>
          <w:szCs w:val="22"/>
        </w:rPr>
        <w:t>nsion to CBHCs to allow communication and feedback loop between EDs and community services</w:t>
      </w:r>
    </w:p>
    <w:p w14:paraId="564AAD06" w14:textId="77777777" w:rsidR="008F652D" w:rsidRPr="008B453D" w:rsidRDefault="008F652D" w:rsidP="00BE4783">
      <w:pPr>
        <w:numPr>
          <w:ilvl w:val="0"/>
          <w:numId w:val="45"/>
        </w:numPr>
        <w:spacing w:line="240" w:lineRule="auto"/>
        <w:contextualSpacing/>
        <w:rPr>
          <w:rFonts w:eastAsia="Calibri" w:cs="Calibri"/>
          <w:b/>
          <w:bCs/>
          <w:color w:val="000000" w:themeColor="text1"/>
          <w:sz w:val="22"/>
          <w:szCs w:val="22"/>
        </w:rPr>
      </w:pPr>
      <w:r w:rsidRPr="00FB4049">
        <w:rPr>
          <w:rFonts w:eastAsia="Calibri" w:cs="Calibri"/>
          <w:color w:val="000000" w:themeColor="text1"/>
          <w:sz w:val="22"/>
          <w:szCs w:val="22"/>
        </w:rPr>
        <w:t>Enhance interagency communication and collaboration by setting shared treatment goals and reducing conflicting regulations, requirements, funding, and eligibility requirements with the goal of getting a child appropriate services, with an emphasis on inclusion of the youth and family voice in the shared agency planning</w:t>
      </w:r>
      <w:r w:rsidRPr="008B453D">
        <w:rPr>
          <w:rFonts w:eastAsia="Calibri" w:cs="Calibri"/>
          <w:color w:val="000000" w:themeColor="text1"/>
          <w:sz w:val="22"/>
          <w:szCs w:val="22"/>
        </w:rPr>
        <w:t xml:space="preserve"> </w:t>
      </w:r>
      <w:r w:rsidRPr="008B453D">
        <w:rPr>
          <w:rFonts w:eastAsia="Calibri" w:cs="Calibri"/>
          <w:b/>
          <w:bCs/>
          <w:color w:val="000000" w:themeColor="text1"/>
          <w:sz w:val="22"/>
          <w:szCs w:val="22"/>
        </w:rPr>
        <w:t>(Overlap with Access, Equity, and System Design)</w:t>
      </w:r>
    </w:p>
    <w:p w14:paraId="09DCB1F9" w14:textId="77777777" w:rsidR="008F652D" w:rsidRPr="006F11FF" w:rsidRDefault="008F652D" w:rsidP="008F652D">
      <w:pPr>
        <w:textAlignment w:val="baseline"/>
        <w:rPr>
          <w:rFonts w:eastAsiaTheme="majorEastAsia" w:cs="Calibri"/>
          <w:b/>
          <w:bCs/>
          <w:color w:val="215E99" w:themeColor="text2" w:themeTint="BF"/>
          <w:sz w:val="22"/>
          <w:szCs w:val="22"/>
        </w:rPr>
      </w:pPr>
    </w:p>
    <w:p w14:paraId="72A45B6C" w14:textId="77777777" w:rsidR="008F652D" w:rsidRPr="006F11FF" w:rsidRDefault="008F652D" w:rsidP="008F652D">
      <w:pPr>
        <w:textAlignment w:val="baseline"/>
        <w:rPr>
          <w:rFonts w:eastAsiaTheme="majorEastAsia" w:cs="Calibri"/>
          <w:b/>
          <w:bCs/>
          <w:color w:val="215E99" w:themeColor="text2" w:themeTint="BF"/>
          <w:sz w:val="22"/>
          <w:szCs w:val="22"/>
        </w:rPr>
      </w:pPr>
      <w:bookmarkStart w:id="16" w:name="_Hlk222386772"/>
      <w:r w:rsidRPr="006F11FF">
        <w:rPr>
          <w:rFonts w:eastAsiaTheme="majorEastAsia" w:cs="Calibri"/>
          <w:b/>
          <w:bCs/>
          <w:color w:val="215E99" w:themeColor="text2" w:themeTint="BF"/>
          <w:sz w:val="22"/>
          <w:szCs w:val="22"/>
        </w:rPr>
        <w:t>Policy Recommendation:</w:t>
      </w:r>
      <w:bookmarkEnd w:id="16"/>
    </w:p>
    <w:p w14:paraId="26542064" w14:textId="77777777" w:rsidR="008F652D" w:rsidRPr="006F11FF" w:rsidRDefault="008F652D" w:rsidP="008F652D">
      <w:pPr>
        <w:rPr>
          <w:rFonts w:eastAsia="Calibri" w:cs="Calibri"/>
          <w:color w:val="000000" w:themeColor="text1"/>
          <w:sz w:val="22"/>
          <w:szCs w:val="22"/>
        </w:rPr>
      </w:pPr>
      <w:r w:rsidRPr="006F11FF">
        <w:rPr>
          <w:rFonts w:eastAsia="Calibri" w:cs="Calibri"/>
          <w:color w:val="000000" w:themeColor="text1"/>
          <w:sz w:val="22"/>
          <w:szCs w:val="22"/>
        </w:rPr>
        <w:t>Divert children from EDs to community-based services when appropriate</w:t>
      </w:r>
    </w:p>
    <w:p w14:paraId="43C63416" w14:textId="77777777" w:rsidR="00342578" w:rsidRDefault="00342578" w:rsidP="008F652D">
      <w:pPr>
        <w:textAlignment w:val="baseline"/>
        <w:rPr>
          <w:rFonts w:eastAsiaTheme="majorEastAsia" w:cs="Calibri"/>
          <w:b/>
          <w:bCs/>
          <w:color w:val="215E99" w:themeColor="text2" w:themeTint="BF"/>
          <w:sz w:val="22"/>
          <w:szCs w:val="22"/>
        </w:rPr>
      </w:pPr>
      <w:bookmarkStart w:id="17" w:name="_Hlk222386893"/>
    </w:p>
    <w:p w14:paraId="046B745F" w14:textId="173ABF36"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Key Elements:</w:t>
      </w:r>
    </w:p>
    <w:bookmarkEnd w:id="17"/>
    <w:p w14:paraId="295C2466" w14:textId="77777777" w:rsidR="008F652D" w:rsidRPr="006F11FF" w:rsidRDefault="008F652D" w:rsidP="00BE4783">
      <w:pPr>
        <w:numPr>
          <w:ilvl w:val="0"/>
          <w:numId w:val="46"/>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Develop/enhance intensive home- and community-based services (crisis/stabilization supports, intensive in-home, intensive care coordination).</w:t>
      </w:r>
    </w:p>
    <w:p w14:paraId="4EED2642" w14:textId="77777777" w:rsidR="008F652D" w:rsidRPr="006F11FF" w:rsidRDefault="008F652D" w:rsidP="00BE4783">
      <w:pPr>
        <w:numPr>
          <w:ilvl w:val="1"/>
          <w:numId w:val="46"/>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Ensure access to CBHI Family-based Intensive Treatment (FIT) services</w:t>
      </w:r>
    </w:p>
    <w:p w14:paraId="7AE19D92" w14:textId="77777777" w:rsidR="008F652D" w:rsidRPr="006F11FF" w:rsidRDefault="008F652D" w:rsidP="00BE4783">
      <w:pPr>
        <w:numPr>
          <w:ilvl w:val="0"/>
          <w:numId w:val="46"/>
        </w:numPr>
        <w:spacing w:line="240" w:lineRule="auto"/>
        <w:contextualSpacing/>
        <w:rPr>
          <w:rFonts w:eastAsia="Calibri" w:cs="Calibri"/>
          <w:color w:val="000000" w:themeColor="text1"/>
          <w:sz w:val="22"/>
          <w:szCs w:val="22"/>
        </w:rPr>
      </w:pPr>
      <w:r w:rsidRPr="006F11FF">
        <w:rPr>
          <w:rFonts w:eastAsia="Calibri" w:cs="Calibri"/>
          <w:color w:val="000000" w:themeColor="text1"/>
          <w:sz w:val="22"/>
          <w:szCs w:val="22"/>
        </w:rPr>
        <w:t>Refer children who have engaged with MCI to other appropriate settings (e.g., CBHI, YCCS, etc.)</w:t>
      </w:r>
    </w:p>
    <w:p w14:paraId="3C66E3F3" w14:textId="77777777" w:rsidR="008F652D" w:rsidRPr="006F11FF" w:rsidRDefault="008F652D" w:rsidP="008F652D">
      <w:pPr>
        <w:rPr>
          <w:rFonts w:eastAsiaTheme="majorEastAsia" w:cs="Calibri"/>
          <w:b/>
          <w:bCs/>
          <w:color w:val="215E99" w:themeColor="text2" w:themeTint="BF"/>
          <w:sz w:val="22"/>
          <w:szCs w:val="22"/>
        </w:rPr>
      </w:pPr>
    </w:p>
    <w:p w14:paraId="5243A922" w14:textId="77777777" w:rsidR="008F652D" w:rsidRPr="006F11FF" w:rsidRDefault="008F652D" w:rsidP="008F652D">
      <w:pPr>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Policy Recommendation:</w:t>
      </w:r>
    </w:p>
    <w:p w14:paraId="08BC5E9D" w14:textId="77777777" w:rsidR="008F652D" w:rsidRPr="006F11FF" w:rsidRDefault="008F652D" w:rsidP="008F652D">
      <w:pPr>
        <w:rPr>
          <w:rFonts w:eastAsiaTheme="majorEastAsia" w:cs="Calibri"/>
          <w:b/>
          <w:bCs/>
          <w:color w:val="215E99" w:themeColor="text2" w:themeTint="BF"/>
          <w:sz w:val="22"/>
          <w:szCs w:val="22"/>
        </w:rPr>
      </w:pPr>
      <w:r w:rsidRPr="006F11FF">
        <w:rPr>
          <w:rFonts w:eastAsia="Calibri" w:cs="Calibri"/>
          <w:color w:val="000000" w:themeColor="text1"/>
          <w:sz w:val="22"/>
          <w:szCs w:val="22"/>
        </w:rPr>
        <w:t>Expand residential and inpatient care capacity (including psychiatric residential treatment facilities) and increase psychiatric services/supports/competencies in other state agency residential treatment settings (DCF, DMH, DDS, DYS)</w:t>
      </w:r>
    </w:p>
    <w:p w14:paraId="65DE2285" w14:textId="77777777" w:rsidR="008F652D" w:rsidRPr="006F11FF" w:rsidRDefault="008F652D" w:rsidP="008F652D">
      <w:pPr>
        <w:textAlignment w:val="baseline"/>
        <w:rPr>
          <w:rFonts w:eastAsiaTheme="majorEastAsia" w:cs="Calibri"/>
          <w:b/>
          <w:bCs/>
          <w:color w:val="215E99" w:themeColor="text2" w:themeTint="BF"/>
          <w:sz w:val="22"/>
          <w:szCs w:val="22"/>
        </w:rPr>
      </w:pPr>
      <w:r w:rsidRPr="006F11FF">
        <w:rPr>
          <w:rFonts w:eastAsiaTheme="majorEastAsia" w:cs="Calibri"/>
          <w:b/>
          <w:bCs/>
          <w:color w:val="215E99" w:themeColor="text2" w:themeTint="BF"/>
          <w:sz w:val="22"/>
          <w:szCs w:val="22"/>
        </w:rPr>
        <w:t>Key Elements:</w:t>
      </w:r>
    </w:p>
    <w:p w14:paraId="15DF3BA2" w14:textId="77777777" w:rsidR="008F652D" w:rsidRPr="008B453D" w:rsidRDefault="008F652D" w:rsidP="00BE4783">
      <w:pPr>
        <w:numPr>
          <w:ilvl w:val="0"/>
          <w:numId w:val="47"/>
        </w:numPr>
        <w:spacing w:line="240" w:lineRule="auto"/>
        <w:contextualSpacing/>
        <w:rPr>
          <w:rFonts w:eastAsia="Calibri" w:cs="Calibri"/>
          <w:b/>
          <w:bCs/>
          <w:color w:val="000000" w:themeColor="text1"/>
          <w:sz w:val="22"/>
          <w:szCs w:val="22"/>
        </w:rPr>
      </w:pPr>
      <w:r w:rsidRPr="00FB4049">
        <w:rPr>
          <w:rFonts w:eastAsia="Calibri" w:cs="Calibri"/>
          <w:color w:val="000000" w:themeColor="text1"/>
          <w:sz w:val="22"/>
          <w:szCs w:val="22"/>
        </w:rPr>
        <w:t>Conduct a study, developed with stakeholders including families and youth, to determine system needs, including alternative models for children with complex and/or chronic medical and psychiatric needs (e.g., ASD, aggressive behavior, etc.), particularly for children involved with state agencies</w:t>
      </w:r>
      <w:r w:rsidRPr="008B453D">
        <w:rPr>
          <w:rFonts w:eastAsia="Calibri" w:cs="Calibri"/>
          <w:color w:val="000000" w:themeColor="text1"/>
          <w:sz w:val="22"/>
          <w:szCs w:val="22"/>
        </w:rPr>
        <w:t xml:space="preserve"> </w:t>
      </w:r>
      <w:bookmarkStart w:id="18" w:name="_Hlk222390792"/>
      <w:r w:rsidRPr="008B453D">
        <w:rPr>
          <w:rFonts w:eastAsia="Calibri" w:cs="Calibri"/>
          <w:b/>
          <w:bCs/>
          <w:color w:val="000000" w:themeColor="text1"/>
          <w:sz w:val="22"/>
          <w:szCs w:val="22"/>
        </w:rPr>
        <w:t>(Expansion of Access Recommendations)</w:t>
      </w:r>
    </w:p>
    <w:bookmarkEnd w:id="18"/>
    <w:p w14:paraId="2FFF7E3C" w14:textId="77777777" w:rsidR="008F652D" w:rsidRPr="008B453D" w:rsidRDefault="008F652D" w:rsidP="00BE4783">
      <w:pPr>
        <w:numPr>
          <w:ilvl w:val="0"/>
          <w:numId w:val="47"/>
        </w:numPr>
        <w:spacing w:line="240" w:lineRule="auto"/>
        <w:contextualSpacing/>
        <w:rPr>
          <w:rFonts w:eastAsia="Calibri" w:cs="Calibri"/>
          <w:color w:val="000000" w:themeColor="text1"/>
          <w:sz w:val="22"/>
          <w:szCs w:val="22"/>
        </w:rPr>
      </w:pPr>
      <w:r w:rsidRPr="008B453D">
        <w:rPr>
          <w:rFonts w:eastAsia="Calibri" w:cs="Calibri"/>
          <w:color w:val="000000" w:themeColor="text1"/>
          <w:sz w:val="22"/>
          <w:szCs w:val="22"/>
        </w:rPr>
        <w:t>Increase capacity by expanding eligibility for current programs across agencies and developing new service types to achieve a full continuum of care.</w:t>
      </w:r>
    </w:p>
    <w:p w14:paraId="779A891A" w14:textId="77777777" w:rsidR="008F652D" w:rsidRPr="008B453D" w:rsidRDefault="008F652D" w:rsidP="00BE4783">
      <w:pPr>
        <w:numPr>
          <w:ilvl w:val="0"/>
          <w:numId w:val="47"/>
        </w:numPr>
        <w:spacing w:line="240" w:lineRule="auto"/>
        <w:contextualSpacing/>
        <w:rPr>
          <w:rFonts w:eastAsia="Calibri" w:cs="Calibri"/>
          <w:color w:val="000000" w:themeColor="text1"/>
          <w:sz w:val="22"/>
          <w:szCs w:val="22"/>
        </w:rPr>
      </w:pPr>
      <w:r w:rsidRPr="008B453D">
        <w:rPr>
          <w:rFonts w:eastAsia="Calibri" w:cs="Calibri"/>
          <w:color w:val="000000" w:themeColor="text1"/>
          <w:sz w:val="22"/>
          <w:szCs w:val="22"/>
        </w:rPr>
        <w:t xml:space="preserve">Reimburse congregate care programs to hold a bed while a child from said program receives treatment in another setting (e.g., hospital, PHP, YCCS, CBAT, etc.) </w:t>
      </w:r>
    </w:p>
    <w:p w14:paraId="7E8AAB52" w14:textId="77777777" w:rsidR="008F652D" w:rsidRPr="008B453D" w:rsidRDefault="008F652D" w:rsidP="00BE4783">
      <w:pPr>
        <w:numPr>
          <w:ilvl w:val="0"/>
          <w:numId w:val="47"/>
        </w:numPr>
        <w:spacing w:line="240" w:lineRule="auto"/>
        <w:contextualSpacing/>
        <w:rPr>
          <w:rFonts w:eastAsia="Calibri" w:cs="Calibri"/>
          <w:color w:val="000000" w:themeColor="text1"/>
          <w:sz w:val="22"/>
          <w:szCs w:val="22"/>
        </w:rPr>
      </w:pPr>
      <w:r w:rsidRPr="00FB4049">
        <w:rPr>
          <w:rFonts w:eastAsia="Calibri" w:cs="Calibri"/>
          <w:color w:val="000000" w:themeColor="text1"/>
          <w:sz w:val="22"/>
          <w:szCs w:val="22"/>
        </w:rPr>
        <w:t>Eliminate/reduce regulatory, reimbursement, and inter-agency barriers to support community-based settings for children with co-occurring behavioral health and medical needs (e.g., co-occurring medical diagnosis with or without complexity including barriers on insulin and g-tube or ng-tube administration in group homes through the Medication Administration Program</w:t>
      </w:r>
      <w:r w:rsidRPr="008B453D">
        <w:rPr>
          <w:rFonts w:eastAsia="Calibri" w:cs="Calibri"/>
          <w:color w:val="000000" w:themeColor="text1"/>
          <w:sz w:val="22"/>
          <w:szCs w:val="22"/>
        </w:rPr>
        <w:t xml:space="preserve">) </w:t>
      </w:r>
      <w:r w:rsidRPr="008B453D">
        <w:rPr>
          <w:rFonts w:eastAsia="Calibri" w:cs="Calibri"/>
          <w:b/>
          <w:bCs/>
          <w:color w:val="000000" w:themeColor="text1"/>
          <w:sz w:val="22"/>
          <w:szCs w:val="22"/>
        </w:rPr>
        <w:t>(Overlap with Access, Equity, and Service Design)</w:t>
      </w:r>
    </w:p>
    <w:p w14:paraId="28DB52D0" w14:textId="77777777" w:rsidR="008F652D" w:rsidRPr="006F11FF" w:rsidRDefault="008F652D" w:rsidP="00BE4783">
      <w:pPr>
        <w:numPr>
          <w:ilvl w:val="0"/>
          <w:numId w:val="47"/>
        </w:numPr>
        <w:spacing w:line="240" w:lineRule="auto"/>
        <w:contextualSpacing/>
        <w:rPr>
          <w:rFonts w:eastAsia="Calibri" w:cs="Calibri"/>
          <w:color w:val="000000" w:themeColor="text1"/>
          <w:sz w:val="22"/>
          <w:szCs w:val="22"/>
        </w:rPr>
      </w:pPr>
      <w:r w:rsidRPr="008B453D">
        <w:rPr>
          <w:rFonts w:eastAsia="Calibri" w:cs="Calibri"/>
          <w:color w:val="000000" w:themeColor="text1"/>
          <w:sz w:val="22"/>
          <w:szCs w:val="22"/>
        </w:rPr>
        <w:t>Fund and/or develop care models and settings for children that are not adequately</w:t>
      </w:r>
      <w:r w:rsidRPr="006F11FF">
        <w:rPr>
          <w:rFonts w:eastAsia="Calibri" w:cs="Calibri"/>
          <w:color w:val="000000" w:themeColor="text1"/>
          <w:sz w:val="22"/>
          <w:szCs w:val="22"/>
        </w:rPr>
        <w:t xml:space="preserve"> addressed through inpatient psychiatric hospitalizations, Community Based Acute Treatment (CBAT) services, or existing residential or community treatment models (e.g., enhanced payments for residential settings that have enhanced BH capabilities)</w:t>
      </w:r>
    </w:p>
    <w:p w14:paraId="0104D04E" w14:textId="77777777" w:rsidR="008F652D" w:rsidRPr="006F11FF" w:rsidRDefault="008F652D" w:rsidP="008F652D">
      <w:pPr>
        <w:textAlignment w:val="baseline"/>
        <w:rPr>
          <w:rFonts w:eastAsiaTheme="majorEastAsia" w:cs="Calibri"/>
          <w:b/>
          <w:bCs/>
          <w:color w:val="215E99" w:themeColor="text2" w:themeTint="BF"/>
          <w:sz w:val="22"/>
          <w:szCs w:val="22"/>
        </w:rPr>
      </w:pPr>
    </w:p>
    <w:p w14:paraId="30B7F28A" w14:textId="77777777" w:rsidR="008F652D" w:rsidRPr="006F11FF" w:rsidRDefault="008F652D" w:rsidP="008F652D">
      <w:pPr>
        <w:rPr>
          <w:rFonts w:eastAsia="Calibri" w:cs="Calibri"/>
          <w:color w:val="000000" w:themeColor="text1"/>
          <w:sz w:val="22"/>
          <w:szCs w:val="22"/>
        </w:rPr>
      </w:pPr>
    </w:p>
    <w:p w14:paraId="070666D8" w14:textId="77777777" w:rsidR="00B6101D" w:rsidRDefault="00B6101D">
      <w:pPr>
        <w:rPr>
          <w:rFonts w:cs="Calibri"/>
          <w:b/>
          <w:sz w:val="22"/>
          <w:szCs w:val="22"/>
        </w:rPr>
      </w:pPr>
      <w:r>
        <w:rPr>
          <w:rFonts w:cs="Calibri"/>
          <w:b/>
          <w:sz w:val="22"/>
          <w:szCs w:val="22"/>
        </w:rPr>
        <w:br w:type="page"/>
      </w:r>
    </w:p>
    <w:p w14:paraId="029AA642" w14:textId="3D29C8BA" w:rsidR="001D09BD" w:rsidRPr="006B36F7" w:rsidRDefault="001D09BD" w:rsidP="001D09BD">
      <w:pPr>
        <w:rPr>
          <w:rFonts w:cs="Calibri"/>
          <w:b/>
          <w:sz w:val="22"/>
          <w:szCs w:val="22"/>
          <w:u w:val="single"/>
        </w:rPr>
      </w:pPr>
      <w:r w:rsidRPr="006B36F7">
        <w:rPr>
          <w:rFonts w:cs="Calibri"/>
          <w:b/>
          <w:sz w:val="22"/>
          <w:szCs w:val="22"/>
          <w:u w:val="single"/>
        </w:rPr>
        <w:t>Appendix F – Workgroup #3 – Single Agency Evaluation Report</w:t>
      </w:r>
    </w:p>
    <w:p w14:paraId="1C4F031F" w14:textId="623D1485" w:rsidR="0015679E" w:rsidRPr="00EA50BE" w:rsidRDefault="00C81A5F" w:rsidP="00166FF1">
      <w:pPr>
        <w:rPr>
          <w:rFonts w:cs="Calibri"/>
          <w:b/>
          <w:bCs/>
          <w:color w:val="EE0000"/>
          <w:sz w:val="22"/>
          <w:szCs w:val="22"/>
        </w:rPr>
      </w:pPr>
      <w:r>
        <w:rPr>
          <w:rFonts w:cs="Calibri"/>
          <w:b/>
          <w:bCs/>
          <w:sz w:val="22"/>
          <w:szCs w:val="22"/>
          <w:u w:val="single"/>
        </w:rPr>
        <w:br/>
      </w:r>
      <w:r w:rsidR="0015679E" w:rsidRPr="00A029E1">
        <w:rPr>
          <w:rFonts w:cs="Calibri"/>
          <w:b/>
          <w:bCs/>
          <w:sz w:val="22"/>
          <w:szCs w:val="22"/>
          <w:u w:val="single"/>
        </w:rPr>
        <w:t>Workgroup Members:</w:t>
      </w:r>
      <w:r w:rsidR="0015679E" w:rsidRPr="00061955">
        <w:rPr>
          <w:rFonts w:cs="Calibri"/>
          <w:sz w:val="22"/>
          <w:szCs w:val="22"/>
        </w:rPr>
        <w:t xml:space="preserve"> La</w:t>
      </w:r>
      <w:r w:rsidR="0015679E">
        <w:rPr>
          <w:rFonts w:cs="Calibri"/>
          <w:sz w:val="22"/>
          <w:szCs w:val="22"/>
        </w:rPr>
        <w:t xml:space="preserve">uren Almeida, </w:t>
      </w:r>
      <w:r w:rsidR="0015679E" w:rsidRPr="0015679E">
        <w:rPr>
          <w:rFonts w:cs="Calibri"/>
          <w:sz w:val="22"/>
          <w:szCs w:val="22"/>
        </w:rPr>
        <w:t>P</w:t>
      </w:r>
      <w:r w:rsidR="0015679E" w:rsidRPr="00A029E1">
        <w:rPr>
          <w:rFonts w:cs="Calibri"/>
          <w:sz w:val="22"/>
          <w:szCs w:val="22"/>
        </w:rPr>
        <w:t>a</w:t>
      </w:r>
      <w:r w:rsidR="0015679E">
        <w:rPr>
          <w:rFonts w:cs="Calibri"/>
          <w:sz w:val="22"/>
          <w:szCs w:val="22"/>
        </w:rPr>
        <w:t>ul Hyry-</w:t>
      </w:r>
      <w:r w:rsidR="0015679E" w:rsidRPr="001D228E">
        <w:rPr>
          <w:rFonts w:cs="Calibri"/>
          <w:sz w:val="22"/>
          <w:szCs w:val="22"/>
        </w:rPr>
        <w:t>De</w:t>
      </w:r>
      <w:r w:rsidR="0053537E">
        <w:rPr>
          <w:rFonts w:cs="Calibri"/>
          <w:sz w:val="22"/>
          <w:szCs w:val="22"/>
        </w:rPr>
        <w:t>r</w:t>
      </w:r>
      <w:r w:rsidR="0015679E" w:rsidRPr="001D228E">
        <w:rPr>
          <w:rFonts w:cs="Calibri"/>
          <w:sz w:val="22"/>
          <w:szCs w:val="22"/>
        </w:rPr>
        <w:t>mith</w:t>
      </w:r>
      <w:r w:rsidR="0015679E" w:rsidRPr="00A029E1">
        <w:rPr>
          <w:rFonts w:cs="Calibri"/>
          <w:sz w:val="22"/>
          <w:szCs w:val="22"/>
        </w:rPr>
        <w:t xml:space="preserve">, </w:t>
      </w:r>
      <w:r w:rsidR="0015679E">
        <w:rPr>
          <w:rFonts w:cs="Calibri"/>
          <w:sz w:val="22"/>
          <w:szCs w:val="22"/>
        </w:rPr>
        <w:t>Lisa Morrow</w:t>
      </w:r>
      <w:r w:rsidR="0015679E" w:rsidRPr="00A029E1">
        <w:rPr>
          <w:rFonts w:cs="Calibri"/>
          <w:sz w:val="22"/>
          <w:szCs w:val="22"/>
        </w:rPr>
        <w:t xml:space="preserve">, </w:t>
      </w:r>
      <w:r w:rsidR="0015679E">
        <w:rPr>
          <w:rFonts w:cs="Calibri"/>
          <w:sz w:val="22"/>
          <w:szCs w:val="22"/>
        </w:rPr>
        <w:t>L</w:t>
      </w:r>
      <w:r w:rsidR="0015679E" w:rsidRPr="00A029E1">
        <w:rPr>
          <w:rFonts w:cs="Calibri"/>
          <w:sz w:val="22"/>
          <w:szCs w:val="22"/>
        </w:rPr>
        <w:t>e</w:t>
      </w:r>
      <w:r w:rsidR="0015679E">
        <w:rPr>
          <w:rFonts w:cs="Calibri"/>
          <w:sz w:val="22"/>
          <w:szCs w:val="22"/>
        </w:rPr>
        <w:t>e Robinson</w:t>
      </w:r>
    </w:p>
    <w:p w14:paraId="3EACF726" w14:textId="77777777" w:rsidR="00166FF1" w:rsidRDefault="00166FF1" w:rsidP="000A7747">
      <w:pPr>
        <w:rPr>
          <w:rFonts w:cs="Calibri"/>
          <w:b/>
          <w:bCs/>
          <w:sz w:val="22"/>
          <w:szCs w:val="22"/>
        </w:rPr>
      </w:pPr>
    </w:p>
    <w:p w14:paraId="5C4F573F" w14:textId="77777777" w:rsidR="008E1B6B" w:rsidRPr="009519DA" w:rsidRDefault="008E1B6B" w:rsidP="008E1B6B">
      <w:pPr>
        <w:spacing w:after="0" w:line="240" w:lineRule="auto"/>
        <w:rPr>
          <w:rFonts w:eastAsia="Aptos" w:cs="Times New Roman"/>
          <w:sz w:val="22"/>
          <w:szCs w:val="22"/>
        </w:rPr>
      </w:pPr>
      <w:r w:rsidRPr="009519DA">
        <w:rPr>
          <w:rFonts w:eastAsia="Aptos" w:cs="Times New Roman"/>
          <w:sz w:val="22"/>
          <w:szCs w:val="22"/>
        </w:rPr>
        <w:t>Charge (ee) analysis of the feasibility and effects of creating a single integrated children’s behavioral health agency</w:t>
      </w:r>
    </w:p>
    <w:p w14:paraId="6AD2FFD6" w14:textId="77777777" w:rsidR="008E1B6B" w:rsidRPr="009519DA" w:rsidRDefault="008E1B6B" w:rsidP="008E1B6B">
      <w:pPr>
        <w:spacing w:after="0" w:line="240" w:lineRule="auto"/>
        <w:rPr>
          <w:rFonts w:eastAsia="Aptos" w:cs="Times New Roman"/>
          <w:sz w:val="22"/>
          <w:szCs w:val="22"/>
        </w:rPr>
      </w:pPr>
    </w:p>
    <w:p w14:paraId="3BADA523" w14:textId="77777777" w:rsidR="008E1B6B" w:rsidRPr="009519DA" w:rsidRDefault="008E1B6B" w:rsidP="008E1B6B">
      <w:pPr>
        <w:spacing w:after="0" w:line="240" w:lineRule="auto"/>
        <w:rPr>
          <w:rFonts w:eastAsia="Aptos" w:cs="Times New Roman"/>
          <w:sz w:val="22"/>
          <w:szCs w:val="22"/>
        </w:rPr>
      </w:pPr>
      <w:r w:rsidRPr="009519DA">
        <w:rPr>
          <w:rFonts w:eastAsia="Aptos" w:cs="Times New Roman"/>
          <w:sz w:val="22"/>
          <w:szCs w:val="22"/>
        </w:rPr>
        <w:t>Building from lessons learned from other state agency integration efforts, we analyzed the feasibility and effects of creating a single integrated children’s behavioral health (BH) agency in Massachusetts according to several criteria. See below for this analysis:</w:t>
      </w:r>
    </w:p>
    <w:p w14:paraId="0FA4F4E0" w14:textId="77777777" w:rsidR="008E1B6B" w:rsidRPr="009519DA" w:rsidRDefault="008E1B6B" w:rsidP="008E1B6B">
      <w:pPr>
        <w:spacing w:after="0" w:line="240" w:lineRule="auto"/>
        <w:rPr>
          <w:rFonts w:eastAsia="Aptos" w:cs="Times New Roman"/>
          <w:sz w:val="22"/>
          <w:szCs w:val="22"/>
        </w:rPr>
      </w:pPr>
    </w:p>
    <w:p w14:paraId="465301F4" w14:textId="77777777" w:rsidR="008E1B6B" w:rsidRPr="009519DA" w:rsidRDefault="008E1B6B" w:rsidP="008E1B6B">
      <w:pPr>
        <w:spacing w:after="0" w:line="240" w:lineRule="auto"/>
        <w:rPr>
          <w:rFonts w:eastAsia="Aptos" w:cs="Times New Roman"/>
          <w:sz w:val="22"/>
          <w:szCs w:val="22"/>
        </w:rPr>
      </w:pPr>
      <w:r w:rsidRPr="009519DA">
        <w:rPr>
          <w:rFonts w:eastAsia="Aptos" w:cs="Times New Roman"/>
          <w:b/>
          <w:sz w:val="22"/>
          <w:szCs w:val="22"/>
          <w:u w:val="single"/>
        </w:rPr>
        <w:t>Feasibility</w:t>
      </w:r>
    </w:p>
    <w:p w14:paraId="797EB98A" w14:textId="77777777" w:rsidR="008E1B6B" w:rsidRPr="009519DA" w:rsidRDefault="008E1B6B" w:rsidP="008E1B6B">
      <w:pPr>
        <w:spacing w:after="0" w:line="240" w:lineRule="auto"/>
        <w:rPr>
          <w:rFonts w:eastAsia="Aptos" w:cs="Times New Roman"/>
          <w:sz w:val="22"/>
          <w:szCs w:val="22"/>
        </w:rPr>
      </w:pPr>
    </w:p>
    <w:p w14:paraId="0DA0E36A" w14:textId="77777777" w:rsidR="008E1B6B" w:rsidRPr="009519DA" w:rsidRDefault="008E1B6B" w:rsidP="00BE4783">
      <w:pPr>
        <w:numPr>
          <w:ilvl w:val="0"/>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Time:</w:t>
      </w:r>
      <w:r w:rsidRPr="009519DA">
        <w:rPr>
          <w:rFonts w:eastAsia="Aptos" w:cs="Times New Roman"/>
          <w:sz w:val="22"/>
          <w:szCs w:val="22"/>
        </w:rPr>
        <w:t xml:space="preserve"> Other state examples of BH agency integration has required years of strategic planning and years of implementation.</w:t>
      </w:r>
    </w:p>
    <w:p w14:paraId="70410BC8" w14:textId="77777777" w:rsidR="008E1B6B" w:rsidRPr="009519DA" w:rsidRDefault="008E1B6B" w:rsidP="00BE4783">
      <w:pPr>
        <w:numPr>
          <w:ilvl w:val="1"/>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Massachusetts assessment:</w:t>
      </w:r>
      <w:r w:rsidRPr="009519DA">
        <w:rPr>
          <w:rFonts w:eastAsia="Aptos" w:cs="Times New Roman"/>
          <w:sz w:val="22"/>
          <w:szCs w:val="22"/>
        </w:rPr>
        <w:t xml:space="preserve"> The Commonwealth recently finished a long and comprehensive BH strategic planning process with the Roadmap for Behavioral Health Reform, first started in 2019, which culminated in the revamping of the state’s BH crisis system, including the 2023 launch of a statewide network of 31 Community Behavioral Health Centers (CBHCs), offering the full continuum of BH crisis services, and the Behavioral Health Help Line which provides 24/7/365, payer agnostic live support for triaging BH needs and connecting to indicated care. As these large scale initiatives are still relatively early in their implementation, and in the context of difficult budget years ahead, it is unlikely that the state is able to commit to the time requirements needed for another large, statewide BH strategic initiative at this time.</w:t>
      </w:r>
    </w:p>
    <w:p w14:paraId="0A6DF34B" w14:textId="77777777" w:rsidR="008E1B6B" w:rsidRPr="009519DA" w:rsidRDefault="008E1B6B" w:rsidP="00BE4783">
      <w:pPr>
        <w:numPr>
          <w:ilvl w:val="0"/>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Starting Place:</w:t>
      </w:r>
      <w:r w:rsidRPr="009519DA">
        <w:rPr>
          <w:rFonts w:eastAsia="Aptos" w:cs="Times New Roman"/>
          <w:sz w:val="22"/>
          <w:szCs w:val="22"/>
        </w:rPr>
        <w:t xml:space="preserve"> Other state examples of BH agency integration started at a time of tremendous unmet need, and relatively little integrated BH initiatives.</w:t>
      </w:r>
    </w:p>
    <w:p w14:paraId="371B2CA2" w14:textId="77777777" w:rsidR="008E1B6B" w:rsidRPr="009519DA" w:rsidRDefault="008E1B6B" w:rsidP="00BE4783">
      <w:pPr>
        <w:numPr>
          <w:ilvl w:val="1"/>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Massachusetts assessment:</w:t>
      </w:r>
      <w:r w:rsidRPr="009519DA">
        <w:rPr>
          <w:rFonts w:eastAsia="Aptos" w:cs="Times New Roman"/>
          <w:sz w:val="22"/>
          <w:szCs w:val="22"/>
        </w:rPr>
        <w:t xml:space="preserve"> The Commonwealth already has a number of state-of-the-art BH integration efforts, including the BH crisis continuum described above, a statewide network of youth and family wraparound, home- and community-based BH supports (the Children’s Behavioral Health Initiative), and a growing number of innovative statewide BH consultation programs (Massachusetts Child Psychiatry Access Program- MCPAP services). In this context, the “burning platform” that existed in other states prior to their large integration efforts is more attenuated in Massachusetts given our strong recent history.</w:t>
      </w:r>
    </w:p>
    <w:p w14:paraId="288C1905" w14:textId="77777777" w:rsidR="008E1B6B" w:rsidRPr="009519DA" w:rsidRDefault="008E1B6B" w:rsidP="00BE4783">
      <w:pPr>
        <w:numPr>
          <w:ilvl w:val="0"/>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Leadership/Governance:</w:t>
      </w:r>
      <w:r w:rsidRPr="009519DA">
        <w:rPr>
          <w:rFonts w:eastAsia="Aptos" w:cs="Times New Roman"/>
          <w:sz w:val="22"/>
          <w:szCs w:val="22"/>
        </w:rPr>
        <w:t xml:space="preserve"> In other states, BH agency integration efforts have been prioritized and driven throughout all levels of government leadership.</w:t>
      </w:r>
    </w:p>
    <w:p w14:paraId="21A8AA50" w14:textId="77777777" w:rsidR="008E1B6B" w:rsidRPr="009519DA" w:rsidRDefault="008E1B6B" w:rsidP="00BE4783">
      <w:pPr>
        <w:numPr>
          <w:ilvl w:val="1"/>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Massachusetts assessment:</w:t>
      </w:r>
      <w:r w:rsidRPr="009519DA">
        <w:rPr>
          <w:rFonts w:eastAsia="Aptos" w:cs="Times New Roman"/>
          <w:sz w:val="22"/>
          <w:szCs w:val="22"/>
        </w:rPr>
        <w:t xml:space="preserve"> Given the multitude of issues facing Massachusetts health care budgeting in the years ahead, state leadership is laser-focused on health care affordability. For any large scale projects in the health care space that do not have a primarily budgetary focus, it will be difficult to muster adequate political support.</w:t>
      </w:r>
    </w:p>
    <w:p w14:paraId="5E9A7C34" w14:textId="77777777" w:rsidR="008E1B6B" w:rsidRPr="009519DA" w:rsidRDefault="008E1B6B" w:rsidP="00BE4783">
      <w:pPr>
        <w:numPr>
          <w:ilvl w:val="0"/>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Resources:</w:t>
      </w:r>
      <w:r w:rsidRPr="009519DA">
        <w:rPr>
          <w:rFonts w:eastAsia="Aptos" w:cs="Times New Roman"/>
          <w:sz w:val="22"/>
          <w:szCs w:val="22"/>
        </w:rPr>
        <w:t xml:space="preserve"> While difficult to quantify, other state integration examples have expended considerable resources, often through contracted consultants and technical vendors, and staff time support.</w:t>
      </w:r>
    </w:p>
    <w:p w14:paraId="679BB91F" w14:textId="77777777" w:rsidR="008E1B6B" w:rsidRPr="009519DA" w:rsidRDefault="008E1B6B" w:rsidP="00BE4783">
      <w:pPr>
        <w:numPr>
          <w:ilvl w:val="1"/>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Massachusetts assessment:</w:t>
      </w:r>
      <w:r w:rsidRPr="009519DA">
        <w:rPr>
          <w:rFonts w:eastAsia="Aptos" w:cs="Times New Roman"/>
          <w:sz w:val="22"/>
          <w:szCs w:val="22"/>
        </w:rPr>
        <w:t xml:space="preserve"> As mentioned previously, in the current budgetary climate, it will be very difficult to garner support for the resources required to pursue a large scale agency integration effort similar to other states.</w:t>
      </w:r>
    </w:p>
    <w:p w14:paraId="5C19B91F" w14:textId="77777777" w:rsidR="008E1B6B" w:rsidRPr="009519DA" w:rsidRDefault="008E1B6B" w:rsidP="00BE4783">
      <w:pPr>
        <w:numPr>
          <w:ilvl w:val="0"/>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Scope:</w:t>
      </w:r>
      <w:r w:rsidRPr="009519DA">
        <w:rPr>
          <w:rFonts w:eastAsia="Aptos" w:cs="Times New Roman"/>
          <w:sz w:val="22"/>
          <w:szCs w:val="22"/>
        </w:rPr>
        <w:t xml:space="preserve"> All of the above feasibility criteria have a relatively direct relationship with the scope of integration being pursued.</w:t>
      </w:r>
    </w:p>
    <w:p w14:paraId="61DFB273" w14:textId="77777777" w:rsidR="008E1B6B" w:rsidRPr="009519DA" w:rsidRDefault="008E1B6B" w:rsidP="00BE4783">
      <w:pPr>
        <w:numPr>
          <w:ilvl w:val="1"/>
          <w:numId w:val="54"/>
        </w:numPr>
        <w:spacing w:after="0" w:line="240" w:lineRule="auto"/>
        <w:contextualSpacing/>
        <w:rPr>
          <w:rFonts w:eastAsia="Aptos" w:cs="Times New Roman"/>
          <w:sz w:val="22"/>
          <w:szCs w:val="22"/>
          <w:u w:val="single"/>
        </w:rPr>
      </w:pPr>
      <w:r w:rsidRPr="009519DA">
        <w:rPr>
          <w:rFonts w:eastAsia="Aptos" w:cs="Times New Roman"/>
          <w:sz w:val="22"/>
          <w:szCs w:val="22"/>
          <w:u w:val="single"/>
        </w:rPr>
        <w:t>Massachusetts assessment:</w:t>
      </w:r>
      <w:r w:rsidRPr="009519DA">
        <w:rPr>
          <w:rFonts w:eastAsia="Aptos" w:cs="Times New Roman"/>
          <w:sz w:val="22"/>
          <w:szCs w:val="22"/>
        </w:rPr>
        <w:t xml:space="preserve"> For the reasons already presented, a large scale, comprehensive single integrated children’s BH agency would not likely be feasible in the coming years in Massachusetts. That said, perhaps more targeted opportunities for integration and/or coordination could be worth exploring.</w:t>
      </w:r>
    </w:p>
    <w:p w14:paraId="5DCDDDF6" w14:textId="77777777" w:rsidR="008E1B6B" w:rsidRPr="009519DA" w:rsidRDefault="008E1B6B" w:rsidP="008E1B6B">
      <w:pPr>
        <w:spacing w:after="0" w:line="240" w:lineRule="auto"/>
        <w:rPr>
          <w:rFonts w:eastAsia="Aptos" w:cs="Times New Roman"/>
          <w:sz w:val="22"/>
          <w:szCs w:val="22"/>
          <w:u w:val="single"/>
        </w:rPr>
      </w:pPr>
    </w:p>
    <w:p w14:paraId="3DC90DB2" w14:textId="77777777" w:rsidR="008E1B6B" w:rsidRPr="009519DA" w:rsidRDefault="008E1B6B" w:rsidP="008E1B6B">
      <w:pPr>
        <w:spacing w:after="0" w:line="240" w:lineRule="auto"/>
        <w:rPr>
          <w:rFonts w:eastAsia="Aptos" w:cs="Times New Roman"/>
          <w:sz w:val="22"/>
          <w:szCs w:val="22"/>
        </w:rPr>
      </w:pPr>
      <w:r w:rsidRPr="009519DA">
        <w:rPr>
          <w:rFonts w:eastAsia="Aptos" w:cs="Times New Roman"/>
          <w:b/>
          <w:sz w:val="22"/>
          <w:szCs w:val="22"/>
          <w:u w:val="single"/>
        </w:rPr>
        <w:t>Effects</w:t>
      </w:r>
    </w:p>
    <w:p w14:paraId="651F2BA5" w14:textId="77777777" w:rsidR="008E1B6B" w:rsidRPr="009519DA" w:rsidRDefault="008E1B6B" w:rsidP="008E1B6B">
      <w:pPr>
        <w:spacing w:after="0" w:line="240" w:lineRule="auto"/>
        <w:rPr>
          <w:rFonts w:eastAsia="Aptos" w:cs="Times New Roman"/>
          <w:sz w:val="22"/>
          <w:szCs w:val="22"/>
        </w:rPr>
      </w:pPr>
    </w:p>
    <w:p w14:paraId="77DA4BCE" w14:textId="77777777" w:rsidR="008E1B6B" w:rsidRPr="009519DA" w:rsidRDefault="008E1B6B" w:rsidP="00BE4783">
      <w:pPr>
        <w:numPr>
          <w:ilvl w:val="0"/>
          <w:numId w:val="55"/>
        </w:numPr>
        <w:spacing w:after="0" w:line="240" w:lineRule="auto"/>
        <w:contextualSpacing/>
        <w:rPr>
          <w:rFonts w:eastAsia="Aptos" w:cs="Times New Roman"/>
          <w:sz w:val="22"/>
          <w:szCs w:val="22"/>
        </w:rPr>
      </w:pPr>
      <w:r w:rsidRPr="009519DA">
        <w:rPr>
          <w:rFonts w:eastAsia="Aptos" w:cs="Times New Roman"/>
          <w:sz w:val="22"/>
          <w:szCs w:val="22"/>
          <w:u w:val="single"/>
        </w:rPr>
        <w:t>Youth/Family experience:</w:t>
      </w:r>
      <w:r w:rsidRPr="009519DA">
        <w:rPr>
          <w:rFonts w:eastAsia="Aptos" w:cs="Times New Roman"/>
          <w:sz w:val="22"/>
          <w:szCs w:val="22"/>
        </w:rPr>
        <w:t xml:space="preserve"> Some integrated agency states have reported some early benefits to member experience, including the ability to better incorporate family/youth voice throughout the youth BH system</w:t>
      </w:r>
    </w:p>
    <w:p w14:paraId="0C9B0923" w14:textId="77777777" w:rsidR="008E1B6B" w:rsidRPr="009519DA" w:rsidRDefault="008E1B6B" w:rsidP="00BE4783">
      <w:pPr>
        <w:numPr>
          <w:ilvl w:val="0"/>
          <w:numId w:val="55"/>
        </w:numPr>
        <w:spacing w:after="0" w:line="240" w:lineRule="auto"/>
        <w:contextualSpacing/>
        <w:rPr>
          <w:rFonts w:eastAsia="Aptos" w:cs="Times New Roman"/>
          <w:sz w:val="22"/>
          <w:szCs w:val="22"/>
        </w:rPr>
      </w:pPr>
      <w:r w:rsidRPr="009519DA">
        <w:rPr>
          <w:rFonts w:eastAsia="Aptos" w:cs="Times New Roman"/>
          <w:sz w:val="22"/>
          <w:szCs w:val="22"/>
          <w:u w:val="single"/>
        </w:rPr>
        <w:t>Youth/Family outcomes:</w:t>
      </w:r>
      <w:r w:rsidRPr="009519DA">
        <w:rPr>
          <w:rFonts w:eastAsia="Aptos" w:cs="Times New Roman"/>
          <w:sz w:val="22"/>
          <w:szCs w:val="22"/>
        </w:rPr>
        <w:t xml:space="preserve"> BHAC members should commit to engaging with family advocacy groups in CT, NJ and CO to ensure that family and youth voice regarding outcomes is heard and considered. </w:t>
      </w:r>
    </w:p>
    <w:p w14:paraId="32BA3B63" w14:textId="77777777" w:rsidR="008E1B6B" w:rsidRPr="009519DA" w:rsidRDefault="008E1B6B" w:rsidP="00BE4783">
      <w:pPr>
        <w:numPr>
          <w:ilvl w:val="0"/>
          <w:numId w:val="55"/>
        </w:numPr>
        <w:spacing w:after="0" w:line="240" w:lineRule="auto"/>
        <w:contextualSpacing/>
        <w:rPr>
          <w:rFonts w:eastAsia="Aptos" w:cs="Times New Roman"/>
          <w:sz w:val="22"/>
          <w:szCs w:val="22"/>
        </w:rPr>
      </w:pPr>
      <w:r w:rsidRPr="009519DA">
        <w:rPr>
          <w:rFonts w:eastAsia="Aptos" w:cs="Times New Roman"/>
          <w:sz w:val="22"/>
          <w:szCs w:val="22"/>
          <w:u w:val="single"/>
        </w:rPr>
        <w:t>State operations:</w:t>
      </w:r>
      <w:r w:rsidRPr="009519DA">
        <w:rPr>
          <w:rFonts w:eastAsia="Aptos" w:cs="Times New Roman"/>
          <w:sz w:val="22"/>
          <w:szCs w:val="22"/>
        </w:rPr>
        <w:t xml:space="preserve"> additional research required to assess </w:t>
      </w:r>
    </w:p>
    <w:p w14:paraId="2D851D3B" w14:textId="77777777" w:rsidR="008E1B6B" w:rsidRPr="009519DA" w:rsidRDefault="008E1B6B" w:rsidP="00BE4783">
      <w:pPr>
        <w:numPr>
          <w:ilvl w:val="0"/>
          <w:numId w:val="55"/>
        </w:numPr>
        <w:spacing w:after="0" w:line="240" w:lineRule="auto"/>
        <w:contextualSpacing/>
        <w:rPr>
          <w:rFonts w:eastAsia="Aptos" w:cs="Times New Roman"/>
          <w:sz w:val="22"/>
          <w:szCs w:val="22"/>
        </w:rPr>
      </w:pPr>
      <w:r w:rsidRPr="009519DA">
        <w:rPr>
          <w:rFonts w:eastAsia="Aptos" w:cs="Times New Roman"/>
          <w:sz w:val="22"/>
          <w:szCs w:val="22"/>
          <w:u w:val="single"/>
        </w:rPr>
        <w:t>State resources:</w:t>
      </w:r>
      <w:r w:rsidRPr="009519DA">
        <w:rPr>
          <w:rFonts w:eastAsia="Aptos" w:cs="Times New Roman"/>
          <w:sz w:val="22"/>
          <w:szCs w:val="22"/>
        </w:rPr>
        <w:t xml:space="preserve"> Some integrated states have reported successful reductions to residential placements for youth, which have generated cost savings.</w:t>
      </w:r>
    </w:p>
    <w:p w14:paraId="66BF3939" w14:textId="77777777" w:rsidR="008E1B6B" w:rsidRPr="009519DA" w:rsidRDefault="008E1B6B" w:rsidP="008E1B6B">
      <w:pPr>
        <w:spacing w:after="0" w:line="240" w:lineRule="auto"/>
        <w:ind w:left="1440"/>
        <w:contextualSpacing/>
        <w:rPr>
          <w:rFonts w:eastAsia="Aptos" w:cs="Times New Roman"/>
          <w:sz w:val="22"/>
          <w:szCs w:val="22"/>
        </w:rPr>
      </w:pPr>
    </w:p>
    <w:p w14:paraId="510322E9" w14:textId="77777777" w:rsidR="008E1B6B" w:rsidRPr="009519DA" w:rsidRDefault="008E1B6B" w:rsidP="00BE4783">
      <w:pPr>
        <w:numPr>
          <w:ilvl w:val="1"/>
          <w:numId w:val="55"/>
        </w:numPr>
        <w:spacing w:after="0" w:line="240" w:lineRule="auto"/>
        <w:contextualSpacing/>
        <w:rPr>
          <w:rFonts w:eastAsia="Aptos" w:cs="Times New Roman"/>
          <w:sz w:val="22"/>
          <w:szCs w:val="22"/>
        </w:rPr>
      </w:pPr>
      <w:r w:rsidRPr="009519DA">
        <w:rPr>
          <w:rFonts w:eastAsia="Aptos" w:cs="Times New Roman"/>
          <w:sz w:val="22"/>
          <w:szCs w:val="22"/>
          <w:u w:val="single"/>
        </w:rPr>
        <w:t>Massachusetts assessment:</w:t>
      </w:r>
      <w:r w:rsidRPr="009519DA">
        <w:rPr>
          <w:rFonts w:eastAsia="Aptos" w:cs="Times New Roman"/>
          <w:sz w:val="22"/>
          <w:szCs w:val="22"/>
        </w:rPr>
        <w:t xml:space="preserve"> While the goals of any integration efforts in the Commonwealth would be focused on improving youth/family experience, youth/family outcomes, state operations, and utilization of state resources, it is difficult to say how those goals would be better achieved through a single integrated state agency versus other efforts to coordinate and/or integrate state agency processes and resources.</w:t>
      </w:r>
    </w:p>
    <w:p w14:paraId="005F315F" w14:textId="77777777" w:rsidR="008E1B6B" w:rsidRPr="009519DA" w:rsidRDefault="008E1B6B" w:rsidP="008E1B6B">
      <w:pPr>
        <w:spacing w:after="0" w:line="240" w:lineRule="auto"/>
        <w:rPr>
          <w:rFonts w:eastAsia="Aptos" w:cs="Times New Roman"/>
          <w:sz w:val="22"/>
          <w:szCs w:val="22"/>
        </w:rPr>
      </w:pPr>
    </w:p>
    <w:p w14:paraId="5EF5AC21" w14:textId="77777777" w:rsidR="008E1B6B" w:rsidRPr="009519DA" w:rsidRDefault="008E1B6B" w:rsidP="008E1B6B">
      <w:pPr>
        <w:spacing w:after="0" w:line="240" w:lineRule="auto"/>
        <w:rPr>
          <w:rFonts w:eastAsia="Aptos" w:cs="Times New Roman"/>
          <w:sz w:val="22"/>
          <w:szCs w:val="22"/>
        </w:rPr>
      </w:pPr>
      <w:r w:rsidRPr="009519DA">
        <w:rPr>
          <w:rFonts w:eastAsia="Aptos" w:cs="Times New Roman"/>
          <w:b/>
          <w:sz w:val="22"/>
          <w:szCs w:val="22"/>
          <w:u w:val="single"/>
        </w:rPr>
        <w:t>Conclusion</w:t>
      </w:r>
    </w:p>
    <w:p w14:paraId="11D944AF" w14:textId="77777777" w:rsidR="008E1B6B" w:rsidRPr="009519DA" w:rsidRDefault="008E1B6B" w:rsidP="008E1B6B">
      <w:pPr>
        <w:spacing w:after="0" w:line="240" w:lineRule="auto"/>
        <w:rPr>
          <w:rFonts w:eastAsia="Aptos" w:cs="Times New Roman"/>
          <w:sz w:val="22"/>
          <w:szCs w:val="22"/>
        </w:rPr>
      </w:pPr>
      <w:r w:rsidRPr="009519DA">
        <w:rPr>
          <w:rFonts w:eastAsia="Aptos" w:cs="Times New Roman"/>
          <w:sz w:val="22"/>
          <w:szCs w:val="22"/>
        </w:rPr>
        <w:t xml:space="preserve">Several other states have pursued ambitious efforts to consolidate state agencies into a single integrated agency for BH, including some who have created a single, integrated state agency for youth BH. The goals of these integration efforts have largely been aligned with the goals identified by this Commission, including improving youth and family experience in accessing BH care that effectively improves outcomes and uses less state resources. That said, many of these examples in other states are relatively early in their progress of achieving these goals. Additionally, Massachusetts is in a very different point in our work for youth/family BH and in a very different budgetary and political environment than these other states when they undertook their integration efforts. These factors lead to the conclusion that it </w:t>
      </w:r>
      <w:r w:rsidRPr="009519DA">
        <w:rPr>
          <w:rFonts w:eastAsia="Aptos" w:cs="Times New Roman"/>
          <w:sz w:val="22"/>
          <w:szCs w:val="22"/>
          <w:u w:val="single"/>
        </w:rPr>
        <w:t>not</w:t>
      </w:r>
      <w:r w:rsidRPr="009519DA">
        <w:rPr>
          <w:rFonts w:eastAsia="Aptos" w:cs="Times New Roman"/>
          <w:sz w:val="22"/>
          <w:szCs w:val="22"/>
        </w:rPr>
        <w:t xml:space="preserve"> feasible at this time for Massachusetts to pursue a single, integrated child BH agency, though the state can and should learn lessons from other states who have pursued this path to inform Massachusetts effort at improved coordination, integration, and efficiency in supporting youth and family BH. </w:t>
      </w:r>
    </w:p>
    <w:p w14:paraId="572CB581" w14:textId="77777777" w:rsidR="008E1B6B" w:rsidRPr="009519DA" w:rsidRDefault="008E1B6B" w:rsidP="008E1B6B">
      <w:pPr>
        <w:spacing w:after="0" w:line="240" w:lineRule="auto"/>
        <w:jc w:val="center"/>
        <w:rPr>
          <w:rFonts w:cs="Arial"/>
          <w:sz w:val="22"/>
          <w:szCs w:val="22"/>
        </w:rPr>
      </w:pPr>
    </w:p>
    <w:p w14:paraId="693BFE16" w14:textId="77777777" w:rsidR="008E1B6B" w:rsidRPr="009519DA" w:rsidRDefault="008E1B6B" w:rsidP="008E1B6B">
      <w:pPr>
        <w:spacing w:after="0" w:line="240" w:lineRule="auto"/>
        <w:jc w:val="center"/>
        <w:rPr>
          <w:rFonts w:cs="Arial"/>
          <w:sz w:val="22"/>
          <w:szCs w:val="22"/>
        </w:rPr>
      </w:pPr>
    </w:p>
    <w:p w14:paraId="3D8F853B" w14:textId="77777777" w:rsidR="008E1B6B" w:rsidRPr="009519DA" w:rsidRDefault="008E1B6B" w:rsidP="008E1B6B">
      <w:pPr>
        <w:spacing w:after="0" w:line="240" w:lineRule="auto"/>
        <w:ind w:left="3600" w:firstLine="720"/>
        <w:rPr>
          <w:rFonts w:cs="Arial"/>
          <w:b/>
          <w:sz w:val="22"/>
          <w:szCs w:val="22"/>
          <w:u w:val="single"/>
        </w:rPr>
      </w:pPr>
      <w:r w:rsidRPr="009519DA">
        <w:rPr>
          <w:rFonts w:cs="Arial"/>
          <w:b/>
          <w:sz w:val="22"/>
          <w:szCs w:val="22"/>
          <w:u w:val="single"/>
        </w:rPr>
        <w:t xml:space="preserve">Colorado </w:t>
      </w:r>
    </w:p>
    <w:p w14:paraId="45F71036" w14:textId="77777777" w:rsidR="008E1B6B" w:rsidRPr="009519DA" w:rsidRDefault="008E1B6B" w:rsidP="008E1B6B">
      <w:pPr>
        <w:spacing w:after="0" w:line="240" w:lineRule="auto"/>
        <w:rPr>
          <w:rFonts w:cs="Arial"/>
          <w:sz w:val="22"/>
          <w:szCs w:val="22"/>
        </w:rPr>
      </w:pPr>
    </w:p>
    <w:p w14:paraId="3235B10C" w14:textId="77777777" w:rsidR="008E1B6B" w:rsidRPr="009519DA" w:rsidRDefault="008E1B6B" w:rsidP="008E1B6B">
      <w:pPr>
        <w:spacing w:after="0" w:line="240" w:lineRule="auto"/>
        <w:rPr>
          <w:rFonts w:cs="Arial"/>
          <w:sz w:val="22"/>
          <w:szCs w:val="22"/>
        </w:rPr>
      </w:pPr>
      <w:r w:rsidRPr="009519DA">
        <w:rPr>
          <w:rFonts w:cs="Arial"/>
          <w:sz w:val="22"/>
          <w:szCs w:val="22"/>
          <w:u w:val="single"/>
        </w:rPr>
        <w:t>Source of Information:</w:t>
      </w:r>
      <w:r w:rsidRPr="009519DA">
        <w:rPr>
          <w:rFonts w:cs="Arial"/>
          <w:sz w:val="22"/>
          <w:szCs w:val="22"/>
        </w:rPr>
        <w:t xml:space="preserve"> </w:t>
      </w:r>
    </w:p>
    <w:p w14:paraId="50D5F37F" w14:textId="77777777" w:rsidR="008E1B6B" w:rsidRPr="009519DA" w:rsidRDefault="008E1B6B" w:rsidP="008E1B6B">
      <w:pPr>
        <w:spacing w:after="0" w:line="240" w:lineRule="auto"/>
        <w:rPr>
          <w:rFonts w:cs="Arial"/>
          <w:sz w:val="22"/>
          <w:szCs w:val="22"/>
        </w:rPr>
      </w:pPr>
      <w:r w:rsidRPr="009519DA">
        <w:rPr>
          <w:rFonts w:cs="Arial"/>
          <w:sz w:val="22"/>
          <w:szCs w:val="22"/>
        </w:rPr>
        <w:t>Online materials and interview with member of state leadership</w:t>
      </w:r>
    </w:p>
    <w:p w14:paraId="3AEB3CAF" w14:textId="77777777" w:rsidR="008E1B6B" w:rsidRPr="009519DA" w:rsidRDefault="008E1B6B" w:rsidP="008E1B6B">
      <w:pPr>
        <w:spacing w:after="0" w:line="240" w:lineRule="auto"/>
        <w:rPr>
          <w:rFonts w:cs="Arial"/>
          <w:sz w:val="22"/>
          <w:szCs w:val="22"/>
        </w:rPr>
      </w:pPr>
    </w:p>
    <w:p w14:paraId="6D83CE7A" w14:textId="77777777" w:rsidR="008E1B6B" w:rsidRPr="009519DA" w:rsidRDefault="008E1B6B" w:rsidP="008E1B6B">
      <w:pPr>
        <w:spacing w:after="0" w:line="240" w:lineRule="auto"/>
        <w:rPr>
          <w:rFonts w:cs="Arial"/>
          <w:sz w:val="22"/>
          <w:szCs w:val="22"/>
        </w:rPr>
      </w:pPr>
      <w:r w:rsidRPr="009519DA">
        <w:rPr>
          <w:rFonts w:cs="Arial"/>
          <w:sz w:val="22"/>
          <w:szCs w:val="22"/>
          <w:u w:val="single"/>
        </w:rPr>
        <w:t>History:</w:t>
      </w:r>
      <w:r w:rsidRPr="009519DA">
        <w:rPr>
          <w:rFonts w:cs="Arial"/>
          <w:sz w:val="22"/>
          <w:szCs w:val="22"/>
        </w:rPr>
        <w:t xml:space="preserve"> </w:t>
      </w:r>
    </w:p>
    <w:p w14:paraId="74951468" w14:textId="77777777" w:rsidR="008E1B6B" w:rsidRPr="009519DA" w:rsidRDefault="008E1B6B" w:rsidP="008E1B6B">
      <w:pPr>
        <w:spacing w:after="0" w:line="240" w:lineRule="auto"/>
        <w:rPr>
          <w:rFonts w:cs="Arial"/>
          <w:sz w:val="22"/>
          <w:szCs w:val="22"/>
        </w:rPr>
      </w:pPr>
      <w:r w:rsidRPr="009519DA">
        <w:rPr>
          <w:rFonts w:cs="Arial"/>
          <w:sz w:val="22"/>
          <w:szCs w:val="22"/>
        </w:rPr>
        <w:t>In April 2019, Governor Jared Polis directed the Colorado Department of Human Servies to lead a Behavioral Health Task Force to establish a roadmap to improve the behavioral health (BH) system in Colorado. The task force unanimously recommended the establishment of a Behavioral Health Administration (BHA) to serve as the state’s single state entity responsible for “leading, coordinating, and strengthening the statewide behavioral health system.” The BHA was officially established in July 2022.</w:t>
      </w:r>
    </w:p>
    <w:p w14:paraId="163CBDD0" w14:textId="77777777" w:rsidR="008E1B6B" w:rsidRPr="009519DA" w:rsidRDefault="008E1B6B" w:rsidP="008E1B6B">
      <w:pPr>
        <w:spacing w:after="0" w:line="240" w:lineRule="auto"/>
        <w:rPr>
          <w:rFonts w:cs="Arial"/>
          <w:sz w:val="22"/>
          <w:szCs w:val="22"/>
        </w:rPr>
      </w:pPr>
    </w:p>
    <w:p w14:paraId="334A9AEC" w14:textId="77777777" w:rsidR="008E1B6B" w:rsidRPr="009519DA" w:rsidRDefault="008E1B6B" w:rsidP="008E1B6B">
      <w:pPr>
        <w:spacing w:after="0" w:line="240" w:lineRule="auto"/>
        <w:rPr>
          <w:rFonts w:cs="Arial"/>
          <w:sz w:val="22"/>
          <w:szCs w:val="22"/>
        </w:rPr>
      </w:pPr>
      <w:r w:rsidRPr="009519DA">
        <w:rPr>
          <w:rFonts w:cs="Arial"/>
          <w:sz w:val="22"/>
          <w:szCs w:val="22"/>
          <w:u w:val="single"/>
        </w:rPr>
        <w:t>Structure:</w:t>
      </w:r>
    </w:p>
    <w:p w14:paraId="5D2205BE" w14:textId="77777777" w:rsidR="008E1B6B" w:rsidRPr="009519DA" w:rsidRDefault="008E1B6B" w:rsidP="008E1B6B">
      <w:pPr>
        <w:spacing w:after="0" w:line="240" w:lineRule="auto"/>
        <w:rPr>
          <w:rFonts w:cs="Arial"/>
          <w:sz w:val="22"/>
          <w:szCs w:val="22"/>
        </w:rPr>
      </w:pPr>
      <w:r w:rsidRPr="009519DA">
        <w:rPr>
          <w:rFonts w:cs="Arial"/>
          <w:sz w:val="22"/>
          <w:szCs w:val="22"/>
        </w:rPr>
        <w:t>The BHA sits within the Department of Human Services and is led by a Cabinet-level Commissioner appointed by the Governor. The BHA took over roles/responsibilities previously held by other state agencies, including BH rulemaking and safety net contracting from the Department of Human Services; most programs and functions from the previous Office of Behavioral Health; BH facility licensing and clinical treatment oversight from the Department of Public Health and Environment; federal BH grants and public grievance management from other agencies. Of note, the BHA does not include the state Medicaid program, which sits within the Department of Health Care Policy and Financing, and does not include oversight and operation of the state’s mental health hospitals and forensic mental health system, which sit in the Office of Civil and Forensic Mental Health.</w:t>
      </w:r>
    </w:p>
    <w:p w14:paraId="608EFB2C" w14:textId="77777777" w:rsidR="008E1B6B" w:rsidRPr="009519DA" w:rsidRDefault="008E1B6B" w:rsidP="008E1B6B">
      <w:pPr>
        <w:spacing w:after="0" w:line="240" w:lineRule="auto"/>
        <w:rPr>
          <w:rFonts w:cs="Arial"/>
          <w:sz w:val="22"/>
          <w:szCs w:val="22"/>
        </w:rPr>
      </w:pPr>
    </w:p>
    <w:p w14:paraId="6846A6E4"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Impact/Experience:</w:t>
      </w:r>
    </w:p>
    <w:p w14:paraId="797D65D8" w14:textId="77777777" w:rsidR="008E1B6B" w:rsidRPr="009519DA" w:rsidRDefault="008E1B6B" w:rsidP="008E1B6B">
      <w:pPr>
        <w:spacing w:after="0" w:line="240" w:lineRule="auto"/>
        <w:rPr>
          <w:rFonts w:cs="Arial"/>
          <w:sz w:val="22"/>
          <w:szCs w:val="22"/>
        </w:rPr>
      </w:pPr>
      <w:r w:rsidRPr="009519DA">
        <w:rPr>
          <w:rFonts w:cs="Arial"/>
          <w:sz w:val="22"/>
          <w:szCs w:val="22"/>
        </w:rPr>
        <w:t>While still relatively early in its existence, the BHA has demonstrated several notable achievements and concerns, including:</w:t>
      </w:r>
    </w:p>
    <w:p w14:paraId="5AB91AAF" w14:textId="77777777" w:rsidR="008E1B6B" w:rsidRPr="009519DA" w:rsidRDefault="008E1B6B" w:rsidP="008E1B6B">
      <w:pPr>
        <w:spacing w:after="0" w:line="240" w:lineRule="auto"/>
        <w:rPr>
          <w:rFonts w:cs="Arial"/>
          <w:sz w:val="22"/>
          <w:szCs w:val="22"/>
        </w:rPr>
      </w:pPr>
    </w:p>
    <w:p w14:paraId="0A41984C" w14:textId="77777777" w:rsidR="008E1B6B" w:rsidRPr="009519DA" w:rsidRDefault="008E1B6B" w:rsidP="008E1B6B">
      <w:pPr>
        <w:spacing w:after="0" w:line="240" w:lineRule="auto"/>
        <w:rPr>
          <w:rFonts w:cs="Arial"/>
          <w:sz w:val="22"/>
          <w:szCs w:val="22"/>
          <w:u w:val="single"/>
        </w:rPr>
      </w:pPr>
      <w:r w:rsidRPr="009519DA">
        <w:rPr>
          <w:rFonts w:cs="Arial"/>
          <w:sz w:val="22"/>
          <w:szCs w:val="22"/>
        </w:rPr>
        <w:tab/>
      </w:r>
      <w:r w:rsidRPr="009519DA">
        <w:rPr>
          <w:rFonts w:cs="Arial"/>
          <w:sz w:val="22"/>
          <w:szCs w:val="22"/>
          <w:u w:val="single"/>
        </w:rPr>
        <w:t>Achievements:</w:t>
      </w:r>
    </w:p>
    <w:p w14:paraId="117C6498" w14:textId="77777777" w:rsidR="008E1B6B" w:rsidRPr="009519DA" w:rsidRDefault="008E1B6B" w:rsidP="00BE4783">
      <w:pPr>
        <w:pStyle w:val="ListParagraph"/>
        <w:numPr>
          <w:ilvl w:val="0"/>
          <w:numId w:val="52"/>
        </w:numPr>
        <w:spacing w:after="0" w:line="240" w:lineRule="auto"/>
        <w:rPr>
          <w:rFonts w:cs="Arial"/>
          <w:sz w:val="22"/>
          <w:szCs w:val="22"/>
        </w:rPr>
      </w:pPr>
      <w:r w:rsidRPr="009519DA">
        <w:rPr>
          <w:rFonts w:cs="Arial"/>
          <w:sz w:val="22"/>
          <w:szCs w:val="22"/>
        </w:rPr>
        <w:t xml:space="preserve">Staring 1/2024, the BHA began transitioning legacy licensing structures for substance use disorder (SUD) treatment licenses, Community Mental Health Center (CMHC) and Community Mental Health clinic (CMHc) designations, Controlled Substance Licenses (CSLs), and Recovery Support Service Organization (RSSO) licenses into one unified Behavioral Health Entity (BHE) licensing process. </w:t>
      </w:r>
    </w:p>
    <w:p w14:paraId="7D4335C4" w14:textId="77777777" w:rsidR="008E1B6B" w:rsidRPr="009519DA" w:rsidRDefault="008E1B6B" w:rsidP="00BE4783">
      <w:pPr>
        <w:pStyle w:val="ListParagraph"/>
        <w:numPr>
          <w:ilvl w:val="0"/>
          <w:numId w:val="52"/>
        </w:numPr>
        <w:spacing w:after="0" w:line="240" w:lineRule="auto"/>
        <w:rPr>
          <w:rFonts w:cs="Arial"/>
          <w:sz w:val="22"/>
          <w:szCs w:val="22"/>
        </w:rPr>
      </w:pPr>
      <w:r w:rsidRPr="009519DA">
        <w:rPr>
          <w:rFonts w:cs="Arial"/>
          <w:sz w:val="22"/>
          <w:szCs w:val="22"/>
        </w:rPr>
        <w:t xml:space="preserve">In 7/2025, the BHA formally launched Colorado LIFTS (Linking Individuals and Families To Services), which is a streamlined program to connect people to a statewide network of regional BH administrative service organizations offering mental health, substance use, and crisis support and care navigation. </w:t>
      </w:r>
    </w:p>
    <w:p w14:paraId="672C99C4" w14:textId="77777777" w:rsidR="008E1B6B" w:rsidRPr="009519DA" w:rsidRDefault="008E1B6B" w:rsidP="008E1B6B">
      <w:pPr>
        <w:spacing w:after="0" w:line="240" w:lineRule="auto"/>
        <w:rPr>
          <w:rFonts w:cs="Arial"/>
          <w:sz w:val="22"/>
          <w:szCs w:val="22"/>
        </w:rPr>
      </w:pPr>
    </w:p>
    <w:p w14:paraId="3513E13A" w14:textId="77777777" w:rsidR="008E1B6B" w:rsidRPr="009519DA" w:rsidRDefault="008E1B6B" w:rsidP="008E1B6B">
      <w:pPr>
        <w:spacing w:after="0" w:line="240" w:lineRule="auto"/>
        <w:ind w:firstLine="720"/>
        <w:rPr>
          <w:rFonts w:cs="Arial"/>
          <w:sz w:val="22"/>
          <w:szCs w:val="22"/>
        </w:rPr>
      </w:pPr>
      <w:r w:rsidRPr="009519DA">
        <w:rPr>
          <w:rFonts w:cs="Arial"/>
          <w:sz w:val="22"/>
          <w:szCs w:val="22"/>
          <w:u w:val="single"/>
        </w:rPr>
        <w:t>Concerns:</w:t>
      </w:r>
    </w:p>
    <w:p w14:paraId="56B42C8F" w14:textId="77777777" w:rsidR="008E1B6B" w:rsidRPr="009519DA" w:rsidRDefault="008E1B6B" w:rsidP="00BE4783">
      <w:pPr>
        <w:pStyle w:val="ListParagraph"/>
        <w:numPr>
          <w:ilvl w:val="0"/>
          <w:numId w:val="53"/>
        </w:numPr>
        <w:spacing w:after="0" w:line="240" w:lineRule="auto"/>
        <w:ind w:left="1440"/>
        <w:rPr>
          <w:rFonts w:cs="Arial"/>
          <w:sz w:val="22"/>
          <w:szCs w:val="22"/>
        </w:rPr>
      </w:pPr>
      <w:r w:rsidRPr="009519DA">
        <w:rPr>
          <w:rFonts w:cs="Arial"/>
          <w:sz w:val="22"/>
          <w:szCs w:val="22"/>
        </w:rPr>
        <w:t>The BHA has now had five Commissioners or Interim-Commissioners since its launch in 2022, owing to the difficulty in finding effective leadership to oversee an integration effort of the size and scope of the BHA</w:t>
      </w:r>
    </w:p>
    <w:p w14:paraId="591E5685" w14:textId="77777777" w:rsidR="008E1B6B" w:rsidRPr="009519DA" w:rsidRDefault="008E1B6B" w:rsidP="00BE4783">
      <w:pPr>
        <w:pStyle w:val="ListParagraph"/>
        <w:numPr>
          <w:ilvl w:val="0"/>
          <w:numId w:val="53"/>
        </w:numPr>
        <w:spacing w:after="0" w:line="240" w:lineRule="auto"/>
        <w:ind w:left="1440"/>
        <w:rPr>
          <w:rFonts w:cs="Arial"/>
          <w:sz w:val="22"/>
          <w:szCs w:val="22"/>
        </w:rPr>
      </w:pPr>
      <w:r w:rsidRPr="009519DA">
        <w:rPr>
          <w:rFonts w:cs="Arial"/>
          <w:sz w:val="22"/>
          <w:szCs w:val="22"/>
        </w:rPr>
        <w:t>In light of this leadership turnover, there has been concerns about the BHA being able to achieve its ambitious strategic plan, with some questioning whether a smaller scope would have led to more stability and targeted impact.</w:t>
      </w:r>
    </w:p>
    <w:p w14:paraId="7BEA0DB8" w14:textId="77777777" w:rsidR="008E1B6B" w:rsidRPr="009519DA" w:rsidRDefault="008E1B6B" w:rsidP="00BE4783">
      <w:pPr>
        <w:pStyle w:val="ListParagraph"/>
        <w:numPr>
          <w:ilvl w:val="0"/>
          <w:numId w:val="53"/>
        </w:numPr>
        <w:spacing w:after="0" w:line="240" w:lineRule="auto"/>
        <w:ind w:left="1440"/>
        <w:rPr>
          <w:rFonts w:cs="Arial"/>
          <w:sz w:val="22"/>
          <w:szCs w:val="22"/>
        </w:rPr>
      </w:pPr>
      <w:r w:rsidRPr="009519DA">
        <w:rPr>
          <w:rFonts w:cs="Arial"/>
          <w:sz w:val="22"/>
          <w:szCs w:val="22"/>
        </w:rPr>
        <w:t>There have been some concerns about the BHA being able to optimize federal revenue without being more closely connected to Medicaid funding, and there have also been some concerns that carving out the civil and forensic mental health programs is a missed opportunity at integration.</w:t>
      </w:r>
    </w:p>
    <w:p w14:paraId="5D1D5124" w14:textId="77777777" w:rsidR="008E1B6B" w:rsidRPr="009519DA" w:rsidRDefault="008E1B6B" w:rsidP="008E1B6B">
      <w:pPr>
        <w:spacing w:after="0" w:line="240" w:lineRule="auto"/>
        <w:rPr>
          <w:rFonts w:cs="Arial"/>
          <w:sz w:val="22"/>
          <w:szCs w:val="22"/>
        </w:rPr>
      </w:pPr>
    </w:p>
    <w:p w14:paraId="2BA4A30D" w14:textId="77777777" w:rsidR="001A5080" w:rsidRPr="009519DA" w:rsidRDefault="001A5080" w:rsidP="008E1B6B">
      <w:pPr>
        <w:spacing w:after="0" w:line="240" w:lineRule="auto"/>
        <w:rPr>
          <w:rFonts w:cs="Arial"/>
          <w:sz w:val="22"/>
          <w:szCs w:val="22"/>
        </w:rPr>
      </w:pPr>
    </w:p>
    <w:p w14:paraId="0FE3F74C" w14:textId="77777777" w:rsidR="001A5080" w:rsidRPr="009519DA" w:rsidRDefault="001A5080" w:rsidP="008E1B6B">
      <w:pPr>
        <w:spacing w:after="0" w:line="240" w:lineRule="auto"/>
        <w:rPr>
          <w:rFonts w:cs="Arial"/>
          <w:sz w:val="22"/>
          <w:szCs w:val="22"/>
        </w:rPr>
      </w:pPr>
    </w:p>
    <w:p w14:paraId="18139656" w14:textId="77777777" w:rsidR="001A5080" w:rsidRPr="009519DA" w:rsidRDefault="001A5080" w:rsidP="008E1B6B">
      <w:pPr>
        <w:spacing w:after="0" w:line="240" w:lineRule="auto"/>
        <w:rPr>
          <w:rFonts w:cs="Arial"/>
          <w:sz w:val="22"/>
          <w:szCs w:val="22"/>
        </w:rPr>
      </w:pPr>
    </w:p>
    <w:p w14:paraId="48BEB150" w14:textId="77777777" w:rsidR="008E1B6B" w:rsidRPr="009519DA" w:rsidRDefault="008E1B6B" w:rsidP="008E1B6B">
      <w:pPr>
        <w:spacing w:after="0" w:line="240" w:lineRule="auto"/>
        <w:jc w:val="center"/>
        <w:rPr>
          <w:rFonts w:cs="Arial"/>
          <w:b/>
          <w:sz w:val="22"/>
          <w:szCs w:val="22"/>
          <w:u w:val="single"/>
        </w:rPr>
      </w:pPr>
      <w:r w:rsidRPr="009519DA">
        <w:rPr>
          <w:rFonts w:cs="Arial"/>
          <w:b/>
          <w:sz w:val="22"/>
          <w:szCs w:val="22"/>
          <w:u w:val="single"/>
        </w:rPr>
        <w:t xml:space="preserve">Connecticut </w:t>
      </w:r>
    </w:p>
    <w:p w14:paraId="56A51EBB" w14:textId="77777777" w:rsidR="008E1B6B" w:rsidRPr="009519DA" w:rsidRDefault="008E1B6B" w:rsidP="008E1B6B">
      <w:pPr>
        <w:spacing w:after="0" w:line="240" w:lineRule="auto"/>
        <w:rPr>
          <w:rFonts w:cs="Arial"/>
          <w:sz w:val="22"/>
          <w:szCs w:val="22"/>
        </w:rPr>
      </w:pPr>
    </w:p>
    <w:p w14:paraId="1798CF84"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Source of Information</w:t>
      </w:r>
    </w:p>
    <w:p w14:paraId="5C5DBDCA" w14:textId="77777777" w:rsidR="008E1B6B" w:rsidRPr="009519DA" w:rsidRDefault="008E1B6B" w:rsidP="008E1B6B">
      <w:pPr>
        <w:spacing w:after="0" w:line="240" w:lineRule="auto"/>
        <w:rPr>
          <w:rFonts w:cs="Arial"/>
          <w:sz w:val="22"/>
          <w:szCs w:val="22"/>
        </w:rPr>
      </w:pPr>
      <w:r w:rsidRPr="009519DA">
        <w:rPr>
          <w:rFonts w:cs="Arial"/>
          <w:sz w:val="22"/>
          <w:szCs w:val="22"/>
        </w:rPr>
        <w:t>Online source materials, presentation materials and communications/meetings with DCF CT leadership</w:t>
      </w:r>
    </w:p>
    <w:p w14:paraId="1346C920" w14:textId="77777777" w:rsidR="008E1B6B" w:rsidRPr="009519DA" w:rsidRDefault="008E1B6B" w:rsidP="008E1B6B">
      <w:pPr>
        <w:spacing w:after="0" w:line="240" w:lineRule="auto"/>
        <w:rPr>
          <w:rFonts w:cs="Arial"/>
          <w:sz w:val="22"/>
          <w:szCs w:val="22"/>
          <w:u w:val="single"/>
        </w:rPr>
      </w:pPr>
    </w:p>
    <w:p w14:paraId="1D9E82D4"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History</w:t>
      </w:r>
    </w:p>
    <w:p w14:paraId="650DCD50" w14:textId="50184B23" w:rsidR="008E1B6B" w:rsidRPr="009519DA" w:rsidRDefault="008E1B6B" w:rsidP="008E1B6B">
      <w:pPr>
        <w:spacing w:after="0" w:line="240" w:lineRule="auto"/>
        <w:rPr>
          <w:rFonts w:eastAsia="Times New Roman" w:cs="Arial"/>
          <w:kern w:val="0"/>
          <w:sz w:val="22"/>
          <w:szCs w:val="22"/>
          <w14:ligatures w14:val="none"/>
        </w:rPr>
      </w:pPr>
      <w:r w:rsidRPr="009519DA">
        <w:rPr>
          <w:rFonts w:eastAsia="Times New Roman" w:cs="Arial"/>
          <w:kern w:val="0"/>
          <w:sz w:val="22"/>
          <w:szCs w:val="22"/>
          <w14:ligatures w14:val="none"/>
        </w:rPr>
        <w:t>The CT DCF was established in 1974 via the legislature. In 1975 legislation added children’s mental health services into the CT DCF. Over time, Connecticut DCF reorganized and expanded services through legislation and policy reforms. One of the largest reforms occurred in 2013 via the legislat</w:t>
      </w:r>
      <w:r w:rsidR="008B6647">
        <w:rPr>
          <w:rFonts w:eastAsia="Times New Roman" w:cs="Arial"/>
          <w:kern w:val="0"/>
          <w:sz w:val="22"/>
          <w:szCs w:val="22"/>
          <w14:ligatures w14:val="none"/>
        </w:rPr>
        <w:t>i</w:t>
      </w:r>
      <w:r w:rsidRPr="009519DA">
        <w:rPr>
          <w:rFonts w:eastAsia="Times New Roman" w:cs="Arial"/>
          <w:kern w:val="0"/>
          <w:sz w:val="22"/>
          <w:szCs w:val="22"/>
          <w14:ligatures w14:val="none"/>
        </w:rPr>
        <w:t>o</w:t>
      </w:r>
      <w:r w:rsidR="008B6647">
        <w:rPr>
          <w:rFonts w:eastAsia="Times New Roman" w:cs="Arial"/>
          <w:kern w:val="0"/>
          <w:sz w:val="22"/>
          <w:szCs w:val="22"/>
          <w14:ligatures w14:val="none"/>
        </w:rPr>
        <w:t>n</w:t>
      </w:r>
      <w:r w:rsidRPr="009519DA">
        <w:rPr>
          <w:rFonts w:eastAsia="Times New Roman" w:cs="Arial"/>
          <w:kern w:val="0"/>
          <w:sz w:val="22"/>
          <w:szCs w:val="22"/>
          <w14:ligatures w14:val="none"/>
        </w:rPr>
        <w:t xml:space="preserve"> passing Public Act 13-178 of 2013, which directed DCF to create a statewide children’s behavioral health plan</w:t>
      </w:r>
      <w:r w:rsidR="003B0409">
        <w:rPr>
          <w:rFonts w:eastAsia="Times New Roman" w:cs="Arial"/>
          <w:kern w:val="0"/>
          <w:sz w:val="22"/>
          <w:szCs w:val="22"/>
          <w14:ligatures w14:val="none"/>
        </w:rPr>
        <w:t xml:space="preserve">, </w:t>
      </w:r>
      <w:r w:rsidRPr="009519DA">
        <w:rPr>
          <w:rFonts w:eastAsia="Times New Roman" w:cs="Arial"/>
          <w:kern w:val="0"/>
          <w:sz w:val="22"/>
          <w:szCs w:val="22"/>
          <w14:ligatures w14:val="none"/>
        </w:rPr>
        <w:t>in response to the Sandy Hook tragedy.</w:t>
      </w:r>
    </w:p>
    <w:p w14:paraId="5D8A6F25" w14:textId="77777777" w:rsidR="008E1B6B" w:rsidRPr="009519DA" w:rsidRDefault="008E1B6B" w:rsidP="008E1B6B">
      <w:pPr>
        <w:spacing w:after="0" w:line="240" w:lineRule="auto"/>
        <w:rPr>
          <w:rFonts w:eastAsia="Times New Roman" w:cs="Arial"/>
          <w:kern w:val="0"/>
          <w:sz w:val="22"/>
          <w:szCs w:val="22"/>
          <w14:ligatures w14:val="none"/>
        </w:rPr>
      </w:pPr>
    </w:p>
    <w:p w14:paraId="22D6CCAA" w14:textId="77777777" w:rsidR="008E1B6B" w:rsidRPr="009519DA" w:rsidRDefault="008E1B6B" w:rsidP="008E1B6B">
      <w:pPr>
        <w:spacing w:after="0" w:line="240" w:lineRule="auto"/>
        <w:rPr>
          <w:rFonts w:cs="Arial"/>
          <w:sz w:val="22"/>
          <w:szCs w:val="22"/>
        </w:rPr>
      </w:pPr>
    </w:p>
    <w:p w14:paraId="257650A7"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Structure</w:t>
      </w:r>
    </w:p>
    <w:p w14:paraId="4700E7AA" w14:textId="77777777" w:rsidR="008E1B6B" w:rsidRPr="009519DA" w:rsidRDefault="008E1B6B" w:rsidP="008E1B6B">
      <w:pPr>
        <w:spacing w:after="0" w:line="240" w:lineRule="auto"/>
        <w:rPr>
          <w:rFonts w:cs="Arial"/>
          <w:sz w:val="22"/>
          <w:szCs w:val="22"/>
        </w:rPr>
      </w:pPr>
      <w:r w:rsidRPr="009519DA">
        <w:rPr>
          <w:rFonts w:cs="Arial"/>
          <w:sz w:val="22"/>
          <w:szCs w:val="22"/>
        </w:rPr>
        <w:t>CT DCF considers itself a consolidated children’s agency with co-equal mandates and statues. Statues, regulations and laws relative to youth and families and youth with mental health needs do not contradict each other to drive un-equal access to care and create a system of care for all citizens of CT. The scope of the 2013 reform was for DCF to create statewide access to children and families with behavioral and mental health needs. Connecticut’s behavioral health system provides a service continuum from outpatient clinics and evidence-based interventions to intensive in-home services, and crisis stabilization pathways intended to reduce unnecessary out-of-home placements. In addition, it manages out of home/congregate care placements. DCF’s statutory authority is for implementing, operating and maintaining a statewide behavioral health service system for all children and relies on contracted, community-embedded nonprofit providers. CT utilizes a central portal for families and providers to find services and trainings.</w:t>
      </w:r>
    </w:p>
    <w:p w14:paraId="08C44C2A" w14:textId="77777777" w:rsidR="008E1B6B" w:rsidRPr="009519DA" w:rsidRDefault="008E1B6B" w:rsidP="008E1B6B">
      <w:pPr>
        <w:spacing w:after="0" w:line="240" w:lineRule="auto"/>
        <w:rPr>
          <w:rFonts w:cs="Arial"/>
          <w:sz w:val="22"/>
          <w:szCs w:val="22"/>
        </w:rPr>
      </w:pPr>
    </w:p>
    <w:p w14:paraId="6DAA8DD8" w14:textId="77777777" w:rsidR="008E1B6B" w:rsidRPr="009519DA" w:rsidRDefault="008E1B6B" w:rsidP="008E1B6B">
      <w:pPr>
        <w:spacing w:after="0" w:line="240" w:lineRule="auto"/>
        <w:rPr>
          <w:rFonts w:cs="Arial"/>
          <w:sz w:val="22"/>
          <w:szCs w:val="22"/>
        </w:rPr>
      </w:pPr>
      <w:r w:rsidRPr="009519DA">
        <w:rPr>
          <w:rFonts w:cs="Arial"/>
          <w:sz w:val="22"/>
          <w:szCs w:val="22"/>
        </w:rPr>
        <w:t xml:space="preserve">DCF has one Commissioner. Within DCF there are 8 separate divisions, including the Behavioral Health &amp; Wellbeing and Child Protection &amp; Permanency division.  The DCF Behavioral Health and Wellbeing division manages providing support and services to children and families in CT relative to mental and behavioral health challenges. The child protection division manages child welfare, foster care, and reports of abuse and neglect. </w:t>
      </w:r>
    </w:p>
    <w:p w14:paraId="43108637" w14:textId="77777777" w:rsidR="008E1B6B" w:rsidRPr="009519DA" w:rsidRDefault="008E1B6B" w:rsidP="008E1B6B">
      <w:pPr>
        <w:spacing w:after="0" w:line="240" w:lineRule="auto"/>
        <w:rPr>
          <w:rFonts w:cs="Arial"/>
          <w:sz w:val="22"/>
          <w:szCs w:val="22"/>
        </w:rPr>
      </w:pPr>
    </w:p>
    <w:p w14:paraId="1672A80D" w14:textId="77777777" w:rsidR="008E1B6B" w:rsidRPr="009519DA" w:rsidRDefault="008E1B6B" w:rsidP="008E1B6B">
      <w:pPr>
        <w:spacing w:after="0" w:line="240" w:lineRule="auto"/>
        <w:rPr>
          <w:rFonts w:cs="Arial"/>
          <w:sz w:val="22"/>
          <w:szCs w:val="22"/>
        </w:rPr>
      </w:pPr>
      <w:r w:rsidRPr="009519DA">
        <w:rPr>
          <w:rFonts w:cs="Arial"/>
          <w:sz w:val="22"/>
          <w:szCs w:val="22"/>
        </w:rPr>
        <w:t xml:space="preserve">CT DCF has a voluntary services division that is under the behavioral health and wellbeing umbrella. Under the behavioral health and wellbeing division, they manage clinical supports and services, Medicaid funded services, a community-based system of care, the CT psychiatric residential treatment facility (PFRTs) and congregate group care.  All services are provided through contractors and non-profits. CT DCF contracts out to a provider (Carelon) to manage approval for youth who require any out-of-home care. </w:t>
      </w:r>
    </w:p>
    <w:p w14:paraId="6518FE23" w14:textId="77777777" w:rsidR="008E1B6B" w:rsidRPr="009519DA" w:rsidRDefault="008E1B6B" w:rsidP="008E1B6B">
      <w:pPr>
        <w:spacing w:after="0" w:line="240" w:lineRule="auto"/>
        <w:rPr>
          <w:rFonts w:cs="Arial"/>
          <w:sz w:val="22"/>
          <w:szCs w:val="22"/>
        </w:rPr>
      </w:pPr>
    </w:p>
    <w:p w14:paraId="0ADA66A6" w14:textId="77777777" w:rsidR="008E1B6B" w:rsidRPr="009519DA" w:rsidRDefault="008E1B6B" w:rsidP="008E1B6B">
      <w:pPr>
        <w:spacing w:after="0" w:line="240" w:lineRule="auto"/>
        <w:rPr>
          <w:rFonts w:cs="Arial"/>
          <w:sz w:val="22"/>
          <w:szCs w:val="22"/>
        </w:rPr>
      </w:pPr>
      <w:r w:rsidRPr="009519DA">
        <w:rPr>
          <w:rFonts w:cs="Arial"/>
          <w:sz w:val="22"/>
          <w:szCs w:val="22"/>
        </w:rPr>
        <w:t>CT does not have CRA system like MA. In addition, their child welfare division does not manage voluntary case matters. The behavioral health division and/or the entity contracted to provide that service provides oversight, management and support for voluntary case items. CT DCF funds the services.</w:t>
      </w:r>
    </w:p>
    <w:p w14:paraId="77A0B14A" w14:textId="77777777" w:rsidR="008E1B6B" w:rsidRPr="009519DA" w:rsidRDefault="008E1B6B" w:rsidP="008E1B6B">
      <w:pPr>
        <w:spacing w:after="0" w:line="240" w:lineRule="auto"/>
        <w:rPr>
          <w:rFonts w:cs="Arial"/>
          <w:sz w:val="22"/>
          <w:szCs w:val="22"/>
        </w:rPr>
      </w:pPr>
    </w:p>
    <w:p w14:paraId="6ABE4C8E"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Impact/Experience</w:t>
      </w:r>
    </w:p>
    <w:p w14:paraId="218BDA59" w14:textId="77777777" w:rsidR="008E1B6B" w:rsidRPr="009519DA" w:rsidRDefault="008E1B6B" w:rsidP="00BE4783">
      <w:pPr>
        <w:pStyle w:val="ListParagraph"/>
        <w:numPr>
          <w:ilvl w:val="0"/>
          <w:numId w:val="56"/>
        </w:numPr>
        <w:spacing w:after="0" w:line="240" w:lineRule="auto"/>
        <w:rPr>
          <w:rFonts w:cs="Arial"/>
          <w:sz w:val="22"/>
          <w:szCs w:val="22"/>
        </w:rPr>
      </w:pPr>
      <w:r w:rsidRPr="009519DA">
        <w:rPr>
          <w:rFonts w:cs="Arial"/>
          <w:sz w:val="22"/>
          <w:szCs w:val="22"/>
        </w:rPr>
        <w:t xml:space="preserve">Achievements </w:t>
      </w:r>
    </w:p>
    <w:p w14:paraId="0D445E5A"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Service continuum includes early intervention, traditional outpatient and inpatient treatment, including the crisis stabilization continuum all with the intention to limit out-of-home placements. Specific treatment modalities and intensities, include outpatient psychiatric clinics, evidence-based therapies, intensive outpatient models, ICAPS and in-home services. Connecticut has implemented multiple evidence-based and intensive home-based models, including FFT, IICAPS, MST, MDFT, and Child’s First.</w:t>
      </w:r>
    </w:p>
    <w:p w14:paraId="47A5BA56"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DCF CT has an active data dashboard with numerous data reports, summary and active data reporting that could be utilized further to reflect evidence of impact.</w:t>
      </w:r>
    </w:p>
    <w:p w14:paraId="5FCD04FF" w14:textId="77777777" w:rsidR="008E1B6B" w:rsidRPr="009519DA" w:rsidRDefault="008E1B6B" w:rsidP="00BE4783">
      <w:pPr>
        <w:pStyle w:val="ListParagraph"/>
        <w:numPr>
          <w:ilvl w:val="0"/>
          <w:numId w:val="56"/>
        </w:numPr>
        <w:spacing w:after="0" w:line="240" w:lineRule="auto"/>
        <w:rPr>
          <w:rFonts w:cs="Arial"/>
          <w:sz w:val="22"/>
          <w:szCs w:val="22"/>
        </w:rPr>
      </w:pPr>
      <w:r w:rsidRPr="009519DA">
        <w:rPr>
          <w:rFonts w:cs="Arial"/>
          <w:sz w:val="22"/>
          <w:szCs w:val="22"/>
        </w:rPr>
        <w:t xml:space="preserve">Concerns </w:t>
      </w:r>
    </w:p>
    <w:p w14:paraId="57458C1E"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 xml:space="preserve">CT DCF indicates with many stakeholder agencies involved in the system can, at times, create complexity and siloing risks. The “one” DCF agency does not include; Department of Education, Department of Developmental Services, Juvenile Justice or the Judicial Branch which can create fragmentation. </w:t>
      </w:r>
    </w:p>
    <w:p w14:paraId="221D40CE"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 xml:space="preserve">Community based Services for families and children are primarily established on a regional basis which can at times then create inconsistencies across the state. </w:t>
      </w:r>
    </w:p>
    <w:p w14:paraId="3BEA5740"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There is some fragmentation within CT agencies. CT operates a separate Department of Developmental Services (DDS). This provides support for services and resources for individuals with intellectual disability. They also operate a division for those with no ID and only Autsim. There are gaps in services and supports for children with Autsim and/or Intellectual Disabilities within the DCF Systems of Care/Behavioral health care network.</w:t>
      </w:r>
    </w:p>
    <w:p w14:paraId="2821FC35"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Since the 2013 legislation, CT DCF and its provider network have experienced ongoing organizational, policy, and operational changes that have influenced both leadership stability and workforce morale to varying degrees. These changes have included shifts in service delivery models, funding structures, accountability measures, interagency collaboration expectations, and evolving clinical and administrative requirements.</w:t>
      </w:r>
    </w:p>
    <w:p w14:paraId="38B85BF0"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 xml:space="preserve">From a leadership perspective, periods of transition have at times created uncertainty regarding strategic direction, implementation priorities, and resource allocation. </w:t>
      </w:r>
    </w:p>
    <w:p w14:paraId="3AD53B72"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In terms of workforce morale, the impact has been mixed and has varied across programs and service systems. Many providers and stakeholders have expressed commitment to the broader goals of improving outcomes for children and families; however, ongoing system transformation, workforce shortages, administrative demands, funding complexities, and increasing service needs have also contributed to stress, turnover, and concerns regarding sustainability. There are ongoing and at times competing demands between child welfare division and the behavioral health division relative to accessing of resources, staff morale and workforce shortages.</w:t>
      </w:r>
    </w:p>
    <w:p w14:paraId="42E6A7EA"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 xml:space="preserve">Plan4Children is CT’s behavioral health roadmap and has extensive information available as well as progress reports: </w:t>
      </w:r>
    </w:p>
    <w:p w14:paraId="25C49792" w14:textId="77777777" w:rsidR="008E1B6B" w:rsidRPr="009519DA" w:rsidRDefault="008E1B6B" w:rsidP="00BE4783">
      <w:pPr>
        <w:pStyle w:val="ListParagraph"/>
        <w:numPr>
          <w:ilvl w:val="2"/>
          <w:numId w:val="56"/>
        </w:numPr>
        <w:spacing w:after="0" w:line="240" w:lineRule="auto"/>
        <w:rPr>
          <w:rFonts w:cs="Arial"/>
          <w:sz w:val="22"/>
          <w:szCs w:val="22"/>
        </w:rPr>
      </w:pPr>
      <w:r w:rsidRPr="009519DA">
        <w:rPr>
          <w:rFonts w:cs="Arial"/>
          <w:sz w:val="22"/>
          <w:szCs w:val="22"/>
        </w:rPr>
        <w:t>https://plan4children.org/2024-progress-report-childrens-behavioral-health-plan/</w:t>
      </w:r>
    </w:p>
    <w:p w14:paraId="01F79489" w14:textId="77777777" w:rsidR="008E1B6B" w:rsidRPr="009519DA" w:rsidRDefault="008E1B6B" w:rsidP="008E1B6B">
      <w:pPr>
        <w:spacing w:after="0" w:line="240" w:lineRule="auto"/>
        <w:rPr>
          <w:rFonts w:cs="Arial"/>
          <w:sz w:val="22"/>
          <w:szCs w:val="22"/>
        </w:rPr>
      </w:pPr>
    </w:p>
    <w:p w14:paraId="48B29084" w14:textId="77777777" w:rsidR="001A5080" w:rsidRPr="009519DA" w:rsidRDefault="001A5080" w:rsidP="008E1B6B">
      <w:pPr>
        <w:spacing w:after="0" w:line="240" w:lineRule="auto"/>
        <w:rPr>
          <w:rFonts w:cs="Arial"/>
          <w:sz w:val="22"/>
          <w:szCs w:val="22"/>
        </w:rPr>
      </w:pPr>
    </w:p>
    <w:p w14:paraId="1209ECBE" w14:textId="77777777" w:rsidR="008E1B6B" w:rsidRPr="009519DA" w:rsidRDefault="008E1B6B" w:rsidP="008E1B6B">
      <w:pPr>
        <w:spacing w:after="0" w:line="240" w:lineRule="auto"/>
        <w:rPr>
          <w:rFonts w:cs="Arial"/>
          <w:sz w:val="22"/>
          <w:szCs w:val="22"/>
        </w:rPr>
      </w:pPr>
    </w:p>
    <w:p w14:paraId="21CBE582" w14:textId="77777777" w:rsidR="008E1B6B" w:rsidRPr="009519DA" w:rsidRDefault="008E1B6B" w:rsidP="008E1B6B">
      <w:pPr>
        <w:spacing w:after="0" w:line="240" w:lineRule="auto"/>
        <w:ind w:left="2880" w:firstLine="720"/>
        <w:rPr>
          <w:rFonts w:cs="Arial"/>
          <w:b/>
          <w:sz w:val="22"/>
          <w:szCs w:val="22"/>
          <w:u w:val="single"/>
        </w:rPr>
      </w:pPr>
      <w:r w:rsidRPr="009519DA">
        <w:rPr>
          <w:rFonts w:cs="Arial"/>
          <w:b/>
          <w:sz w:val="22"/>
          <w:szCs w:val="22"/>
          <w:u w:val="single"/>
        </w:rPr>
        <w:t>New Jersey</w:t>
      </w:r>
    </w:p>
    <w:p w14:paraId="2630645A" w14:textId="77777777" w:rsidR="008E1B6B" w:rsidRPr="009519DA" w:rsidRDefault="008E1B6B" w:rsidP="008E1B6B">
      <w:pPr>
        <w:spacing w:after="0" w:line="240" w:lineRule="auto"/>
        <w:rPr>
          <w:rFonts w:cs="Arial"/>
          <w:sz w:val="22"/>
          <w:szCs w:val="22"/>
        </w:rPr>
      </w:pPr>
    </w:p>
    <w:p w14:paraId="2986860C"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Source of Information</w:t>
      </w:r>
    </w:p>
    <w:p w14:paraId="28D13A6D" w14:textId="77777777" w:rsidR="008E1B6B" w:rsidRPr="009519DA" w:rsidRDefault="008E1B6B" w:rsidP="008E1B6B">
      <w:pPr>
        <w:spacing w:after="0" w:line="240" w:lineRule="auto"/>
        <w:rPr>
          <w:rFonts w:cs="Arial"/>
          <w:sz w:val="22"/>
          <w:szCs w:val="22"/>
        </w:rPr>
      </w:pPr>
      <w:r w:rsidRPr="009519DA">
        <w:rPr>
          <w:rFonts w:cs="Arial"/>
          <w:sz w:val="22"/>
          <w:szCs w:val="22"/>
        </w:rPr>
        <w:t>Online materials, presentation slides, and interviews with a systems leader.</w:t>
      </w:r>
    </w:p>
    <w:p w14:paraId="7DBB26AF" w14:textId="77777777" w:rsidR="008E1B6B" w:rsidRPr="009519DA" w:rsidRDefault="008E1B6B" w:rsidP="008E1B6B">
      <w:pPr>
        <w:spacing w:after="0" w:line="240" w:lineRule="auto"/>
        <w:rPr>
          <w:rFonts w:cs="Arial"/>
          <w:sz w:val="22"/>
          <w:szCs w:val="22"/>
        </w:rPr>
      </w:pPr>
    </w:p>
    <w:p w14:paraId="0FC80588"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History</w:t>
      </w:r>
    </w:p>
    <w:p w14:paraId="0788F2EC" w14:textId="77777777" w:rsidR="008E1B6B" w:rsidRPr="009519DA" w:rsidRDefault="008E1B6B" w:rsidP="00BE4783">
      <w:pPr>
        <w:pStyle w:val="ListParagraph"/>
        <w:numPr>
          <w:ilvl w:val="0"/>
          <w:numId w:val="58"/>
        </w:numPr>
        <w:spacing w:after="0" w:line="240" w:lineRule="auto"/>
        <w:rPr>
          <w:rFonts w:cs="Arial"/>
          <w:sz w:val="22"/>
          <w:szCs w:val="22"/>
        </w:rPr>
      </w:pPr>
      <w:r w:rsidRPr="009519DA">
        <w:rPr>
          <w:rFonts w:cs="Arial"/>
          <w:sz w:val="22"/>
          <w:szCs w:val="22"/>
        </w:rPr>
        <w:t xml:space="preserve">NJ’s child welfare system was reformed as a result of settlement agreements from the </w:t>
      </w:r>
      <w:r w:rsidRPr="009519DA">
        <w:rPr>
          <w:rFonts w:cs="Arial"/>
          <w:i/>
          <w:sz w:val="22"/>
          <w:szCs w:val="22"/>
        </w:rPr>
        <w:t xml:space="preserve">Charlie and Nadine H. v. Governor Murphy </w:t>
      </w:r>
      <w:r w:rsidRPr="009519DA">
        <w:rPr>
          <w:rFonts w:cs="Arial"/>
          <w:sz w:val="22"/>
          <w:szCs w:val="22"/>
        </w:rPr>
        <w:t xml:space="preserve">case, a federal class action case filed in 1999 on behalf of foster children who experienced abuse and neglect while in state custody, and whose families were not provided with required social services. The Division of Youth and Family Services (DFYS) became the Department of Children and Families (DCF); it is now a cabinet-level agency that reports to the governor. The settlement agreements required modifications to intake, caseloads, training of social workers, and a focus on appropriate services and placements to ensure children in state custody are safe and are not experiencing multiple placements. The federal court monitored progress towards reforms required by the settlement agreements and in 2023, federal court oversight was ended. </w:t>
      </w:r>
    </w:p>
    <w:p w14:paraId="2BDC0A46"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Structure</w:t>
      </w:r>
    </w:p>
    <w:p w14:paraId="3382DE4C" w14:textId="77777777" w:rsidR="008E1B6B" w:rsidRPr="009519DA" w:rsidRDefault="008E1B6B" w:rsidP="00BE4783">
      <w:pPr>
        <w:pStyle w:val="ListParagraph"/>
        <w:numPr>
          <w:ilvl w:val="0"/>
          <w:numId w:val="57"/>
        </w:numPr>
        <w:spacing w:after="0" w:line="240" w:lineRule="auto"/>
        <w:rPr>
          <w:rFonts w:cs="Arial"/>
          <w:sz w:val="22"/>
          <w:szCs w:val="22"/>
        </w:rPr>
      </w:pPr>
      <w:r w:rsidRPr="009519DA">
        <w:rPr>
          <w:rFonts w:cs="Arial"/>
          <w:sz w:val="22"/>
          <w:szCs w:val="22"/>
        </w:rPr>
        <w:t xml:space="preserve">DCF includes the division of the Children’s System of Care (CSOC). A contracted system administrator (CSA) provides the single point of access to care. Services are organized and provided at the local level by county-based Care Management Organizations, Mobile Response and Stabilization Services, and Family Support Organizations. </w:t>
      </w:r>
    </w:p>
    <w:p w14:paraId="2156551D" w14:textId="77777777" w:rsidR="008E1B6B" w:rsidRPr="009519DA" w:rsidRDefault="008E1B6B" w:rsidP="00BE4783">
      <w:pPr>
        <w:pStyle w:val="ListParagraph"/>
        <w:numPr>
          <w:ilvl w:val="0"/>
          <w:numId w:val="57"/>
        </w:numPr>
        <w:spacing w:after="0" w:line="240" w:lineRule="auto"/>
        <w:rPr>
          <w:rFonts w:cs="Arial"/>
          <w:sz w:val="22"/>
          <w:szCs w:val="22"/>
        </w:rPr>
      </w:pPr>
      <w:r w:rsidRPr="009519DA">
        <w:rPr>
          <w:rFonts w:cs="Arial"/>
          <w:sz w:val="22"/>
          <w:szCs w:val="22"/>
        </w:rPr>
        <w:t>In addition to the Children’s System of Care, DCF has a range of other divisions/offices including: Division of Child Protection; Division of Family/ Community Partnerships; Office of Education (runs and contracts for residential programs and schools); Office of Family Voice; Division on Women; Office of Adolescent Services (transition to adulthood); Office of Advocacy.</w:t>
      </w:r>
    </w:p>
    <w:p w14:paraId="3A284C69" w14:textId="77777777" w:rsidR="008E1B6B" w:rsidRPr="009519DA" w:rsidRDefault="008E1B6B" w:rsidP="008E1B6B">
      <w:pPr>
        <w:pStyle w:val="ListParagraph"/>
        <w:spacing w:after="0" w:line="240" w:lineRule="auto"/>
        <w:rPr>
          <w:rFonts w:cs="Arial"/>
          <w:sz w:val="22"/>
          <w:szCs w:val="22"/>
        </w:rPr>
      </w:pPr>
    </w:p>
    <w:p w14:paraId="370838F4" w14:textId="77777777" w:rsidR="008E1B6B" w:rsidRPr="009519DA" w:rsidRDefault="008E1B6B" w:rsidP="008E1B6B">
      <w:pPr>
        <w:spacing w:after="0" w:line="240" w:lineRule="auto"/>
        <w:rPr>
          <w:rFonts w:cs="Arial"/>
          <w:sz w:val="22"/>
          <w:szCs w:val="22"/>
          <w:u w:val="single"/>
        </w:rPr>
      </w:pPr>
      <w:r w:rsidRPr="009519DA">
        <w:rPr>
          <w:rFonts w:cs="Arial"/>
          <w:sz w:val="22"/>
          <w:szCs w:val="22"/>
          <w:u w:val="single"/>
        </w:rPr>
        <w:t>Impact/Experience</w:t>
      </w:r>
    </w:p>
    <w:p w14:paraId="517DB631" w14:textId="77777777" w:rsidR="008E1B6B" w:rsidRPr="009519DA" w:rsidRDefault="008E1B6B" w:rsidP="00BE4783">
      <w:pPr>
        <w:pStyle w:val="ListParagraph"/>
        <w:numPr>
          <w:ilvl w:val="0"/>
          <w:numId w:val="56"/>
        </w:numPr>
        <w:spacing w:after="0" w:line="240" w:lineRule="auto"/>
        <w:rPr>
          <w:rFonts w:cs="Arial"/>
          <w:sz w:val="22"/>
          <w:szCs w:val="22"/>
        </w:rPr>
      </w:pPr>
      <w:r w:rsidRPr="009519DA">
        <w:rPr>
          <w:rFonts w:cs="Arial"/>
          <w:sz w:val="22"/>
          <w:szCs w:val="22"/>
        </w:rPr>
        <w:t xml:space="preserve">Achievements </w:t>
      </w:r>
    </w:p>
    <w:p w14:paraId="5EC34F90"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The New Jersey CSOC engages a Contracted System Administrator (currently PerformCare New Jersey) that serves as the front door and care navigator for families. The CSA’s work does not just involve finding services, but also (critically) involves engaging with kids and families to assess readiness and sequence care. Major investment up front has led to major savings down the line, especially on residential programming.</w:t>
      </w:r>
    </w:p>
    <w:p w14:paraId="05D03862"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 xml:space="preserve">Robust utilization of services and decreased reliance on residential facilities. </w:t>
      </w:r>
    </w:p>
    <w:p w14:paraId="200FBEC0" w14:textId="77777777" w:rsidR="008E1B6B" w:rsidRPr="009519DA" w:rsidRDefault="008E1B6B" w:rsidP="00BE4783">
      <w:pPr>
        <w:pStyle w:val="ListParagraph"/>
        <w:numPr>
          <w:ilvl w:val="2"/>
          <w:numId w:val="56"/>
        </w:numPr>
        <w:spacing w:after="0" w:line="240" w:lineRule="auto"/>
        <w:rPr>
          <w:rFonts w:cs="Arial"/>
          <w:sz w:val="22"/>
          <w:szCs w:val="22"/>
        </w:rPr>
      </w:pPr>
      <w:r w:rsidRPr="009519DA">
        <w:rPr>
          <w:rFonts w:cs="Arial"/>
          <w:sz w:val="22"/>
          <w:szCs w:val="22"/>
        </w:rPr>
        <w:t>In 2018, 2,796 NJ youth were served in out of home treatment settings, and in 2025, 1649 youth were served in out of home treatment settings. (https://njchilddata.rutgers.edu/csoc)</w:t>
      </w:r>
    </w:p>
    <w:p w14:paraId="1715999A"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No eject, no reject (there are no youth that wouldn’t be served via CSOC if referred).</w:t>
      </w:r>
    </w:p>
    <w:p w14:paraId="32B27838" w14:textId="77777777" w:rsidR="008E1B6B" w:rsidRPr="009519DA" w:rsidRDefault="008E1B6B" w:rsidP="00BE4783">
      <w:pPr>
        <w:pStyle w:val="ListParagraph"/>
        <w:numPr>
          <w:ilvl w:val="0"/>
          <w:numId w:val="56"/>
        </w:numPr>
        <w:spacing w:after="0" w:line="240" w:lineRule="auto"/>
        <w:rPr>
          <w:rFonts w:cs="Arial"/>
          <w:sz w:val="22"/>
          <w:szCs w:val="22"/>
        </w:rPr>
      </w:pPr>
      <w:r w:rsidRPr="009519DA">
        <w:rPr>
          <w:rFonts w:cs="Arial"/>
          <w:sz w:val="22"/>
          <w:szCs w:val="22"/>
        </w:rPr>
        <w:t xml:space="preserve">Concerns </w:t>
      </w:r>
    </w:p>
    <w:p w14:paraId="03BADCEE" w14:textId="77777777" w:rsidR="008E1B6B" w:rsidRPr="009519DA" w:rsidRDefault="008E1B6B" w:rsidP="00BE4783">
      <w:pPr>
        <w:pStyle w:val="ListParagraph"/>
        <w:numPr>
          <w:ilvl w:val="1"/>
          <w:numId w:val="56"/>
        </w:numPr>
        <w:spacing w:after="0" w:line="240" w:lineRule="auto"/>
        <w:rPr>
          <w:rFonts w:cs="Arial"/>
          <w:sz w:val="22"/>
          <w:szCs w:val="22"/>
        </w:rPr>
      </w:pPr>
      <w:r w:rsidRPr="009519DA">
        <w:rPr>
          <w:rFonts w:cs="Arial"/>
          <w:sz w:val="22"/>
          <w:szCs w:val="22"/>
        </w:rPr>
        <w:t>NJ Health Care Quality Institute released a report on 6/4/26 that highlighted challenges families face navigating the mental health system, and that families may receive “multiple handoffs before their child begins receiving treatment.”</w:t>
      </w:r>
    </w:p>
    <w:p w14:paraId="32BA4F1C" w14:textId="77777777" w:rsidR="008E1B6B" w:rsidRPr="00505E39" w:rsidRDefault="008E1B6B" w:rsidP="00BE4783">
      <w:pPr>
        <w:pStyle w:val="ListParagraph"/>
        <w:numPr>
          <w:ilvl w:val="2"/>
          <w:numId w:val="56"/>
        </w:numPr>
        <w:spacing w:after="0" w:line="240" w:lineRule="auto"/>
        <w:rPr>
          <w:rFonts w:cs="Arial"/>
          <w:sz w:val="22"/>
          <w:szCs w:val="22"/>
        </w:rPr>
      </w:pPr>
      <w:hyperlink r:id="rId48" w:history="1">
        <w:r w:rsidRPr="00505E39">
          <w:rPr>
            <w:rStyle w:val="Hyperlink"/>
            <w:rFonts w:cs="Arial"/>
            <w:sz w:val="22"/>
            <w:szCs w:val="22"/>
          </w:rPr>
          <w:t>https://www.njhcqi.org/wp-content/uploads/2026/05/NHC0300-Childrens-Mental-Health-Report-FINAL-Web-1.pdf</w:t>
        </w:r>
      </w:hyperlink>
    </w:p>
    <w:p w14:paraId="2D0BA5E5" w14:textId="707C7B18" w:rsidR="00CE0AD2" w:rsidRPr="00210844" w:rsidRDefault="00CE0AD2" w:rsidP="00CE0AD2">
      <w:pPr>
        <w:rPr>
          <w:rFonts w:cs="Calibri"/>
          <w:sz w:val="22"/>
          <w:szCs w:val="22"/>
        </w:rPr>
      </w:pPr>
    </w:p>
    <w:sectPr w:rsidR="00CE0AD2" w:rsidRPr="00210844" w:rsidSect="009519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B96F2" w14:textId="77777777" w:rsidR="006F0859" w:rsidRDefault="006F0859" w:rsidP="00CE0AD2">
      <w:pPr>
        <w:spacing w:after="0" w:line="240" w:lineRule="auto"/>
      </w:pPr>
      <w:r>
        <w:separator/>
      </w:r>
    </w:p>
  </w:endnote>
  <w:endnote w:type="continuationSeparator" w:id="0">
    <w:p w14:paraId="0F9FEBA0" w14:textId="77777777" w:rsidR="006F0859" w:rsidRDefault="006F0859" w:rsidP="00CE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B2D4" w14:textId="77777777" w:rsidR="0045343D" w:rsidRDefault="0045343D">
    <w:pPr>
      <w:pStyle w:val="Footer"/>
    </w:pPr>
  </w:p>
  <w:p w14:paraId="79166444" w14:textId="77777777" w:rsidR="00AE43BA" w:rsidRDefault="00AE43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82A7" w14:textId="40A10BBF" w:rsidR="00CE0AD2" w:rsidRPr="00C94A45" w:rsidRDefault="00CE0AD2" w:rsidP="00C94A45">
    <w:pPr>
      <w:pStyle w:val="Footer"/>
      <w:tabs>
        <w:tab w:val="clear" w:pos="4680"/>
        <w:tab w:val="left" w:pos="7020"/>
      </w:tabs>
      <w:jc w:val="right"/>
      <w:rPr>
        <w:sz w:val="22"/>
        <w:szCs w:val="22"/>
      </w:rPr>
    </w:pPr>
    <w:r w:rsidRPr="00C94A45">
      <w:rPr>
        <w:sz w:val="22"/>
        <w:szCs w:val="22"/>
      </w:rPr>
      <w:tab/>
    </w:r>
    <w:r w:rsidRPr="00C94A45">
      <w:rPr>
        <w:sz w:val="22"/>
        <w:szCs w:val="22"/>
      </w:rPr>
      <w:fldChar w:fldCharType="begin"/>
    </w:r>
    <w:r w:rsidRPr="00C94A45">
      <w:rPr>
        <w:sz w:val="22"/>
        <w:szCs w:val="22"/>
      </w:rPr>
      <w:instrText xml:space="preserve"> PAGE   \* MERGEFORMAT </w:instrText>
    </w:r>
    <w:r w:rsidRPr="00C94A45">
      <w:rPr>
        <w:sz w:val="22"/>
        <w:szCs w:val="22"/>
      </w:rPr>
      <w:fldChar w:fldCharType="separate"/>
    </w:r>
    <w:r w:rsidRPr="00C94A45">
      <w:rPr>
        <w:noProof/>
        <w:sz w:val="22"/>
        <w:szCs w:val="22"/>
      </w:rPr>
      <w:t>1</w:t>
    </w:r>
    <w:r w:rsidRPr="00C94A45">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C22F4" w14:textId="77777777" w:rsidR="006F0859" w:rsidRDefault="006F0859" w:rsidP="00CE0AD2">
      <w:pPr>
        <w:spacing w:after="0" w:line="240" w:lineRule="auto"/>
      </w:pPr>
      <w:r>
        <w:separator/>
      </w:r>
    </w:p>
  </w:footnote>
  <w:footnote w:type="continuationSeparator" w:id="0">
    <w:p w14:paraId="0F46FA41" w14:textId="77777777" w:rsidR="006F0859" w:rsidRDefault="006F0859" w:rsidP="00CE0AD2">
      <w:pPr>
        <w:spacing w:after="0" w:line="240" w:lineRule="auto"/>
      </w:pPr>
      <w:r>
        <w:continuationSeparator/>
      </w:r>
    </w:p>
  </w:footnote>
  <w:footnote w:id="1">
    <w:p w14:paraId="7111FB7A" w14:textId="470B54E1" w:rsidR="00DC3275" w:rsidRDefault="00DC3275">
      <w:pPr>
        <w:pStyle w:val="FootnoteText"/>
      </w:pPr>
      <w:r>
        <w:rPr>
          <w:rStyle w:val="FootnoteReference"/>
        </w:rPr>
        <w:footnoteRef/>
      </w:r>
      <w:r>
        <w:t xml:space="preserve"> </w:t>
      </w:r>
      <w:r w:rsidRPr="00DC3275">
        <w:t xml:space="preserve">For this report, </w:t>
      </w:r>
      <w:r w:rsidR="00DD6CDC">
        <w:t xml:space="preserve">“residential treatment services” as well as similar </w:t>
      </w:r>
      <w:r w:rsidRPr="00DC3275">
        <w:t>te</w:t>
      </w:r>
      <w:r w:rsidR="00DD6CDC">
        <w:t>rms such as</w:t>
      </w:r>
      <w:r w:rsidRPr="00DC3275">
        <w:t xml:space="preserve"> </w:t>
      </w:r>
      <w:r>
        <w:t>“</w:t>
      </w:r>
      <w:r w:rsidRPr="00DC3275">
        <w:t>residential treatment settings</w:t>
      </w:r>
      <w:r w:rsidR="00DD6CDC">
        <w:t>” a</w:t>
      </w:r>
      <w:r w:rsidRPr="00DC3275">
        <w:t xml:space="preserve">nd </w:t>
      </w:r>
      <w:r w:rsidR="00DD6CDC">
        <w:t>“</w:t>
      </w:r>
      <w:r w:rsidRPr="00DC3275">
        <w:t>group/congregate care” indicate out</w:t>
      </w:r>
      <w:r w:rsidR="00DD6CDC">
        <w:t>-</w:t>
      </w:r>
      <w:r w:rsidRPr="00DC3275">
        <w:t>of</w:t>
      </w:r>
      <w:r w:rsidR="00DD6CDC">
        <w:t>-</w:t>
      </w:r>
      <w:r w:rsidRPr="00DC3275">
        <w:t>home placement environments inclusive of congregate group home care and residential educational settings.</w:t>
      </w:r>
    </w:p>
  </w:footnote>
  <w:footnote w:id="2">
    <w:p w14:paraId="217566D2" w14:textId="28297CF9" w:rsidR="00652F1A" w:rsidRDefault="00652F1A">
      <w:pPr>
        <w:pStyle w:val="FootnoteText"/>
      </w:pPr>
      <w:r>
        <w:rPr>
          <w:rStyle w:val="FootnoteReference"/>
        </w:rPr>
        <w:footnoteRef/>
      </w:r>
      <w:r>
        <w:t xml:space="preserve"> </w:t>
      </w:r>
      <w:r w:rsidR="00A76164">
        <w:t xml:space="preserve">Note: </w:t>
      </w:r>
      <w:r w:rsidRPr="00652F1A">
        <w:t>DCF is a statutorily mandated child welfare agency whose involvement with families is determined by legal authority and responsibilities established under child abuse and neglect statutes. In contrast, agencies such as DMH and DDS are eligibility-based service systems that engage individuals who meet established clinical and functional criteria</w:t>
      </w:r>
      <w:r w:rsidR="00A7616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212B"/>
    <w:multiLevelType w:val="hybridMultilevel"/>
    <w:tmpl w:val="53E4DB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6B74A3"/>
    <w:multiLevelType w:val="hybridMultilevel"/>
    <w:tmpl w:val="C9E63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F1FC2"/>
    <w:multiLevelType w:val="hybridMultilevel"/>
    <w:tmpl w:val="BE044C00"/>
    <w:lvl w:ilvl="0" w:tplc="F4A61B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85F57"/>
    <w:multiLevelType w:val="hybridMultilevel"/>
    <w:tmpl w:val="B666D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97A0B"/>
    <w:multiLevelType w:val="hybridMultilevel"/>
    <w:tmpl w:val="90AC9A4C"/>
    <w:lvl w:ilvl="0" w:tplc="CC264B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C0344"/>
    <w:multiLevelType w:val="hybridMultilevel"/>
    <w:tmpl w:val="3E9AE4D2"/>
    <w:lvl w:ilvl="0" w:tplc="0E80C0C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B6CBD"/>
    <w:multiLevelType w:val="hybridMultilevel"/>
    <w:tmpl w:val="ECF4F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406A2"/>
    <w:multiLevelType w:val="hybridMultilevel"/>
    <w:tmpl w:val="6FAEC228"/>
    <w:lvl w:ilvl="0" w:tplc="11DC674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F0DA9"/>
    <w:multiLevelType w:val="hybridMultilevel"/>
    <w:tmpl w:val="4CBC46C8"/>
    <w:lvl w:ilvl="0" w:tplc="F82E9932">
      <w:start w:val="1"/>
      <w:numFmt w:val="decimal"/>
      <w:lvlText w:val="%1."/>
      <w:lvlJc w:val="left"/>
      <w:pPr>
        <w:ind w:left="360" w:hanging="360"/>
      </w:pPr>
      <w:rPr>
        <w:rFonts w:hint="default"/>
        <w:b/>
        <w:bCs/>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F007D2"/>
    <w:multiLevelType w:val="hybridMultilevel"/>
    <w:tmpl w:val="88F82890"/>
    <w:lvl w:ilvl="0" w:tplc="63BA7204">
      <w:start w:val="1"/>
      <w:numFmt w:val="bullet"/>
      <w:lvlText w:val="•"/>
      <w:lvlJc w:val="left"/>
      <w:pPr>
        <w:tabs>
          <w:tab w:val="num" w:pos="720"/>
        </w:tabs>
        <w:ind w:left="720" w:hanging="360"/>
      </w:pPr>
      <w:rPr>
        <w:rFonts w:ascii="Arial" w:hAnsi="Arial" w:hint="default"/>
      </w:rPr>
    </w:lvl>
    <w:lvl w:ilvl="1" w:tplc="A522B8C6" w:tentative="1">
      <w:start w:val="1"/>
      <w:numFmt w:val="bullet"/>
      <w:lvlText w:val="•"/>
      <w:lvlJc w:val="left"/>
      <w:pPr>
        <w:tabs>
          <w:tab w:val="num" w:pos="1440"/>
        </w:tabs>
        <w:ind w:left="1440" w:hanging="360"/>
      </w:pPr>
      <w:rPr>
        <w:rFonts w:ascii="Arial" w:hAnsi="Arial" w:hint="default"/>
      </w:rPr>
    </w:lvl>
    <w:lvl w:ilvl="2" w:tplc="312E1D9C" w:tentative="1">
      <w:start w:val="1"/>
      <w:numFmt w:val="bullet"/>
      <w:lvlText w:val="•"/>
      <w:lvlJc w:val="left"/>
      <w:pPr>
        <w:tabs>
          <w:tab w:val="num" w:pos="2160"/>
        </w:tabs>
        <w:ind w:left="2160" w:hanging="360"/>
      </w:pPr>
      <w:rPr>
        <w:rFonts w:ascii="Arial" w:hAnsi="Arial" w:hint="default"/>
      </w:rPr>
    </w:lvl>
    <w:lvl w:ilvl="3" w:tplc="4F920A1C" w:tentative="1">
      <w:start w:val="1"/>
      <w:numFmt w:val="bullet"/>
      <w:lvlText w:val="•"/>
      <w:lvlJc w:val="left"/>
      <w:pPr>
        <w:tabs>
          <w:tab w:val="num" w:pos="2880"/>
        </w:tabs>
        <w:ind w:left="2880" w:hanging="360"/>
      </w:pPr>
      <w:rPr>
        <w:rFonts w:ascii="Arial" w:hAnsi="Arial" w:hint="default"/>
      </w:rPr>
    </w:lvl>
    <w:lvl w:ilvl="4" w:tplc="3CDE5BDA" w:tentative="1">
      <w:start w:val="1"/>
      <w:numFmt w:val="bullet"/>
      <w:lvlText w:val="•"/>
      <w:lvlJc w:val="left"/>
      <w:pPr>
        <w:tabs>
          <w:tab w:val="num" w:pos="3600"/>
        </w:tabs>
        <w:ind w:left="3600" w:hanging="360"/>
      </w:pPr>
      <w:rPr>
        <w:rFonts w:ascii="Arial" w:hAnsi="Arial" w:hint="default"/>
      </w:rPr>
    </w:lvl>
    <w:lvl w:ilvl="5" w:tplc="1428BD1E" w:tentative="1">
      <w:start w:val="1"/>
      <w:numFmt w:val="bullet"/>
      <w:lvlText w:val="•"/>
      <w:lvlJc w:val="left"/>
      <w:pPr>
        <w:tabs>
          <w:tab w:val="num" w:pos="4320"/>
        </w:tabs>
        <w:ind w:left="4320" w:hanging="360"/>
      </w:pPr>
      <w:rPr>
        <w:rFonts w:ascii="Arial" w:hAnsi="Arial" w:hint="default"/>
      </w:rPr>
    </w:lvl>
    <w:lvl w:ilvl="6" w:tplc="C7C42602" w:tentative="1">
      <w:start w:val="1"/>
      <w:numFmt w:val="bullet"/>
      <w:lvlText w:val="•"/>
      <w:lvlJc w:val="left"/>
      <w:pPr>
        <w:tabs>
          <w:tab w:val="num" w:pos="5040"/>
        </w:tabs>
        <w:ind w:left="5040" w:hanging="360"/>
      </w:pPr>
      <w:rPr>
        <w:rFonts w:ascii="Arial" w:hAnsi="Arial" w:hint="default"/>
      </w:rPr>
    </w:lvl>
    <w:lvl w:ilvl="7" w:tplc="9580E48E" w:tentative="1">
      <w:start w:val="1"/>
      <w:numFmt w:val="bullet"/>
      <w:lvlText w:val="•"/>
      <w:lvlJc w:val="left"/>
      <w:pPr>
        <w:tabs>
          <w:tab w:val="num" w:pos="5760"/>
        </w:tabs>
        <w:ind w:left="5760" w:hanging="360"/>
      </w:pPr>
      <w:rPr>
        <w:rFonts w:ascii="Arial" w:hAnsi="Arial" w:hint="default"/>
      </w:rPr>
    </w:lvl>
    <w:lvl w:ilvl="8" w:tplc="A64C44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4B5103A"/>
    <w:multiLevelType w:val="hybridMultilevel"/>
    <w:tmpl w:val="3E60799A"/>
    <w:lvl w:ilvl="0" w:tplc="80DAB4A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8842D2"/>
    <w:multiLevelType w:val="hybridMultilevel"/>
    <w:tmpl w:val="B70856D6"/>
    <w:lvl w:ilvl="0" w:tplc="507C0E62">
      <w:start w:val="1"/>
      <w:numFmt w:val="bullet"/>
      <w:lvlText w:val="•"/>
      <w:lvlJc w:val="left"/>
      <w:pPr>
        <w:tabs>
          <w:tab w:val="num" w:pos="720"/>
        </w:tabs>
        <w:ind w:left="720" w:hanging="360"/>
      </w:pPr>
      <w:rPr>
        <w:rFonts w:ascii="Arial" w:hAnsi="Arial" w:hint="default"/>
      </w:rPr>
    </w:lvl>
    <w:lvl w:ilvl="1" w:tplc="B8C87CBA">
      <w:numFmt w:val="bullet"/>
      <w:lvlText w:val="o"/>
      <w:lvlJc w:val="left"/>
      <w:pPr>
        <w:tabs>
          <w:tab w:val="num" w:pos="1440"/>
        </w:tabs>
        <w:ind w:left="1440" w:hanging="360"/>
      </w:pPr>
      <w:rPr>
        <w:rFonts w:ascii="Courier New" w:hAnsi="Courier New" w:hint="default"/>
        <w:color w:val="0070C0"/>
      </w:rPr>
    </w:lvl>
    <w:lvl w:ilvl="2" w:tplc="71A0828A" w:tentative="1">
      <w:start w:val="1"/>
      <w:numFmt w:val="bullet"/>
      <w:lvlText w:val="•"/>
      <w:lvlJc w:val="left"/>
      <w:pPr>
        <w:tabs>
          <w:tab w:val="num" w:pos="2160"/>
        </w:tabs>
        <w:ind w:left="2160" w:hanging="360"/>
      </w:pPr>
      <w:rPr>
        <w:rFonts w:ascii="Arial" w:hAnsi="Arial" w:hint="default"/>
      </w:rPr>
    </w:lvl>
    <w:lvl w:ilvl="3" w:tplc="7690CC7E" w:tentative="1">
      <w:start w:val="1"/>
      <w:numFmt w:val="bullet"/>
      <w:lvlText w:val="•"/>
      <w:lvlJc w:val="left"/>
      <w:pPr>
        <w:tabs>
          <w:tab w:val="num" w:pos="2880"/>
        </w:tabs>
        <w:ind w:left="2880" w:hanging="360"/>
      </w:pPr>
      <w:rPr>
        <w:rFonts w:ascii="Arial" w:hAnsi="Arial" w:hint="default"/>
      </w:rPr>
    </w:lvl>
    <w:lvl w:ilvl="4" w:tplc="B624389C" w:tentative="1">
      <w:start w:val="1"/>
      <w:numFmt w:val="bullet"/>
      <w:lvlText w:val="•"/>
      <w:lvlJc w:val="left"/>
      <w:pPr>
        <w:tabs>
          <w:tab w:val="num" w:pos="3600"/>
        </w:tabs>
        <w:ind w:left="3600" w:hanging="360"/>
      </w:pPr>
      <w:rPr>
        <w:rFonts w:ascii="Arial" w:hAnsi="Arial" w:hint="default"/>
      </w:rPr>
    </w:lvl>
    <w:lvl w:ilvl="5" w:tplc="01FA4AD6" w:tentative="1">
      <w:start w:val="1"/>
      <w:numFmt w:val="bullet"/>
      <w:lvlText w:val="•"/>
      <w:lvlJc w:val="left"/>
      <w:pPr>
        <w:tabs>
          <w:tab w:val="num" w:pos="4320"/>
        </w:tabs>
        <w:ind w:left="4320" w:hanging="360"/>
      </w:pPr>
      <w:rPr>
        <w:rFonts w:ascii="Arial" w:hAnsi="Arial" w:hint="default"/>
      </w:rPr>
    </w:lvl>
    <w:lvl w:ilvl="6" w:tplc="8286F3D8" w:tentative="1">
      <w:start w:val="1"/>
      <w:numFmt w:val="bullet"/>
      <w:lvlText w:val="•"/>
      <w:lvlJc w:val="left"/>
      <w:pPr>
        <w:tabs>
          <w:tab w:val="num" w:pos="5040"/>
        </w:tabs>
        <w:ind w:left="5040" w:hanging="360"/>
      </w:pPr>
      <w:rPr>
        <w:rFonts w:ascii="Arial" w:hAnsi="Arial" w:hint="default"/>
      </w:rPr>
    </w:lvl>
    <w:lvl w:ilvl="7" w:tplc="591C1B60" w:tentative="1">
      <w:start w:val="1"/>
      <w:numFmt w:val="bullet"/>
      <w:lvlText w:val="•"/>
      <w:lvlJc w:val="left"/>
      <w:pPr>
        <w:tabs>
          <w:tab w:val="num" w:pos="5760"/>
        </w:tabs>
        <w:ind w:left="5760" w:hanging="360"/>
      </w:pPr>
      <w:rPr>
        <w:rFonts w:ascii="Arial" w:hAnsi="Arial" w:hint="default"/>
      </w:rPr>
    </w:lvl>
    <w:lvl w:ilvl="8" w:tplc="BC92DD9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5A1711B"/>
    <w:multiLevelType w:val="multilevel"/>
    <w:tmpl w:val="C588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01E6E"/>
    <w:multiLevelType w:val="hybridMultilevel"/>
    <w:tmpl w:val="0EBC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A08B6"/>
    <w:multiLevelType w:val="hybridMultilevel"/>
    <w:tmpl w:val="BBDC9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64CAB"/>
    <w:multiLevelType w:val="hybridMultilevel"/>
    <w:tmpl w:val="1840AD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80193"/>
    <w:multiLevelType w:val="hybridMultilevel"/>
    <w:tmpl w:val="E1D2E05A"/>
    <w:lvl w:ilvl="0" w:tplc="690C516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56D6E"/>
    <w:multiLevelType w:val="hybridMultilevel"/>
    <w:tmpl w:val="AE02E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E52FC8"/>
    <w:multiLevelType w:val="hybridMultilevel"/>
    <w:tmpl w:val="889C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280E35"/>
    <w:multiLevelType w:val="hybridMultilevel"/>
    <w:tmpl w:val="6156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402E1D"/>
    <w:multiLevelType w:val="hybridMultilevel"/>
    <w:tmpl w:val="AF14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6664A54"/>
    <w:multiLevelType w:val="hybridMultilevel"/>
    <w:tmpl w:val="80AE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9220BE"/>
    <w:multiLevelType w:val="hybridMultilevel"/>
    <w:tmpl w:val="2326BA5C"/>
    <w:lvl w:ilvl="0" w:tplc="1494D92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AA217A"/>
    <w:multiLevelType w:val="hybridMultilevel"/>
    <w:tmpl w:val="EDBCD0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2DB4B1E"/>
    <w:multiLevelType w:val="hybridMultilevel"/>
    <w:tmpl w:val="4358155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33BB5248"/>
    <w:multiLevelType w:val="hybridMultilevel"/>
    <w:tmpl w:val="551A3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8A037C"/>
    <w:multiLevelType w:val="hybridMultilevel"/>
    <w:tmpl w:val="3132B09C"/>
    <w:lvl w:ilvl="0" w:tplc="D332CD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8B7190"/>
    <w:multiLevelType w:val="hybridMultilevel"/>
    <w:tmpl w:val="DDDE0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D9001FB"/>
    <w:multiLevelType w:val="hybridMultilevel"/>
    <w:tmpl w:val="8C1CA592"/>
    <w:lvl w:ilvl="0" w:tplc="0409000F">
      <w:start w:val="1"/>
      <w:numFmt w:val="decimal"/>
      <w:lvlText w:val="%1."/>
      <w:lvlJc w:val="left"/>
      <w:pPr>
        <w:ind w:left="720" w:hanging="360"/>
      </w:pPr>
    </w:lvl>
    <w:lvl w:ilvl="1" w:tplc="74D6A9E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422FDD"/>
    <w:multiLevelType w:val="hybridMultilevel"/>
    <w:tmpl w:val="F6ACC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E7432D7"/>
    <w:multiLevelType w:val="hybridMultilevel"/>
    <w:tmpl w:val="4B7C40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904D19"/>
    <w:multiLevelType w:val="hybridMultilevel"/>
    <w:tmpl w:val="984E52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5D5B5A"/>
    <w:multiLevelType w:val="hybridMultilevel"/>
    <w:tmpl w:val="CCCC4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367BAB"/>
    <w:multiLevelType w:val="hybridMultilevel"/>
    <w:tmpl w:val="64602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E53C4B"/>
    <w:multiLevelType w:val="multilevel"/>
    <w:tmpl w:val="B7C6C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6C11F6"/>
    <w:multiLevelType w:val="multilevel"/>
    <w:tmpl w:val="E4EA704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50CC6AFB"/>
    <w:multiLevelType w:val="hybridMultilevel"/>
    <w:tmpl w:val="E69E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350356"/>
    <w:multiLevelType w:val="hybridMultilevel"/>
    <w:tmpl w:val="5C3E4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79529D4"/>
    <w:multiLevelType w:val="hybridMultilevel"/>
    <w:tmpl w:val="32EE5834"/>
    <w:lvl w:ilvl="0" w:tplc="0409000F">
      <w:start w:val="1"/>
      <w:numFmt w:val="decimal"/>
      <w:lvlText w:val="%1."/>
      <w:lvlJc w:val="left"/>
      <w:pPr>
        <w:ind w:left="720" w:hanging="360"/>
      </w:pPr>
      <w:rPr>
        <w:rFonts w:hint="default"/>
      </w:rPr>
    </w:lvl>
    <w:lvl w:ilvl="1" w:tplc="291A1A90">
      <w:start w:val="1"/>
      <w:numFmt w:val="lowerRoman"/>
      <w:lvlText w:val="%2."/>
      <w:lvlJc w:val="left"/>
      <w:pPr>
        <w:ind w:left="1440" w:hanging="360"/>
      </w:pPr>
      <w:rPr>
        <w:rFonts w:asciiTheme="minorHAnsi" w:eastAsiaTheme="minorHAnsi" w:hAnsiTheme="minorHAnsi" w:cs="Calibr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A62081"/>
    <w:multiLevelType w:val="hybridMultilevel"/>
    <w:tmpl w:val="B2AC26E8"/>
    <w:lvl w:ilvl="0" w:tplc="CC264B6A">
      <w:start w:val="1"/>
      <w:numFmt w:val="bullet"/>
      <w:lvlText w:val="·"/>
      <w:lvlJc w:val="left"/>
      <w:pPr>
        <w:ind w:left="720" w:hanging="360"/>
      </w:pPr>
      <w:rPr>
        <w:rFonts w:ascii="Symbol" w:hAnsi="Symbol" w:hint="default"/>
      </w:rPr>
    </w:lvl>
    <w:lvl w:ilvl="1" w:tplc="B87E64BA">
      <w:start w:val="1"/>
      <w:numFmt w:val="bullet"/>
      <w:lvlText w:val="o"/>
      <w:lvlJc w:val="left"/>
      <w:pPr>
        <w:ind w:left="1440" w:hanging="360"/>
      </w:pPr>
      <w:rPr>
        <w:rFonts w:ascii="Courier New" w:hAnsi="Courier New" w:hint="default"/>
      </w:rPr>
    </w:lvl>
    <w:lvl w:ilvl="2" w:tplc="C324ACBA">
      <w:start w:val="1"/>
      <w:numFmt w:val="bullet"/>
      <w:lvlText w:val=""/>
      <w:lvlJc w:val="left"/>
      <w:pPr>
        <w:ind w:left="2160" w:hanging="360"/>
      </w:pPr>
      <w:rPr>
        <w:rFonts w:ascii="Wingdings" w:hAnsi="Wingdings" w:hint="default"/>
      </w:rPr>
    </w:lvl>
    <w:lvl w:ilvl="3" w:tplc="ED86DBA8">
      <w:start w:val="1"/>
      <w:numFmt w:val="bullet"/>
      <w:lvlText w:val=""/>
      <w:lvlJc w:val="left"/>
      <w:pPr>
        <w:ind w:left="2880" w:hanging="360"/>
      </w:pPr>
      <w:rPr>
        <w:rFonts w:ascii="Symbol" w:hAnsi="Symbol" w:hint="default"/>
      </w:rPr>
    </w:lvl>
    <w:lvl w:ilvl="4" w:tplc="49883754">
      <w:start w:val="1"/>
      <w:numFmt w:val="bullet"/>
      <w:lvlText w:val="o"/>
      <w:lvlJc w:val="left"/>
      <w:pPr>
        <w:ind w:left="3600" w:hanging="360"/>
      </w:pPr>
      <w:rPr>
        <w:rFonts w:ascii="Courier New" w:hAnsi="Courier New" w:hint="default"/>
      </w:rPr>
    </w:lvl>
    <w:lvl w:ilvl="5" w:tplc="05004B62">
      <w:start w:val="1"/>
      <w:numFmt w:val="bullet"/>
      <w:lvlText w:val=""/>
      <w:lvlJc w:val="left"/>
      <w:pPr>
        <w:ind w:left="4320" w:hanging="360"/>
      </w:pPr>
      <w:rPr>
        <w:rFonts w:ascii="Wingdings" w:hAnsi="Wingdings" w:hint="default"/>
      </w:rPr>
    </w:lvl>
    <w:lvl w:ilvl="6" w:tplc="4F668E76">
      <w:start w:val="1"/>
      <w:numFmt w:val="bullet"/>
      <w:lvlText w:val=""/>
      <w:lvlJc w:val="left"/>
      <w:pPr>
        <w:ind w:left="5040" w:hanging="360"/>
      </w:pPr>
      <w:rPr>
        <w:rFonts w:ascii="Symbol" w:hAnsi="Symbol" w:hint="default"/>
      </w:rPr>
    </w:lvl>
    <w:lvl w:ilvl="7" w:tplc="E930891A">
      <w:start w:val="1"/>
      <w:numFmt w:val="bullet"/>
      <w:lvlText w:val="o"/>
      <w:lvlJc w:val="left"/>
      <w:pPr>
        <w:ind w:left="5760" w:hanging="360"/>
      </w:pPr>
      <w:rPr>
        <w:rFonts w:ascii="Courier New" w:hAnsi="Courier New" w:hint="default"/>
      </w:rPr>
    </w:lvl>
    <w:lvl w:ilvl="8" w:tplc="17B03C12">
      <w:start w:val="1"/>
      <w:numFmt w:val="bullet"/>
      <w:lvlText w:val=""/>
      <w:lvlJc w:val="left"/>
      <w:pPr>
        <w:ind w:left="6480" w:hanging="360"/>
      </w:pPr>
      <w:rPr>
        <w:rFonts w:ascii="Wingdings" w:hAnsi="Wingdings" w:hint="default"/>
      </w:rPr>
    </w:lvl>
  </w:abstractNum>
  <w:abstractNum w:abstractNumId="40" w15:restartNumberingAfterBreak="0">
    <w:nsid w:val="5BD00E5D"/>
    <w:multiLevelType w:val="hybridMultilevel"/>
    <w:tmpl w:val="8EBC3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121B78"/>
    <w:multiLevelType w:val="multilevel"/>
    <w:tmpl w:val="E574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1B7746"/>
    <w:multiLevelType w:val="hybridMultilevel"/>
    <w:tmpl w:val="F934FE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0E092F"/>
    <w:multiLevelType w:val="hybridMultilevel"/>
    <w:tmpl w:val="EB3E67A6"/>
    <w:lvl w:ilvl="0" w:tplc="E5660B08">
      <w:start w:val="1"/>
      <w:numFmt w:val="bullet"/>
      <w:lvlText w:val="•"/>
      <w:lvlJc w:val="left"/>
      <w:pPr>
        <w:tabs>
          <w:tab w:val="num" w:pos="720"/>
        </w:tabs>
        <w:ind w:left="720" w:hanging="360"/>
      </w:pPr>
      <w:rPr>
        <w:rFonts w:ascii="Arial" w:hAnsi="Arial" w:hint="default"/>
      </w:rPr>
    </w:lvl>
    <w:lvl w:ilvl="1" w:tplc="928A619E">
      <w:numFmt w:val="bullet"/>
      <w:lvlText w:val="o"/>
      <w:lvlJc w:val="left"/>
      <w:pPr>
        <w:tabs>
          <w:tab w:val="num" w:pos="1440"/>
        </w:tabs>
        <w:ind w:left="1440" w:hanging="360"/>
      </w:pPr>
      <w:rPr>
        <w:rFonts w:ascii="Courier New" w:hAnsi="Courier New" w:hint="default"/>
      </w:rPr>
    </w:lvl>
    <w:lvl w:ilvl="2" w:tplc="7C74130E" w:tentative="1">
      <w:start w:val="1"/>
      <w:numFmt w:val="bullet"/>
      <w:lvlText w:val="•"/>
      <w:lvlJc w:val="left"/>
      <w:pPr>
        <w:tabs>
          <w:tab w:val="num" w:pos="2160"/>
        </w:tabs>
        <w:ind w:left="2160" w:hanging="360"/>
      </w:pPr>
      <w:rPr>
        <w:rFonts w:ascii="Arial" w:hAnsi="Arial" w:hint="default"/>
      </w:rPr>
    </w:lvl>
    <w:lvl w:ilvl="3" w:tplc="5544A950">
      <w:numFmt w:val="bullet"/>
      <w:lvlText w:val="•"/>
      <w:lvlJc w:val="left"/>
      <w:pPr>
        <w:tabs>
          <w:tab w:val="num" w:pos="2880"/>
        </w:tabs>
        <w:ind w:left="2880" w:hanging="360"/>
      </w:pPr>
      <w:rPr>
        <w:rFonts w:ascii="Arial" w:hAnsi="Arial" w:hint="default"/>
      </w:rPr>
    </w:lvl>
    <w:lvl w:ilvl="4" w:tplc="04547306" w:tentative="1">
      <w:start w:val="1"/>
      <w:numFmt w:val="bullet"/>
      <w:lvlText w:val="•"/>
      <w:lvlJc w:val="left"/>
      <w:pPr>
        <w:tabs>
          <w:tab w:val="num" w:pos="3600"/>
        </w:tabs>
        <w:ind w:left="3600" w:hanging="360"/>
      </w:pPr>
      <w:rPr>
        <w:rFonts w:ascii="Arial" w:hAnsi="Arial" w:hint="default"/>
      </w:rPr>
    </w:lvl>
    <w:lvl w:ilvl="5" w:tplc="227AFA82" w:tentative="1">
      <w:start w:val="1"/>
      <w:numFmt w:val="bullet"/>
      <w:lvlText w:val="•"/>
      <w:lvlJc w:val="left"/>
      <w:pPr>
        <w:tabs>
          <w:tab w:val="num" w:pos="4320"/>
        </w:tabs>
        <w:ind w:left="4320" w:hanging="360"/>
      </w:pPr>
      <w:rPr>
        <w:rFonts w:ascii="Arial" w:hAnsi="Arial" w:hint="default"/>
      </w:rPr>
    </w:lvl>
    <w:lvl w:ilvl="6" w:tplc="1200F0DE" w:tentative="1">
      <w:start w:val="1"/>
      <w:numFmt w:val="bullet"/>
      <w:lvlText w:val="•"/>
      <w:lvlJc w:val="left"/>
      <w:pPr>
        <w:tabs>
          <w:tab w:val="num" w:pos="5040"/>
        </w:tabs>
        <w:ind w:left="5040" w:hanging="360"/>
      </w:pPr>
      <w:rPr>
        <w:rFonts w:ascii="Arial" w:hAnsi="Arial" w:hint="default"/>
      </w:rPr>
    </w:lvl>
    <w:lvl w:ilvl="7" w:tplc="321A64A2" w:tentative="1">
      <w:start w:val="1"/>
      <w:numFmt w:val="bullet"/>
      <w:lvlText w:val="•"/>
      <w:lvlJc w:val="left"/>
      <w:pPr>
        <w:tabs>
          <w:tab w:val="num" w:pos="5760"/>
        </w:tabs>
        <w:ind w:left="5760" w:hanging="360"/>
      </w:pPr>
      <w:rPr>
        <w:rFonts w:ascii="Arial" w:hAnsi="Arial" w:hint="default"/>
      </w:rPr>
    </w:lvl>
    <w:lvl w:ilvl="8" w:tplc="2ABA997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9AE7B6C"/>
    <w:multiLevelType w:val="hybridMultilevel"/>
    <w:tmpl w:val="F076A76A"/>
    <w:lvl w:ilvl="0" w:tplc="30F81E1C">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6D6E9816" w:tentative="1">
      <w:start w:val="1"/>
      <w:numFmt w:val="bullet"/>
      <w:lvlText w:val="•"/>
      <w:lvlJc w:val="left"/>
      <w:pPr>
        <w:tabs>
          <w:tab w:val="num" w:pos="2160"/>
        </w:tabs>
        <w:ind w:left="2160" w:hanging="360"/>
      </w:pPr>
      <w:rPr>
        <w:rFonts w:ascii="Arial" w:hAnsi="Arial" w:hint="default"/>
      </w:rPr>
    </w:lvl>
    <w:lvl w:ilvl="3" w:tplc="FA705CFC" w:tentative="1">
      <w:start w:val="1"/>
      <w:numFmt w:val="bullet"/>
      <w:lvlText w:val="•"/>
      <w:lvlJc w:val="left"/>
      <w:pPr>
        <w:tabs>
          <w:tab w:val="num" w:pos="2880"/>
        </w:tabs>
        <w:ind w:left="2880" w:hanging="360"/>
      </w:pPr>
      <w:rPr>
        <w:rFonts w:ascii="Arial" w:hAnsi="Arial" w:hint="default"/>
      </w:rPr>
    </w:lvl>
    <w:lvl w:ilvl="4" w:tplc="B52CCF62" w:tentative="1">
      <w:start w:val="1"/>
      <w:numFmt w:val="bullet"/>
      <w:lvlText w:val="•"/>
      <w:lvlJc w:val="left"/>
      <w:pPr>
        <w:tabs>
          <w:tab w:val="num" w:pos="3600"/>
        </w:tabs>
        <w:ind w:left="3600" w:hanging="360"/>
      </w:pPr>
      <w:rPr>
        <w:rFonts w:ascii="Arial" w:hAnsi="Arial" w:hint="default"/>
      </w:rPr>
    </w:lvl>
    <w:lvl w:ilvl="5" w:tplc="9FBA12E6" w:tentative="1">
      <w:start w:val="1"/>
      <w:numFmt w:val="bullet"/>
      <w:lvlText w:val="•"/>
      <w:lvlJc w:val="left"/>
      <w:pPr>
        <w:tabs>
          <w:tab w:val="num" w:pos="4320"/>
        </w:tabs>
        <w:ind w:left="4320" w:hanging="360"/>
      </w:pPr>
      <w:rPr>
        <w:rFonts w:ascii="Arial" w:hAnsi="Arial" w:hint="default"/>
      </w:rPr>
    </w:lvl>
    <w:lvl w:ilvl="6" w:tplc="45285FCC" w:tentative="1">
      <w:start w:val="1"/>
      <w:numFmt w:val="bullet"/>
      <w:lvlText w:val="•"/>
      <w:lvlJc w:val="left"/>
      <w:pPr>
        <w:tabs>
          <w:tab w:val="num" w:pos="5040"/>
        </w:tabs>
        <w:ind w:left="5040" w:hanging="360"/>
      </w:pPr>
      <w:rPr>
        <w:rFonts w:ascii="Arial" w:hAnsi="Arial" w:hint="default"/>
      </w:rPr>
    </w:lvl>
    <w:lvl w:ilvl="7" w:tplc="71E60814" w:tentative="1">
      <w:start w:val="1"/>
      <w:numFmt w:val="bullet"/>
      <w:lvlText w:val="•"/>
      <w:lvlJc w:val="left"/>
      <w:pPr>
        <w:tabs>
          <w:tab w:val="num" w:pos="5760"/>
        </w:tabs>
        <w:ind w:left="5760" w:hanging="360"/>
      </w:pPr>
      <w:rPr>
        <w:rFonts w:ascii="Arial" w:hAnsi="Arial" w:hint="default"/>
      </w:rPr>
    </w:lvl>
    <w:lvl w:ilvl="8" w:tplc="43241A6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C844A81"/>
    <w:multiLevelType w:val="hybridMultilevel"/>
    <w:tmpl w:val="032E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AB01F7"/>
    <w:multiLevelType w:val="hybridMultilevel"/>
    <w:tmpl w:val="32A20256"/>
    <w:lvl w:ilvl="0" w:tplc="24EAB0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574D55"/>
    <w:multiLevelType w:val="hybridMultilevel"/>
    <w:tmpl w:val="36084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9D7F3D"/>
    <w:multiLevelType w:val="hybridMultilevel"/>
    <w:tmpl w:val="AB8A7082"/>
    <w:lvl w:ilvl="0" w:tplc="A2D89F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74373E"/>
    <w:multiLevelType w:val="hybridMultilevel"/>
    <w:tmpl w:val="2A14CBA6"/>
    <w:lvl w:ilvl="0" w:tplc="2B9EA9B2">
      <w:start w:val="1"/>
      <w:numFmt w:val="bullet"/>
      <w:lvlText w:val="o"/>
      <w:lvlJc w:val="left"/>
      <w:pPr>
        <w:tabs>
          <w:tab w:val="num" w:pos="720"/>
        </w:tabs>
        <w:ind w:left="720" w:hanging="360"/>
      </w:pPr>
      <w:rPr>
        <w:rFonts w:ascii="Courier New" w:hAnsi="Courier New" w:hint="default"/>
      </w:rPr>
    </w:lvl>
    <w:lvl w:ilvl="1" w:tplc="B112AC94">
      <w:start w:val="1"/>
      <w:numFmt w:val="bullet"/>
      <w:lvlText w:val="o"/>
      <w:lvlJc w:val="left"/>
      <w:pPr>
        <w:tabs>
          <w:tab w:val="num" w:pos="1440"/>
        </w:tabs>
        <w:ind w:left="1440" w:hanging="360"/>
      </w:pPr>
      <w:rPr>
        <w:rFonts w:ascii="Courier New" w:hAnsi="Courier New" w:hint="default"/>
      </w:rPr>
    </w:lvl>
    <w:lvl w:ilvl="2" w:tplc="2C4E1956" w:tentative="1">
      <w:start w:val="1"/>
      <w:numFmt w:val="bullet"/>
      <w:lvlText w:val="o"/>
      <w:lvlJc w:val="left"/>
      <w:pPr>
        <w:tabs>
          <w:tab w:val="num" w:pos="2160"/>
        </w:tabs>
        <w:ind w:left="2160" w:hanging="360"/>
      </w:pPr>
      <w:rPr>
        <w:rFonts w:ascii="Courier New" w:hAnsi="Courier New" w:hint="default"/>
      </w:rPr>
    </w:lvl>
    <w:lvl w:ilvl="3" w:tplc="6716318C">
      <w:numFmt w:val="bullet"/>
      <w:lvlText w:val="•"/>
      <w:lvlJc w:val="left"/>
      <w:pPr>
        <w:tabs>
          <w:tab w:val="num" w:pos="2880"/>
        </w:tabs>
        <w:ind w:left="2880" w:hanging="360"/>
      </w:pPr>
      <w:rPr>
        <w:rFonts w:ascii="Arial" w:hAnsi="Arial" w:hint="default"/>
      </w:rPr>
    </w:lvl>
    <w:lvl w:ilvl="4" w:tplc="1E1A2F1A" w:tentative="1">
      <w:start w:val="1"/>
      <w:numFmt w:val="bullet"/>
      <w:lvlText w:val="o"/>
      <w:lvlJc w:val="left"/>
      <w:pPr>
        <w:tabs>
          <w:tab w:val="num" w:pos="3600"/>
        </w:tabs>
        <w:ind w:left="3600" w:hanging="360"/>
      </w:pPr>
      <w:rPr>
        <w:rFonts w:ascii="Courier New" w:hAnsi="Courier New" w:hint="default"/>
      </w:rPr>
    </w:lvl>
    <w:lvl w:ilvl="5" w:tplc="6F3EFA44" w:tentative="1">
      <w:start w:val="1"/>
      <w:numFmt w:val="bullet"/>
      <w:lvlText w:val="o"/>
      <w:lvlJc w:val="left"/>
      <w:pPr>
        <w:tabs>
          <w:tab w:val="num" w:pos="4320"/>
        </w:tabs>
        <w:ind w:left="4320" w:hanging="360"/>
      </w:pPr>
      <w:rPr>
        <w:rFonts w:ascii="Courier New" w:hAnsi="Courier New" w:hint="default"/>
      </w:rPr>
    </w:lvl>
    <w:lvl w:ilvl="6" w:tplc="ADE4B338" w:tentative="1">
      <w:start w:val="1"/>
      <w:numFmt w:val="bullet"/>
      <w:lvlText w:val="o"/>
      <w:lvlJc w:val="left"/>
      <w:pPr>
        <w:tabs>
          <w:tab w:val="num" w:pos="5040"/>
        </w:tabs>
        <w:ind w:left="5040" w:hanging="360"/>
      </w:pPr>
      <w:rPr>
        <w:rFonts w:ascii="Courier New" w:hAnsi="Courier New" w:hint="default"/>
      </w:rPr>
    </w:lvl>
    <w:lvl w:ilvl="7" w:tplc="E5F0AA9A" w:tentative="1">
      <w:start w:val="1"/>
      <w:numFmt w:val="bullet"/>
      <w:lvlText w:val="o"/>
      <w:lvlJc w:val="left"/>
      <w:pPr>
        <w:tabs>
          <w:tab w:val="num" w:pos="5760"/>
        </w:tabs>
        <w:ind w:left="5760" w:hanging="360"/>
      </w:pPr>
      <w:rPr>
        <w:rFonts w:ascii="Courier New" w:hAnsi="Courier New" w:hint="default"/>
      </w:rPr>
    </w:lvl>
    <w:lvl w:ilvl="8" w:tplc="434C1E96" w:tentative="1">
      <w:start w:val="1"/>
      <w:numFmt w:val="bullet"/>
      <w:lvlText w:val="o"/>
      <w:lvlJc w:val="left"/>
      <w:pPr>
        <w:tabs>
          <w:tab w:val="num" w:pos="6480"/>
        </w:tabs>
        <w:ind w:left="6480" w:hanging="360"/>
      </w:pPr>
      <w:rPr>
        <w:rFonts w:ascii="Courier New" w:hAnsi="Courier New" w:hint="default"/>
      </w:rPr>
    </w:lvl>
  </w:abstractNum>
  <w:abstractNum w:abstractNumId="50" w15:restartNumberingAfterBreak="0">
    <w:nsid w:val="732C391C"/>
    <w:multiLevelType w:val="hybridMultilevel"/>
    <w:tmpl w:val="2F5E6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5A01B2"/>
    <w:multiLevelType w:val="hybridMultilevel"/>
    <w:tmpl w:val="0FC665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0C1A66"/>
    <w:multiLevelType w:val="hybridMultilevel"/>
    <w:tmpl w:val="FFF26CF6"/>
    <w:lvl w:ilvl="0" w:tplc="7D3CF130">
      <w:start w:val="1"/>
      <w:numFmt w:val="bullet"/>
      <w:lvlText w:val="•"/>
      <w:lvlJc w:val="left"/>
      <w:pPr>
        <w:tabs>
          <w:tab w:val="num" w:pos="720"/>
        </w:tabs>
        <w:ind w:left="720" w:hanging="360"/>
      </w:pPr>
      <w:rPr>
        <w:rFonts w:ascii="Arial" w:hAnsi="Arial" w:hint="default"/>
      </w:rPr>
    </w:lvl>
    <w:lvl w:ilvl="1" w:tplc="5B0AF804">
      <w:numFmt w:val="bullet"/>
      <w:lvlText w:val="o"/>
      <w:lvlJc w:val="left"/>
      <w:pPr>
        <w:tabs>
          <w:tab w:val="num" w:pos="1440"/>
        </w:tabs>
        <w:ind w:left="1440" w:hanging="360"/>
      </w:pPr>
      <w:rPr>
        <w:rFonts w:ascii="Courier New" w:hAnsi="Courier New" w:hint="default"/>
      </w:rPr>
    </w:lvl>
    <w:lvl w:ilvl="2" w:tplc="663461E2" w:tentative="1">
      <w:start w:val="1"/>
      <w:numFmt w:val="bullet"/>
      <w:lvlText w:val="•"/>
      <w:lvlJc w:val="left"/>
      <w:pPr>
        <w:tabs>
          <w:tab w:val="num" w:pos="2160"/>
        </w:tabs>
        <w:ind w:left="2160" w:hanging="360"/>
      </w:pPr>
      <w:rPr>
        <w:rFonts w:ascii="Arial" w:hAnsi="Arial" w:hint="default"/>
      </w:rPr>
    </w:lvl>
    <w:lvl w:ilvl="3" w:tplc="9EEA245A" w:tentative="1">
      <w:start w:val="1"/>
      <w:numFmt w:val="bullet"/>
      <w:lvlText w:val="•"/>
      <w:lvlJc w:val="left"/>
      <w:pPr>
        <w:tabs>
          <w:tab w:val="num" w:pos="2880"/>
        </w:tabs>
        <w:ind w:left="2880" w:hanging="360"/>
      </w:pPr>
      <w:rPr>
        <w:rFonts w:ascii="Arial" w:hAnsi="Arial" w:hint="default"/>
      </w:rPr>
    </w:lvl>
    <w:lvl w:ilvl="4" w:tplc="F34AE058" w:tentative="1">
      <w:start w:val="1"/>
      <w:numFmt w:val="bullet"/>
      <w:lvlText w:val="•"/>
      <w:lvlJc w:val="left"/>
      <w:pPr>
        <w:tabs>
          <w:tab w:val="num" w:pos="3600"/>
        </w:tabs>
        <w:ind w:left="3600" w:hanging="360"/>
      </w:pPr>
      <w:rPr>
        <w:rFonts w:ascii="Arial" w:hAnsi="Arial" w:hint="default"/>
      </w:rPr>
    </w:lvl>
    <w:lvl w:ilvl="5" w:tplc="242E5E36" w:tentative="1">
      <w:start w:val="1"/>
      <w:numFmt w:val="bullet"/>
      <w:lvlText w:val="•"/>
      <w:lvlJc w:val="left"/>
      <w:pPr>
        <w:tabs>
          <w:tab w:val="num" w:pos="4320"/>
        </w:tabs>
        <w:ind w:left="4320" w:hanging="360"/>
      </w:pPr>
      <w:rPr>
        <w:rFonts w:ascii="Arial" w:hAnsi="Arial" w:hint="default"/>
      </w:rPr>
    </w:lvl>
    <w:lvl w:ilvl="6" w:tplc="A9FA4DA8" w:tentative="1">
      <w:start w:val="1"/>
      <w:numFmt w:val="bullet"/>
      <w:lvlText w:val="•"/>
      <w:lvlJc w:val="left"/>
      <w:pPr>
        <w:tabs>
          <w:tab w:val="num" w:pos="5040"/>
        </w:tabs>
        <w:ind w:left="5040" w:hanging="360"/>
      </w:pPr>
      <w:rPr>
        <w:rFonts w:ascii="Arial" w:hAnsi="Arial" w:hint="default"/>
      </w:rPr>
    </w:lvl>
    <w:lvl w:ilvl="7" w:tplc="9DD8E47C" w:tentative="1">
      <w:start w:val="1"/>
      <w:numFmt w:val="bullet"/>
      <w:lvlText w:val="•"/>
      <w:lvlJc w:val="left"/>
      <w:pPr>
        <w:tabs>
          <w:tab w:val="num" w:pos="5760"/>
        </w:tabs>
        <w:ind w:left="5760" w:hanging="360"/>
      </w:pPr>
      <w:rPr>
        <w:rFonts w:ascii="Arial" w:hAnsi="Arial" w:hint="default"/>
      </w:rPr>
    </w:lvl>
    <w:lvl w:ilvl="8" w:tplc="EF6227D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5AA559C"/>
    <w:multiLevelType w:val="hybridMultilevel"/>
    <w:tmpl w:val="70644D74"/>
    <w:lvl w:ilvl="0" w:tplc="DCECF2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7B7063"/>
    <w:multiLevelType w:val="hybridMultilevel"/>
    <w:tmpl w:val="1AA824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0F1035"/>
    <w:multiLevelType w:val="hybridMultilevel"/>
    <w:tmpl w:val="6F30EEE4"/>
    <w:lvl w:ilvl="0" w:tplc="3C8AC7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4058DE"/>
    <w:multiLevelType w:val="hybridMultilevel"/>
    <w:tmpl w:val="53D805D8"/>
    <w:lvl w:ilvl="0" w:tplc="83749AE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B791865"/>
    <w:multiLevelType w:val="hybridMultilevel"/>
    <w:tmpl w:val="FFFFFFFF"/>
    <w:lvl w:ilvl="0" w:tplc="3738B236">
      <w:start w:val="1"/>
      <w:numFmt w:val="bullet"/>
      <w:lvlText w:val="·"/>
      <w:lvlJc w:val="left"/>
      <w:pPr>
        <w:ind w:left="720" w:hanging="360"/>
      </w:pPr>
      <w:rPr>
        <w:rFonts w:ascii="Symbol" w:hAnsi="Symbol" w:hint="default"/>
      </w:rPr>
    </w:lvl>
    <w:lvl w:ilvl="1" w:tplc="5A643352">
      <w:start w:val="1"/>
      <w:numFmt w:val="bullet"/>
      <w:lvlText w:val="o"/>
      <w:lvlJc w:val="left"/>
      <w:pPr>
        <w:ind w:left="1440" w:hanging="360"/>
      </w:pPr>
      <w:rPr>
        <w:rFonts w:ascii="Courier New" w:hAnsi="Courier New" w:hint="default"/>
      </w:rPr>
    </w:lvl>
    <w:lvl w:ilvl="2" w:tplc="4B58C94A">
      <w:start w:val="1"/>
      <w:numFmt w:val="bullet"/>
      <w:lvlText w:val=""/>
      <w:lvlJc w:val="left"/>
      <w:pPr>
        <w:ind w:left="2160" w:hanging="360"/>
      </w:pPr>
      <w:rPr>
        <w:rFonts w:ascii="Wingdings" w:hAnsi="Wingdings" w:hint="default"/>
      </w:rPr>
    </w:lvl>
    <w:lvl w:ilvl="3" w:tplc="D86400BC">
      <w:start w:val="1"/>
      <w:numFmt w:val="bullet"/>
      <w:lvlText w:val=""/>
      <w:lvlJc w:val="left"/>
      <w:pPr>
        <w:ind w:left="2880" w:hanging="360"/>
      </w:pPr>
      <w:rPr>
        <w:rFonts w:ascii="Symbol" w:hAnsi="Symbol" w:hint="default"/>
      </w:rPr>
    </w:lvl>
    <w:lvl w:ilvl="4" w:tplc="8A84512E">
      <w:start w:val="1"/>
      <w:numFmt w:val="bullet"/>
      <w:lvlText w:val="o"/>
      <w:lvlJc w:val="left"/>
      <w:pPr>
        <w:ind w:left="3600" w:hanging="360"/>
      </w:pPr>
      <w:rPr>
        <w:rFonts w:ascii="Courier New" w:hAnsi="Courier New" w:hint="default"/>
      </w:rPr>
    </w:lvl>
    <w:lvl w:ilvl="5" w:tplc="D632BCD8">
      <w:start w:val="1"/>
      <w:numFmt w:val="bullet"/>
      <w:lvlText w:val=""/>
      <w:lvlJc w:val="left"/>
      <w:pPr>
        <w:ind w:left="4320" w:hanging="360"/>
      </w:pPr>
      <w:rPr>
        <w:rFonts w:ascii="Wingdings" w:hAnsi="Wingdings" w:hint="default"/>
      </w:rPr>
    </w:lvl>
    <w:lvl w:ilvl="6" w:tplc="4250751A">
      <w:start w:val="1"/>
      <w:numFmt w:val="bullet"/>
      <w:lvlText w:val=""/>
      <w:lvlJc w:val="left"/>
      <w:pPr>
        <w:ind w:left="5040" w:hanging="360"/>
      </w:pPr>
      <w:rPr>
        <w:rFonts w:ascii="Symbol" w:hAnsi="Symbol" w:hint="default"/>
      </w:rPr>
    </w:lvl>
    <w:lvl w:ilvl="7" w:tplc="EE68AFB2">
      <w:start w:val="1"/>
      <w:numFmt w:val="bullet"/>
      <w:lvlText w:val="o"/>
      <w:lvlJc w:val="left"/>
      <w:pPr>
        <w:ind w:left="5760" w:hanging="360"/>
      </w:pPr>
      <w:rPr>
        <w:rFonts w:ascii="Courier New" w:hAnsi="Courier New" w:hint="default"/>
      </w:rPr>
    </w:lvl>
    <w:lvl w:ilvl="8" w:tplc="BBDA0F48">
      <w:start w:val="1"/>
      <w:numFmt w:val="bullet"/>
      <w:lvlText w:val=""/>
      <w:lvlJc w:val="left"/>
      <w:pPr>
        <w:ind w:left="6480" w:hanging="360"/>
      </w:pPr>
      <w:rPr>
        <w:rFonts w:ascii="Wingdings" w:hAnsi="Wingdings" w:hint="default"/>
      </w:rPr>
    </w:lvl>
  </w:abstractNum>
  <w:abstractNum w:abstractNumId="58" w15:restartNumberingAfterBreak="0">
    <w:nsid w:val="7DDA669C"/>
    <w:multiLevelType w:val="hybridMultilevel"/>
    <w:tmpl w:val="5FBE9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16271655">
    <w:abstractNumId w:val="34"/>
  </w:num>
  <w:num w:numId="2" w16cid:durableId="585112673">
    <w:abstractNumId w:val="35"/>
  </w:num>
  <w:num w:numId="3" w16cid:durableId="1036806753">
    <w:abstractNumId w:val="41"/>
  </w:num>
  <w:num w:numId="4" w16cid:durableId="2099984534">
    <w:abstractNumId w:val="12"/>
  </w:num>
  <w:num w:numId="5" w16cid:durableId="899368279">
    <w:abstractNumId w:val="38"/>
  </w:num>
  <w:num w:numId="6" w16cid:durableId="337734755">
    <w:abstractNumId w:val="8"/>
  </w:num>
  <w:num w:numId="7" w16cid:durableId="2004888835">
    <w:abstractNumId w:val="50"/>
  </w:num>
  <w:num w:numId="8" w16cid:durableId="1374816286">
    <w:abstractNumId w:val="19"/>
  </w:num>
  <w:num w:numId="9" w16cid:durableId="1455975706">
    <w:abstractNumId w:val="28"/>
  </w:num>
  <w:num w:numId="10" w16cid:durableId="1672176227">
    <w:abstractNumId w:val="43"/>
  </w:num>
  <w:num w:numId="11" w16cid:durableId="1644194710">
    <w:abstractNumId w:val="49"/>
  </w:num>
  <w:num w:numId="12" w16cid:durableId="1172838545">
    <w:abstractNumId w:val="11"/>
  </w:num>
  <w:num w:numId="13" w16cid:durableId="1995331121">
    <w:abstractNumId w:val="52"/>
  </w:num>
  <w:num w:numId="14" w16cid:durableId="1819373654">
    <w:abstractNumId w:val="44"/>
  </w:num>
  <w:num w:numId="15" w16cid:durableId="1605573874">
    <w:abstractNumId w:val="9"/>
  </w:num>
  <w:num w:numId="16" w16cid:durableId="156700074">
    <w:abstractNumId w:val="54"/>
  </w:num>
  <w:num w:numId="17" w16cid:durableId="2031713481">
    <w:abstractNumId w:val="51"/>
  </w:num>
  <w:num w:numId="18" w16cid:durableId="1980647241">
    <w:abstractNumId w:val="47"/>
  </w:num>
  <w:num w:numId="19" w16cid:durableId="378280955">
    <w:abstractNumId w:val="24"/>
  </w:num>
  <w:num w:numId="20" w16cid:durableId="1964656522">
    <w:abstractNumId w:val="33"/>
  </w:num>
  <w:num w:numId="21" w16cid:durableId="1519351036">
    <w:abstractNumId w:val="25"/>
  </w:num>
  <w:num w:numId="22" w16cid:durableId="1639187681">
    <w:abstractNumId w:val="45"/>
  </w:num>
  <w:num w:numId="23" w16cid:durableId="846333222">
    <w:abstractNumId w:val="39"/>
  </w:num>
  <w:num w:numId="24" w16cid:durableId="2128698281">
    <w:abstractNumId w:val="26"/>
  </w:num>
  <w:num w:numId="25" w16cid:durableId="1454901888">
    <w:abstractNumId w:val="3"/>
  </w:num>
  <w:num w:numId="26" w16cid:durableId="918100483">
    <w:abstractNumId w:val="7"/>
  </w:num>
  <w:num w:numId="27" w16cid:durableId="1915701451">
    <w:abstractNumId w:val="36"/>
  </w:num>
  <w:num w:numId="28" w16cid:durableId="723023454">
    <w:abstractNumId w:val="31"/>
  </w:num>
  <w:num w:numId="29" w16cid:durableId="629212307">
    <w:abstractNumId w:val="15"/>
  </w:num>
  <w:num w:numId="30" w16cid:durableId="2012487159">
    <w:abstractNumId w:val="32"/>
  </w:num>
  <w:num w:numId="31" w16cid:durableId="1279070355">
    <w:abstractNumId w:val="4"/>
  </w:num>
  <w:num w:numId="32" w16cid:durableId="1765570847">
    <w:abstractNumId w:val="55"/>
  </w:num>
  <w:num w:numId="33" w16cid:durableId="2247324">
    <w:abstractNumId w:val="56"/>
  </w:num>
  <w:num w:numId="34" w16cid:durableId="1083143026">
    <w:abstractNumId w:val="57"/>
  </w:num>
  <w:num w:numId="35" w16cid:durableId="1425302269">
    <w:abstractNumId w:val="40"/>
  </w:num>
  <w:num w:numId="36" w16cid:durableId="217784458">
    <w:abstractNumId w:val="1"/>
  </w:num>
  <w:num w:numId="37" w16cid:durableId="1304505643">
    <w:abstractNumId w:val="2"/>
  </w:num>
  <w:num w:numId="38" w16cid:durableId="2096243334">
    <w:abstractNumId w:val="16"/>
  </w:num>
  <w:num w:numId="39" w16cid:durableId="303313329">
    <w:abstractNumId w:val="10"/>
  </w:num>
  <w:num w:numId="40" w16cid:durableId="780997324">
    <w:abstractNumId w:val="42"/>
  </w:num>
  <w:num w:numId="41" w16cid:durableId="1152136319">
    <w:abstractNumId w:val="22"/>
  </w:num>
  <w:num w:numId="42" w16cid:durableId="1384057045">
    <w:abstractNumId w:val="5"/>
  </w:num>
  <w:num w:numId="43" w16cid:durableId="694692640">
    <w:abstractNumId w:val="13"/>
  </w:num>
  <w:num w:numId="44" w16cid:durableId="1732457371">
    <w:abstractNumId w:val="6"/>
  </w:num>
  <w:num w:numId="45" w16cid:durableId="1978417038">
    <w:abstractNumId w:val="48"/>
  </w:num>
  <w:num w:numId="46" w16cid:durableId="1596474357">
    <w:abstractNumId w:val="30"/>
  </w:num>
  <w:num w:numId="47" w16cid:durableId="1623465244">
    <w:abstractNumId w:val="53"/>
  </w:num>
  <w:num w:numId="48" w16cid:durableId="1032267271">
    <w:abstractNumId w:val="18"/>
  </w:num>
  <w:num w:numId="49" w16cid:durableId="1176580551">
    <w:abstractNumId w:val="37"/>
  </w:num>
  <w:num w:numId="50" w16cid:durableId="1971785806">
    <w:abstractNumId w:val="29"/>
  </w:num>
  <w:num w:numId="51" w16cid:durableId="2091652797">
    <w:abstractNumId w:val="0"/>
  </w:num>
  <w:num w:numId="52" w16cid:durableId="864438081">
    <w:abstractNumId w:val="27"/>
  </w:num>
  <w:num w:numId="53" w16cid:durableId="1263413821">
    <w:abstractNumId w:val="23"/>
  </w:num>
  <w:num w:numId="54" w16cid:durableId="2137093209">
    <w:abstractNumId w:val="58"/>
  </w:num>
  <w:num w:numId="55" w16cid:durableId="1014574336">
    <w:abstractNumId w:val="20"/>
  </w:num>
  <w:num w:numId="56" w16cid:durableId="779646654">
    <w:abstractNumId w:val="14"/>
  </w:num>
  <w:num w:numId="57" w16cid:durableId="1530216956">
    <w:abstractNumId w:val="21"/>
  </w:num>
  <w:num w:numId="58" w16cid:durableId="80566632">
    <w:abstractNumId w:val="17"/>
  </w:num>
  <w:num w:numId="59" w16cid:durableId="1268541979">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D2"/>
    <w:rsid w:val="000012CD"/>
    <w:rsid w:val="000014EC"/>
    <w:rsid w:val="00001963"/>
    <w:rsid w:val="0000212B"/>
    <w:rsid w:val="00002750"/>
    <w:rsid w:val="000027BC"/>
    <w:rsid w:val="000034E2"/>
    <w:rsid w:val="00003AA2"/>
    <w:rsid w:val="00003B2C"/>
    <w:rsid w:val="00007723"/>
    <w:rsid w:val="000102E3"/>
    <w:rsid w:val="00010756"/>
    <w:rsid w:val="00010E04"/>
    <w:rsid w:val="00010EBB"/>
    <w:rsid w:val="000112FC"/>
    <w:rsid w:val="00015B07"/>
    <w:rsid w:val="00015E33"/>
    <w:rsid w:val="000173E9"/>
    <w:rsid w:val="0001790A"/>
    <w:rsid w:val="00017F60"/>
    <w:rsid w:val="0002494A"/>
    <w:rsid w:val="00025DC7"/>
    <w:rsid w:val="00026928"/>
    <w:rsid w:val="0002762B"/>
    <w:rsid w:val="00031345"/>
    <w:rsid w:val="0003149E"/>
    <w:rsid w:val="00031624"/>
    <w:rsid w:val="00031EBF"/>
    <w:rsid w:val="00032E0D"/>
    <w:rsid w:val="0003360F"/>
    <w:rsid w:val="0003364C"/>
    <w:rsid w:val="00034C7F"/>
    <w:rsid w:val="00034E57"/>
    <w:rsid w:val="00034F02"/>
    <w:rsid w:val="000358A3"/>
    <w:rsid w:val="00035ED1"/>
    <w:rsid w:val="000362E6"/>
    <w:rsid w:val="00036AB0"/>
    <w:rsid w:val="00037C69"/>
    <w:rsid w:val="00041399"/>
    <w:rsid w:val="00042103"/>
    <w:rsid w:val="0004425E"/>
    <w:rsid w:val="00046D0A"/>
    <w:rsid w:val="000473C4"/>
    <w:rsid w:val="00055179"/>
    <w:rsid w:val="0005526A"/>
    <w:rsid w:val="00056D5A"/>
    <w:rsid w:val="00056DF2"/>
    <w:rsid w:val="00057DFA"/>
    <w:rsid w:val="000601E8"/>
    <w:rsid w:val="00061955"/>
    <w:rsid w:val="00061D93"/>
    <w:rsid w:val="00062F75"/>
    <w:rsid w:val="00063DB3"/>
    <w:rsid w:val="00066AA7"/>
    <w:rsid w:val="00067076"/>
    <w:rsid w:val="00070328"/>
    <w:rsid w:val="0007042D"/>
    <w:rsid w:val="000709D9"/>
    <w:rsid w:val="0007395A"/>
    <w:rsid w:val="00075F6E"/>
    <w:rsid w:val="000760CF"/>
    <w:rsid w:val="0007632F"/>
    <w:rsid w:val="00081F72"/>
    <w:rsid w:val="00082BB3"/>
    <w:rsid w:val="00083C69"/>
    <w:rsid w:val="00085984"/>
    <w:rsid w:val="00086225"/>
    <w:rsid w:val="00086298"/>
    <w:rsid w:val="00087505"/>
    <w:rsid w:val="00087FED"/>
    <w:rsid w:val="0009026C"/>
    <w:rsid w:val="00090C12"/>
    <w:rsid w:val="00093267"/>
    <w:rsid w:val="00094276"/>
    <w:rsid w:val="000944D6"/>
    <w:rsid w:val="000955A6"/>
    <w:rsid w:val="000961E5"/>
    <w:rsid w:val="000A057D"/>
    <w:rsid w:val="000A15FF"/>
    <w:rsid w:val="000A2211"/>
    <w:rsid w:val="000A2590"/>
    <w:rsid w:val="000A45FB"/>
    <w:rsid w:val="000A46C0"/>
    <w:rsid w:val="000A7747"/>
    <w:rsid w:val="000A7952"/>
    <w:rsid w:val="000A7C89"/>
    <w:rsid w:val="000B08D7"/>
    <w:rsid w:val="000B18D8"/>
    <w:rsid w:val="000B1C51"/>
    <w:rsid w:val="000B30A6"/>
    <w:rsid w:val="000B48DE"/>
    <w:rsid w:val="000B4DDF"/>
    <w:rsid w:val="000B59A7"/>
    <w:rsid w:val="000B6082"/>
    <w:rsid w:val="000C0EEB"/>
    <w:rsid w:val="000C1B1F"/>
    <w:rsid w:val="000C345C"/>
    <w:rsid w:val="000C46A3"/>
    <w:rsid w:val="000C6286"/>
    <w:rsid w:val="000C63D2"/>
    <w:rsid w:val="000C6915"/>
    <w:rsid w:val="000D27D9"/>
    <w:rsid w:val="000E1A02"/>
    <w:rsid w:val="000E1B42"/>
    <w:rsid w:val="000E2985"/>
    <w:rsid w:val="000E2AF7"/>
    <w:rsid w:val="000E2E7D"/>
    <w:rsid w:val="000E3007"/>
    <w:rsid w:val="000E328F"/>
    <w:rsid w:val="000E5AB7"/>
    <w:rsid w:val="000E6A3E"/>
    <w:rsid w:val="000E770D"/>
    <w:rsid w:val="000F1FB9"/>
    <w:rsid w:val="000F29C2"/>
    <w:rsid w:val="000F531B"/>
    <w:rsid w:val="000F5B7A"/>
    <w:rsid w:val="000F6FBB"/>
    <w:rsid w:val="000F722C"/>
    <w:rsid w:val="000F7C07"/>
    <w:rsid w:val="00100595"/>
    <w:rsid w:val="00102A23"/>
    <w:rsid w:val="00104970"/>
    <w:rsid w:val="00104E84"/>
    <w:rsid w:val="001059D0"/>
    <w:rsid w:val="00106E11"/>
    <w:rsid w:val="00107478"/>
    <w:rsid w:val="001108B0"/>
    <w:rsid w:val="00110ADB"/>
    <w:rsid w:val="00111C0C"/>
    <w:rsid w:val="001126AE"/>
    <w:rsid w:val="001130FB"/>
    <w:rsid w:val="00114438"/>
    <w:rsid w:val="00116E85"/>
    <w:rsid w:val="00120920"/>
    <w:rsid w:val="00121B94"/>
    <w:rsid w:val="00121DBE"/>
    <w:rsid w:val="00121DD4"/>
    <w:rsid w:val="00124112"/>
    <w:rsid w:val="0012513F"/>
    <w:rsid w:val="0012669D"/>
    <w:rsid w:val="00130AEB"/>
    <w:rsid w:val="00131153"/>
    <w:rsid w:val="0013501F"/>
    <w:rsid w:val="00137213"/>
    <w:rsid w:val="00140158"/>
    <w:rsid w:val="00141096"/>
    <w:rsid w:val="00142133"/>
    <w:rsid w:val="00142787"/>
    <w:rsid w:val="00145267"/>
    <w:rsid w:val="0014605A"/>
    <w:rsid w:val="001460EC"/>
    <w:rsid w:val="00146CE6"/>
    <w:rsid w:val="001479E9"/>
    <w:rsid w:val="00150977"/>
    <w:rsid w:val="00151CDD"/>
    <w:rsid w:val="00154E56"/>
    <w:rsid w:val="0015604F"/>
    <w:rsid w:val="0015679E"/>
    <w:rsid w:val="00157CC1"/>
    <w:rsid w:val="00160EBC"/>
    <w:rsid w:val="00161E81"/>
    <w:rsid w:val="001641DD"/>
    <w:rsid w:val="0016514F"/>
    <w:rsid w:val="00166FF1"/>
    <w:rsid w:val="001678E2"/>
    <w:rsid w:val="00167F8A"/>
    <w:rsid w:val="0017125A"/>
    <w:rsid w:val="00176529"/>
    <w:rsid w:val="00176ACC"/>
    <w:rsid w:val="001803ED"/>
    <w:rsid w:val="00181101"/>
    <w:rsid w:val="001831DF"/>
    <w:rsid w:val="0018491C"/>
    <w:rsid w:val="00187191"/>
    <w:rsid w:val="001875E7"/>
    <w:rsid w:val="00187D69"/>
    <w:rsid w:val="00190B99"/>
    <w:rsid w:val="00191FE0"/>
    <w:rsid w:val="001925B4"/>
    <w:rsid w:val="00193392"/>
    <w:rsid w:val="00193E0D"/>
    <w:rsid w:val="001959B2"/>
    <w:rsid w:val="0019770C"/>
    <w:rsid w:val="001A1ED4"/>
    <w:rsid w:val="001A1FE7"/>
    <w:rsid w:val="001A2C27"/>
    <w:rsid w:val="001A4E67"/>
    <w:rsid w:val="001A5080"/>
    <w:rsid w:val="001A5D2C"/>
    <w:rsid w:val="001A6BB7"/>
    <w:rsid w:val="001B0533"/>
    <w:rsid w:val="001B4931"/>
    <w:rsid w:val="001B7600"/>
    <w:rsid w:val="001C1634"/>
    <w:rsid w:val="001C6E2C"/>
    <w:rsid w:val="001C6EF3"/>
    <w:rsid w:val="001C756D"/>
    <w:rsid w:val="001D09BD"/>
    <w:rsid w:val="001D0E6E"/>
    <w:rsid w:val="001D228E"/>
    <w:rsid w:val="001D2695"/>
    <w:rsid w:val="001D4DBD"/>
    <w:rsid w:val="001D6082"/>
    <w:rsid w:val="001D68C2"/>
    <w:rsid w:val="001D6F2D"/>
    <w:rsid w:val="001E2197"/>
    <w:rsid w:val="001E3662"/>
    <w:rsid w:val="001E3EE1"/>
    <w:rsid w:val="001E41EA"/>
    <w:rsid w:val="001E4600"/>
    <w:rsid w:val="001E579F"/>
    <w:rsid w:val="001E693F"/>
    <w:rsid w:val="001F039A"/>
    <w:rsid w:val="001F106C"/>
    <w:rsid w:val="001F1440"/>
    <w:rsid w:val="001F2F9C"/>
    <w:rsid w:val="001F603A"/>
    <w:rsid w:val="001F6B62"/>
    <w:rsid w:val="001F6BAC"/>
    <w:rsid w:val="001F75C2"/>
    <w:rsid w:val="001F769F"/>
    <w:rsid w:val="002022BD"/>
    <w:rsid w:val="002024C0"/>
    <w:rsid w:val="002025AA"/>
    <w:rsid w:val="0020262B"/>
    <w:rsid w:val="0020322B"/>
    <w:rsid w:val="0020323D"/>
    <w:rsid w:val="00205147"/>
    <w:rsid w:val="002067E7"/>
    <w:rsid w:val="002073B1"/>
    <w:rsid w:val="0020761D"/>
    <w:rsid w:val="0021032C"/>
    <w:rsid w:val="0021062B"/>
    <w:rsid w:val="00210844"/>
    <w:rsid w:val="00210DB0"/>
    <w:rsid w:val="00210EA3"/>
    <w:rsid w:val="00212929"/>
    <w:rsid w:val="0021333A"/>
    <w:rsid w:val="00214105"/>
    <w:rsid w:val="0021584B"/>
    <w:rsid w:val="002158A4"/>
    <w:rsid w:val="00216DE5"/>
    <w:rsid w:val="00217532"/>
    <w:rsid w:val="00221E54"/>
    <w:rsid w:val="00223880"/>
    <w:rsid w:val="002249EB"/>
    <w:rsid w:val="00224D3A"/>
    <w:rsid w:val="00225B28"/>
    <w:rsid w:val="00226F52"/>
    <w:rsid w:val="00230AAF"/>
    <w:rsid w:val="002317A9"/>
    <w:rsid w:val="00231B32"/>
    <w:rsid w:val="00235D2B"/>
    <w:rsid w:val="002363A7"/>
    <w:rsid w:val="00237B02"/>
    <w:rsid w:val="002414FC"/>
    <w:rsid w:val="00244015"/>
    <w:rsid w:val="00250299"/>
    <w:rsid w:val="00250A7E"/>
    <w:rsid w:val="002540C2"/>
    <w:rsid w:val="00254C72"/>
    <w:rsid w:val="002572E8"/>
    <w:rsid w:val="002619E3"/>
    <w:rsid w:val="002643A5"/>
    <w:rsid w:val="0026487C"/>
    <w:rsid w:val="0026576E"/>
    <w:rsid w:val="00266592"/>
    <w:rsid w:val="002667B0"/>
    <w:rsid w:val="00266E8C"/>
    <w:rsid w:val="0026752A"/>
    <w:rsid w:val="00267562"/>
    <w:rsid w:val="00267615"/>
    <w:rsid w:val="00267F5F"/>
    <w:rsid w:val="002718E5"/>
    <w:rsid w:val="002718F9"/>
    <w:rsid w:val="00271C32"/>
    <w:rsid w:val="00272497"/>
    <w:rsid w:val="00272EB8"/>
    <w:rsid w:val="0027595B"/>
    <w:rsid w:val="002769C6"/>
    <w:rsid w:val="00277C88"/>
    <w:rsid w:val="00277FA3"/>
    <w:rsid w:val="00283070"/>
    <w:rsid w:val="00284B38"/>
    <w:rsid w:val="00286DC3"/>
    <w:rsid w:val="0028784A"/>
    <w:rsid w:val="00287B25"/>
    <w:rsid w:val="002902C9"/>
    <w:rsid w:val="00290D5E"/>
    <w:rsid w:val="00291B9E"/>
    <w:rsid w:val="00291E50"/>
    <w:rsid w:val="002925B9"/>
    <w:rsid w:val="00294E38"/>
    <w:rsid w:val="0029575C"/>
    <w:rsid w:val="00295864"/>
    <w:rsid w:val="00295929"/>
    <w:rsid w:val="00295DE3"/>
    <w:rsid w:val="00296F8B"/>
    <w:rsid w:val="002A0B5A"/>
    <w:rsid w:val="002A0EFC"/>
    <w:rsid w:val="002A1C31"/>
    <w:rsid w:val="002A4447"/>
    <w:rsid w:val="002A5EBA"/>
    <w:rsid w:val="002A7580"/>
    <w:rsid w:val="002A7CAF"/>
    <w:rsid w:val="002A7D34"/>
    <w:rsid w:val="002B0294"/>
    <w:rsid w:val="002B1A6F"/>
    <w:rsid w:val="002B29B2"/>
    <w:rsid w:val="002B485F"/>
    <w:rsid w:val="002B4E5F"/>
    <w:rsid w:val="002B6852"/>
    <w:rsid w:val="002B7531"/>
    <w:rsid w:val="002C0048"/>
    <w:rsid w:val="002C1B8B"/>
    <w:rsid w:val="002C1CBF"/>
    <w:rsid w:val="002C5986"/>
    <w:rsid w:val="002D14EC"/>
    <w:rsid w:val="002D154F"/>
    <w:rsid w:val="002D199D"/>
    <w:rsid w:val="002D2679"/>
    <w:rsid w:val="002D2947"/>
    <w:rsid w:val="002D5091"/>
    <w:rsid w:val="002E0585"/>
    <w:rsid w:val="002E22EA"/>
    <w:rsid w:val="002E4407"/>
    <w:rsid w:val="002E4A08"/>
    <w:rsid w:val="002E6513"/>
    <w:rsid w:val="002F16ED"/>
    <w:rsid w:val="002F2A30"/>
    <w:rsid w:val="00302376"/>
    <w:rsid w:val="00302A65"/>
    <w:rsid w:val="00305A67"/>
    <w:rsid w:val="00306B24"/>
    <w:rsid w:val="00306C04"/>
    <w:rsid w:val="00307D70"/>
    <w:rsid w:val="0031003B"/>
    <w:rsid w:val="00311F9D"/>
    <w:rsid w:val="0031441D"/>
    <w:rsid w:val="00314D16"/>
    <w:rsid w:val="00321030"/>
    <w:rsid w:val="00321464"/>
    <w:rsid w:val="00323428"/>
    <w:rsid w:val="00324273"/>
    <w:rsid w:val="00325062"/>
    <w:rsid w:val="00325BBF"/>
    <w:rsid w:val="00325F72"/>
    <w:rsid w:val="00326178"/>
    <w:rsid w:val="00326B5F"/>
    <w:rsid w:val="003271CB"/>
    <w:rsid w:val="0032731B"/>
    <w:rsid w:val="00327F0C"/>
    <w:rsid w:val="00330F8D"/>
    <w:rsid w:val="003329A1"/>
    <w:rsid w:val="00334123"/>
    <w:rsid w:val="0033488E"/>
    <w:rsid w:val="00337B4C"/>
    <w:rsid w:val="00341942"/>
    <w:rsid w:val="003420B9"/>
    <w:rsid w:val="00342578"/>
    <w:rsid w:val="00342820"/>
    <w:rsid w:val="00343210"/>
    <w:rsid w:val="00344EFE"/>
    <w:rsid w:val="00346216"/>
    <w:rsid w:val="0035039C"/>
    <w:rsid w:val="00350A6F"/>
    <w:rsid w:val="00350F0B"/>
    <w:rsid w:val="00351542"/>
    <w:rsid w:val="00352752"/>
    <w:rsid w:val="003535B3"/>
    <w:rsid w:val="00353CDE"/>
    <w:rsid w:val="003564FC"/>
    <w:rsid w:val="00357600"/>
    <w:rsid w:val="00360117"/>
    <w:rsid w:val="0036094D"/>
    <w:rsid w:val="003621C8"/>
    <w:rsid w:val="00363CB6"/>
    <w:rsid w:val="00364E93"/>
    <w:rsid w:val="0036569F"/>
    <w:rsid w:val="003665D1"/>
    <w:rsid w:val="003678D9"/>
    <w:rsid w:val="00367C32"/>
    <w:rsid w:val="00367E70"/>
    <w:rsid w:val="003710E4"/>
    <w:rsid w:val="0037466F"/>
    <w:rsid w:val="00374F81"/>
    <w:rsid w:val="00375592"/>
    <w:rsid w:val="00376722"/>
    <w:rsid w:val="00376DEF"/>
    <w:rsid w:val="00377C58"/>
    <w:rsid w:val="00383D48"/>
    <w:rsid w:val="0038742E"/>
    <w:rsid w:val="003903BB"/>
    <w:rsid w:val="0039109A"/>
    <w:rsid w:val="00392463"/>
    <w:rsid w:val="00392645"/>
    <w:rsid w:val="003931D3"/>
    <w:rsid w:val="00394410"/>
    <w:rsid w:val="00394EB6"/>
    <w:rsid w:val="00396C54"/>
    <w:rsid w:val="00397436"/>
    <w:rsid w:val="003A1B0A"/>
    <w:rsid w:val="003A280E"/>
    <w:rsid w:val="003A40AF"/>
    <w:rsid w:val="003A484F"/>
    <w:rsid w:val="003A4A02"/>
    <w:rsid w:val="003A5686"/>
    <w:rsid w:val="003A7D7C"/>
    <w:rsid w:val="003B0409"/>
    <w:rsid w:val="003B0AAD"/>
    <w:rsid w:val="003B1A5F"/>
    <w:rsid w:val="003B22D0"/>
    <w:rsid w:val="003B3BD2"/>
    <w:rsid w:val="003B42AA"/>
    <w:rsid w:val="003B52A3"/>
    <w:rsid w:val="003B53E2"/>
    <w:rsid w:val="003B5718"/>
    <w:rsid w:val="003B64C9"/>
    <w:rsid w:val="003B7BC9"/>
    <w:rsid w:val="003C0EEF"/>
    <w:rsid w:val="003C0FFC"/>
    <w:rsid w:val="003C3A3B"/>
    <w:rsid w:val="003C4252"/>
    <w:rsid w:val="003D02BF"/>
    <w:rsid w:val="003D0D49"/>
    <w:rsid w:val="003D18F0"/>
    <w:rsid w:val="003D1C8D"/>
    <w:rsid w:val="003D1D4A"/>
    <w:rsid w:val="003D1FEB"/>
    <w:rsid w:val="003D2409"/>
    <w:rsid w:val="003D2EE4"/>
    <w:rsid w:val="003D3E9B"/>
    <w:rsid w:val="003D5B8F"/>
    <w:rsid w:val="003E2A33"/>
    <w:rsid w:val="003E4435"/>
    <w:rsid w:val="003E7041"/>
    <w:rsid w:val="003E70BF"/>
    <w:rsid w:val="003E73D6"/>
    <w:rsid w:val="003E765E"/>
    <w:rsid w:val="003F03B1"/>
    <w:rsid w:val="003F18BE"/>
    <w:rsid w:val="003F360F"/>
    <w:rsid w:val="003F430D"/>
    <w:rsid w:val="003F4FC2"/>
    <w:rsid w:val="003F5976"/>
    <w:rsid w:val="004020DB"/>
    <w:rsid w:val="004033C5"/>
    <w:rsid w:val="004033CE"/>
    <w:rsid w:val="00404B03"/>
    <w:rsid w:val="004063F8"/>
    <w:rsid w:val="00407B81"/>
    <w:rsid w:val="00410451"/>
    <w:rsid w:val="00411E77"/>
    <w:rsid w:val="00411FC1"/>
    <w:rsid w:val="004129DC"/>
    <w:rsid w:val="00414141"/>
    <w:rsid w:val="00414192"/>
    <w:rsid w:val="00414EFE"/>
    <w:rsid w:val="00415893"/>
    <w:rsid w:val="00415C1D"/>
    <w:rsid w:val="00416534"/>
    <w:rsid w:val="00422EC9"/>
    <w:rsid w:val="00422F57"/>
    <w:rsid w:val="0042411B"/>
    <w:rsid w:val="004243A3"/>
    <w:rsid w:val="0042665F"/>
    <w:rsid w:val="004268BE"/>
    <w:rsid w:val="004307EC"/>
    <w:rsid w:val="00430987"/>
    <w:rsid w:val="00430FDB"/>
    <w:rsid w:val="00431136"/>
    <w:rsid w:val="00431FF7"/>
    <w:rsid w:val="00432045"/>
    <w:rsid w:val="00432F19"/>
    <w:rsid w:val="0043372C"/>
    <w:rsid w:val="004417DB"/>
    <w:rsid w:val="0044214A"/>
    <w:rsid w:val="00443748"/>
    <w:rsid w:val="00446A09"/>
    <w:rsid w:val="00446B16"/>
    <w:rsid w:val="004472F4"/>
    <w:rsid w:val="004508FA"/>
    <w:rsid w:val="00451159"/>
    <w:rsid w:val="00451170"/>
    <w:rsid w:val="0045328A"/>
    <w:rsid w:val="0045343D"/>
    <w:rsid w:val="00453546"/>
    <w:rsid w:val="004538F3"/>
    <w:rsid w:val="00454EC0"/>
    <w:rsid w:val="00455C6A"/>
    <w:rsid w:val="00460556"/>
    <w:rsid w:val="00463967"/>
    <w:rsid w:val="00466CD3"/>
    <w:rsid w:val="0046734A"/>
    <w:rsid w:val="00467498"/>
    <w:rsid w:val="004723E9"/>
    <w:rsid w:val="0047287E"/>
    <w:rsid w:val="00474D4C"/>
    <w:rsid w:val="00474FC8"/>
    <w:rsid w:val="004755BD"/>
    <w:rsid w:val="0047677D"/>
    <w:rsid w:val="00476D0F"/>
    <w:rsid w:val="00481E28"/>
    <w:rsid w:val="0048253A"/>
    <w:rsid w:val="0048283D"/>
    <w:rsid w:val="00483778"/>
    <w:rsid w:val="004848FD"/>
    <w:rsid w:val="00484D0B"/>
    <w:rsid w:val="004856F9"/>
    <w:rsid w:val="00486D47"/>
    <w:rsid w:val="00491688"/>
    <w:rsid w:val="004918FE"/>
    <w:rsid w:val="00492881"/>
    <w:rsid w:val="00495152"/>
    <w:rsid w:val="00495EAE"/>
    <w:rsid w:val="00496E6F"/>
    <w:rsid w:val="00497FA2"/>
    <w:rsid w:val="004A046C"/>
    <w:rsid w:val="004A0F74"/>
    <w:rsid w:val="004A41A7"/>
    <w:rsid w:val="004A4B5C"/>
    <w:rsid w:val="004A50ED"/>
    <w:rsid w:val="004B029C"/>
    <w:rsid w:val="004B0F8A"/>
    <w:rsid w:val="004B11C3"/>
    <w:rsid w:val="004B122E"/>
    <w:rsid w:val="004B177A"/>
    <w:rsid w:val="004B1DD0"/>
    <w:rsid w:val="004B56C4"/>
    <w:rsid w:val="004B6ADB"/>
    <w:rsid w:val="004B7E6C"/>
    <w:rsid w:val="004C10BD"/>
    <w:rsid w:val="004C14FE"/>
    <w:rsid w:val="004C21AF"/>
    <w:rsid w:val="004C2B04"/>
    <w:rsid w:val="004C2B20"/>
    <w:rsid w:val="004C3D56"/>
    <w:rsid w:val="004C471E"/>
    <w:rsid w:val="004C6D17"/>
    <w:rsid w:val="004D08AB"/>
    <w:rsid w:val="004D2E3D"/>
    <w:rsid w:val="004D32A3"/>
    <w:rsid w:val="004D35EC"/>
    <w:rsid w:val="004D4D0F"/>
    <w:rsid w:val="004D5A22"/>
    <w:rsid w:val="004D708C"/>
    <w:rsid w:val="004E069D"/>
    <w:rsid w:val="004E3197"/>
    <w:rsid w:val="004E320E"/>
    <w:rsid w:val="004E3346"/>
    <w:rsid w:val="004E4B02"/>
    <w:rsid w:val="004E4D57"/>
    <w:rsid w:val="004E515F"/>
    <w:rsid w:val="004E64D5"/>
    <w:rsid w:val="004E72BE"/>
    <w:rsid w:val="004E7943"/>
    <w:rsid w:val="004F0913"/>
    <w:rsid w:val="004F39F3"/>
    <w:rsid w:val="004F7274"/>
    <w:rsid w:val="004F7B00"/>
    <w:rsid w:val="004F7F7A"/>
    <w:rsid w:val="005001F7"/>
    <w:rsid w:val="005025E1"/>
    <w:rsid w:val="00502E02"/>
    <w:rsid w:val="005038EF"/>
    <w:rsid w:val="00504F97"/>
    <w:rsid w:val="005059F6"/>
    <w:rsid w:val="00505E39"/>
    <w:rsid w:val="00507248"/>
    <w:rsid w:val="0051008B"/>
    <w:rsid w:val="00510405"/>
    <w:rsid w:val="005106BC"/>
    <w:rsid w:val="00510C7D"/>
    <w:rsid w:val="0051101D"/>
    <w:rsid w:val="00511AF9"/>
    <w:rsid w:val="00512351"/>
    <w:rsid w:val="0051379B"/>
    <w:rsid w:val="005142EE"/>
    <w:rsid w:val="00517070"/>
    <w:rsid w:val="005173EB"/>
    <w:rsid w:val="005211C6"/>
    <w:rsid w:val="00521665"/>
    <w:rsid w:val="0052204E"/>
    <w:rsid w:val="0052232C"/>
    <w:rsid w:val="00522C95"/>
    <w:rsid w:val="00526438"/>
    <w:rsid w:val="005269D3"/>
    <w:rsid w:val="005276A1"/>
    <w:rsid w:val="00527E61"/>
    <w:rsid w:val="00530906"/>
    <w:rsid w:val="005341FD"/>
    <w:rsid w:val="0053537E"/>
    <w:rsid w:val="00535A86"/>
    <w:rsid w:val="0054190D"/>
    <w:rsid w:val="00541FD6"/>
    <w:rsid w:val="00542B19"/>
    <w:rsid w:val="0054517E"/>
    <w:rsid w:val="005474A9"/>
    <w:rsid w:val="00550E12"/>
    <w:rsid w:val="00550FD2"/>
    <w:rsid w:val="00553C8F"/>
    <w:rsid w:val="005550CA"/>
    <w:rsid w:val="0055526E"/>
    <w:rsid w:val="005554FB"/>
    <w:rsid w:val="00556124"/>
    <w:rsid w:val="00556E0E"/>
    <w:rsid w:val="00560646"/>
    <w:rsid w:val="005608F8"/>
    <w:rsid w:val="00560D4F"/>
    <w:rsid w:val="00561D31"/>
    <w:rsid w:val="00562D9F"/>
    <w:rsid w:val="00562F74"/>
    <w:rsid w:val="005630FA"/>
    <w:rsid w:val="00564608"/>
    <w:rsid w:val="00564D73"/>
    <w:rsid w:val="00566062"/>
    <w:rsid w:val="00566FE2"/>
    <w:rsid w:val="0056703C"/>
    <w:rsid w:val="00567203"/>
    <w:rsid w:val="00567576"/>
    <w:rsid w:val="005712C3"/>
    <w:rsid w:val="00571797"/>
    <w:rsid w:val="0057321A"/>
    <w:rsid w:val="0057354F"/>
    <w:rsid w:val="00574398"/>
    <w:rsid w:val="005753A3"/>
    <w:rsid w:val="00576EF3"/>
    <w:rsid w:val="00580408"/>
    <w:rsid w:val="005812FA"/>
    <w:rsid w:val="0058233D"/>
    <w:rsid w:val="00582EA1"/>
    <w:rsid w:val="00583278"/>
    <w:rsid w:val="005838E6"/>
    <w:rsid w:val="00584264"/>
    <w:rsid w:val="0058517C"/>
    <w:rsid w:val="0058543F"/>
    <w:rsid w:val="00585F9C"/>
    <w:rsid w:val="005868FC"/>
    <w:rsid w:val="00586B99"/>
    <w:rsid w:val="00586F80"/>
    <w:rsid w:val="0059068F"/>
    <w:rsid w:val="00590BF4"/>
    <w:rsid w:val="005931B3"/>
    <w:rsid w:val="00593237"/>
    <w:rsid w:val="005932CE"/>
    <w:rsid w:val="005935A0"/>
    <w:rsid w:val="0059544A"/>
    <w:rsid w:val="00596EFD"/>
    <w:rsid w:val="005A1D8D"/>
    <w:rsid w:val="005A2591"/>
    <w:rsid w:val="005A5CC4"/>
    <w:rsid w:val="005B1A3B"/>
    <w:rsid w:val="005B1FA7"/>
    <w:rsid w:val="005B2337"/>
    <w:rsid w:val="005B2811"/>
    <w:rsid w:val="005B3193"/>
    <w:rsid w:val="005B48E3"/>
    <w:rsid w:val="005B4994"/>
    <w:rsid w:val="005B4CB4"/>
    <w:rsid w:val="005B4D63"/>
    <w:rsid w:val="005C0A27"/>
    <w:rsid w:val="005C0D66"/>
    <w:rsid w:val="005C0EDB"/>
    <w:rsid w:val="005C1484"/>
    <w:rsid w:val="005C26E2"/>
    <w:rsid w:val="005C33BF"/>
    <w:rsid w:val="005C4FFD"/>
    <w:rsid w:val="005C5CB1"/>
    <w:rsid w:val="005C6C47"/>
    <w:rsid w:val="005C6FC5"/>
    <w:rsid w:val="005C743C"/>
    <w:rsid w:val="005D055E"/>
    <w:rsid w:val="005D45EA"/>
    <w:rsid w:val="005D480D"/>
    <w:rsid w:val="005D5B77"/>
    <w:rsid w:val="005D643F"/>
    <w:rsid w:val="005E0F47"/>
    <w:rsid w:val="005E2218"/>
    <w:rsid w:val="005E3084"/>
    <w:rsid w:val="005E390D"/>
    <w:rsid w:val="005E5DFD"/>
    <w:rsid w:val="005E7B9B"/>
    <w:rsid w:val="005F06F7"/>
    <w:rsid w:val="005F1BD4"/>
    <w:rsid w:val="005F238F"/>
    <w:rsid w:val="005F4603"/>
    <w:rsid w:val="005F46A8"/>
    <w:rsid w:val="005F596E"/>
    <w:rsid w:val="005F6F8B"/>
    <w:rsid w:val="00602F69"/>
    <w:rsid w:val="006046D2"/>
    <w:rsid w:val="00604738"/>
    <w:rsid w:val="00606538"/>
    <w:rsid w:val="006103CD"/>
    <w:rsid w:val="006122C0"/>
    <w:rsid w:val="006133E5"/>
    <w:rsid w:val="006208AB"/>
    <w:rsid w:val="00623679"/>
    <w:rsid w:val="00624FD2"/>
    <w:rsid w:val="006271DF"/>
    <w:rsid w:val="00627D07"/>
    <w:rsid w:val="006317C4"/>
    <w:rsid w:val="006330D4"/>
    <w:rsid w:val="006332E9"/>
    <w:rsid w:val="00635CB1"/>
    <w:rsid w:val="00635E1F"/>
    <w:rsid w:val="006368A9"/>
    <w:rsid w:val="00636D5A"/>
    <w:rsid w:val="00640450"/>
    <w:rsid w:val="00643A32"/>
    <w:rsid w:val="00645338"/>
    <w:rsid w:val="00645609"/>
    <w:rsid w:val="00645C6D"/>
    <w:rsid w:val="00646672"/>
    <w:rsid w:val="006470A7"/>
    <w:rsid w:val="006502F2"/>
    <w:rsid w:val="00651836"/>
    <w:rsid w:val="00651C6E"/>
    <w:rsid w:val="00652F1A"/>
    <w:rsid w:val="00655FC6"/>
    <w:rsid w:val="006561D4"/>
    <w:rsid w:val="00656401"/>
    <w:rsid w:val="006569E1"/>
    <w:rsid w:val="00656FAB"/>
    <w:rsid w:val="0065758D"/>
    <w:rsid w:val="00657E9D"/>
    <w:rsid w:val="0066013A"/>
    <w:rsid w:val="0066027A"/>
    <w:rsid w:val="00660BA6"/>
    <w:rsid w:val="00662102"/>
    <w:rsid w:val="00662EBA"/>
    <w:rsid w:val="00663152"/>
    <w:rsid w:val="00666DFA"/>
    <w:rsid w:val="00667E0B"/>
    <w:rsid w:val="00670497"/>
    <w:rsid w:val="00671903"/>
    <w:rsid w:val="00672E3C"/>
    <w:rsid w:val="00672F1B"/>
    <w:rsid w:val="00672F89"/>
    <w:rsid w:val="0068017D"/>
    <w:rsid w:val="006801C6"/>
    <w:rsid w:val="006819F7"/>
    <w:rsid w:val="00684A90"/>
    <w:rsid w:val="00685001"/>
    <w:rsid w:val="00686D75"/>
    <w:rsid w:val="006878B0"/>
    <w:rsid w:val="006905D1"/>
    <w:rsid w:val="006910F5"/>
    <w:rsid w:val="0069181C"/>
    <w:rsid w:val="0069249B"/>
    <w:rsid w:val="00693325"/>
    <w:rsid w:val="00693C53"/>
    <w:rsid w:val="00693FEF"/>
    <w:rsid w:val="00694B53"/>
    <w:rsid w:val="00694C04"/>
    <w:rsid w:val="00695B9E"/>
    <w:rsid w:val="00696020"/>
    <w:rsid w:val="00696AD1"/>
    <w:rsid w:val="006A116C"/>
    <w:rsid w:val="006A1EFA"/>
    <w:rsid w:val="006A27A5"/>
    <w:rsid w:val="006A57D0"/>
    <w:rsid w:val="006A64E2"/>
    <w:rsid w:val="006A65D0"/>
    <w:rsid w:val="006A6A2E"/>
    <w:rsid w:val="006A7800"/>
    <w:rsid w:val="006A7D1D"/>
    <w:rsid w:val="006A7E2E"/>
    <w:rsid w:val="006B070E"/>
    <w:rsid w:val="006B118C"/>
    <w:rsid w:val="006B2EE0"/>
    <w:rsid w:val="006B36F7"/>
    <w:rsid w:val="006B47A2"/>
    <w:rsid w:val="006B5384"/>
    <w:rsid w:val="006B6E4D"/>
    <w:rsid w:val="006B7EFA"/>
    <w:rsid w:val="006C1B7B"/>
    <w:rsid w:val="006C239A"/>
    <w:rsid w:val="006C26B5"/>
    <w:rsid w:val="006C34E4"/>
    <w:rsid w:val="006D292D"/>
    <w:rsid w:val="006D434F"/>
    <w:rsid w:val="006D4EBC"/>
    <w:rsid w:val="006D6D56"/>
    <w:rsid w:val="006D7D1D"/>
    <w:rsid w:val="006E0F71"/>
    <w:rsid w:val="006E2824"/>
    <w:rsid w:val="006E3BD1"/>
    <w:rsid w:val="006E3F9C"/>
    <w:rsid w:val="006E51BC"/>
    <w:rsid w:val="006E59EF"/>
    <w:rsid w:val="006F0859"/>
    <w:rsid w:val="006F11FF"/>
    <w:rsid w:val="006F269A"/>
    <w:rsid w:val="006F347A"/>
    <w:rsid w:val="006F377C"/>
    <w:rsid w:val="006F4D3B"/>
    <w:rsid w:val="006F66C4"/>
    <w:rsid w:val="007009C7"/>
    <w:rsid w:val="007016C0"/>
    <w:rsid w:val="00702E29"/>
    <w:rsid w:val="00702EF2"/>
    <w:rsid w:val="0070333C"/>
    <w:rsid w:val="0070394B"/>
    <w:rsid w:val="00704C71"/>
    <w:rsid w:val="0070533B"/>
    <w:rsid w:val="00706581"/>
    <w:rsid w:val="00707D02"/>
    <w:rsid w:val="00710643"/>
    <w:rsid w:val="00710A49"/>
    <w:rsid w:val="00711186"/>
    <w:rsid w:val="00711F02"/>
    <w:rsid w:val="007128FF"/>
    <w:rsid w:val="00714261"/>
    <w:rsid w:val="00714593"/>
    <w:rsid w:val="00715D10"/>
    <w:rsid w:val="00716ADD"/>
    <w:rsid w:val="00717A04"/>
    <w:rsid w:val="00720680"/>
    <w:rsid w:val="00720C1F"/>
    <w:rsid w:val="007214E2"/>
    <w:rsid w:val="00723932"/>
    <w:rsid w:val="00723BDE"/>
    <w:rsid w:val="0072414A"/>
    <w:rsid w:val="007264A0"/>
    <w:rsid w:val="00726628"/>
    <w:rsid w:val="00726BC0"/>
    <w:rsid w:val="007274DB"/>
    <w:rsid w:val="007278C2"/>
    <w:rsid w:val="00727F1C"/>
    <w:rsid w:val="00731501"/>
    <w:rsid w:val="00731EFB"/>
    <w:rsid w:val="00734A65"/>
    <w:rsid w:val="00741148"/>
    <w:rsid w:val="0074250E"/>
    <w:rsid w:val="00743779"/>
    <w:rsid w:val="00744E4D"/>
    <w:rsid w:val="00745001"/>
    <w:rsid w:val="0074517C"/>
    <w:rsid w:val="0074562E"/>
    <w:rsid w:val="00750555"/>
    <w:rsid w:val="00750A22"/>
    <w:rsid w:val="007518E2"/>
    <w:rsid w:val="00754E39"/>
    <w:rsid w:val="007558B7"/>
    <w:rsid w:val="00757DA3"/>
    <w:rsid w:val="00760DE4"/>
    <w:rsid w:val="00762DF9"/>
    <w:rsid w:val="007644D5"/>
    <w:rsid w:val="007648E5"/>
    <w:rsid w:val="00765A0A"/>
    <w:rsid w:val="00765D52"/>
    <w:rsid w:val="00766DCC"/>
    <w:rsid w:val="00767524"/>
    <w:rsid w:val="00767731"/>
    <w:rsid w:val="0076792E"/>
    <w:rsid w:val="0077072C"/>
    <w:rsid w:val="00771146"/>
    <w:rsid w:val="00771F47"/>
    <w:rsid w:val="007723B7"/>
    <w:rsid w:val="00773876"/>
    <w:rsid w:val="00775213"/>
    <w:rsid w:val="00775C92"/>
    <w:rsid w:val="00776A10"/>
    <w:rsid w:val="00780C57"/>
    <w:rsid w:val="00781AD1"/>
    <w:rsid w:val="00782D50"/>
    <w:rsid w:val="00783288"/>
    <w:rsid w:val="00783868"/>
    <w:rsid w:val="00785430"/>
    <w:rsid w:val="00785E0C"/>
    <w:rsid w:val="007864B9"/>
    <w:rsid w:val="00794E0E"/>
    <w:rsid w:val="00795051"/>
    <w:rsid w:val="00797030"/>
    <w:rsid w:val="007A12B1"/>
    <w:rsid w:val="007A1F33"/>
    <w:rsid w:val="007A22A0"/>
    <w:rsid w:val="007A5660"/>
    <w:rsid w:val="007A7755"/>
    <w:rsid w:val="007A7E92"/>
    <w:rsid w:val="007B1C06"/>
    <w:rsid w:val="007B1C9C"/>
    <w:rsid w:val="007B200A"/>
    <w:rsid w:val="007B2694"/>
    <w:rsid w:val="007B3164"/>
    <w:rsid w:val="007B53C1"/>
    <w:rsid w:val="007B5979"/>
    <w:rsid w:val="007B7806"/>
    <w:rsid w:val="007C0300"/>
    <w:rsid w:val="007C1313"/>
    <w:rsid w:val="007C67C1"/>
    <w:rsid w:val="007C7317"/>
    <w:rsid w:val="007C763D"/>
    <w:rsid w:val="007C76A9"/>
    <w:rsid w:val="007D0657"/>
    <w:rsid w:val="007D362A"/>
    <w:rsid w:val="007D4BEE"/>
    <w:rsid w:val="007D5174"/>
    <w:rsid w:val="007D582D"/>
    <w:rsid w:val="007D73D6"/>
    <w:rsid w:val="007E084C"/>
    <w:rsid w:val="007E1D93"/>
    <w:rsid w:val="007E2560"/>
    <w:rsid w:val="007E3430"/>
    <w:rsid w:val="007E6122"/>
    <w:rsid w:val="007E6C2E"/>
    <w:rsid w:val="007E72EE"/>
    <w:rsid w:val="007F0EA6"/>
    <w:rsid w:val="007F13D0"/>
    <w:rsid w:val="007F14FE"/>
    <w:rsid w:val="007F249B"/>
    <w:rsid w:val="007F33A9"/>
    <w:rsid w:val="007F4077"/>
    <w:rsid w:val="007F5AD1"/>
    <w:rsid w:val="007F6338"/>
    <w:rsid w:val="00800C9B"/>
    <w:rsid w:val="00800FAF"/>
    <w:rsid w:val="00806A75"/>
    <w:rsid w:val="008070F4"/>
    <w:rsid w:val="00811AC6"/>
    <w:rsid w:val="00812CB3"/>
    <w:rsid w:val="0081585D"/>
    <w:rsid w:val="00815B96"/>
    <w:rsid w:val="008211FA"/>
    <w:rsid w:val="0082212E"/>
    <w:rsid w:val="00822A96"/>
    <w:rsid w:val="00822B9B"/>
    <w:rsid w:val="00822E36"/>
    <w:rsid w:val="0082518F"/>
    <w:rsid w:val="00825308"/>
    <w:rsid w:val="008254FA"/>
    <w:rsid w:val="00825F39"/>
    <w:rsid w:val="00826254"/>
    <w:rsid w:val="00831907"/>
    <w:rsid w:val="0083295E"/>
    <w:rsid w:val="00833761"/>
    <w:rsid w:val="00840045"/>
    <w:rsid w:val="0084191D"/>
    <w:rsid w:val="00842530"/>
    <w:rsid w:val="00842F13"/>
    <w:rsid w:val="008433AA"/>
    <w:rsid w:val="008462B8"/>
    <w:rsid w:val="008533D1"/>
    <w:rsid w:val="0085422C"/>
    <w:rsid w:val="00854854"/>
    <w:rsid w:val="00854E37"/>
    <w:rsid w:val="00856476"/>
    <w:rsid w:val="00856648"/>
    <w:rsid w:val="00857EF9"/>
    <w:rsid w:val="00861BEE"/>
    <w:rsid w:val="00862081"/>
    <w:rsid w:val="00862ABF"/>
    <w:rsid w:val="00864066"/>
    <w:rsid w:val="008651F2"/>
    <w:rsid w:val="00866940"/>
    <w:rsid w:val="00867ED4"/>
    <w:rsid w:val="00871256"/>
    <w:rsid w:val="00871322"/>
    <w:rsid w:val="00871F62"/>
    <w:rsid w:val="00872C95"/>
    <w:rsid w:val="00872FFD"/>
    <w:rsid w:val="0087316E"/>
    <w:rsid w:val="00873678"/>
    <w:rsid w:val="008738D0"/>
    <w:rsid w:val="00874D80"/>
    <w:rsid w:val="0087561A"/>
    <w:rsid w:val="008760CB"/>
    <w:rsid w:val="0087650A"/>
    <w:rsid w:val="00876DE0"/>
    <w:rsid w:val="0087732C"/>
    <w:rsid w:val="00877B0E"/>
    <w:rsid w:val="00877E9B"/>
    <w:rsid w:val="008802B1"/>
    <w:rsid w:val="00882892"/>
    <w:rsid w:val="008838D5"/>
    <w:rsid w:val="008845D6"/>
    <w:rsid w:val="00886C21"/>
    <w:rsid w:val="00887311"/>
    <w:rsid w:val="008875B6"/>
    <w:rsid w:val="00890173"/>
    <w:rsid w:val="00890508"/>
    <w:rsid w:val="008910C4"/>
    <w:rsid w:val="008932E4"/>
    <w:rsid w:val="00894B00"/>
    <w:rsid w:val="00894D5D"/>
    <w:rsid w:val="00895323"/>
    <w:rsid w:val="0089589C"/>
    <w:rsid w:val="00895C27"/>
    <w:rsid w:val="00896243"/>
    <w:rsid w:val="008A06F5"/>
    <w:rsid w:val="008A0912"/>
    <w:rsid w:val="008A0CEE"/>
    <w:rsid w:val="008A1946"/>
    <w:rsid w:val="008A2EB9"/>
    <w:rsid w:val="008A458E"/>
    <w:rsid w:val="008A50E2"/>
    <w:rsid w:val="008A6C96"/>
    <w:rsid w:val="008A71DA"/>
    <w:rsid w:val="008A7F63"/>
    <w:rsid w:val="008B0A60"/>
    <w:rsid w:val="008B3236"/>
    <w:rsid w:val="008B453D"/>
    <w:rsid w:val="008B4DFC"/>
    <w:rsid w:val="008B5226"/>
    <w:rsid w:val="008B6647"/>
    <w:rsid w:val="008C286C"/>
    <w:rsid w:val="008C2D4B"/>
    <w:rsid w:val="008C4191"/>
    <w:rsid w:val="008C4981"/>
    <w:rsid w:val="008C75EF"/>
    <w:rsid w:val="008C76CD"/>
    <w:rsid w:val="008C7872"/>
    <w:rsid w:val="008D1231"/>
    <w:rsid w:val="008D12AD"/>
    <w:rsid w:val="008D2746"/>
    <w:rsid w:val="008D3A36"/>
    <w:rsid w:val="008D5D82"/>
    <w:rsid w:val="008D624B"/>
    <w:rsid w:val="008D638D"/>
    <w:rsid w:val="008D6799"/>
    <w:rsid w:val="008E0B62"/>
    <w:rsid w:val="008E1B6B"/>
    <w:rsid w:val="008E2F48"/>
    <w:rsid w:val="008E3BE2"/>
    <w:rsid w:val="008E4B2D"/>
    <w:rsid w:val="008E4FCE"/>
    <w:rsid w:val="008E627C"/>
    <w:rsid w:val="008E6A48"/>
    <w:rsid w:val="008E6B2B"/>
    <w:rsid w:val="008E76F2"/>
    <w:rsid w:val="008F4165"/>
    <w:rsid w:val="008F6163"/>
    <w:rsid w:val="008F652D"/>
    <w:rsid w:val="008F65B9"/>
    <w:rsid w:val="008F6AAF"/>
    <w:rsid w:val="008F760B"/>
    <w:rsid w:val="008F7A03"/>
    <w:rsid w:val="00900571"/>
    <w:rsid w:val="00901632"/>
    <w:rsid w:val="00902C32"/>
    <w:rsid w:val="00903043"/>
    <w:rsid w:val="00903522"/>
    <w:rsid w:val="0090524F"/>
    <w:rsid w:val="00910538"/>
    <w:rsid w:val="0091068D"/>
    <w:rsid w:val="00912312"/>
    <w:rsid w:val="00913573"/>
    <w:rsid w:val="00914E5A"/>
    <w:rsid w:val="00915733"/>
    <w:rsid w:val="0091607C"/>
    <w:rsid w:val="0091774C"/>
    <w:rsid w:val="0092012B"/>
    <w:rsid w:val="00920E4E"/>
    <w:rsid w:val="009212AB"/>
    <w:rsid w:val="00922D67"/>
    <w:rsid w:val="0092309C"/>
    <w:rsid w:val="00923725"/>
    <w:rsid w:val="00924C68"/>
    <w:rsid w:val="00924EAC"/>
    <w:rsid w:val="009253F5"/>
    <w:rsid w:val="00925C31"/>
    <w:rsid w:val="00930D2E"/>
    <w:rsid w:val="0093125B"/>
    <w:rsid w:val="009368E8"/>
    <w:rsid w:val="00937013"/>
    <w:rsid w:val="00941459"/>
    <w:rsid w:val="0094176C"/>
    <w:rsid w:val="0094177A"/>
    <w:rsid w:val="00942DC0"/>
    <w:rsid w:val="009459D2"/>
    <w:rsid w:val="00946020"/>
    <w:rsid w:val="00946DA8"/>
    <w:rsid w:val="00950BA1"/>
    <w:rsid w:val="00950CBB"/>
    <w:rsid w:val="00950EB6"/>
    <w:rsid w:val="009519DA"/>
    <w:rsid w:val="00951F9F"/>
    <w:rsid w:val="00953720"/>
    <w:rsid w:val="00953906"/>
    <w:rsid w:val="00953B0F"/>
    <w:rsid w:val="009557D6"/>
    <w:rsid w:val="00955C0C"/>
    <w:rsid w:val="0096216C"/>
    <w:rsid w:val="00963F29"/>
    <w:rsid w:val="00964C27"/>
    <w:rsid w:val="00965CB4"/>
    <w:rsid w:val="0096664F"/>
    <w:rsid w:val="00967B3D"/>
    <w:rsid w:val="009706B0"/>
    <w:rsid w:val="009777A9"/>
    <w:rsid w:val="009779EE"/>
    <w:rsid w:val="0098067E"/>
    <w:rsid w:val="00983E1A"/>
    <w:rsid w:val="00984992"/>
    <w:rsid w:val="00986F0B"/>
    <w:rsid w:val="00987184"/>
    <w:rsid w:val="00987186"/>
    <w:rsid w:val="00987BA7"/>
    <w:rsid w:val="00993C9D"/>
    <w:rsid w:val="009945F2"/>
    <w:rsid w:val="0099470F"/>
    <w:rsid w:val="0099517C"/>
    <w:rsid w:val="00995CBA"/>
    <w:rsid w:val="00996A7D"/>
    <w:rsid w:val="009A18E6"/>
    <w:rsid w:val="009A2753"/>
    <w:rsid w:val="009A4856"/>
    <w:rsid w:val="009A67BB"/>
    <w:rsid w:val="009B1631"/>
    <w:rsid w:val="009B5208"/>
    <w:rsid w:val="009B5658"/>
    <w:rsid w:val="009B5692"/>
    <w:rsid w:val="009B788C"/>
    <w:rsid w:val="009C0060"/>
    <w:rsid w:val="009C036A"/>
    <w:rsid w:val="009C060D"/>
    <w:rsid w:val="009C0EF9"/>
    <w:rsid w:val="009C306B"/>
    <w:rsid w:val="009C3844"/>
    <w:rsid w:val="009C5B68"/>
    <w:rsid w:val="009C6CB3"/>
    <w:rsid w:val="009D057A"/>
    <w:rsid w:val="009D0C73"/>
    <w:rsid w:val="009D1066"/>
    <w:rsid w:val="009D225D"/>
    <w:rsid w:val="009D24AD"/>
    <w:rsid w:val="009D25BA"/>
    <w:rsid w:val="009D288E"/>
    <w:rsid w:val="009D313F"/>
    <w:rsid w:val="009D3599"/>
    <w:rsid w:val="009D3CB0"/>
    <w:rsid w:val="009D4944"/>
    <w:rsid w:val="009D4A04"/>
    <w:rsid w:val="009D5E9F"/>
    <w:rsid w:val="009D697D"/>
    <w:rsid w:val="009D747B"/>
    <w:rsid w:val="009D79B4"/>
    <w:rsid w:val="009E089B"/>
    <w:rsid w:val="009E2542"/>
    <w:rsid w:val="009E29D8"/>
    <w:rsid w:val="009E41D3"/>
    <w:rsid w:val="009E5EA1"/>
    <w:rsid w:val="009E6EC9"/>
    <w:rsid w:val="009F2A02"/>
    <w:rsid w:val="009F2EB6"/>
    <w:rsid w:val="009F2F10"/>
    <w:rsid w:val="009F3002"/>
    <w:rsid w:val="009F37A2"/>
    <w:rsid w:val="00A01415"/>
    <w:rsid w:val="00A0369C"/>
    <w:rsid w:val="00A04114"/>
    <w:rsid w:val="00A05D05"/>
    <w:rsid w:val="00A061B6"/>
    <w:rsid w:val="00A06878"/>
    <w:rsid w:val="00A1243B"/>
    <w:rsid w:val="00A15967"/>
    <w:rsid w:val="00A1680E"/>
    <w:rsid w:val="00A1716C"/>
    <w:rsid w:val="00A17C9C"/>
    <w:rsid w:val="00A203BB"/>
    <w:rsid w:val="00A21E34"/>
    <w:rsid w:val="00A21FF9"/>
    <w:rsid w:val="00A2206A"/>
    <w:rsid w:val="00A23F11"/>
    <w:rsid w:val="00A2560D"/>
    <w:rsid w:val="00A2566C"/>
    <w:rsid w:val="00A26306"/>
    <w:rsid w:val="00A278D7"/>
    <w:rsid w:val="00A31877"/>
    <w:rsid w:val="00A32174"/>
    <w:rsid w:val="00A32BD2"/>
    <w:rsid w:val="00A34563"/>
    <w:rsid w:val="00A351C2"/>
    <w:rsid w:val="00A36C69"/>
    <w:rsid w:val="00A3796D"/>
    <w:rsid w:val="00A410BF"/>
    <w:rsid w:val="00A418A0"/>
    <w:rsid w:val="00A42937"/>
    <w:rsid w:val="00A4558D"/>
    <w:rsid w:val="00A45DD3"/>
    <w:rsid w:val="00A46BC4"/>
    <w:rsid w:val="00A47625"/>
    <w:rsid w:val="00A5097C"/>
    <w:rsid w:val="00A515F4"/>
    <w:rsid w:val="00A52446"/>
    <w:rsid w:val="00A53ABB"/>
    <w:rsid w:val="00A553EB"/>
    <w:rsid w:val="00A604BF"/>
    <w:rsid w:val="00A61171"/>
    <w:rsid w:val="00A61FBF"/>
    <w:rsid w:val="00A63D59"/>
    <w:rsid w:val="00A72574"/>
    <w:rsid w:val="00A73347"/>
    <w:rsid w:val="00A74024"/>
    <w:rsid w:val="00A7513C"/>
    <w:rsid w:val="00A75C88"/>
    <w:rsid w:val="00A76164"/>
    <w:rsid w:val="00A800D6"/>
    <w:rsid w:val="00A80515"/>
    <w:rsid w:val="00A80D80"/>
    <w:rsid w:val="00A80E58"/>
    <w:rsid w:val="00A80EB1"/>
    <w:rsid w:val="00A8218C"/>
    <w:rsid w:val="00A83C0F"/>
    <w:rsid w:val="00A851A6"/>
    <w:rsid w:val="00A86573"/>
    <w:rsid w:val="00A90569"/>
    <w:rsid w:val="00A90A10"/>
    <w:rsid w:val="00A90F67"/>
    <w:rsid w:val="00A92363"/>
    <w:rsid w:val="00A92E28"/>
    <w:rsid w:val="00A93746"/>
    <w:rsid w:val="00A95C93"/>
    <w:rsid w:val="00A96527"/>
    <w:rsid w:val="00A97BE1"/>
    <w:rsid w:val="00AA0C36"/>
    <w:rsid w:val="00AA265B"/>
    <w:rsid w:val="00AA2E2B"/>
    <w:rsid w:val="00AA48F2"/>
    <w:rsid w:val="00AA4F13"/>
    <w:rsid w:val="00AA628C"/>
    <w:rsid w:val="00AA72A8"/>
    <w:rsid w:val="00AA764C"/>
    <w:rsid w:val="00AA7679"/>
    <w:rsid w:val="00AA7CAC"/>
    <w:rsid w:val="00AB24A2"/>
    <w:rsid w:val="00AB312F"/>
    <w:rsid w:val="00AB3E98"/>
    <w:rsid w:val="00AB54CA"/>
    <w:rsid w:val="00AB672B"/>
    <w:rsid w:val="00AC0399"/>
    <w:rsid w:val="00AC0B66"/>
    <w:rsid w:val="00AC145D"/>
    <w:rsid w:val="00AC7767"/>
    <w:rsid w:val="00AD0045"/>
    <w:rsid w:val="00AD0538"/>
    <w:rsid w:val="00AD17C1"/>
    <w:rsid w:val="00AD22C7"/>
    <w:rsid w:val="00AD4A04"/>
    <w:rsid w:val="00AD65B0"/>
    <w:rsid w:val="00AD781E"/>
    <w:rsid w:val="00AE0321"/>
    <w:rsid w:val="00AE0836"/>
    <w:rsid w:val="00AE19CA"/>
    <w:rsid w:val="00AE1D3C"/>
    <w:rsid w:val="00AE1DBE"/>
    <w:rsid w:val="00AE264E"/>
    <w:rsid w:val="00AE3217"/>
    <w:rsid w:val="00AE3517"/>
    <w:rsid w:val="00AE3AC5"/>
    <w:rsid w:val="00AE3D7F"/>
    <w:rsid w:val="00AE422D"/>
    <w:rsid w:val="00AE43BA"/>
    <w:rsid w:val="00AE449E"/>
    <w:rsid w:val="00AE49E3"/>
    <w:rsid w:val="00AE5793"/>
    <w:rsid w:val="00AE5F6E"/>
    <w:rsid w:val="00AE5FCD"/>
    <w:rsid w:val="00AE76DC"/>
    <w:rsid w:val="00AF0AC4"/>
    <w:rsid w:val="00AF1F7C"/>
    <w:rsid w:val="00AF5696"/>
    <w:rsid w:val="00AF6705"/>
    <w:rsid w:val="00B00357"/>
    <w:rsid w:val="00B0133A"/>
    <w:rsid w:val="00B05558"/>
    <w:rsid w:val="00B06B0E"/>
    <w:rsid w:val="00B07525"/>
    <w:rsid w:val="00B07699"/>
    <w:rsid w:val="00B11A09"/>
    <w:rsid w:val="00B11E85"/>
    <w:rsid w:val="00B124A5"/>
    <w:rsid w:val="00B12EC0"/>
    <w:rsid w:val="00B13611"/>
    <w:rsid w:val="00B146BC"/>
    <w:rsid w:val="00B15A2D"/>
    <w:rsid w:val="00B1680C"/>
    <w:rsid w:val="00B17686"/>
    <w:rsid w:val="00B20BFE"/>
    <w:rsid w:val="00B2139A"/>
    <w:rsid w:val="00B229E1"/>
    <w:rsid w:val="00B232E1"/>
    <w:rsid w:val="00B25FC1"/>
    <w:rsid w:val="00B26CE8"/>
    <w:rsid w:val="00B2707D"/>
    <w:rsid w:val="00B27D34"/>
    <w:rsid w:val="00B3177E"/>
    <w:rsid w:val="00B3309D"/>
    <w:rsid w:val="00B34544"/>
    <w:rsid w:val="00B3550A"/>
    <w:rsid w:val="00B35898"/>
    <w:rsid w:val="00B3645F"/>
    <w:rsid w:val="00B37825"/>
    <w:rsid w:val="00B40688"/>
    <w:rsid w:val="00B435AD"/>
    <w:rsid w:val="00B444A6"/>
    <w:rsid w:val="00B453DA"/>
    <w:rsid w:val="00B45B60"/>
    <w:rsid w:val="00B47963"/>
    <w:rsid w:val="00B501BD"/>
    <w:rsid w:val="00B507B1"/>
    <w:rsid w:val="00B51B7F"/>
    <w:rsid w:val="00B52638"/>
    <w:rsid w:val="00B53CB7"/>
    <w:rsid w:val="00B542D9"/>
    <w:rsid w:val="00B54EBA"/>
    <w:rsid w:val="00B557A4"/>
    <w:rsid w:val="00B56D78"/>
    <w:rsid w:val="00B57C67"/>
    <w:rsid w:val="00B60B0D"/>
    <w:rsid w:val="00B6101D"/>
    <w:rsid w:val="00B70DD1"/>
    <w:rsid w:val="00B7417B"/>
    <w:rsid w:val="00B77A36"/>
    <w:rsid w:val="00B83954"/>
    <w:rsid w:val="00B84422"/>
    <w:rsid w:val="00B85399"/>
    <w:rsid w:val="00B85967"/>
    <w:rsid w:val="00B91EEC"/>
    <w:rsid w:val="00B92038"/>
    <w:rsid w:val="00B9269A"/>
    <w:rsid w:val="00B94245"/>
    <w:rsid w:val="00B9545F"/>
    <w:rsid w:val="00B95A9A"/>
    <w:rsid w:val="00B965FD"/>
    <w:rsid w:val="00B968EE"/>
    <w:rsid w:val="00B97983"/>
    <w:rsid w:val="00BA0591"/>
    <w:rsid w:val="00BA0F97"/>
    <w:rsid w:val="00BA1388"/>
    <w:rsid w:val="00BA14F6"/>
    <w:rsid w:val="00BA2261"/>
    <w:rsid w:val="00BA5F33"/>
    <w:rsid w:val="00BA7152"/>
    <w:rsid w:val="00BB169D"/>
    <w:rsid w:val="00BB1955"/>
    <w:rsid w:val="00BB2201"/>
    <w:rsid w:val="00BB2DC5"/>
    <w:rsid w:val="00BB43EB"/>
    <w:rsid w:val="00BB57CD"/>
    <w:rsid w:val="00BB59B3"/>
    <w:rsid w:val="00BB6819"/>
    <w:rsid w:val="00BB7927"/>
    <w:rsid w:val="00BC3C17"/>
    <w:rsid w:val="00BC4040"/>
    <w:rsid w:val="00BC6A92"/>
    <w:rsid w:val="00BD4D11"/>
    <w:rsid w:val="00BD5BEB"/>
    <w:rsid w:val="00BE00CA"/>
    <w:rsid w:val="00BE4783"/>
    <w:rsid w:val="00BE4DE9"/>
    <w:rsid w:val="00BE6174"/>
    <w:rsid w:val="00BF4974"/>
    <w:rsid w:val="00BF5946"/>
    <w:rsid w:val="00BF7BA9"/>
    <w:rsid w:val="00C0081C"/>
    <w:rsid w:val="00C00FB3"/>
    <w:rsid w:val="00C02B36"/>
    <w:rsid w:val="00C04B76"/>
    <w:rsid w:val="00C05A8C"/>
    <w:rsid w:val="00C05EAF"/>
    <w:rsid w:val="00C06694"/>
    <w:rsid w:val="00C0684C"/>
    <w:rsid w:val="00C0702D"/>
    <w:rsid w:val="00C07F34"/>
    <w:rsid w:val="00C07F68"/>
    <w:rsid w:val="00C130BB"/>
    <w:rsid w:val="00C13E0F"/>
    <w:rsid w:val="00C15414"/>
    <w:rsid w:val="00C157A3"/>
    <w:rsid w:val="00C1638B"/>
    <w:rsid w:val="00C163A9"/>
    <w:rsid w:val="00C17062"/>
    <w:rsid w:val="00C17F89"/>
    <w:rsid w:val="00C245E4"/>
    <w:rsid w:val="00C27DB5"/>
    <w:rsid w:val="00C30150"/>
    <w:rsid w:val="00C3037E"/>
    <w:rsid w:val="00C30985"/>
    <w:rsid w:val="00C31619"/>
    <w:rsid w:val="00C31D6E"/>
    <w:rsid w:val="00C34464"/>
    <w:rsid w:val="00C34BB5"/>
    <w:rsid w:val="00C355DA"/>
    <w:rsid w:val="00C35D64"/>
    <w:rsid w:val="00C3640F"/>
    <w:rsid w:val="00C3689F"/>
    <w:rsid w:val="00C37816"/>
    <w:rsid w:val="00C400CD"/>
    <w:rsid w:val="00C4034D"/>
    <w:rsid w:val="00C4106A"/>
    <w:rsid w:val="00C44552"/>
    <w:rsid w:val="00C44CB3"/>
    <w:rsid w:val="00C45308"/>
    <w:rsid w:val="00C453CA"/>
    <w:rsid w:val="00C45454"/>
    <w:rsid w:val="00C4548E"/>
    <w:rsid w:val="00C47117"/>
    <w:rsid w:val="00C47748"/>
    <w:rsid w:val="00C5014B"/>
    <w:rsid w:val="00C505F4"/>
    <w:rsid w:val="00C51316"/>
    <w:rsid w:val="00C53FFF"/>
    <w:rsid w:val="00C54601"/>
    <w:rsid w:val="00C55685"/>
    <w:rsid w:val="00C5595D"/>
    <w:rsid w:val="00C56060"/>
    <w:rsid w:val="00C60BF2"/>
    <w:rsid w:val="00C61136"/>
    <w:rsid w:val="00C615CB"/>
    <w:rsid w:val="00C628D2"/>
    <w:rsid w:val="00C65B03"/>
    <w:rsid w:val="00C65D06"/>
    <w:rsid w:val="00C66EB1"/>
    <w:rsid w:val="00C71D07"/>
    <w:rsid w:val="00C72AEE"/>
    <w:rsid w:val="00C75717"/>
    <w:rsid w:val="00C76C47"/>
    <w:rsid w:val="00C77DC7"/>
    <w:rsid w:val="00C8071E"/>
    <w:rsid w:val="00C80A9F"/>
    <w:rsid w:val="00C81A5F"/>
    <w:rsid w:val="00C825C0"/>
    <w:rsid w:val="00C84ED5"/>
    <w:rsid w:val="00C8799D"/>
    <w:rsid w:val="00C87D96"/>
    <w:rsid w:val="00C9166B"/>
    <w:rsid w:val="00C91A1A"/>
    <w:rsid w:val="00C920D2"/>
    <w:rsid w:val="00C94A45"/>
    <w:rsid w:val="00CA1517"/>
    <w:rsid w:val="00CA2004"/>
    <w:rsid w:val="00CA2388"/>
    <w:rsid w:val="00CA26FC"/>
    <w:rsid w:val="00CA2F62"/>
    <w:rsid w:val="00CA362B"/>
    <w:rsid w:val="00CA3D56"/>
    <w:rsid w:val="00CA6C2B"/>
    <w:rsid w:val="00CA72BF"/>
    <w:rsid w:val="00CA747D"/>
    <w:rsid w:val="00CA74F4"/>
    <w:rsid w:val="00CB01F9"/>
    <w:rsid w:val="00CB19E0"/>
    <w:rsid w:val="00CB256B"/>
    <w:rsid w:val="00CB3479"/>
    <w:rsid w:val="00CB4D01"/>
    <w:rsid w:val="00CB4FC8"/>
    <w:rsid w:val="00CB536E"/>
    <w:rsid w:val="00CB5BD3"/>
    <w:rsid w:val="00CB6F1B"/>
    <w:rsid w:val="00CB794F"/>
    <w:rsid w:val="00CC005A"/>
    <w:rsid w:val="00CC1AD4"/>
    <w:rsid w:val="00CC2FD0"/>
    <w:rsid w:val="00CC3907"/>
    <w:rsid w:val="00CC3CB3"/>
    <w:rsid w:val="00CC3F6C"/>
    <w:rsid w:val="00CC78B2"/>
    <w:rsid w:val="00CC7E63"/>
    <w:rsid w:val="00CD066D"/>
    <w:rsid w:val="00CD6F9D"/>
    <w:rsid w:val="00CD79B6"/>
    <w:rsid w:val="00CD7A43"/>
    <w:rsid w:val="00CE0AD2"/>
    <w:rsid w:val="00CE13C8"/>
    <w:rsid w:val="00CE5748"/>
    <w:rsid w:val="00CF0B4B"/>
    <w:rsid w:val="00CF108A"/>
    <w:rsid w:val="00CF41E7"/>
    <w:rsid w:val="00CF4E57"/>
    <w:rsid w:val="00CF5715"/>
    <w:rsid w:val="00CF5E3C"/>
    <w:rsid w:val="00CF6C5D"/>
    <w:rsid w:val="00D01175"/>
    <w:rsid w:val="00D0131D"/>
    <w:rsid w:val="00D0473F"/>
    <w:rsid w:val="00D0507D"/>
    <w:rsid w:val="00D051AF"/>
    <w:rsid w:val="00D068E4"/>
    <w:rsid w:val="00D10BDE"/>
    <w:rsid w:val="00D11899"/>
    <w:rsid w:val="00D134DF"/>
    <w:rsid w:val="00D148D9"/>
    <w:rsid w:val="00D14CFA"/>
    <w:rsid w:val="00D15236"/>
    <w:rsid w:val="00D16F4E"/>
    <w:rsid w:val="00D1780A"/>
    <w:rsid w:val="00D218A7"/>
    <w:rsid w:val="00D23E58"/>
    <w:rsid w:val="00D24204"/>
    <w:rsid w:val="00D24CF6"/>
    <w:rsid w:val="00D26233"/>
    <w:rsid w:val="00D307CF"/>
    <w:rsid w:val="00D3293D"/>
    <w:rsid w:val="00D33197"/>
    <w:rsid w:val="00D355EC"/>
    <w:rsid w:val="00D36548"/>
    <w:rsid w:val="00D36E77"/>
    <w:rsid w:val="00D37F6A"/>
    <w:rsid w:val="00D40244"/>
    <w:rsid w:val="00D40F9A"/>
    <w:rsid w:val="00D411DF"/>
    <w:rsid w:val="00D4389D"/>
    <w:rsid w:val="00D45B99"/>
    <w:rsid w:val="00D46FDC"/>
    <w:rsid w:val="00D50519"/>
    <w:rsid w:val="00D50A67"/>
    <w:rsid w:val="00D50B67"/>
    <w:rsid w:val="00D50D3F"/>
    <w:rsid w:val="00D51470"/>
    <w:rsid w:val="00D51A88"/>
    <w:rsid w:val="00D51CF9"/>
    <w:rsid w:val="00D52075"/>
    <w:rsid w:val="00D528FE"/>
    <w:rsid w:val="00D5371A"/>
    <w:rsid w:val="00D54137"/>
    <w:rsid w:val="00D5668F"/>
    <w:rsid w:val="00D5790C"/>
    <w:rsid w:val="00D57D17"/>
    <w:rsid w:val="00D633EE"/>
    <w:rsid w:val="00D63515"/>
    <w:rsid w:val="00D645AC"/>
    <w:rsid w:val="00D64E0C"/>
    <w:rsid w:val="00D64E9F"/>
    <w:rsid w:val="00D70BE7"/>
    <w:rsid w:val="00D7235C"/>
    <w:rsid w:val="00D73495"/>
    <w:rsid w:val="00D73AB8"/>
    <w:rsid w:val="00D7697E"/>
    <w:rsid w:val="00D81091"/>
    <w:rsid w:val="00D81716"/>
    <w:rsid w:val="00D81C4C"/>
    <w:rsid w:val="00D836B4"/>
    <w:rsid w:val="00D84C82"/>
    <w:rsid w:val="00D85D56"/>
    <w:rsid w:val="00D8626F"/>
    <w:rsid w:val="00D9363A"/>
    <w:rsid w:val="00D939C3"/>
    <w:rsid w:val="00D9484A"/>
    <w:rsid w:val="00D94926"/>
    <w:rsid w:val="00D95D8C"/>
    <w:rsid w:val="00DA0F5D"/>
    <w:rsid w:val="00DA26DC"/>
    <w:rsid w:val="00DA2B9D"/>
    <w:rsid w:val="00DA362A"/>
    <w:rsid w:val="00DB0AF7"/>
    <w:rsid w:val="00DB0C7B"/>
    <w:rsid w:val="00DB15CE"/>
    <w:rsid w:val="00DB1B7F"/>
    <w:rsid w:val="00DB5CC3"/>
    <w:rsid w:val="00DB6819"/>
    <w:rsid w:val="00DB6AAD"/>
    <w:rsid w:val="00DC0694"/>
    <w:rsid w:val="00DC0876"/>
    <w:rsid w:val="00DC3275"/>
    <w:rsid w:val="00DC35D4"/>
    <w:rsid w:val="00DC4541"/>
    <w:rsid w:val="00DC4615"/>
    <w:rsid w:val="00DC49F6"/>
    <w:rsid w:val="00DC7C25"/>
    <w:rsid w:val="00DD0E66"/>
    <w:rsid w:val="00DD22F0"/>
    <w:rsid w:val="00DD3BB6"/>
    <w:rsid w:val="00DD5BA5"/>
    <w:rsid w:val="00DD61A7"/>
    <w:rsid w:val="00DD6CDC"/>
    <w:rsid w:val="00DD749D"/>
    <w:rsid w:val="00DD751F"/>
    <w:rsid w:val="00DE0BEE"/>
    <w:rsid w:val="00DE1C25"/>
    <w:rsid w:val="00DE3D50"/>
    <w:rsid w:val="00DE44D7"/>
    <w:rsid w:val="00DE5E72"/>
    <w:rsid w:val="00DE643F"/>
    <w:rsid w:val="00DE7158"/>
    <w:rsid w:val="00DF09AD"/>
    <w:rsid w:val="00DF0F8B"/>
    <w:rsid w:val="00DF1B58"/>
    <w:rsid w:val="00DF2190"/>
    <w:rsid w:val="00DF264E"/>
    <w:rsid w:val="00DF4B1E"/>
    <w:rsid w:val="00DF56C1"/>
    <w:rsid w:val="00DF5725"/>
    <w:rsid w:val="00DF5A75"/>
    <w:rsid w:val="00DF5C9B"/>
    <w:rsid w:val="00DF7021"/>
    <w:rsid w:val="00DF78DE"/>
    <w:rsid w:val="00DF7E7F"/>
    <w:rsid w:val="00E01A0C"/>
    <w:rsid w:val="00E05FD6"/>
    <w:rsid w:val="00E06399"/>
    <w:rsid w:val="00E06498"/>
    <w:rsid w:val="00E075B5"/>
    <w:rsid w:val="00E076FB"/>
    <w:rsid w:val="00E1053F"/>
    <w:rsid w:val="00E10550"/>
    <w:rsid w:val="00E10C3D"/>
    <w:rsid w:val="00E11CF0"/>
    <w:rsid w:val="00E12193"/>
    <w:rsid w:val="00E12D65"/>
    <w:rsid w:val="00E17028"/>
    <w:rsid w:val="00E1744A"/>
    <w:rsid w:val="00E224DD"/>
    <w:rsid w:val="00E2374E"/>
    <w:rsid w:val="00E2381F"/>
    <w:rsid w:val="00E2639C"/>
    <w:rsid w:val="00E26A9D"/>
    <w:rsid w:val="00E273BC"/>
    <w:rsid w:val="00E31A6E"/>
    <w:rsid w:val="00E32AEC"/>
    <w:rsid w:val="00E32BA3"/>
    <w:rsid w:val="00E33906"/>
    <w:rsid w:val="00E35905"/>
    <w:rsid w:val="00E371D3"/>
    <w:rsid w:val="00E4074A"/>
    <w:rsid w:val="00E43D09"/>
    <w:rsid w:val="00E44638"/>
    <w:rsid w:val="00E44DE8"/>
    <w:rsid w:val="00E45025"/>
    <w:rsid w:val="00E47BBC"/>
    <w:rsid w:val="00E47BFE"/>
    <w:rsid w:val="00E508F0"/>
    <w:rsid w:val="00E51277"/>
    <w:rsid w:val="00E516D5"/>
    <w:rsid w:val="00E5173C"/>
    <w:rsid w:val="00E53820"/>
    <w:rsid w:val="00E54768"/>
    <w:rsid w:val="00E54D9E"/>
    <w:rsid w:val="00E5529A"/>
    <w:rsid w:val="00E56B5A"/>
    <w:rsid w:val="00E57788"/>
    <w:rsid w:val="00E57880"/>
    <w:rsid w:val="00E60C88"/>
    <w:rsid w:val="00E61E50"/>
    <w:rsid w:val="00E62A7C"/>
    <w:rsid w:val="00E62BB1"/>
    <w:rsid w:val="00E632F6"/>
    <w:rsid w:val="00E64846"/>
    <w:rsid w:val="00E65270"/>
    <w:rsid w:val="00E66C60"/>
    <w:rsid w:val="00E706C1"/>
    <w:rsid w:val="00E722B8"/>
    <w:rsid w:val="00E72826"/>
    <w:rsid w:val="00E72FF3"/>
    <w:rsid w:val="00E7362F"/>
    <w:rsid w:val="00E73B15"/>
    <w:rsid w:val="00E74C62"/>
    <w:rsid w:val="00E75000"/>
    <w:rsid w:val="00E75ADF"/>
    <w:rsid w:val="00E76FAD"/>
    <w:rsid w:val="00E80448"/>
    <w:rsid w:val="00E8045F"/>
    <w:rsid w:val="00E80720"/>
    <w:rsid w:val="00E81E2D"/>
    <w:rsid w:val="00E81EB8"/>
    <w:rsid w:val="00E84F9B"/>
    <w:rsid w:val="00E866D3"/>
    <w:rsid w:val="00E91684"/>
    <w:rsid w:val="00E92561"/>
    <w:rsid w:val="00E93848"/>
    <w:rsid w:val="00E95193"/>
    <w:rsid w:val="00E96009"/>
    <w:rsid w:val="00EA22B4"/>
    <w:rsid w:val="00EA29C7"/>
    <w:rsid w:val="00EA3C68"/>
    <w:rsid w:val="00EA50BE"/>
    <w:rsid w:val="00EA6C4A"/>
    <w:rsid w:val="00EB3866"/>
    <w:rsid w:val="00EB49B3"/>
    <w:rsid w:val="00EB4BCC"/>
    <w:rsid w:val="00EB5B4C"/>
    <w:rsid w:val="00EB5D2E"/>
    <w:rsid w:val="00EC0398"/>
    <w:rsid w:val="00EC09A9"/>
    <w:rsid w:val="00EC0F67"/>
    <w:rsid w:val="00EC1D6E"/>
    <w:rsid w:val="00EC2A67"/>
    <w:rsid w:val="00EC5004"/>
    <w:rsid w:val="00ED108A"/>
    <w:rsid w:val="00ED1AED"/>
    <w:rsid w:val="00ED244A"/>
    <w:rsid w:val="00ED257E"/>
    <w:rsid w:val="00ED3B21"/>
    <w:rsid w:val="00ED3CB2"/>
    <w:rsid w:val="00ED5B01"/>
    <w:rsid w:val="00ED6220"/>
    <w:rsid w:val="00ED7AA1"/>
    <w:rsid w:val="00ED7F5D"/>
    <w:rsid w:val="00EE0D9A"/>
    <w:rsid w:val="00EE1E36"/>
    <w:rsid w:val="00EE1F05"/>
    <w:rsid w:val="00EE26F3"/>
    <w:rsid w:val="00EE4037"/>
    <w:rsid w:val="00EE4C80"/>
    <w:rsid w:val="00EE6710"/>
    <w:rsid w:val="00EF0F18"/>
    <w:rsid w:val="00EF13E5"/>
    <w:rsid w:val="00EF19E9"/>
    <w:rsid w:val="00EF2607"/>
    <w:rsid w:val="00EF42DA"/>
    <w:rsid w:val="00EF534A"/>
    <w:rsid w:val="00EF5B66"/>
    <w:rsid w:val="00EF6FCA"/>
    <w:rsid w:val="00EF7879"/>
    <w:rsid w:val="00F01693"/>
    <w:rsid w:val="00F0217C"/>
    <w:rsid w:val="00F0330C"/>
    <w:rsid w:val="00F04D92"/>
    <w:rsid w:val="00F059E6"/>
    <w:rsid w:val="00F05C6A"/>
    <w:rsid w:val="00F07110"/>
    <w:rsid w:val="00F07EA2"/>
    <w:rsid w:val="00F105EE"/>
    <w:rsid w:val="00F11497"/>
    <w:rsid w:val="00F119EB"/>
    <w:rsid w:val="00F11AED"/>
    <w:rsid w:val="00F1248C"/>
    <w:rsid w:val="00F12C42"/>
    <w:rsid w:val="00F143BA"/>
    <w:rsid w:val="00F150DB"/>
    <w:rsid w:val="00F15C9B"/>
    <w:rsid w:val="00F16200"/>
    <w:rsid w:val="00F16DFB"/>
    <w:rsid w:val="00F203E7"/>
    <w:rsid w:val="00F20565"/>
    <w:rsid w:val="00F22919"/>
    <w:rsid w:val="00F22B97"/>
    <w:rsid w:val="00F23F82"/>
    <w:rsid w:val="00F2409C"/>
    <w:rsid w:val="00F24844"/>
    <w:rsid w:val="00F2550E"/>
    <w:rsid w:val="00F25F3E"/>
    <w:rsid w:val="00F25FCB"/>
    <w:rsid w:val="00F2687A"/>
    <w:rsid w:val="00F26B31"/>
    <w:rsid w:val="00F27581"/>
    <w:rsid w:val="00F278B1"/>
    <w:rsid w:val="00F31864"/>
    <w:rsid w:val="00F3198E"/>
    <w:rsid w:val="00F32A23"/>
    <w:rsid w:val="00F34A4B"/>
    <w:rsid w:val="00F3543D"/>
    <w:rsid w:val="00F40B25"/>
    <w:rsid w:val="00F42777"/>
    <w:rsid w:val="00F4453D"/>
    <w:rsid w:val="00F44D3F"/>
    <w:rsid w:val="00F45165"/>
    <w:rsid w:val="00F51380"/>
    <w:rsid w:val="00F51A34"/>
    <w:rsid w:val="00F52BB3"/>
    <w:rsid w:val="00F5342E"/>
    <w:rsid w:val="00F53D82"/>
    <w:rsid w:val="00F54A5A"/>
    <w:rsid w:val="00F552B1"/>
    <w:rsid w:val="00F56369"/>
    <w:rsid w:val="00F56726"/>
    <w:rsid w:val="00F56AC6"/>
    <w:rsid w:val="00F62131"/>
    <w:rsid w:val="00F63057"/>
    <w:rsid w:val="00F63412"/>
    <w:rsid w:val="00F64D67"/>
    <w:rsid w:val="00F6698E"/>
    <w:rsid w:val="00F70216"/>
    <w:rsid w:val="00F70917"/>
    <w:rsid w:val="00F713BD"/>
    <w:rsid w:val="00F71ED6"/>
    <w:rsid w:val="00F7212A"/>
    <w:rsid w:val="00F72DEF"/>
    <w:rsid w:val="00F73734"/>
    <w:rsid w:val="00F748C0"/>
    <w:rsid w:val="00F7562A"/>
    <w:rsid w:val="00F75844"/>
    <w:rsid w:val="00F760D2"/>
    <w:rsid w:val="00F768A1"/>
    <w:rsid w:val="00F80459"/>
    <w:rsid w:val="00F805B5"/>
    <w:rsid w:val="00F80B34"/>
    <w:rsid w:val="00F8118D"/>
    <w:rsid w:val="00F82079"/>
    <w:rsid w:val="00F82780"/>
    <w:rsid w:val="00F86710"/>
    <w:rsid w:val="00F86C50"/>
    <w:rsid w:val="00F8791B"/>
    <w:rsid w:val="00F90788"/>
    <w:rsid w:val="00F90D42"/>
    <w:rsid w:val="00F91DB8"/>
    <w:rsid w:val="00F934BD"/>
    <w:rsid w:val="00F93B3B"/>
    <w:rsid w:val="00F95438"/>
    <w:rsid w:val="00FA4315"/>
    <w:rsid w:val="00FA4949"/>
    <w:rsid w:val="00FA4F68"/>
    <w:rsid w:val="00FA619E"/>
    <w:rsid w:val="00FB0CA9"/>
    <w:rsid w:val="00FB165C"/>
    <w:rsid w:val="00FB1A7F"/>
    <w:rsid w:val="00FB1C59"/>
    <w:rsid w:val="00FB3529"/>
    <w:rsid w:val="00FB4049"/>
    <w:rsid w:val="00FB55FB"/>
    <w:rsid w:val="00FB76DB"/>
    <w:rsid w:val="00FC26D7"/>
    <w:rsid w:val="00FC4C8E"/>
    <w:rsid w:val="00FC53B6"/>
    <w:rsid w:val="00FC6777"/>
    <w:rsid w:val="00FC7C46"/>
    <w:rsid w:val="00FC7DF4"/>
    <w:rsid w:val="00FD141F"/>
    <w:rsid w:val="00FD16CA"/>
    <w:rsid w:val="00FD19C3"/>
    <w:rsid w:val="00FD1DBC"/>
    <w:rsid w:val="00FD22EC"/>
    <w:rsid w:val="00FD2650"/>
    <w:rsid w:val="00FD35AF"/>
    <w:rsid w:val="00FD3873"/>
    <w:rsid w:val="00FD419E"/>
    <w:rsid w:val="00FD493A"/>
    <w:rsid w:val="00FD5763"/>
    <w:rsid w:val="00FE009C"/>
    <w:rsid w:val="00FE01E7"/>
    <w:rsid w:val="00FE03D6"/>
    <w:rsid w:val="00FE18C5"/>
    <w:rsid w:val="00FE24CA"/>
    <w:rsid w:val="00FE3CB9"/>
    <w:rsid w:val="00FE4560"/>
    <w:rsid w:val="00FE53B3"/>
    <w:rsid w:val="00FE6241"/>
    <w:rsid w:val="00FE6783"/>
    <w:rsid w:val="00FE7DE2"/>
    <w:rsid w:val="00FF1A7D"/>
    <w:rsid w:val="00FF3819"/>
    <w:rsid w:val="00FF3876"/>
    <w:rsid w:val="00FF52CC"/>
    <w:rsid w:val="00FF795F"/>
    <w:rsid w:val="00FF7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0EE4F"/>
  <w15:chartTrackingRefBased/>
  <w15:docId w15:val="{D5C24F7A-7D1C-4D43-BCBB-2FCA91EC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A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A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A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A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A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A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A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AD2"/>
    <w:rPr>
      <w:rFonts w:eastAsiaTheme="majorEastAsia" w:cstheme="majorBidi"/>
      <w:color w:val="272727" w:themeColor="text1" w:themeTint="D8"/>
    </w:rPr>
  </w:style>
  <w:style w:type="paragraph" w:styleId="Title">
    <w:name w:val="Title"/>
    <w:basedOn w:val="Normal"/>
    <w:next w:val="Normal"/>
    <w:link w:val="TitleChar"/>
    <w:uiPriority w:val="10"/>
    <w:qFormat/>
    <w:rsid w:val="00CE0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A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A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AD2"/>
    <w:pPr>
      <w:spacing w:before="160"/>
      <w:jc w:val="center"/>
    </w:pPr>
    <w:rPr>
      <w:i/>
      <w:iCs/>
      <w:color w:val="404040" w:themeColor="text1" w:themeTint="BF"/>
    </w:rPr>
  </w:style>
  <w:style w:type="character" w:customStyle="1" w:styleId="QuoteChar">
    <w:name w:val="Quote Char"/>
    <w:basedOn w:val="DefaultParagraphFont"/>
    <w:link w:val="Quote"/>
    <w:uiPriority w:val="29"/>
    <w:rsid w:val="00CE0AD2"/>
    <w:rPr>
      <w:i/>
      <w:iCs/>
      <w:color w:val="404040" w:themeColor="text1" w:themeTint="BF"/>
    </w:rPr>
  </w:style>
  <w:style w:type="paragraph" w:styleId="ListParagraph">
    <w:name w:val="List Paragraph"/>
    <w:basedOn w:val="Normal"/>
    <w:uiPriority w:val="34"/>
    <w:qFormat/>
    <w:rsid w:val="00CE0AD2"/>
    <w:pPr>
      <w:ind w:left="720"/>
      <w:contextualSpacing/>
    </w:pPr>
  </w:style>
  <w:style w:type="character" w:styleId="IntenseEmphasis">
    <w:name w:val="Intense Emphasis"/>
    <w:basedOn w:val="DefaultParagraphFont"/>
    <w:uiPriority w:val="21"/>
    <w:qFormat/>
    <w:rsid w:val="00CE0AD2"/>
    <w:rPr>
      <w:i/>
      <w:iCs/>
      <w:color w:val="0F4761" w:themeColor="accent1" w:themeShade="BF"/>
    </w:rPr>
  </w:style>
  <w:style w:type="paragraph" w:styleId="IntenseQuote">
    <w:name w:val="Intense Quote"/>
    <w:basedOn w:val="Normal"/>
    <w:next w:val="Normal"/>
    <w:link w:val="IntenseQuoteChar"/>
    <w:uiPriority w:val="30"/>
    <w:qFormat/>
    <w:rsid w:val="00CE0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AD2"/>
    <w:rPr>
      <w:i/>
      <w:iCs/>
      <w:color w:val="0F4761" w:themeColor="accent1" w:themeShade="BF"/>
    </w:rPr>
  </w:style>
  <w:style w:type="character" w:styleId="IntenseReference">
    <w:name w:val="Intense Reference"/>
    <w:basedOn w:val="DefaultParagraphFont"/>
    <w:uiPriority w:val="32"/>
    <w:qFormat/>
    <w:rsid w:val="00CE0AD2"/>
    <w:rPr>
      <w:b/>
      <w:bCs/>
      <w:smallCaps/>
      <w:color w:val="0F4761" w:themeColor="accent1" w:themeShade="BF"/>
      <w:spacing w:val="5"/>
    </w:rPr>
  </w:style>
  <w:style w:type="paragraph" w:styleId="Header">
    <w:name w:val="header"/>
    <w:basedOn w:val="Normal"/>
    <w:link w:val="HeaderChar"/>
    <w:uiPriority w:val="99"/>
    <w:unhideWhenUsed/>
    <w:rsid w:val="00CE0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AD2"/>
  </w:style>
  <w:style w:type="paragraph" w:styleId="Footer">
    <w:name w:val="footer"/>
    <w:basedOn w:val="Normal"/>
    <w:link w:val="FooterChar"/>
    <w:uiPriority w:val="99"/>
    <w:unhideWhenUsed/>
    <w:rsid w:val="00CE0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AD2"/>
  </w:style>
  <w:style w:type="character" w:styleId="Hyperlink">
    <w:name w:val="Hyperlink"/>
    <w:basedOn w:val="DefaultParagraphFont"/>
    <w:uiPriority w:val="99"/>
    <w:unhideWhenUsed/>
    <w:rsid w:val="00CB19E0"/>
    <w:rPr>
      <w:color w:val="467886" w:themeColor="hyperlink"/>
      <w:u w:val="single"/>
    </w:rPr>
  </w:style>
  <w:style w:type="character" w:styleId="UnresolvedMention">
    <w:name w:val="Unresolved Mention"/>
    <w:basedOn w:val="DefaultParagraphFont"/>
    <w:uiPriority w:val="99"/>
    <w:semiHidden/>
    <w:unhideWhenUsed/>
    <w:rsid w:val="00CB19E0"/>
    <w:rPr>
      <w:color w:val="605E5C"/>
      <w:shd w:val="clear" w:color="auto" w:fill="E1DFDD"/>
    </w:rPr>
  </w:style>
  <w:style w:type="paragraph" w:styleId="Revision">
    <w:name w:val="Revision"/>
    <w:hidden/>
    <w:uiPriority w:val="99"/>
    <w:semiHidden/>
    <w:rsid w:val="00A203BB"/>
    <w:pPr>
      <w:spacing w:after="0" w:line="240" w:lineRule="auto"/>
    </w:pPr>
  </w:style>
  <w:style w:type="character" w:styleId="CommentReference">
    <w:name w:val="annotation reference"/>
    <w:basedOn w:val="DefaultParagraphFont"/>
    <w:uiPriority w:val="99"/>
    <w:semiHidden/>
    <w:unhideWhenUsed/>
    <w:rsid w:val="00352752"/>
    <w:rPr>
      <w:sz w:val="16"/>
      <w:szCs w:val="16"/>
    </w:rPr>
  </w:style>
  <w:style w:type="paragraph" w:styleId="CommentText">
    <w:name w:val="annotation text"/>
    <w:basedOn w:val="Normal"/>
    <w:link w:val="CommentTextChar"/>
    <w:uiPriority w:val="99"/>
    <w:unhideWhenUsed/>
    <w:rsid w:val="00352752"/>
    <w:pPr>
      <w:spacing w:line="240" w:lineRule="auto"/>
    </w:pPr>
    <w:rPr>
      <w:sz w:val="20"/>
      <w:szCs w:val="20"/>
    </w:rPr>
  </w:style>
  <w:style w:type="character" w:customStyle="1" w:styleId="CommentTextChar">
    <w:name w:val="Comment Text Char"/>
    <w:basedOn w:val="DefaultParagraphFont"/>
    <w:link w:val="CommentText"/>
    <w:uiPriority w:val="99"/>
    <w:rsid w:val="00352752"/>
    <w:rPr>
      <w:sz w:val="20"/>
      <w:szCs w:val="20"/>
    </w:rPr>
  </w:style>
  <w:style w:type="paragraph" w:styleId="CommentSubject">
    <w:name w:val="annotation subject"/>
    <w:basedOn w:val="CommentText"/>
    <w:next w:val="CommentText"/>
    <w:link w:val="CommentSubjectChar"/>
    <w:uiPriority w:val="99"/>
    <w:semiHidden/>
    <w:unhideWhenUsed/>
    <w:rsid w:val="00352752"/>
    <w:rPr>
      <w:b/>
      <w:bCs/>
    </w:rPr>
  </w:style>
  <w:style w:type="character" w:customStyle="1" w:styleId="CommentSubjectChar">
    <w:name w:val="Comment Subject Char"/>
    <w:basedOn w:val="CommentTextChar"/>
    <w:link w:val="CommentSubject"/>
    <w:uiPriority w:val="99"/>
    <w:semiHidden/>
    <w:rsid w:val="00352752"/>
    <w:rPr>
      <w:b/>
      <w:bCs/>
      <w:sz w:val="20"/>
      <w:szCs w:val="20"/>
    </w:rPr>
  </w:style>
  <w:style w:type="character" w:styleId="Mention">
    <w:name w:val="Mention"/>
    <w:basedOn w:val="DefaultParagraphFont"/>
    <w:uiPriority w:val="99"/>
    <w:unhideWhenUsed/>
    <w:rsid w:val="00AC0399"/>
    <w:rPr>
      <w:color w:val="2B579A"/>
      <w:shd w:val="clear" w:color="auto" w:fill="E1DFDD"/>
    </w:rPr>
  </w:style>
  <w:style w:type="character" w:styleId="FollowedHyperlink">
    <w:name w:val="FollowedHyperlink"/>
    <w:basedOn w:val="DefaultParagraphFont"/>
    <w:uiPriority w:val="99"/>
    <w:semiHidden/>
    <w:unhideWhenUsed/>
    <w:rsid w:val="00765A0A"/>
    <w:rPr>
      <w:color w:val="96607D" w:themeColor="followedHyperlink"/>
      <w:u w:val="single"/>
    </w:rPr>
  </w:style>
  <w:style w:type="paragraph" w:customStyle="1" w:styleId="paragraph">
    <w:name w:val="paragraph"/>
    <w:basedOn w:val="Normal"/>
    <w:rsid w:val="00765A0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65A0A"/>
  </w:style>
  <w:style w:type="character" w:customStyle="1" w:styleId="eop">
    <w:name w:val="eop"/>
    <w:basedOn w:val="DefaultParagraphFont"/>
    <w:rsid w:val="00765A0A"/>
  </w:style>
  <w:style w:type="character" w:styleId="Strong">
    <w:name w:val="Strong"/>
    <w:basedOn w:val="DefaultParagraphFont"/>
    <w:uiPriority w:val="22"/>
    <w:qFormat/>
    <w:rsid w:val="00B34544"/>
    <w:rPr>
      <w:b/>
      <w:bCs/>
    </w:rPr>
  </w:style>
  <w:style w:type="paragraph" w:styleId="FootnoteText">
    <w:name w:val="footnote text"/>
    <w:basedOn w:val="Normal"/>
    <w:link w:val="FootnoteTextChar"/>
    <w:uiPriority w:val="99"/>
    <w:semiHidden/>
    <w:unhideWhenUsed/>
    <w:rsid w:val="00652F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F1A"/>
    <w:rPr>
      <w:sz w:val="20"/>
      <w:szCs w:val="20"/>
    </w:rPr>
  </w:style>
  <w:style w:type="character" w:styleId="FootnoteReference">
    <w:name w:val="footnote reference"/>
    <w:basedOn w:val="DefaultParagraphFont"/>
    <w:uiPriority w:val="99"/>
    <w:semiHidden/>
    <w:unhideWhenUsed/>
    <w:rsid w:val="00652F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cbhi-data-and-reports" TargetMode="External"/><Relationship Id="rId18" Type="http://schemas.openxmlformats.org/officeDocument/2006/relationships/hyperlink" Target="https://www.mass.gov/lists/unaccompanied-homeless-youth-commission-reports" TargetMode="External"/><Relationship Id="rId26" Type="http://schemas.openxmlformats.org/officeDocument/2006/relationships/hyperlink" Target="https://malegislature.gov/Bills/194/SD2960.pdf" TargetMode="External"/><Relationship Id="rId39" Type="http://schemas.openxmlformats.org/officeDocument/2006/relationships/hyperlink" Target="https://www.casey.org/media/25.07-QFF-TS-SOC-State-profile-NJ.pdf" TargetMode="External"/><Relationship Id="rId3" Type="http://schemas.openxmlformats.org/officeDocument/2006/relationships/styles" Target="styles.xml"/><Relationship Id="rId21" Type="http://schemas.openxmlformats.org/officeDocument/2006/relationships/hyperlink" Target="https://childrensmentalhealthcampaign.org/iecmh/" TargetMode="External"/><Relationship Id="rId34" Type="http://schemas.openxmlformats.org/officeDocument/2006/relationships/hyperlink" Target="https://masshpc.gov/sites/default/files/2025-02/20250227_BH-ED-Boarding_0.pdf" TargetMode="External"/><Relationship Id="rId42" Type="http://schemas.openxmlformats.org/officeDocument/2006/relationships/hyperlink" Target="https://www.dhs.state.il.us/OneNetLibrary/27896/documents/CBHT/childrens-health-web-021523.pdf" TargetMode="External"/><Relationship Id="rId47" Type="http://schemas.openxmlformats.org/officeDocument/2006/relationships/hyperlink" Target="https://www.bhclearinghouse.org/"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legislature.gov/Budget/FY2026/FinalBudget" TargetMode="External"/><Relationship Id="rId17" Type="http://schemas.openxmlformats.org/officeDocument/2006/relationships/hyperlink" Target="https://www.mass.gov/lists/autism-commission-reports" TargetMode="External"/><Relationship Id="rId25" Type="http://schemas.openxmlformats.org/officeDocument/2006/relationships/hyperlink" Target="https://www.masstaxpayers.org/sites/default/files/publications/2024-11/Overview%20of%20the%20Pediatric%20Behavioral%20Health%20Crisis%20Chartbook%20FINAL.pdf" TargetMode="External"/><Relationship Id="rId33" Type="http://schemas.openxmlformats.org/officeDocument/2006/relationships/hyperlink" Target="https://masshpc.gov/sites/default/files/Pediatric-Policy-Report.pdf" TargetMode="External"/><Relationship Id="rId38" Type="http://schemas.openxmlformats.org/officeDocument/2006/relationships/hyperlink" Target="https://www.mass.gov/orgs/community-health-equity-initiative"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ass.gov/doc/2024-cbhac-annual-report/download" TargetMode="External"/><Relationship Id="rId20" Type="http://schemas.openxmlformats.org/officeDocument/2006/relationships/hyperlink" Target="https://childrensmentalhealthcampaign.org/iecmh/" TargetMode="External"/><Relationship Id="rId29" Type="http://schemas.openxmlformats.org/officeDocument/2006/relationships/hyperlink" Target="https://www.mass.gov/doc/health-care-oversight-report-and-coordination-plan-2025-2029/download" TargetMode="External"/><Relationship Id="rId41" Type="http://schemas.openxmlformats.org/officeDocument/2006/relationships/hyperlink" Target="https://kids.delaware.gov/prevention-and-behavioral-health-serv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hyperlink" Target="https://www.canva.com/design/DAGeK5p72Bc/wjnM6EwOh0ajyBwl8Io1VQ/view?utm_content=DAGeK5p72Bc&amp;utm_campaign=designshare&amp;utm_medium=link&amp;utm_source=viewer" TargetMode="External"/><Relationship Id="rId32" Type="http://schemas.openxmlformats.org/officeDocument/2006/relationships/hyperlink" Target="https://masshpc.gov/sites/default/files/Pediatric-Policy-Report.pdf" TargetMode="External"/><Relationship Id="rId37" Type="http://schemas.openxmlformats.org/officeDocument/2006/relationships/hyperlink" Target="https://www.mhalink.org/bhreports/" TargetMode="External"/><Relationship Id="rId40" Type="http://schemas.openxmlformats.org/officeDocument/2006/relationships/hyperlink" Target="https://kids.delaware.gov/prevention-and-behavioral-health-servic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doc/cbhac-annual-report-2022-pdf/download" TargetMode="External"/><Relationship Id="rId23" Type="http://schemas.openxmlformats.org/officeDocument/2006/relationships/hyperlink" Target="https://drive.google.com/file/d/14HcPTlHnmeZL9oTOtK4aLFr081YXcV5Q/view?pli=1" TargetMode="External"/><Relationship Id="rId28" Type="http://schemas.openxmlformats.org/officeDocument/2006/relationships/hyperlink" Target="https://childrenstrustma.org/wp-content/uploads/2025/10/2025-Annual-Report-FINAL.pdf" TargetMode="External"/><Relationship Id="rId36" Type="http://schemas.openxmlformats.org/officeDocument/2006/relationships/hyperlink" Target="https://www.mass.gov/roadmap-for-behavioral-health-reform"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hildrensmentalhealthcampaign.org/wp-content/uploads/CMHC-SBBH-Policy-Report-11.20.23-1-1.pdf" TargetMode="External"/><Relationship Id="rId31" Type="http://schemas.openxmlformats.org/officeDocument/2006/relationships/hyperlink" Target="https://masshpc.gov/publications/policyresearch-brief/children-medical-complexity-commonwealth" TargetMode="External"/><Relationship Id="rId44" Type="http://schemas.openxmlformats.org/officeDocument/2006/relationships/hyperlink" Target="https://nashp.org/policy/behavioral-health/children-and-youth-behavioral-health/?_topic=children-and-youth-behavioral-health" TargetMode="External"/><Relationship Id="rId4" Type="http://schemas.openxmlformats.org/officeDocument/2006/relationships/settings" Target="settings.xml"/><Relationship Id="rId9" Type="http://schemas.openxmlformats.org/officeDocument/2006/relationships/hyperlink" Target="https://www.mass.gov/special-commission-on-access-to-behavioral-health-services-for-children-and-families" TargetMode="External"/><Relationship Id="rId14" Type="http://schemas.openxmlformats.org/officeDocument/2006/relationships/hyperlink" Target="https://www.mass.gov/doc/cbhac-annual-report-2022-pdf/download" TargetMode="External"/><Relationship Id="rId22" Type="http://schemas.openxmlformats.org/officeDocument/2006/relationships/hyperlink" Target="https://childrensmentalhealthcampaign.org/iecmh/" TargetMode="External"/><Relationship Id="rId27" Type="http://schemas.openxmlformats.org/officeDocument/2006/relationships/hyperlink" Target="https://www.mass.gov/doc/oca-fy25-strategic-plan/download" TargetMode="External"/><Relationship Id="rId30" Type="http://schemas.openxmlformats.org/officeDocument/2006/relationships/hyperlink" Target="https://www.mass.gov/doc/dcf-health-care-oversight-and-coordination-plan-2020-2024/download" TargetMode="External"/><Relationship Id="rId35" Type="http://schemas.openxmlformats.org/officeDocument/2006/relationships/hyperlink" Target="https://www.abhmass.org/images/CBHI_Brief/ABH_Brief_Children_Are_Waiting_FINAL_121423_R.pdf" TargetMode="External"/><Relationship Id="rId43" Type="http://schemas.openxmlformats.org/officeDocument/2006/relationships/hyperlink" Target="https://dbhids.org/services/children-and-youth-services/" TargetMode="External"/><Relationship Id="rId48" Type="http://schemas.openxmlformats.org/officeDocument/2006/relationships/hyperlink" Target="https://www.njhcqi.org/wp-content/uploads/2026/05/NHC0300-Childrens-Mental-Health-Report-FINAL-Web-1.pdf"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26014-22B4-4407-9E9A-7A51F3D2F71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51</Pages>
  <Words>16754</Words>
  <Characters>95498</Characters>
  <Application>Microsoft Office Word</Application>
  <DocSecurity>0</DocSecurity>
  <Lines>795</Lines>
  <Paragraphs>224</Paragraphs>
  <ScaleCrop>false</ScaleCrop>
  <Company/>
  <LinksUpToDate>false</LinksUpToDate>
  <CharactersWithSpaces>112028</CharactersWithSpaces>
  <SharedDoc>false</SharedDoc>
  <HLinks>
    <vt:vector size="222" baseType="variant">
      <vt:variant>
        <vt:i4>1572891</vt:i4>
      </vt:variant>
      <vt:variant>
        <vt:i4>105</vt:i4>
      </vt:variant>
      <vt:variant>
        <vt:i4>0</vt:i4>
      </vt:variant>
      <vt:variant>
        <vt:i4>5</vt:i4>
      </vt:variant>
      <vt:variant>
        <vt:lpwstr>https://www.njhcqi.org/wp-content/uploads/2026/05/NHC0300-Childrens-Mental-Health-Report-FINAL-Web-1.pdf</vt:lpwstr>
      </vt:variant>
      <vt:variant>
        <vt:lpwstr/>
      </vt:variant>
      <vt:variant>
        <vt:i4>4980808</vt:i4>
      </vt:variant>
      <vt:variant>
        <vt:i4>102</vt:i4>
      </vt:variant>
      <vt:variant>
        <vt:i4>0</vt:i4>
      </vt:variant>
      <vt:variant>
        <vt:i4>5</vt:i4>
      </vt:variant>
      <vt:variant>
        <vt:lpwstr>https://www.bhclearinghouse.org/</vt:lpwstr>
      </vt:variant>
      <vt:variant>
        <vt:lpwstr/>
      </vt:variant>
      <vt:variant>
        <vt:i4>8060950</vt:i4>
      </vt:variant>
      <vt:variant>
        <vt:i4>99</vt:i4>
      </vt:variant>
      <vt:variant>
        <vt:i4>0</vt:i4>
      </vt:variant>
      <vt:variant>
        <vt:i4>5</vt:i4>
      </vt:variant>
      <vt:variant>
        <vt:lpwstr>https://nashp.org/policy/behavioral-health/children-and-youth-behavioral-health/?_topic=children-and-youth-behavioral-health</vt:lpwstr>
      </vt:variant>
      <vt:variant>
        <vt:lpwstr/>
      </vt:variant>
      <vt:variant>
        <vt:i4>1572872</vt:i4>
      </vt:variant>
      <vt:variant>
        <vt:i4>96</vt:i4>
      </vt:variant>
      <vt:variant>
        <vt:i4>0</vt:i4>
      </vt:variant>
      <vt:variant>
        <vt:i4>5</vt:i4>
      </vt:variant>
      <vt:variant>
        <vt:lpwstr>https://dbhids.org/services/children-and-youth-services/</vt:lpwstr>
      </vt:variant>
      <vt:variant>
        <vt:lpwstr/>
      </vt:variant>
      <vt:variant>
        <vt:i4>7667770</vt:i4>
      </vt:variant>
      <vt:variant>
        <vt:i4>93</vt:i4>
      </vt:variant>
      <vt:variant>
        <vt:i4>0</vt:i4>
      </vt:variant>
      <vt:variant>
        <vt:i4>5</vt:i4>
      </vt:variant>
      <vt:variant>
        <vt:lpwstr>https://www.dhs.state.il.us/OneNetLibrary/27896/documents/CBHT/childrens-health-web-021523.pdf</vt:lpwstr>
      </vt:variant>
      <vt:variant>
        <vt:lpwstr/>
      </vt:variant>
      <vt:variant>
        <vt:i4>1835093</vt:i4>
      </vt:variant>
      <vt:variant>
        <vt:i4>90</vt:i4>
      </vt:variant>
      <vt:variant>
        <vt:i4>0</vt:i4>
      </vt:variant>
      <vt:variant>
        <vt:i4>5</vt:i4>
      </vt:variant>
      <vt:variant>
        <vt:lpwstr>https://kids.delaware.gov/prevention-and-behavioral-health-services/</vt:lpwstr>
      </vt:variant>
      <vt:variant>
        <vt:lpwstr/>
      </vt:variant>
      <vt:variant>
        <vt:i4>1835093</vt:i4>
      </vt:variant>
      <vt:variant>
        <vt:i4>87</vt:i4>
      </vt:variant>
      <vt:variant>
        <vt:i4>0</vt:i4>
      </vt:variant>
      <vt:variant>
        <vt:i4>5</vt:i4>
      </vt:variant>
      <vt:variant>
        <vt:lpwstr>https://kids.delaware.gov/prevention-and-behavioral-health-services/</vt:lpwstr>
      </vt:variant>
      <vt:variant>
        <vt:lpwstr/>
      </vt:variant>
      <vt:variant>
        <vt:i4>6029324</vt:i4>
      </vt:variant>
      <vt:variant>
        <vt:i4>84</vt:i4>
      </vt:variant>
      <vt:variant>
        <vt:i4>0</vt:i4>
      </vt:variant>
      <vt:variant>
        <vt:i4>5</vt:i4>
      </vt:variant>
      <vt:variant>
        <vt:lpwstr>https://www.casey.org/media/25.07-QFF-TS-SOC-State-profile-NJ.pdf</vt:lpwstr>
      </vt:variant>
      <vt:variant>
        <vt:lpwstr/>
      </vt:variant>
      <vt:variant>
        <vt:i4>393216</vt:i4>
      </vt:variant>
      <vt:variant>
        <vt:i4>81</vt:i4>
      </vt:variant>
      <vt:variant>
        <vt:i4>0</vt:i4>
      </vt:variant>
      <vt:variant>
        <vt:i4>5</vt:i4>
      </vt:variant>
      <vt:variant>
        <vt:lpwstr>https://www.mass.gov/orgs/community-health-equity-initiative</vt:lpwstr>
      </vt:variant>
      <vt:variant>
        <vt:lpwstr/>
      </vt:variant>
      <vt:variant>
        <vt:i4>6815783</vt:i4>
      </vt:variant>
      <vt:variant>
        <vt:i4>78</vt:i4>
      </vt:variant>
      <vt:variant>
        <vt:i4>0</vt:i4>
      </vt:variant>
      <vt:variant>
        <vt:i4>5</vt:i4>
      </vt:variant>
      <vt:variant>
        <vt:lpwstr>https://www.mhalink.org/bhreports/</vt:lpwstr>
      </vt:variant>
      <vt:variant>
        <vt:lpwstr/>
      </vt:variant>
      <vt:variant>
        <vt:i4>589852</vt:i4>
      </vt:variant>
      <vt:variant>
        <vt:i4>75</vt:i4>
      </vt:variant>
      <vt:variant>
        <vt:i4>0</vt:i4>
      </vt:variant>
      <vt:variant>
        <vt:i4>5</vt:i4>
      </vt:variant>
      <vt:variant>
        <vt:lpwstr>https://www.mass.gov/roadmap-for-behavioral-health-reform</vt:lpwstr>
      </vt:variant>
      <vt:variant>
        <vt:lpwstr/>
      </vt:variant>
      <vt:variant>
        <vt:i4>6815790</vt:i4>
      </vt:variant>
      <vt:variant>
        <vt:i4>72</vt:i4>
      </vt:variant>
      <vt:variant>
        <vt:i4>0</vt:i4>
      </vt:variant>
      <vt:variant>
        <vt:i4>5</vt:i4>
      </vt:variant>
      <vt:variant>
        <vt:lpwstr>https://www.abhmass.org/images/CBHI_Brief/ABH_Brief_Children_Are_Waiting_FINAL_121423_R.pdf</vt:lpwstr>
      </vt:variant>
      <vt:variant>
        <vt:lpwstr/>
      </vt:variant>
      <vt:variant>
        <vt:i4>7798907</vt:i4>
      </vt:variant>
      <vt:variant>
        <vt:i4>69</vt:i4>
      </vt:variant>
      <vt:variant>
        <vt:i4>0</vt:i4>
      </vt:variant>
      <vt:variant>
        <vt:i4>5</vt:i4>
      </vt:variant>
      <vt:variant>
        <vt:lpwstr>https://masshpc.gov/sites/default/files/2025-02/20250227_BH-ED-Boarding_0.pdf</vt:lpwstr>
      </vt:variant>
      <vt:variant>
        <vt:lpwstr/>
      </vt:variant>
      <vt:variant>
        <vt:i4>2293874</vt:i4>
      </vt:variant>
      <vt:variant>
        <vt:i4>66</vt:i4>
      </vt:variant>
      <vt:variant>
        <vt:i4>0</vt:i4>
      </vt:variant>
      <vt:variant>
        <vt:i4>5</vt:i4>
      </vt:variant>
      <vt:variant>
        <vt:lpwstr>https://masshpc.gov/sites/default/files/Pediatric-Policy-Report.pdf</vt:lpwstr>
      </vt:variant>
      <vt:variant>
        <vt:lpwstr/>
      </vt:variant>
      <vt:variant>
        <vt:i4>2293874</vt:i4>
      </vt:variant>
      <vt:variant>
        <vt:i4>63</vt:i4>
      </vt:variant>
      <vt:variant>
        <vt:i4>0</vt:i4>
      </vt:variant>
      <vt:variant>
        <vt:i4>5</vt:i4>
      </vt:variant>
      <vt:variant>
        <vt:lpwstr>https://masshpc.gov/sites/default/files/Pediatric-Policy-Report.pdf</vt:lpwstr>
      </vt:variant>
      <vt:variant>
        <vt:lpwstr/>
      </vt:variant>
      <vt:variant>
        <vt:i4>3539057</vt:i4>
      </vt:variant>
      <vt:variant>
        <vt:i4>60</vt:i4>
      </vt:variant>
      <vt:variant>
        <vt:i4>0</vt:i4>
      </vt:variant>
      <vt:variant>
        <vt:i4>5</vt:i4>
      </vt:variant>
      <vt:variant>
        <vt:lpwstr>https://masshpc.gov/publications/policyresearch-brief/children-medical-complexity-commonwealth</vt:lpwstr>
      </vt:variant>
      <vt:variant>
        <vt:lpwstr/>
      </vt:variant>
      <vt:variant>
        <vt:i4>7340135</vt:i4>
      </vt:variant>
      <vt:variant>
        <vt:i4>57</vt:i4>
      </vt:variant>
      <vt:variant>
        <vt:i4>0</vt:i4>
      </vt:variant>
      <vt:variant>
        <vt:i4>5</vt:i4>
      </vt:variant>
      <vt:variant>
        <vt:lpwstr>https://www.mass.gov/doc/dcf-health-care-oversight-and-coordination-plan-2020-2024/download</vt:lpwstr>
      </vt:variant>
      <vt:variant>
        <vt:lpwstr/>
      </vt:variant>
      <vt:variant>
        <vt:i4>6422646</vt:i4>
      </vt:variant>
      <vt:variant>
        <vt:i4>54</vt:i4>
      </vt:variant>
      <vt:variant>
        <vt:i4>0</vt:i4>
      </vt:variant>
      <vt:variant>
        <vt:i4>5</vt:i4>
      </vt:variant>
      <vt:variant>
        <vt:lpwstr>https://www.mass.gov/doc/health-care-oversight-report-and-coordination-plan-2025-2029/download</vt:lpwstr>
      </vt:variant>
      <vt:variant>
        <vt:lpwstr/>
      </vt:variant>
      <vt:variant>
        <vt:i4>1048602</vt:i4>
      </vt:variant>
      <vt:variant>
        <vt:i4>51</vt:i4>
      </vt:variant>
      <vt:variant>
        <vt:i4>0</vt:i4>
      </vt:variant>
      <vt:variant>
        <vt:i4>5</vt:i4>
      </vt:variant>
      <vt:variant>
        <vt:lpwstr>https://childrenstrustma.org/wp-content/uploads/2025/10/2025-Annual-Report-FINAL.pdf</vt:lpwstr>
      </vt:variant>
      <vt:variant>
        <vt:lpwstr/>
      </vt:variant>
      <vt:variant>
        <vt:i4>1245267</vt:i4>
      </vt:variant>
      <vt:variant>
        <vt:i4>48</vt:i4>
      </vt:variant>
      <vt:variant>
        <vt:i4>0</vt:i4>
      </vt:variant>
      <vt:variant>
        <vt:i4>5</vt:i4>
      </vt:variant>
      <vt:variant>
        <vt:lpwstr>https://www.mass.gov/doc/oca-fy25-strategic-plan/download</vt:lpwstr>
      </vt:variant>
      <vt:variant>
        <vt:lpwstr/>
      </vt:variant>
      <vt:variant>
        <vt:i4>4128880</vt:i4>
      </vt:variant>
      <vt:variant>
        <vt:i4>45</vt:i4>
      </vt:variant>
      <vt:variant>
        <vt:i4>0</vt:i4>
      </vt:variant>
      <vt:variant>
        <vt:i4>5</vt:i4>
      </vt:variant>
      <vt:variant>
        <vt:lpwstr>https://malegislature.gov/Bills/194/SD2960.pdf</vt:lpwstr>
      </vt:variant>
      <vt:variant>
        <vt:lpwstr/>
      </vt:variant>
      <vt:variant>
        <vt:i4>5570589</vt:i4>
      </vt:variant>
      <vt:variant>
        <vt:i4>42</vt:i4>
      </vt:variant>
      <vt:variant>
        <vt:i4>0</vt:i4>
      </vt:variant>
      <vt:variant>
        <vt:i4>5</vt:i4>
      </vt:variant>
      <vt:variant>
        <vt:lpwstr>https://www.masstaxpayers.org/sites/default/files/publications/2024-11/Overview of the Pediatric Behavioral Health Crisis Chartbook FINAL.pdf</vt:lpwstr>
      </vt:variant>
      <vt:variant>
        <vt:lpwstr/>
      </vt:variant>
      <vt:variant>
        <vt:i4>2097268</vt:i4>
      </vt:variant>
      <vt:variant>
        <vt:i4>39</vt:i4>
      </vt:variant>
      <vt:variant>
        <vt:i4>0</vt:i4>
      </vt:variant>
      <vt:variant>
        <vt:i4>5</vt:i4>
      </vt:variant>
      <vt:variant>
        <vt:lpwstr>https://www.canva.com/design/DAGeK5p72Bc/wjnM6EwOh0ajyBwl8Io1VQ/view?utm_content=DAGeK5p72Bc&amp;utm_campaign=designshare&amp;utm_medium=link&amp;utm_source=viewer</vt:lpwstr>
      </vt:variant>
      <vt:variant>
        <vt:lpwstr/>
      </vt:variant>
      <vt:variant>
        <vt:i4>1245191</vt:i4>
      </vt:variant>
      <vt:variant>
        <vt:i4>36</vt:i4>
      </vt:variant>
      <vt:variant>
        <vt:i4>0</vt:i4>
      </vt:variant>
      <vt:variant>
        <vt:i4>5</vt:i4>
      </vt:variant>
      <vt:variant>
        <vt:lpwstr>https://drive.google.com/file/d/14HcPTlHnmeZL9oTOtK4aLFr081YXcV5Q/view?pli=1</vt:lpwstr>
      </vt:variant>
      <vt:variant>
        <vt:lpwstr/>
      </vt:variant>
      <vt:variant>
        <vt:i4>4849752</vt:i4>
      </vt:variant>
      <vt:variant>
        <vt:i4>33</vt:i4>
      </vt:variant>
      <vt:variant>
        <vt:i4>0</vt:i4>
      </vt:variant>
      <vt:variant>
        <vt:i4>5</vt:i4>
      </vt:variant>
      <vt:variant>
        <vt:lpwstr>https://childrensmentalhealthcampaign.org/iecmh/</vt:lpwstr>
      </vt:variant>
      <vt:variant>
        <vt:lpwstr/>
      </vt:variant>
      <vt:variant>
        <vt:i4>4849752</vt:i4>
      </vt:variant>
      <vt:variant>
        <vt:i4>30</vt:i4>
      </vt:variant>
      <vt:variant>
        <vt:i4>0</vt:i4>
      </vt:variant>
      <vt:variant>
        <vt:i4>5</vt:i4>
      </vt:variant>
      <vt:variant>
        <vt:lpwstr>https://childrensmentalhealthcampaign.org/iecmh/</vt:lpwstr>
      </vt:variant>
      <vt:variant>
        <vt:lpwstr/>
      </vt:variant>
      <vt:variant>
        <vt:i4>4849752</vt:i4>
      </vt:variant>
      <vt:variant>
        <vt:i4>27</vt:i4>
      </vt:variant>
      <vt:variant>
        <vt:i4>0</vt:i4>
      </vt:variant>
      <vt:variant>
        <vt:i4>5</vt:i4>
      </vt:variant>
      <vt:variant>
        <vt:lpwstr>https://childrensmentalhealthcampaign.org/iecmh/</vt:lpwstr>
      </vt:variant>
      <vt:variant>
        <vt:lpwstr/>
      </vt:variant>
      <vt:variant>
        <vt:i4>6094864</vt:i4>
      </vt:variant>
      <vt:variant>
        <vt:i4>24</vt:i4>
      </vt:variant>
      <vt:variant>
        <vt:i4>0</vt:i4>
      </vt:variant>
      <vt:variant>
        <vt:i4>5</vt:i4>
      </vt:variant>
      <vt:variant>
        <vt:lpwstr>https://childrensmentalhealthcampaign.org/wp-content/uploads/CMHC-SBBH-Policy-Report-11.20.23-1-1.pdf</vt:lpwstr>
      </vt:variant>
      <vt:variant>
        <vt:lpwstr/>
      </vt:variant>
      <vt:variant>
        <vt:i4>2424934</vt:i4>
      </vt:variant>
      <vt:variant>
        <vt:i4>21</vt:i4>
      </vt:variant>
      <vt:variant>
        <vt:i4>0</vt:i4>
      </vt:variant>
      <vt:variant>
        <vt:i4>5</vt:i4>
      </vt:variant>
      <vt:variant>
        <vt:lpwstr>https://www.mass.gov/lists/unaccompanied-homeless-youth-commission-reports</vt:lpwstr>
      </vt:variant>
      <vt:variant>
        <vt:lpwstr/>
      </vt:variant>
      <vt:variant>
        <vt:i4>1638491</vt:i4>
      </vt:variant>
      <vt:variant>
        <vt:i4>18</vt:i4>
      </vt:variant>
      <vt:variant>
        <vt:i4>0</vt:i4>
      </vt:variant>
      <vt:variant>
        <vt:i4>5</vt:i4>
      </vt:variant>
      <vt:variant>
        <vt:lpwstr>https://www.mass.gov/lists/autism-commission-reports</vt:lpwstr>
      </vt:variant>
      <vt:variant>
        <vt:lpwstr/>
      </vt:variant>
      <vt:variant>
        <vt:i4>7143487</vt:i4>
      </vt:variant>
      <vt:variant>
        <vt:i4>15</vt:i4>
      </vt:variant>
      <vt:variant>
        <vt:i4>0</vt:i4>
      </vt:variant>
      <vt:variant>
        <vt:i4>5</vt:i4>
      </vt:variant>
      <vt:variant>
        <vt:lpwstr>https://www.mass.gov/doc/2024-cbhac-annual-report/download</vt:lpwstr>
      </vt:variant>
      <vt:variant>
        <vt:lpwstr/>
      </vt:variant>
      <vt:variant>
        <vt:i4>7667838</vt:i4>
      </vt:variant>
      <vt:variant>
        <vt:i4>12</vt:i4>
      </vt:variant>
      <vt:variant>
        <vt:i4>0</vt:i4>
      </vt:variant>
      <vt:variant>
        <vt:i4>5</vt:i4>
      </vt:variant>
      <vt:variant>
        <vt:lpwstr>https://www.mass.gov/doc/cbhac-annual-report-2022-pdf/download</vt:lpwstr>
      </vt:variant>
      <vt:variant>
        <vt:lpwstr/>
      </vt:variant>
      <vt:variant>
        <vt:i4>7667838</vt:i4>
      </vt:variant>
      <vt:variant>
        <vt:i4>9</vt:i4>
      </vt:variant>
      <vt:variant>
        <vt:i4>0</vt:i4>
      </vt:variant>
      <vt:variant>
        <vt:i4>5</vt:i4>
      </vt:variant>
      <vt:variant>
        <vt:lpwstr>https://www.mass.gov/doc/cbhac-annual-report-2022-pdf/download</vt:lpwstr>
      </vt:variant>
      <vt:variant>
        <vt:lpwstr/>
      </vt:variant>
      <vt:variant>
        <vt:i4>7012411</vt:i4>
      </vt:variant>
      <vt:variant>
        <vt:i4>6</vt:i4>
      </vt:variant>
      <vt:variant>
        <vt:i4>0</vt:i4>
      </vt:variant>
      <vt:variant>
        <vt:i4>5</vt:i4>
      </vt:variant>
      <vt:variant>
        <vt:lpwstr>https://www.mass.gov/cbhi-data-and-reports</vt:lpwstr>
      </vt:variant>
      <vt:variant>
        <vt:lpwstr/>
      </vt:variant>
      <vt:variant>
        <vt:i4>3342454</vt:i4>
      </vt:variant>
      <vt:variant>
        <vt:i4>3</vt:i4>
      </vt:variant>
      <vt:variant>
        <vt:i4>0</vt:i4>
      </vt:variant>
      <vt:variant>
        <vt:i4>5</vt:i4>
      </vt:variant>
      <vt:variant>
        <vt:lpwstr>https://malegislature.gov/Budget/FY2026/FinalBudget</vt:lpwstr>
      </vt:variant>
      <vt:variant>
        <vt:lpwstr>:~:text=there%20shall%20be%20a%20special%20commission</vt:lpwstr>
      </vt:variant>
      <vt:variant>
        <vt:i4>1048647</vt:i4>
      </vt:variant>
      <vt:variant>
        <vt:i4>0</vt:i4>
      </vt:variant>
      <vt:variant>
        <vt:i4>0</vt:i4>
      </vt:variant>
      <vt:variant>
        <vt:i4>5</vt:i4>
      </vt:variant>
      <vt:variant>
        <vt:lpwstr>https://www.mass.gov/special-commission-on-access-to-behavioral-health-services-for-children-and-families</vt:lpwstr>
      </vt:variant>
      <vt:variant>
        <vt:lpwstr/>
      </vt:variant>
      <vt:variant>
        <vt:i4>2752515</vt:i4>
      </vt:variant>
      <vt:variant>
        <vt:i4>0</vt:i4>
      </vt:variant>
      <vt:variant>
        <vt:i4>0</vt:i4>
      </vt:variant>
      <vt:variant>
        <vt:i4>5</vt:i4>
      </vt:variant>
      <vt:variant>
        <vt:lpwstr>mailto:Gabriel.R.Cohen@mass.gov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Gabriel R. (EHS)</dc:creator>
  <cp:keywords/>
  <dc:description/>
  <cp:lastModifiedBy>Cohen, Gabriel R. (EHS)</cp:lastModifiedBy>
  <cp:revision>3</cp:revision>
  <cp:lastPrinted>2026-06-05T19:30:00Z</cp:lastPrinted>
  <dcterms:created xsi:type="dcterms:W3CDTF">2026-06-30T13:25:00Z</dcterms:created>
  <dcterms:modified xsi:type="dcterms:W3CDTF">2026-06-30T13:26:00Z</dcterms:modified>
</cp:coreProperties>
</file>