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F04CE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5C2C83" w:rsidRPr="005C2C83" w:rsidRDefault="005C2C83" w:rsidP="005C2C83">
                            <w:pPr>
                              <w:jc w:val="center"/>
                              <w:rPr>
                                <w:b/>
                                <w:bCs/>
                                <w:sz w:val="28"/>
                              </w:rPr>
                            </w:pPr>
                            <w:r w:rsidRPr="005C2C83">
                              <w:rPr>
                                <w:b/>
                                <w:bCs/>
                                <w:sz w:val="28"/>
                              </w:rPr>
                              <w:t>Springfield Hall of Justice</w:t>
                            </w:r>
                          </w:p>
                          <w:p w:rsidR="005C2C83" w:rsidRDefault="005C2C83" w:rsidP="005C2C83">
                            <w:pPr>
                              <w:jc w:val="center"/>
                              <w:rPr>
                                <w:b/>
                                <w:bCs/>
                                <w:sz w:val="28"/>
                              </w:rPr>
                            </w:pPr>
                            <w:r w:rsidRPr="005C2C83">
                              <w:rPr>
                                <w:b/>
                                <w:bCs/>
                                <w:sz w:val="28"/>
                              </w:rPr>
                              <w:t>50 State Street</w:t>
                            </w:r>
                          </w:p>
                          <w:p w:rsidR="00A92CD7" w:rsidRPr="005C2C83" w:rsidRDefault="00A92CD7" w:rsidP="005C2C83">
                            <w:pPr>
                              <w:jc w:val="center"/>
                              <w:rPr>
                                <w:b/>
                                <w:bCs/>
                                <w:sz w:val="28"/>
                              </w:rPr>
                            </w:pPr>
                            <w:r>
                              <w:rPr>
                                <w:b/>
                                <w:bCs/>
                                <w:sz w:val="28"/>
                              </w:rPr>
                              <w:t>Room 204</w:t>
                            </w:r>
                          </w:p>
                          <w:p w:rsidR="00C424AE" w:rsidRPr="00705149" w:rsidRDefault="005C2C83" w:rsidP="005C2C83">
                            <w:pPr>
                              <w:jc w:val="center"/>
                              <w:rPr>
                                <w:b/>
                                <w:bCs/>
                              </w:rPr>
                            </w:pPr>
                            <w:r w:rsidRPr="005C2C83">
                              <w:rPr>
                                <w:b/>
                                <w:bCs/>
                                <w:sz w:val="28"/>
                              </w:rPr>
                              <w:t>Springfield, Massachusetts</w:t>
                            </w: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F04CE1" w:rsidP="00C424AE">
                            <w:pPr>
                              <w:jc w:val="center"/>
                              <w:rPr>
                                <w:b/>
                              </w:rPr>
                            </w:pPr>
                            <w:bookmarkStart w:id="0" w:name="_GoBack"/>
                            <w:r>
                              <w:rPr>
                                <w:noProof/>
                              </w:rPr>
                              <w:drawing>
                                <wp:inline distT="0" distB="0" distL="0" distR="0">
                                  <wp:extent cx="4206240" cy="2682240"/>
                                  <wp:effectExtent l="0" t="0" r="0" b="0"/>
                                  <wp:docPr id="8" name="Picture 1" descr="Springfield Hall of Justice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field Hall of Justice Aerial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06240" cy="2682240"/>
                                          </a:xfrm>
                                          <a:prstGeom prst="rect">
                                            <a:avLst/>
                                          </a:prstGeom>
                                          <a:noFill/>
                                          <a:ln>
                                            <a:noFill/>
                                          </a:ln>
                                        </pic:spPr>
                                      </pic:pic>
                                    </a:graphicData>
                                  </a:graphic>
                                </wp:inline>
                              </w:drawing>
                            </w:r>
                            <w:bookmarkEnd w:id="0"/>
                          </w:p>
                          <w:p w:rsidR="0009667C" w:rsidRDefault="0009667C" w:rsidP="00DB51C0">
                            <w:pPr>
                              <w:jc w:val="center"/>
                            </w:pPr>
                          </w:p>
                          <w:p w:rsidR="00384964" w:rsidRDefault="00384964" w:rsidP="00DB51C0">
                            <w:pPr>
                              <w:jc w:val="center"/>
                            </w:pPr>
                          </w:p>
                          <w:p w:rsidR="000E55DF" w:rsidRDefault="000E55DF"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E55DF" w:rsidP="00DB51C0">
                            <w:pPr>
                              <w:jc w:val="center"/>
                            </w:pPr>
                            <w:r>
                              <w:t>October</w:t>
                            </w:r>
                            <w:r w:rsidR="00CC7501">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5C2C83" w:rsidRPr="005C2C83" w:rsidRDefault="005C2C83" w:rsidP="005C2C83">
                      <w:pPr>
                        <w:jc w:val="center"/>
                        <w:rPr>
                          <w:b/>
                          <w:bCs/>
                          <w:sz w:val="28"/>
                        </w:rPr>
                      </w:pPr>
                      <w:r w:rsidRPr="005C2C83">
                        <w:rPr>
                          <w:b/>
                          <w:bCs/>
                          <w:sz w:val="28"/>
                        </w:rPr>
                        <w:t>Springfield Hall of Justice</w:t>
                      </w:r>
                    </w:p>
                    <w:p w:rsidR="005C2C83" w:rsidRDefault="005C2C83" w:rsidP="005C2C83">
                      <w:pPr>
                        <w:jc w:val="center"/>
                        <w:rPr>
                          <w:b/>
                          <w:bCs/>
                          <w:sz w:val="28"/>
                        </w:rPr>
                      </w:pPr>
                      <w:r w:rsidRPr="005C2C83">
                        <w:rPr>
                          <w:b/>
                          <w:bCs/>
                          <w:sz w:val="28"/>
                        </w:rPr>
                        <w:t>50 State Street</w:t>
                      </w:r>
                    </w:p>
                    <w:p w:rsidR="00A92CD7" w:rsidRPr="005C2C83" w:rsidRDefault="00A92CD7" w:rsidP="005C2C83">
                      <w:pPr>
                        <w:jc w:val="center"/>
                        <w:rPr>
                          <w:b/>
                          <w:bCs/>
                          <w:sz w:val="28"/>
                        </w:rPr>
                      </w:pPr>
                      <w:r>
                        <w:rPr>
                          <w:b/>
                          <w:bCs/>
                          <w:sz w:val="28"/>
                        </w:rPr>
                        <w:t>Room 204</w:t>
                      </w:r>
                    </w:p>
                    <w:p w:rsidR="00C424AE" w:rsidRPr="00705149" w:rsidRDefault="005C2C83" w:rsidP="005C2C83">
                      <w:pPr>
                        <w:jc w:val="center"/>
                        <w:rPr>
                          <w:b/>
                          <w:bCs/>
                        </w:rPr>
                      </w:pPr>
                      <w:r w:rsidRPr="005C2C83">
                        <w:rPr>
                          <w:b/>
                          <w:bCs/>
                          <w:sz w:val="28"/>
                        </w:rPr>
                        <w:t>Springfield, Massachusetts</w:t>
                      </w: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F04CE1" w:rsidP="00C424AE">
                      <w:pPr>
                        <w:jc w:val="center"/>
                        <w:rPr>
                          <w:b/>
                        </w:rPr>
                      </w:pPr>
                      <w:bookmarkStart w:id="1" w:name="_GoBack"/>
                      <w:r>
                        <w:rPr>
                          <w:noProof/>
                        </w:rPr>
                        <w:drawing>
                          <wp:inline distT="0" distB="0" distL="0" distR="0">
                            <wp:extent cx="4206240" cy="2682240"/>
                            <wp:effectExtent l="0" t="0" r="0" b="0"/>
                            <wp:docPr id="8" name="Picture 1" descr="Springfield Hall of Justice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field Hall of Justice Aerial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06240" cy="2682240"/>
                                    </a:xfrm>
                                    <a:prstGeom prst="rect">
                                      <a:avLst/>
                                    </a:prstGeom>
                                    <a:noFill/>
                                    <a:ln>
                                      <a:noFill/>
                                    </a:ln>
                                  </pic:spPr>
                                </pic:pic>
                              </a:graphicData>
                            </a:graphic>
                          </wp:inline>
                        </w:drawing>
                      </w:r>
                      <w:bookmarkEnd w:id="1"/>
                    </w:p>
                    <w:p w:rsidR="0009667C" w:rsidRDefault="0009667C" w:rsidP="00DB51C0">
                      <w:pPr>
                        <w:jc w:val="center"/>
                      </w:pPr>
                    </w:p>
                    <w:p w:rsidR="00384964" w:rsidRDefault="00384964" w:rsidP="00DB51C0">
                      <w:pPr>
                        <w:jc w:val="center"/>
                      </w:pPr>
                    </w:p>
                    <w:p w:rsidR="000E55DF" w:rsidRDefault="000E55DF"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E55DF" w:rsidP="00DB51C0">
                      <w:pPr>
                        <w:jc w:val="center"/>
                      </w:pPr>
                      <w:r>
                        <w:t>October</w:t>
                      </w:r>
                      <w:r w:rsidR="00CC7501">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186BBA" w:rsidP="005C2C83">
            <w:pPr>
              <w:tabs>
                <w:tab w:val="left" w:pos="1485"/>
              </w:tabs>
              <w:rPr>
                <w:bCs/>
              </w:rPr>
            </w:pPr>
            <w:r>
              <w:rPr>
                <w:bCs/>
              </w:rPr>
              <w:t xml:space="preserve">Springfield </w:t>
            </w:r>
            <w:r w:rsidR="005C2C83">
              <w:rPr>
                <w:bCs/>
              </w:rPr>
              <w:t>Hall of Justice</w:t>
            </w:r>
            <w:r>
              <w:rPr>
                <w:bCs/>
              </w:rPr>
              <w:t xml:space="preserve"> (HOJ)</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5C2C83" w:rsidRDefault="005C2C83" w:rsidP="005C2C83">
            <w:pPr>
              <w:pStyle w:val="StaffTitleHangingIndent"/>
            </w:pPr>
            <w:r>
              <w:t>50 State Street</w:t>
            </w:r>
          </w:p>
          <w:p w:rsidR="00966B98" w:rsidRPr="001174D9" w:rsidRDefault="005C2C83" w:rsidP="005C2C83">
            <w:pPr>
              <w:pStyle w:val="StaffTitleHangingIndent"/>
            </w:pPr>
            <w:r>
              <w:t>Springfield, Massachusetts</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5C2C83" w:rsidP="00C32521">
            <w:pPr>
              <w:pStyle w:val="StaffTitleHangingIndent"/>
            </w:pPr>
            <w:r w:rsidRPr="005C2C83">
              <w:t>Michael Lane, Administrative Officer at the Massachusetts Office of the Trial Court (OTC),</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C7501" w:rsidP="00CC7501">
            <w:pPr>
              <w:tabs>
                <w:tab w:val="left" w:pos="1485"/>
              </w:tabs>
              <w:rPr>
                <w:bCs/>
              </w:rPr>
            </w:pPr>
            <w:r>
              <w:rPr>
                <w:bCs/>
              </w:rPr>
              <w:t>General indoor air quality (IAQ) assessment</w:t>
            </w:r>
            <w:r w:rsidR="001C7A09">
              <w:rPr>
                <w:bCs/>
              </w:rPr>
              <w:t xml:space="preserve"> and chronic disease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1C7A09" w:rsidP="001C7A09">
            <w:pPr>
              <w:tabs>
                <w:tab w:val="left" w:pos="1485"/>
              </w:tabs>
              <w:rPr>
                <w:bCs/>
              </w:rPr>
            </w:pPr>
            <w:r>
              <w:rPr>
                <w:bCs/>
              </w:rPr>
              <w:t>June 16, 2017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1C7A09" w:rsidP="00812EA9">
            <w:pPr>
              <w:pStyle w:val="StaffTitleHangingIndent"/>
              <w:rPr>
                <w:bCs/>
              </w:rPr>
            </w:pPr>
            <w:r w:rsidRPr="001C7A09">
              <w:rPr>
                <w:bCs/>
              </w:rPr>
              <w:t>Michael Feeney, Director</w:t>
            </w:r>
            <w:r w:rsidR="00812EA9">
              <w:rPr>
                <w:bCs/>
              </w:rPr>
              <w:t>,</w:t>
            </w:r>
            <w:r w:rsidRPr="001C7A09">
              <w:rPr>
                <w:bCs/>
              </w:rPr>
              <w:t xml:space="preserve"> IAQ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A92CD7" w:rsidP="00CC7501">
            <w:pPr>
              <w:pStyle w:val="StaffTitleHangingIndent"/>
              <w:rPr>
                <w:bCs/>
              </w:rPr>
            </w:pPr>
            <w:r w:rsidRPr="00A92CD7">
              <w:rPr>
                <w:bCs/>
              </w:rPr>
              <w:t>The HOJ is a four-story, tiered, cement and steel frame building constructed in 1973 as an energy efficient facility.</w:t>
            </w:r>
            <w:r w:rsidR="004B193B">
              <w:rPr>
                <w:bCs/>
              </w:rPr>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A92CD7" w:rsidP="00CC7501">
            <w:pPr>
              <w:tabs>
                <w:tab w:val="left" w:pos="1485"/>
              </w:tabs>
              <w:rPr>
                <w:bCs/>
              </w:rPr>
            </w:pPr>
            <w:r>
              <w:rPr>
                <w:bCs/>
              </w:rPr>
              <w:t>Not o</w:t>
            </w:r>
            <w:r w:rsidR="00CC7501">
              <w:rPr>
                <w:bCs/>
              </w:rPr>
              <w:t>p</w:t>
            </w:r>
            <w:r w:rsidR="0073731E">
              <w:rPr>
                <w:bCs/>
              </w:rPr>
              <w:t>enable</w:t>
            </w:r>
            <w:r w:rsidR="00863A05">
              <w:rPr>
                <w:bCs/>
              </w:rPr>
              <w:t xml:space="preserv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1C7A09">
        <w:t>below</w:t>
      </w:r>
      <w:r w:rsidR="0085418C" w:rsidRPr="00C4264C">
        <w:t xml:space="preserve"> 800 parts per million (ppm) </w:t>
      </w:r>
      <w:r w:rsidR="00C75B43">
        <w:t xml:space="preserve">in </w:t>
      </w:r>
      <w:r w:rsidR="001C7A09">
        <w:t>all areas</w:t>
      </w:r>
      <w:r w:rsidR="0073731E">
        <w:t xml:space="preserve"> </w:t>
      </w:r>
      <w:r w:rsidR="007154D5">
        <w:t>assessed</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F039D2">
        <w:t xml:space="preserve"> </w:t>
      </w:r>
      <w:r w:rsidR="00991847">
        <w:t xml:space="preserve">the recommended </w:t>
      </w:r>
      <w:r w:rsidRPr="009F6242">
        <w:t>range of 70°F to 78°F</w:t>
      </w:r>
      <w:r>
        <w:t xml:space="preserve"> in </w:t>
      </w:r>
      <w:r w:rsidR="00361029">
        <w:t xml:space="preserve">most </w:t>
      </w:r>
      <w:r w:rsidR="00F039D2">
        <w:t>areas</w:t>
      </w:r>
      <w:r w:rsidR="00C424AE">
        <w:t xml:space="preserve"> 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1C7A09">
        <w:t>within</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CA5013" w:rsidRPr="001C7A09" w:rsidRDefault="00CA5013" w:rsidP="00CA5013">
      <w:pPr>
        <w:pStyle w:val="BodyText"/>
        <w:numPr>
          <w:ilvl w:val="0"/>
          <w:numId w:val="18"/>
        </w:numPr>
        <w:rPr>
          <w:b/>
          <w:bCs/>
        </w:rPr>
      </w:pPr>
      <w:r w:rsidRPr="00E07353">
        <w:rPr>
          <w:b/>
          <w:i/>
        </w:rPr>
        <w:t xml:space="preserve">Fine particulate matter (PM2.5) </w:t>
      </w:r>
      <w:r w:rsidRPr="00E07353">
        <w:t xml:space="preserve">concentrations measured were below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1C7A09" w:rsidRPr="00B60600" w:rsidRDefault="00795369" w:rsidP="001C7A09">
      <w:pPr>
        <w:pStyle w:val="BodyText"/>
        <w:numPr>
          <w:ilvl w:val="0"/>
          <w:numId w:val="18"/>
        </w:numPr>
        <w:rPr>
          <w:bCs/>
        </w:rPr>
      </w:pPr>
      <w:r>
        <w:rPr>
          <w:b/>
          <w:i/>
        </w:rPr>
        <w:lastRenderedPageBreak/>
        <w:t>Volatile</w:t>
      </w:r>
      <w:r w:rsidR="001C7A09">
        <w:rPr>
          <w:b/>
          <w:i/>
        </w:rPr>
        <w:t xml:space="preserve"> Organic Compound (VOC) </w:t>
      </w:r>
      <w:r w:rsidR="001C7A09" w:rsidRPr="00795369">
        <w:t>levels were non-detectable in all areas assessed.</w:t>
      </w:r>
    </w:p>
    <w:p w:rsidR="00B60600" w:rsidRDefault="00B60600" w:rsidP="00B60600">
      <w:pPr>
        <w:pStyle w:val="BodyText10"/>
      </w:pPr>
      <w:r>
        <w:t xml:space="preserve">Note that only one area of this building was assessed during this visit. Previous visits have been made to this building. Reports from previous visits can be obtained on the IAQ website at: </w:t>
      </w:r>
      <w:hyperlink r:id="rId10" w:history="1">
        <w:r w:rsidR="00F82A03" w:rsidRPr="007E4188">
          <w:rPr>
            <w:rStyle w:val="Hyperlink"/>
          </w:rPr>
          <w:t>http://www.mass.gov/eohhs/gov/departments/dph/programs/environmental-health/exposure-topics/iaq/iaq-rpts/cities-and-towns-s.html#springfield</w:t>
        </w:r>
      </w:hyperlink>
    </w:p>
    <w:p w:rsidR="00F85E13" w:rsidRPr="00676A91" w:rsidRDefault="009F6242" w:rsidP="006E6262">
      <w:pPr>
        <w:pStyle w:val="Heading2"/>
      </w:pPr>
      <w:r w:rsidRPr="008E7D87">
        <w:t>Ventilation</w:t>
      </w:r>
    </w:p>
    <w:p w:rsidR="00DE64AD" w:rsidRDefault="00DE64AD" w:rsidP="00DE64AD">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1C7A09" w:rsidRDefault="001C7A09" w:rsidP="001C7A09">
      <w:pPr>
        <w:pStyle w:val="BodyText"/>
      </w:pPr>
      <w:r>
        <w:t>The heating, ventilating and air-conditioning system (HVAC) in the HOJ has ducted supply and return vents and does not use a ceiling plenum for return air</w:t>
      </w:r>
      <w:r w:rsidR="00B60600">
        <w:t>.</w:t>
      </w:r>
      <w:r w:rsidR="004B193B">
        <w:t xml:space="preserve"> </w:t>
      </w:r>
      <w:r>
        <w:t>Fresh air is supplied to the second floor space through intake vents to an air-handling unit (AHU) which is then distributed into the space via ducted ceiling supply vents and air diffusers.</w:t>
      </w:r>
      <w:r w:rsidR="004B193B">
        <w:t xml:space="preserve"> </w:t>
      </w:r>
      <w:r>
        <w:t>Return air is then ducted back</w:t>
      </w:r>
      <w:r w:rsidR="00812EA9">
        <w:t xml:space="preserve"> to the AHU via ceiling or wall-</w:t>
      </w:r>
      <w:r>
        <w:t>mounted vents.</w:t>
      </w:r>
      <w:r w:rsidR="004B193B">
        <w:t xml:space="preserve"> </w:t>
      </w:r>
      <w:r>
        <w:t>To provide heating and cooling, fan coil units (FCUs) were installed along exterior walls (Picture</w:t>
      </w:r>
      <w:r w:rsidR="00F8405E">
        <w:t xml:space="preserve"> 1</w:t>
      </w:r>
      <w:r>
        <w:t>).</w:t>
      </w:r>
    </w:p>
    <w:p w:rsidR="001D7192" w:rsidRPr="002113D2" w:rsidRDefault="001D7192" w:rsidP="00812EA9">
      <w:pPr>
        <w:pStyle w:val="Heading3"/>
      </w:pPr>
      <w:r w:rsidRPr="002113D2">
        <w:t>The FCU System</w:t>
      </w:r>
    </w:p>
    <w:p w:rsidR="001D7192" w:rsidRDefault="001D7192" w:rsidP="001D7192">
      <w:pPr>
        <w:pStyle w:val="BodyText"/>
      </w:pPr>
      <w:r>
        <w:t>The operation of FCUs during hot, humid weather creates a significant source of water that can cause damage to building components. FCUs with cooling capacity are equipped with drip pans that drain condensation. The pan is located beneath the cooling coils and empties into a condensation collector, which is connected to a plastic drainage hose within the pipe chase. The following FCU conditions were noted:</w:t>
      </w:r>
    </w:p>
    <w:p w:rsidR="001D7192" w:rsidRDefault="001D7192" w:rsidP="001D7192">
      <w:pPr>
        <w:pStyle w:val="BodyText"/>
        <w:numPr>
          <w:ilvl w:val="0"/>
          <w:numId w:val="31"/>
        </w:numPr>
      </w:pPr>
      <w:r>
        <w:t xml:space="preserve">The FCU configuration makes </w:t>
      </w:r>
      <w:r w:rsidR="00186BBA">
        <w:t xml:space="preserve">accessing </w:t>
      </w:r>
      <w:r>
        <w:t>drip pans labor intensive. IAQ staff could not examine the drip pans of FCUs since it would necessitate disassembly of the FCU. Considering this difficulty, it is unlikely that the drip pan or coils of each FCU are cleaned routinely.</w:t>
      </w:r>
    </w:p>
    <w:p w:rsidR="001D7192" w:rsidRDefault="001D7192" w:rsidP="001D7192">
      <w:pPr>
        <w:pStyle w:val="BodyText"/>
        <w:numPr>
          <w:ilvl w:val="0"/>
          <w:numId w:val="31"/>
        </w:numPr>
      </w:pPr>
      <w:r>
        <w:lastRenderedPageBreak/>
        <w:t>The condensation collectors were unifor</w:t>
      </w:r>
      <w:r w:rsidR="00F8405E">
        <w:t>mly coated with scale (Picture 2</w:t>
      </w:r>
      <w:r>
        <w:t xml:space="preserve">). Scale refers to metal corrosion and mineral deposits that can occur when standing water remains in drip pans or on coils. Standing water can cause metal corrosion. As water evaporates over time, mineral and debris can coat the drip pans, coils, and pipes. </w:t>
      </w:r>
      <w:r w:rsidR="00186BBA">
        <w:t>This can lead to odors, microbial growth, and inefficient operation.</w:t>
      </w:r>
    </w:p>
    <w:p w:rsidR="00A46055" w:rsidRDefault="00A46055" w:rsidP="001D7192">
      <w:pPr>
        <w:pStyle w:val="BodyText"/>
        <w:numPr>
          <w:ilvl w:val="0"/>
          <w:numId w:val="31"/>
        </w:numPr>
      </w:pPr>
      <w:r>
        <w:t>The FCU motor cover, flexible steel electric conduit and the underside of the drip pan w</w:t>
      </w:r>
      <w:r w:rsidR="001D7192">
        <w:t>ere corroded</w:t>
      </w:r>
      <w:r>
        <w:t xml:space="preserve"> (Picture 3)</w:t>
      </w:r>
      <w:r w:rsidR="001D7192">
        <w:t>.</w:t>
      </w:r>
      <w:r w:rsidR="004B193B">
        <w:t xml:space="preserve"> </w:t>
      </w:r>
    </w:p>
    <w:p w:rsidR="00A46055" w:rsidRDefault="0064030B" w:rsidP="001D7192">
      <w:pPr>
        <w:pStyle w:val="BodyText"/>
        <w:numPr>
          <w:ilvl w:val="0"/>
          <w:numId w:val="31"/>
        </w:numPr>
      </w:pPr>
      <w:r>
        <w:t xml:space="preserve">Fiberglass insulation appears to have been moistened through contact with an </w:t>
      </w:r>
      <w:r w:rsidR="00A46055">
        <w:t xml:space="preserve">uninsulated copper pipe </w:t>
      </w:r>
      <w:r w:rsidR="002A1EA5">
        <w:t>(Picture 4).</w:t>
      </w:r>
      <w:r>
        <w:t xml:space="preserve"> </w:t>
      </w:r>
      <w:r w:rsidR="00A46055">
        <w:t>This pipe appears to be connected to the drip pan collector.</w:t>
      </w:r>
      <w:r w:rsidR="004B193B">
        <w:t xml:space="preserve"> </w:t>
      </w:r>
      <w:r w:rsidR="00A46055">
        <w:t>U</w:t>
      </w:r>
      <w:r w:rsidR="001D7192">
        <w:t>ninsulated pipes</w:t>
      </w:r>
      <w:r w:rsidR="00A46055">
        <w:t xml:space="preserve"> can generate condensation </w:t>
      </w:r>
      <w:r w:rsidR="00D945EC">
        <w:t>and</w:t>
      </w:r>
      <w:r w:rsidR="00A46055">
        <w:t xml:space="preserve"> cause water damage to adjacent materials t</w:t>
      </w:r>
      <w:r w:rsidR="002A1EA5">
        <w:t>h</w:t>
      </w:r>
      <w:r w:rsidR="00A46055">
        <w:t>at c</w:t>
      </w:r>
      <w:r w:rsidR="002A1EA5">
        <w:t>a</w:t>
      </w:r>
      <w:r w:rsidR="00A46055">
        <w:t>n support mold growth, such as the paper on insulation.</w:t>
      </w:r>
    </w:p>
    <w:p w:rsidR="002A1EA5" w:rsidRDefault="002A1EA5" w:rsidP="001D7192">
      <w:pPr>
        <w:pStyle w:val="BodyText"/>
        <w:numPr>
          <w:ilvl w:val="0"/>
          <w:numId w:val="31"/>
        </w:numPr>
      </w:pPr>
      <w:r>
        <w:t>The insulation on the FCU cover is frayed (Picture 5</w:t>
      </w:r>
      <w:r w:rsidR="00A42EA1">
        <w:t>).</w:t>
      </w:r>
    </w:p>
    <w:p w:rsidR="001D7192" w:rsidRDefault="001D7192" w:rsidP="001D7192">
      <w:pPr>
        <w:pStyle w:val="BodyText"/>
        <w:ind w:firstLine="0"/>
      </w:pPr>
      <w:r>
        <w:t xml:space="preserve">Water damage occurring due to the conditions described above has also impacted materials on or adjacent to the FCUs. </w:t>
      </w:r>
    </w:p>
    <w:p w:rsidR="002113D2" w:rsidRDefault="002113D2" w:rsidP="001D7192">
      <w:pPr>
        <w:pStyle w:val="BodyText"/>
        <w:ind w:firstLine="0"/>
      </w:pPr>
      <w:r>
        <w:tab/>
      </w:r>
      <w:r w:rsidR="0064030B">
        <w:t xml:space="preserve">The </w:t>
      </w:r>
      <w:r>
        <w:t xml:space="preserve">FCUs </w:t>
      </w:r>
      <w:r w:rsidRPr="002113D2">
        <w:t xml:space="preserve">had a filter medium that needs to be physically cut to size (Picture </w:t>
      </w:r>
      <w:r w:rsidR="00A42EA1">
        <w:t>6</w:t>
      </w:r>
      <w:r w:rsidRPr="002113D2">
        <w:t>)</w:t>
      </w:r>
      <w:r w:rsidR="0064030B">
        <w:t xml:space="preserve"> which makes it difficult to get a tight fit</w:t>
      </w:r>
      <w:r w:rsidRPr="002113D2">
        <w:t>.</w:t>
      </w:r>
      <w:r w:rsidR="0064030B">
        <w:t xml:space="preserve"> This filter material also appears to provide minimal filtration.</w:t>
      </w:r>
      <w:r w:rsidRPr="002113D2">
        <w:t xml:space="preserve"> MDPH recommends filters of a Minimum Efficiency Reporting Value (MERV) of 8, which are adequate in filtering out pollen and mold spores (ASHRAE, 2012).</w:t>
      </w:r>
      <w:r w:rsidR="0064030B">
        <w:t xml:space="preserve"> Filters should fit flush in the cabinets without spaces for air to go around</w:t>
      </w:r>
      <w:r w:rsidR="00A96548">
        <w:t xml:space="preserve"> the filter</w:t>
      </w:r>
      <w:r w:rsidR="0064030B">
        <w:t>.</w:t>
      </w:r>
    </w:p>
    <w:p w:rsidR="001D7192" w:rsidRDefault="001D7192" w:rsidP="001D7192">
      <w:pPr>
        <w:pStyle w:val="BodyText"/>
      </w:pPr>
      <w:r>
        <w:t>Due to design, lack of routine maintenance</w:t>
      </w:r>
      <w:r w:rsidR="00A96548">
        <w:t>,</w:t>
      </w:r>
      <w:r w:rsidR="00795369">
        <w:t xml:space="preserve"> </w:t>
      </w:r>
      <w:r>
        <w:t>and equipment deterioration, it is likely that the FCU and its surroundings may be a source of microbial growth and airborne pollutants when operating. These conditions will become more prominent when the FCUs are in cooling mode.</w:t>
      </w:r>
    </w:p>
    <w:p w:rsidR="00361029" w:rsidRDefault="00361029" w:rsidP="001C7A09">
      <w:pPr>
        <w:pStyle w:val="BodyText"/>
      </w:pPr>
      <w:r>
        <w:t xml:space="preserve">It is also important </w:t>
      </w:r>
      <w:r w:rsidRPr="00361029">
        <w:t xml:space="preserve">to note that </w:t>
      </w:r>
      <w:r w:rsidR="00E36C42">
        <w:t xml:space="preserve">the </w:t>
      </w:r>
      <w:r w:rsidR="001D7192">
        <w:t>FCUs</w:t>
      </w:r>
      <w:r w:rsidR="00E36C42">
        <w:t xml:space="preserve"> are over </w:t>
      </w:r>
      <w:r w:rsidR="001C7A09">
        <w:t>40</w:t>
      </w:r>
      <w:r w:rsidRPr="00361029">
        <w:t xml:space="preserve"> years old. Efficient function of equipment of this age is difficult to maintain, since compatible replacement parts are often unavailable. According to the American Society of Heating, Refrigeration and Air-Conditioning Engineering (ASHRAE), </w:t>
      </w:r>
      <w:r w:rsidR="00E36C42" w:rsidRPr="00E36C42">
        <w:rPr>
          <w:szCs w:val="24"/>
        </w:rPr>
        <w:t>the service life</w:t>
      </w:r>
      <w:r w:rsidR="00E36C42" w:rsidRPr="00E36C42">
        <w:rPr>
          <w:szCs w:val="24"/>
          <w:vertAlign w:val="superscript"/>
        </w:rPr>
        <w:footnoteReference w:id="1"/>
      </w:r>
      <w:r w:rsidR="00E36C42" w:rsidRPr="00E36C42">
        <w:rPr>
          <w:szCs w:val="24"/>
        </w:rPr>
        <w:t xml:space="preserve"> for a unit heater</w:t>
      </w:r>
      <w:r w:rsidRPr="00361029">
        <w:t>, hot water or steam is 20 years, assuming routine maintenance of the equipment (ASHRAE, 1991). Despite attempts to maintain the equipment, the optimal operational lifespan of this equipment has been exceeded.</w:t>
      </w:r>
    </w:p>
    <w:p w:rsidR="004D05AC" w:rsidRPr="00736ECE" w:rsidRDefault="00DF2A15" w:rsidP="00104481">
      <w:pPr>
        <w:pStyle w:val="Heading1"/>
      </w:pPr>
      <w:r w:rsidRPr="00736ECE">
        <w:lastRenderedPageBreak/>
        <w:t>C</w:t>
      </w:r>
      <w:r w:rsidR="004D05AC" w:rsidRPr="00736ECE">
        <w:t>onclusions/Recommendations</w:t>
      </w:r>
    </w:p>
    <w:p w:rsidR="007B5977" w:rsidRDefault="0064030B" w:rsidP="00E102B0">
      <w:pPr>
        <w:pStyle w:val="BodyText"/>
      </w:pPr>
      <w:r>
        <w:t xml:space="preserve">Although the air measurements </w:t>
      </w:r>
      <w:r w:rsidR="00A96548">
        <w:t>were</w:t>
      </w:r>
      <w:r>
        <w:t xml:space="preserve"> within the BEH/IAQ program guidelines, t</w:t>
      </w:r>
      <w:r w:rsidR="00265775">
        <w:t xml:space="preserve">he condition </w:t>
      </w:r>
      <w:r w:rsidR="000E55DF">
        <w:t>of the FCU</w:t>
      </w:r>
      <w:r w:rsidR="00A96548">
        <w:t>s</w:t>
      </w:r>
      <w:r w:rsidR="000E55DF">
        <w:t xml:space="preserve"> </w:t>
      </w:r>
      <w:r w:rsidR="00265775">
        <w:t xml:space="preserve">and the surrounding materials </w:t>
      </w:r>
      <w:r w:rsidR="000E55DF">
        <w:t xml:space="preserve">located in this office suite may be a source of microbial growth, which may cause exacerbation of respiratory </w:t>
      </w:r>
      <w:r>
        <w:t xml:space="preserve">symptoms in certain individuals, including </w:t>
      </w:r>
      <w:r w:rsidR="000E55DF">
        <w:t>exacerbation</w:t>
      </w:r>
      <w:r>
        <w:t xml:space="preserve"> of</w:t>
      </w:r>
      <w:r w:rsidR="000E55DF">
        <w:t xml:space="preserve"> asthma or other pulmonary conditions.</w:t>
      </w:r>
      <w:r w:rsidR="004B193B">
        <w:t xml:space="preserve"> </w:t>
      </w:r>
      <w:r w:rsidR="00F87A1A" w:rsidRPr="00736ECE">
        <w:t xml:space="preserve">Based on observations at the time of </w:t>
      </w:r>
      <w:r w:rsidR="004A3F33">
        <w:t xml:space="preserve">the </w:t>
      </w:r>
      <w:r w:rsidR="00F87A1A" w:rsidRPr="00736ECE">
        <w:t xml:space="preserve">assessment, </w:t>
      </w:r>
      <w:r w:rsidR="00590617">
        <w:t>the following is recommended:</w:t>
      </w:r>
    </w:p>
    <w:p w:rsidR="000E55DF" w:rsidRDefault="000E55DF" w:rsidP="002113D2">
      <w:pPr>
        <w:pStyle w:val="BodyText"/>
        <w:numPr>
          <w:ilvl w:val="0"/>
          <w:numId w:val="32"/>
        </w:numPr>
      </w:pPr>
      <w:r w:rsidRPr="000E55DF">
        <w:t>Re</w:t>
      </w:r>
      <w:r w:rsidR="00795369">
        <w:t>place damaged insulation in FCUs.</w:t>
      </w:r>
    </w:p>
    <w:p w:rsidR="002113D2" w:rsidRDefault="002113D2" w:rsidP="002113D2">
      <w:pPr>
        <w:pStyle w:val="BodyText"/>
        <w:numPr>
          <w:ilvl w:val="0"/>
          <w:numId w:val="32"/>
        </w:numPr>
      </w:pPr>
      <w:r w:rsidRPr="002113D2">
        <w:t xml:space="preserve">Determine if </w:t>
      </w:r>
      <w:r w:rsidR="0064030B">
        <w:t>FCUs</w:t>
      </w:r>
      <w:r w:rsidRPr="002113D2">
        <w:t xml:space="preserve"> can be outfitted with more efficient filters, MERV 8 or higher.</w:t>
      </w:r>
      <w:r w:rsidR="0064030B">
        <w:t xml:space="preserve"> Ensure all filters used fit flush and tightly in the cabinets.</w:t>
      </w:r>
    </w:p>
    <w:p w:rsidR="000E55DF" w:rsidRDefault="00E53F85" w:rsidP="002113D2">
      <w:pPr>
        <w:pStyle w:val="BodyText"/>
        <w:numPr>
          <w:ilvl w:val="0"/>
          <w:numId w:val="32"/>
        </w:numPr>
      </w:pPr>
      <w:r>
        <w:t xml:space="preserve">Have an HVAC engineering firm evaluate </w:t>
      </w:r>
      <w:r w:rsidR="0064030B">
        <w:t>FCUs</w:t>
      </w:r>
      <w:r>
        <w:t xml:space="preserve"> for proper operation and </w:t>
      </w:r>
      <w:r w:rsidR="001E408E">
        <w:t xml:space="preserve">future </w:t>
      </w:r>
      <w:r>
        <w:t>replacement</w:t>
      </w:r>
      <w:r w:rsidR="001E408E">
        <w:t>, including the addition of exhaust ven</w:t>
      </w:r>
      <w:r w:rsidR="0064030B">
        <w:t>ts in rooms containing FCUs</w:t>
      </w:r>
      <w:r>
        <w:t>.</w:t>
      </w:r>
    </w:p>
    <w:p w:rsidR="0074198A" w:rsidRDefault="0097179C" w:rsidP="002113D2">
      <w:pPr>
        <w:pStyle w:val="BodyText"/>
        <w:numPr>
          <w:ilvl w:val="0"/>
          <w:numId w:val="32"/>
        </w:numPr>
      </w:pPr>
      <w:r>
        <w:t>Clean</w:t>
      </w:r>
      <w:r w:rsidR="00403E81">
        <w:t xml:space="preserve"> </w:t>
      </w:r>
      <w:r w:rsidR="00795369">
        <w:t>FCUs</w:t>
      </w:r>
      <w:r w:rsidR="00403E81">
        <w:t xml:space="preserve"> and </w:t>
      </w:r>
      <w:r>
        <w:t>change filters</w:t>
      </w:r>
      <w:r w:rsidR="00403E81">
        <w:t xml:space="preserve"> </w:t>
      </w:r>
      <w:r>
        <w:t>2</w:t>
      </w:r>
      <w:r w:rsidR="00E53F85">
        <w:t xml:space="preserve"> to </w:t>
      </w:r>
      <w:r>
        <w:t xml:space="preserve">4 times a year. </w:t>
      </w:r>
      <w:r w:rsidR="00A009E4">
        <w:t xml:space="preserve">Ensure </w:t>
      </w:r>
      <w:r w:rsidR="000E55DF">
        <w:t>FCUs and</w:t>
      </w:r>
      <w:r>
        <w:t xml:space="preserve"> supply vents </w:t>
      </w:r>
      <w:r w:rsidR="00A009E4">
        <w:t>are cleaned periodically to prevent buildup and re-circulation of dust and debris.</w:t>
      </w:r>
    </w:p>
    <w:p w:rsidR="00846D0D" w:rsidRDefault="00846D0D" w:rsidP="002113D2">
      <w:pPr>
        <w:pStyle w:val="BodyText"/>
        <w:numPr>
          <w:ilvl w:val="0"/>
          <w:numId w:val="32"/>
        </w:numPr>
      </w:pPr>
      <w:r>
        <w:t>Check FCU condensation drains, pans, and hoses periodically to ensure that water is draining properly and clogging or leaking is not occurring.</w:t>
      </w:r>
    </w:p>
    <w:p w:rsidR="00846D0D" w:rsidRDefault="00846D0D" w:rsidP="00186BBA">
      <w:pPr>
        <w:pStyle w:val="BodyText"/>
        <w:numPr>
          <w:ilvl w:val="0"/>
          <w:numId w:val="32"/>
        </w:numPr>
      </w:pPr>
      <w:r>
        <w:t xml:space="preserve">Remove any water-damaged materials in </w:t>
      </w:r>
      <w:r w:rsidR="00186BBA" w:rsidRPr="00186BBA">
        <w:t>a manner consistent with recommendations found in the US EPA document, “Mold Remediation in Schools and Commercial Buildings” (USEPA, 2008).</w:t>
      </w:r>
    </w:p>
    <w:p w:rsidR="0097179C" w:rsidRDefault="0097179C" w:rsidP="002113D2">
      <w:pPr>
        <w:pStyle w:val="BodyText"/>
        <w:numPr>
          <w:ilvl w:val="0"/>
          <w:numId w:val="32"/>
        </w:numPr>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Drinking water during the day can help ease some symptoms associated with a dry environment (e.g., throat and sinus irritations).</w:t>
      </w:r>
    </w:p>
    <w:p w:rsidR="00A009E4" w:rsidRPr="00A009E4" w:rsidRDefault="00A009E4" w:rsidP="002113D2">
      <w:pPr>
        <w:pStyle w:val="BodyText"/>
        <w:numPr>
          <w:ilvl w:val="0"/>
          <w:numId w:val="32"/>
        </w:numPr>
      </w:pPr>
      <w:r>
        <w:t xml:space="preserve">Refer to resource manual and other related IAQ documents located on the MDPH’s website for further building-wide evaluations and advice on maintaining public buildings. These documents are available at: </w:t>
      </w:r>
      <w:hyperlink r:id="rId11" w:history="1">
        <w:r w:rsidR="00384964" w:rsidRPr="001E1C8B">
          <w:rPr>
            <w:rStyle w:val="Hyperlink"/>
          </w:rPr>
          <w:t>http://mass.</w:t>
        </w:r>
        <w:r w:rsidR="00384964" w:rsidRPr="001E1C8B">
          <w:rPr>
            <w:rStyle w:val="Hyperlink"/>
          </w:rPr>
          <w:t>g</w:t>
        </w:r>
        <w:r w:rsidR="00384964" w:rsidRPr="001E1C8B">
          <w:rPr>
            <w:rStyle w:val="Hyperlink"/>
          </w:rPr>
          <w:t>o</w:t>
        </w:r>
        <w:r w:rsidR="00384964" w:rsidRPr="001E1C8B">
          <w:rPr>
            <w:rStyle w:val="Hyperlink"/>
          </w:rPr>
          <w:t>v/dph/iaq</w:t>
        </w:r>
      </w:hyperlink>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384964" w:rsidRPr="00B60600" w:rsidRDefault="00384964" w:rsidP="00384964">
      <w:pPr>
        <w:spacing w:after="240"/>
        <w:rPr>
          <w:szCs w:val="24"/>
        </w:rPr>
      </w:pPr>
      <w:proofErr w:type="gramStart"/>
      <w:r w:rsidRPr="00B60600">
        <w:rPr>
          <w:szCs w:val="24"/>
        </w:rPr>
        <w:t>ASHRAE.</w:t>
      </w:r>
      <w:proofErr w:type="gramEnd"/>
      <w:r w:rsidRPr="00B60600">
        <w:rPr>
          <w:szCs w:val="24"/>
        </w:rPr>
        <w:t xml:space="preserve"> 1991. ASHRAE Applications Handbook, Chapter 33 “Owning and Operating Costs”. </w:t>
      </w:r>
      <w:proofErr w:type="gramStart"/>
      <w:r w:rsidRPr="00B60600">
        <w:rPr>
          <w:szCs w:val="24"/>
        </w:rPr>
        <w:t>American Society of Heating, Refrigeration and Air Conditioning Engineers, Atlanta, GA.</w:t>
      </w:r>
      <w:proofErr w:type="gramEnd"/>
    </w:p>
    <w:p w:rsidR="00384964" w:rsidRPr="00B60600" w:rsidRDefault="00384964" w:rsidP="00384964">
      <w:pPr>
        <w:pStyle w:val="References"/>
        <w:rPr>
          <w:bCs/>
          <w:szCs w:val="24"/>
          <w:lang w:val="en"/>
        </w:rPr>
      </w:pPr>
      <w:proofErr w:type="gramStart"/>
      <w:r w:rsidRPr="00B60600">
        <w:rPr>
          <w:bCs/>
          <w:szCs w:val="24"/>
        </w:rPr>
        <w:t>ASHRAE.</w:t>
      </w:r>
      <w:proofErr w:type="gramEnd"/>
      <w:r w:rsidRPr="00B60600">
        <w:rPr>
          <w:bCs/>
          <w:szCs w:val="24"/>
        </w:rPr>
        <w:t xml:space="preserve"> 2012. American Society of Heating, Refrigeration and Air Conditioning Engineers (ASHRAE)</w:t>
      </w:r>
      <w:r w:rsidRPr="00B60600">
        <w:rPr>
          <w:bCs/>
          <w:szCs w:val="24"/>
          <w:lang w:val="en"/>
        </w:rPr>
        <w:t xml:space="preserve"> Standard 52.2-2012 -- Method of Testing General Ventilation Air-Cleaning Devices for Removal Efficiency by Particle Size (ANSI Approved). 2012.</w:t>
      </w:r>
    </w:p>
    <w:p w:rsidR="0097179C" w:rsidRPr="00B60600" w:rsidRDefault="0097179C" w:rsidP="0097179C">
      <w:pPr>
        <w:pStyle w:val="BodyText2"/>
      </w:pPr>
      <w:proofErr w:type="gramStart"/>
      <w:r w:rsidRPr="00B60600">
        <w:t>MDPH.</w:t>
      </w:r>
      <w:proofErr w:type="gramEnd"/>
      <w:r w:rsidRPr="00B60600">
        <w:t xml:space="preserve"> </w:t>
      </w:r>
      <w:proofErr w:type="gramStart"/>
      <w:r w:rsidRPr="00B60600">
        <w:t>2015. Massachusetts Department of Public Health.</w:t>
      </w:r>
      <w:proofErr w:type="gramEnd"/>
      <w:r w:rsidRPr="00B60600">
        <w:t xml:space="preserve"> Massachusetts Department of Public Health Indoor Air Quality Manual: Chapters I-III. Available at: </w:t>
      </w:r>
      <w:hyperlink r:id="rId12" w:history="1">
        <w:r w:rsidR="00384964" w:rsidRPr="00B60600">
          <w:rPr>
            <w:rStyle w:val="Hyperlink"/>
          </w:rPr>
          <w:t>http://www.mass.gov/eohhs/gov/de</w:t>
        </w:r>
        <w:r w:rsidR="00384964" w:rsidRPr="00B60600">
          <w:rPr>
            <w:rStyle w:val="Hyperlink"/>
          </w:rPr>
          <w:t>p</w:t>
        </w:r>
        <w:r w:rsidR="00384964" w:rsidRPr="00B60600">
          <w:rPr>
            <w:rStyle w:val="Hyperlink"/>
          </w:rPr>
          <w:t>artm</w:t>
        </w:r>
        <w:r w:rsidR="00384964" w:rsidRPr="00B60600">
          <w:rPr>
            <w:rStyle w:val="Hyperlink"/>
          </w:rPr>
          <w:t>e</w:t>
        </w:r>
        <w:r w:rsidR="00384964" w:rsidRPr="00B60600">
          <w:rPr>
            <w:rStyle w:val="Hyperlink"/>
          </w:rPr>
          <w:t>nts</w:t>
        </w:r>
        <w:r w:rsidR="00384964" w:rsidRPr="00B60600">
          <w:rPr>
            <w:rStyle w:val="Hyperlink"/>
          </w:rPr>
          <w:t>/</w:t>
        </w:r>
        <w:r w:rsidR="00384964" w:rsidRPr="00B60600">
          <w:rPr>
            <w:rStyle w:val="Hyperlink"/>
          </w:rPr>
          <w:t>dph/programs/environmental-health/exposure-topics/iaq/iaq-manual/</w:t>
        </w:r>
      </w:hyperlink>
      <w:r w:rsidR="00384964" w:rsidRPr="00B60600">
        <w:t>.</w:t>
      </w:r>
    </w:p>
    <w:p w:rsidR="00FA1766" w:rsidRDefault="0097179C" w:rsidP="0097179C">
      <w:pPr>
        <w:pStyle w:val="BodyText2"/>
        <w:sectPr w:rsidR="00FA1766" w:rsidSect="00B0444B">
          <w:footerReference w:type="even" r:id="rId13"/>
          <w:footerReference w:type="default" r:id="rId14"/>
          <w:pgSz w:w="12240" w:h="15840" w:code="1"/>
          <w:pgMar w:top="1440" w:right="1440" w:bottom="1440" w:left="1440" w:header="720" w:footer="720" w:gutter="0"/>
          <w:cols w:space="720"/>
          <w:noEndnote/>
          <w:titlePg/>
          <w:docGrid w:linePitch="254"/>
        </w:sectPr>
      </w:pPr>
      <w:proofErr w:type="gramStart"/>
      <w:r w:rsidRPr="00B60600">
        <w:t>US EPA.</w:t>
      </w:r>
      <w:proofErr w:type="gramEnd"/>
      <w:r w:rsidRPr="00B60600">
        <w:t xml:space="preserve"> 2008. “Mold Remediation in Schools and Commercial Buildings”. </w:t>
      </w:r>
      <w:proofErr w:type="gramStart"/>
      <w:r w:rsidRPr="00B60600">
        <w:t>Office of Air and Radiation, Indoor Environments Division, Washington, DC.</w:t>
      </w:r>
      <w:proofErr w:type="gramEnd"/>
      <w:r w:rsidRPr="00B60600">
        <w:t xml:space="preserve"> </w:t>
      </w:r>
      <w:proofErr w:type="gramStart"/>
      <w:r w:rsidRPr="00B60600">
        <w:t>EPA 402-K-01-001.</w:t>
      </w:r>
      <w:proofErr w:type="gramEnd"/>
      <w:r w:rsidRPr="00B60600">
        <w:t xml:space="preserve"> September 2008. Available at: </w:t>
      </w:r>
      <w:hyperlink r:id="rId15" w:history="1">
        <w:r w:rsidR="00384964" w:rsidRPr="00B60600">
          <w:rPr>
            <w:rStyle w:val="Hyperlink"/>
          </w:rPr>
          <w:t>http://www.epa.gov/mold/mold-</w:t>
        </w:r>
        <w:r w:rsidR="00384964" w:rsidRPr="00B60600">
          <w:rPr>
            <w:rStyle w:val="Hyperlink"/>
          </w:rPr>
          <w:t>r</w:t>
        </w:r>
        <w:r w:rsidR="00384964" w:rsidRPr="00B60600">
          <w:rPr>
            <w:rStyle w:val="Hyperlink"/>
          </w:rPr>
          <w:t>em</w:t>
        </w:r>
        <w:r w:rsidR="00384964" w:rsidRPr="00B60600">
          <w:rPr>
            <w:rStyle w:val="Hyperlink"/>
          </w:rPr>
          <w:t>e</w:t>
        </w:r>
        <w:r w:rsidR="00384964" w:rsidRPr="00B60600">
          <w:rPr>
            <w:rStyle w:val="Hyperlink"/>
          </w:rPr>
          <w:t>di</w:t>
        </w:r>
        <w:r w:rsidR="00384964" w:rsidRPr="00B60600">
          <w:rPr>
            <w:rStyle w:val="Hyperlink"/>
          </w:rPr>
          <w:t>a</w:t>
        </w:r>
        <w:r w:rsidR="00384964" w:rsidRPr="00B60600">
          <w:rPr>
            <w:rStyle w:val="Hyperlink"/>
          </w:rPr>
          <w:t>tion-schools-and-commercial-buildings-guide</w:t>
        </w:r>
      </w:hyperlink>
      <w:r w:rsidR="00384964" w:rsidRPr="00B60600">
        <w:t>.</w:t>
      </w:r>
    </w:p>
    <w:p w:rsidR="00FA1766" w:rsidRPr="00FA1766" w:rsidRDefault="00FA1766" w:rsidP="00FA1766">
      <w:pPr>
        <w:spacing w:line="480" w:lineRule="auto"/>
        <w:rPr>
          <w:rFonts w:eastAsia="Calibri"/>
          <w:b/>
          <w:sz w:val="22"/>
          <w:szCs w:val="22"/>
        </w:rPr>
      </w:pPr>
      <w:r w:rsidRPr="00FA1766">
        <w:rPr>
          <w:rFonts w:eastAsia="Calibri"/>
          <w:b/>
          <w:sz w:val="22"/>
          <w:szCs w:val="22"/>
        </w:rPr>
        <w:lastRenderedPageBreak/>
        <w:t>Picture 1</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2476500" cy="3276600"/>
            <wp:effectExtent l="0" t="0" r="0" b="0"/>
            <wp:docPr id="2" name="Picture 1" descr="Fan coil unit (F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 coil unit (FCU)"/>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476500" cy="3276600"/>
                    </a:xfrm>
                    <a:prstGeom prst="rect">
                      <a:avLst/>
                    </a:prstGeom>
                    <a:noFill/>
                    <a:ln>
                      <a:noFill/>
                    </a:ln>
                  </pic:spPr>
                </pic:pic>
              </a:graphicData>
            </a:graphic>
          </wp:inline>
        </w:drawing>
      </w:r>
    </w:p>
    <w:p w:rsidR="00FA1766" w:rsidRPr="00FA1766" w:rsidRDefault="00FA1766" w:rsidP="00FA1766">
      <w:pPr>
        <w:spacing w:line="480" w:lineRule="auto"/>
        <w:jc w:val="center"/>
        <w:rPr>
          <w:rFonts w:eastAsia="Calibri"/>
          <w:b/>
          <w:sz w:val="22"/>
          <w:szCs w:val="22"/>
        </w:rPr>
      </w:pPr>
      <w:r w:rsidRPr="00FA1766">
        <w:rPr>
          <w:rFonts w:eastAsia="Calibri"/>
          <w:b/>
          <w:sz w:val="22"/>
          <w:szCs w:val="22"/>
        </w:rPr>
        <w:t>Fan coil unit (FCU)</w:t>
      </w:r>
    </w:p>
    <w:p w:rsidR="00FA1766" w:rsidRPr="00FA1766" w:rsidRDefault="00FA1766" w:rsidP="00FA1766">
      <w:pPr>
        <w:spacing w:line="480" w:lineRule="auto"/>
        <w:rPr>
          <w:rFonts w:eastAsia="Calibri"/>
          <w:b/>
          <w:sz w:val="22"/>
          <w:szCs w:val="22"/>
        </w:rPr>
      </w:pPr>
      <w:r w:rsidRPr="00FA1766">
        <w:rPr>
          <w:rFonts w:eastAsia="Calibri"/>
          <w:b/>
          <w:sz w:val="22"/>
          <w:szCs w:val="22"/>
        </w:rPr>
        <w:t>Picture 2</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2484120" cy="3276600"/>
            <wp:effectExtent l="0" t="0" r="0" b="0"/>
            <wp:docPr id="3" name="Picture 2" descr="Condensation collector coated with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densation collector coated with scale"/>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484120" cy="3276600"/>
                    </a:xfrm>
                    <a:prstGeom prst="rect">
                      <a:avLst/>
                    </a:prstGeom>
                    <a:noFill/>
                    <a:ln>
                      <a:noFill/>
                    </a:ln>
                  </pic:spPr>
                </pic:pic>
              </a:graphicData>
            </a:graphic>
          </wp:inline>
        </w:drawing>
      </w:r>
    </w:p>
    <w:p w:rsidR="00FA1766" w:rsidRPr="00FA1766" w:rsidRDefault="00FA1766" w:rsidP="00FA1766">
      <w:pPr>
        <w:spacing w:line="480" w:lineRule="auto"/>
        <w:jc w:val="center"/>
        <w:rPr>
          <w:rFonts w:eastAsia="Calibri"/>
          <w:b/>
          <w:sz w:val="22"/>
          <w:szCs w:val="22"/>
        </w:rPr>
      </w:pPr>
      <w:r w:rsidRPr="00FA1766">
        <w:rPr>
          <w:rFonts w:eastAsia="Calibri"/>
          <w:b/>
          <w:sz w:val="22"/>
          <w:szCs w:val="22"/>
        </w:rPr>
        <w:t>Condensation collector coated with scale</w:t>
      </w:r>
    </w:p>
    <w:p w:rsidR="00FA1766" w:rsidRPr="00FA1766" w:rsidRDefault="00FA1766" w:rsidP="00FA1766">
      <w:pPr>
        <w:spacing w:line="480" w:lineRule="auto"/>
        <w:rPr>
          <w:rFonts w:eastAsia="Calibri"/>
          <w:b/>
          <w:sz w:val="22"/>
          <w:szCs w:val="22"/>
        </w:rPr>
      </w:pPr>
      <w:r w:rsidRPr="00FA1766">
        <w:rPr>
          <w:rFonts w:eastAsia="Calibri"/>
          <w:b/>
          <w:sz w:val="22"/>
          <w:szCs w:val="22"/>
        </w:rPr>
        <w:lastRenderedPageBreak/>
        <w:t>Picture 3</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2407920" cy="3200400"/>
            <wp:effectExtent l="0" t="0" r="0" b="0"/>
            <wp:docPr id="4" name="Picture 3" descr="Corrosion on FCU motor cover, flexible steel electric conduit, and the underside of the drip p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osion on FCU motor cover, flexible steel electric conduit, and the underside of the drip pan "/>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07920" cy="3200400"/>
                    </a:xfrm>
                    <a:prstGeom prst="rect">
                      <a:avLst/>
                    </a:prstGeom>
                    <a:noFill/>
                    <a:ln>
                      <a:noFill/>
                    </a:ln>
                  </pic:spPr>
                </pic:pic>
              </a:graphicData>
            </a:graphic>
          </wp:inline>
        </w:drawing>
      </w:r>
    </w:p>
    <w:p w:rsidR="00FA1766" w:rsidRPr="00FA1766" w:rsidRDefault="00FA1766" w:rsidP="00FA1766">
      <w:pPr>
        <w:spacing w:line="480" w:lineRule="auto"/>
        <w:rPr>
          <w:rFonts w:eastAsia="Calibri"/>
          <w:b/>
          <w:sz w:val="22"/>
          <w:szCs w:val="22"/>
        </w:rPr>
      </w:pPr>
      <w:r w:rsidRPr="00FA1766">
        <w:rPr>
          <w:rFonts w:eastAsia="Calibri"/>
          <w:b/>
          <w:sz w:val="22"/>
          <w:szCs w:val="22"/>
        </w:rPr>
        <w:t>Corrosion on FCU motor cover, flexible steel electric conduit, and the underside of the drip pan Picture 4</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5" name="Picture 4" descr="An uninsulated copper pipe beneath water-damaged fiberglass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uninsulated copper pipe beneath water-damaged fiberglass insulation"/>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A1766" w:rsidRPr="00FA1766" w:rsidRDefault="00FA1766" w:rsidP="00FA1766">
      <w:pPr>
        <w:spacing w:line="480" w:lineRule="auto"/>
        <w:jc w:val="center"/>
        <w:rPr>
          <w:rFonts w:eastAsia="Calibri"/>
          <w:b/>
          <w:sz w:val="22"/>
          <w:szCs w:val="22"/>
        </w:rPr>
      </w:pPr>
      <w:r w:rsidRPr="00FA1766">
        <w:rPr>
          <w:rFonts w:eastAsia="Calibri"/>
          <w:b/>
          <w:sz w:val="22"/>
          <w:szCs w:val="22"/>
        </w:rPr>
        <w:t>An uninsulated copper pipe beneath water-damaged fiberglass insulation</w:t>
      </w:r>
    </w:p>
    <w:p w:rsidR="00FA1766" w:rsidRPr="00FA1766" w:rsidRDefault="00FA1766" w:rsidP="00FA1766">
      <w:pPr>
        <w:spacing w:line="480" w:lineRule="auto"/>
        <w:rPr>
          <w:rFonts w:eastAsia="Calibri"/>
          <w:b/>
          <w:sz w:val="22"/>
          <w:szCs w:val="22"/>
        </w:rPr>
      </w:pPr>
      <w:r w:rsidRPr="00FA1766">
        <w:rPr>
          <w:rFonts w:eastAsia="Calibri"/>
          <w:b/>
          <w:sz w:val="22"/>
          <w:szCs w:val="22"/>
        </w:rPr>
        <w:lastRenderedPageBreak/>
        <w:t>Picture 5</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6" name="Picture 5" descr="Frayed insulation on FCU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yed insulation on FCU cover"/>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A1766" w:rsidRPr="00FA1766" w:rsidRDefault="00FA1766" w:rsidP="00FA1766">
      <w:pPr>
        <w:spacing w:line="480" w:lineRule="auto"/>
        <w:jc w:val="center"/>
        <w:rPr>
          <w:rFonts w:eastAsia="Calibri"/>
          <w:b/>
          <w:sz w:val="22"/>
          <w:szCs w:val="22"/>
        </w:rPr>
      </w:pPr>
      <w:r w:rsidRPr="00FA1766">
        <w:rPr>
          <w:rFonts w:eastAsia="Calibri"/>
          <w:b/>
          <w:sz w:val="22"/>
          <w:szCs w:val="22"/>
        </w:rPr>
        <w:t>Frayed insulation on FCU cover</w:t>
      </w:r>
    </w:p>
    <w:p w:rsidR="00FA1766" w:rsidRPr="00FA1766" w:rsidRDefault="00FA1766" w:rsidP="00FA1766">
      <w:pPr>
        <w:spacing w:line="480" w:lineRule="auto"/>
        <w:rPr>
          <w:rFonts w:eastAsia="Calibri"/>
          <w:b/>
          <w:sz w:val="22"/>
          <w:szCs w:val="22"/>
        </w:rPr>
      </w:pPr>
      <w:r w:rsidRPr="00FA1766">
        <w:rPr>
          <w:rFonts w:eastAsia="Calibri"/>
          <w:b/>
          <w:sz w:val="22"/>
          <w:szCs w:val="22"/>
        </w:rPr>
        <w:t>Picture 6</w:t>
      </w:r>
    </w:p>
    <w:p w:rsidR="00FA1766" w:rsidRPr="00FA1766" w:rsidRDefault="00F04CE1" w:rsidP="00FA1766">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7" name="Picture 6" descr="FCU filter medium that needs to be physically cut to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U filter medium that needs to be physically cut to siz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A1766" w:rsidRDefault="00FA1766" w:rsidP="00FA1766">
      <w:pPr>
        <w:spacing w:line="480" w:lineRule="auto"/>
        <w:jc w:val="center"/>
        <w:rPr>
          <w:rFonts w:eastAsia="Calibri"/>
          <w:b/>
          <w:sz w:val="22"/>
          <w:szCs w:val="22"/>
        </w:rPr>
        <w:sectPr w:rsidR="00FA1766" w:rsidSect="00B0444B">
          <w:footerReference w:type="default" r:id="rId22"/>
          <w:pgSz w:w="12240" w:h="15840" w:code="1"/>
          <w:pgMar w:top="1440" w:right="1440" w:bottom="1440" w:left="1440" w:header="720" w:footer="720" w:gutter="0"/>
          <w:cols w:space="720"/>
          <w:noEndnote/>
          <w:titlePg/>
          <w:docGrid w:linePitch="254"/>
        </w:sectPr>
      </w:pPr>
      <w:r w:rsidRPr="00FA1766">
        <w:rPr>
          <w:rFonts w:eastAsia="Calibri"/>
          <w:b/>
          <w:sz w:val="22"/>
          <w:szCs w:val="22"/>
        </w:rPr>
        <w:t>FCU filter medium that needs to be physically cut to size</w:t>
      </w: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170"/>
        <w:gridCol w:w="1170"/>
        <w:gridCol w:w="990"/>
        <w:gridCol w:w="1080"/>
        <w:gridCol w:w="2615"/>
      </w:tblGrid>
      <w:tr w:rsidR="00FA1766" w:rsidRPr="005C29E2" w:rsidTr="00B238A9">
        <w:trPr>
          <w:cantSplit/>
          <w:trHeight w:val="350"/>
          <w:tblHeader/>
          <w:jc w:val="center"/>
        </w:trPr>
        <w:tc>
          <w:tcPr>
            <w:tcW w:w="1909" w:type="dxa"/>
            <w:vMerge w:val="restart"/>
            <w:tcBorders>
              <w:top w:val="single" w:sz="12" w:space="0" w:color="000000"/>
            </w:tcBorders>
            <w:vAlign w:val="bottom"/>
          </w:tcPr>
          <w:p w:rsidR="00FA1766" w:rsidRPr="007178A5" w:rsidRDefault="00FA1766" w:rsidP="00B238A9">
            <w:pPr>
              <w:pStyle w:val="Heading1"/>
              <w:rPr>
                <w:b w:val="0"/>
                <w:sz w:val="20"/>
              </w:rPr>
            </w:pPr>
            <w:r w:rsidRPr="007178A5">
              <w:rPr>
                <w:b w:val="0"/>
                <w:sz w:val="20"/>
              </w:rPr>
              <w:lastRenderedPageBreak/>
              <w:t>Location</w:t>
            </w:r>
          </w:p>
        </w:tc>
        <w:tc>
          <w:tcPr>
            <w:tcW w:w="920"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Carbon</w:t>
            </w:r>
          </w:p>
          <w:p w:rsidR="00FA1766" w:rsidRPr="007178A5" w:rsidRDefault="00FA1766" w:rsidP="00B238A9">
            <w:pPr>
              <w:jc w:val="center"/>
              <w:rPr>
                <w:sz w:val="20"/>
              </w:rPr>
            </w:pPr>
            <w:r w:rsidRPr="007178A5">
              <w:rPr>
                <w:sz w:val="20"/>
              </w:rPr>
              <w:t>Dioxide</w:t>
            </w:r>
          </w:p>
          <w:p w:rsidR="00FA1766" w:rsidRPr="007178A5" w:rsidRDefault="00FA1766" w:rsidP="00B238A9">
            <w:pPr>
              <w:jc w:val="center"/>
              <w:rPr>
                <w:sz w:val="20"/>
              </w:rPr>
            </w:pPr>
            <w:r w:rsidRPr="007178A5">
              <w:rPr>
                <w:sz w:val="20"/>
              </w:rPr>
              <w:t>(ppm)</w:t>
            </w:r>
          </w:p>
        </w:tc>
        <w:tc>
          <w:tcPr>
            <w:tcW w:w="1136" w:type="dxa"/>
            <w:vMerge w:val="restart"/>
            <w:tcBorders>
              <w:top w:val="single" w:sz="12" w:space="0" w:color="000000"/>
            </w:tcBorders>
          </w:tcPr>
          <w:p w:rsidR="00FA1766" w:rsidRPr="007178A5" w:rsidRDefault="00FA1766" w:rsidP="00B238A9">
            <w:pPr>
              <w:jc w:val="center"/>
              <w:rPr>
                <w:sz w:val="20"/>
              </w:rPr>
            </w:pPr>
            <w:r w:rsidRPr="007178A5">
              <w:rPr>
                <w:sz w:val="20"/>
              </w:rPr>
              <w:t>Carbon Monoxide</w:t>
            </w:r>
          </w:p>
          <w:p w:rsidR="00FA1766" w:rsidRPr="007178A5" w:rsidRDefault="00FA1766" w:rsidP="00B238A9">
            <w:pPr>
              <w:jc w:val="center"/>
              <w:rPr>
                <w:sz w:val="20"/>
              </w:rPr>
            </w:pPr>
            <w:r w:rsidRPr="007178A5">
              <w:rPr>
                <w:sz w:val="20"/>
              </w:rPr>
              <w:t>(ppm)</w:t>
            </w:r>
          </w:p>
        </w:tc>
        <w:tc>
          <w:tcPr>
            <w:tcW w:w="810"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Temp</w:t>
            </w:r>
          </w:p>
          <w:p w:rsidR="00FA1766" w:rsidRPr="007178A5" w:rsidRDefault="00FA1766" w:rsidP="00B238A9">
            <w:pPr>
              <w:jc w:val="center"/>
              <w:rPr>
                <w:sz w:val="20"/>
              </w:rPr>
            </w:pPr>
            <w:r w:rsidRPr="007178A5">
              <w:rPr>
                <w:sz w:val="20"/>
              </w:rPr>
              <w:t>(°F)</w:t>
            </w:r>
          </w:p>
        </w:tc>
        <w:tc>
          <w:tcPr>
            <w:tcW w:w="1080"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Relative</w:t>
            </w:r>
          </w:p>
          <w:p w:rsidR="00FA1766" w:rsidRPr="007178A5" w:rsidRDefault="00FA1766" w:rsidP="00B238A9">
            <w:pPr>
              <w:jc w:val="center"/>
              <w:rPr>
                <w:sz w:val="20"/>
              </w:rPr>
            </w:pPr>
            <w:r w:rsidRPr="007178A5">
              <w:rPr>
                <w:sz w:val="20"/>
              </w:rPr>
              <w:t>Humidity</w:t>
            </w:r>
          </w:p>
          <w:p w:rsidR="00FA1766" w:rsidRPr="007178A5" w:rsidRDefault="00FA1766" w:rsidP="00B238A9">
            <w:pPr>
              <w:jc w:val="center"/>
              <w:rPr>
                <w:sz w:val="20"/>
              </w:rPr>
            </w:pPr>
            <w:r w:rsidRPr="007178A5">
              <w:rPr>
                <w:sz w:val="20"/>
              </w:rPr>
              <w:t>(%)</w:t>
            </w:r>
          </w:p>
        </w:tc>
        <w:tc>
          <w:tcPr>
            <w:tcW w:w="954"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PM2.5</w:t>
            </w:r>
          </w:p>
          <w:p w:rsidR="00FA1766" w:rsidRPr="007178A5" w:rsidRDefault="00FA1766" w:rsidP="00B238A9">
            <w:pPr>
              <w:jc w:val="center"/>
              <w:rPr>
                <w:sz w:val="20"/>
              </w:rPr>
            </w:pPr>
            <w:r w:rsidRPr="007178A5">
              <w:rPr>
                <w:sz w:val="20"/>
              </w:rPr>
              <w:t>(µg/m</w:t>
            </w:r>
            <w:r w:rsidRPr="007178A5">
              <w:rPr>
                <w:sz w:val="20"/>
                <w:vertAlign w:val="superscript"/>
              </w:rPr>
              <w:t>3</w:t>
            </w:r>
            <w:r w:rsidRPr="007178A5">
              <w:rPr>
                <w:sz w:val="20"/>
              </w:rPr>
              <w:t>)</w:t>
            </w:r>
          </w:p>
        </w:tc>
        <w:tc>
          <w:tcPr>
            <w:tcW w:w="1116"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Occupants</w:t>
            </w:r>
          </w:p>
          <w:p w:rsidR="00FA1766" w:rsidRPr="007178A5" w:rsidRDefault="00FA1766" w:rsidP="00B238A9">
            <w:pPr>
              <w:jc w:val="center"/>
              <w:rPr>
                <w:sz w:val="20"/>
              </w:rPr>
            </w:pPr>
            <w:r w:rsidRPr="007178A5">
              <w:rPr>
                <w:sz w:val="20"/>
              </w:rPr>
              <w:t>in Room</w:t>
            </w:r>
          </w:p>
        </w:tc>
        <w:tc>
          <w:tcPr>
            <w:tcW w:w="1170" w:type="dxa"/>
            <w:vMerge w:val="restart"/>
            <w:tcBorders>
              <w:top w:val="single" w:sz="12" w:space="0" w:color="000000"/>
            </w:tcBorders>
            <w:vAlign w:val="bottom"/>
          </w:tcPr>
          <w:p w:rsidR="00FA1766" w:rsidRPr="007178A5" w:rsidRDefault="00FA1766" w:rsidP="00B238A9">
            <w:pPr>
              <w:jc w:val="center"/>
              <w:rPr>
                <w:sz w:val="20"/>
              </w:rPr>
            </w:pPr>
            <w:r>
              <w:rPr>
                <w:sz w:val="20"/>
              </w:rPr>
              <w:t>TVOCs (ppm)</w:t>
            </w:r>
          </w:p>
        </w:tc>
        <w:tc>
          <w:tcPr>
            <w:tcW w:w="1170"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Windows</w:t>
            </w:r>
          </w:p>
          <w:p w:rsidR="00FA1766" w:rsidRPr="007178A5" w:rsidRDefault="00FA1766" w:rsidP="00B238A9">
            <w:pPr>
              <w:jc w:val="center"/>
              <w:rPr>
                <w:sz w:val="20"/>
              </w:rPr>
            </w:pPr>
            <w:r w:rsidRPr="007178A5">
              <w:rPr>
                <w:sz w:val="20"/>
              </w:rPr>
              <w:t>Openable</w:t>
            </w:r>
          </w:p>
        </w:tc>
        <w:tc>
          <w:tcPr>
            <w:tcW w:w="2070" w:type="dxa"/>
            <w:gridSpan w:val="2"/>
            <w:tcBorders>
              <w:top w:val="single" w:sz="12" w:space="0" w:color="000000"/>
              <w:left w:val="nil"/>
              <w:bottom w:val="nil"/>
            </w:tcBorders>
            <w:vAlign w:val="bottom"/>
          </w:tcPr>
          <w:p w:rsidR="00FA1766" w:rsidRPr="007178A5" w:rsidRDefault="00FA1766" w:rsidP="00B238A9">
            <w:pPr>
              <w:ind w:left="-105"/>
              <w:jc w:val="center"/>
              <w:rPr>
                <w:sz w:val="20"/>
              </w:rPr>
            </w:pPr>
            <w:r w:rsidRPr="007178A5">
              <w:rPr>
                <w:sz w:val="20"/>
              </w:rPr>
              <w:t>Ventilation</w:t>
            </w:r>
          </w:p>
        </w:tc>
        <w:tc>
          <w:tcPr>
            <w:tcW w:w="2615" w:type="dxa"/>
            <w:vMerge w:val="restart"/>
            <w:tcBorders>
              <w:top w:val="single" w:sz="12" w:space="0" w:color="000000"/>
            </w:tcBorders>
            <w:vAlign w:val="bottom"/>
          </w:tcPr>
          <w:p w:rsidR="00FA1766" w:rsidRPr="007178A5" w:rsidRDefault="00FA1766" w:rsidP="00B238A9">
            <w:pPr>
              <w:jc w:val="center"/>
              <w:rPr>
                <w:sz w:val="20"/>
              </w:rPr>
            </w:pPr>
            <w:r w:rsidRPr="007178A5">
              <w:rPr>
                <w:sz w:val="20"/>
              </w:rPr>
              <w:t>Remarks</w:t>
            </w:r>
          </w:p>
        </w:tc>
      </w:tr>
      <w:tr w:rsidR="00FA1766" w:rsidRPr="005C29E2" w:rsidTr="00B238A9">
        <w:trPr>
          <w:cantSplit/>
          <w:trHeight w:val="350"/>
          <w:tblHeader/>
          <w:jc w:val="center"/>
        </w:trPr>
        <w:tc>
          <w:tcPr>
            <w:tcW w:w="1909" w:type="dxa"/>
            <w:vMerge/>
            <w:vAlign w:val="bottom"/>
          </w:tcPr>
          <w:p w:rsidR="00FA1766" w:rsidRPr="007178A5" w:rsidRDefault="00FA1766" w:rsidP="00B238A9">
            <w:pPr>
              <w:pStyle w:val="Heading1"/>
              <w:rPr>
                <w:b w:val="0"/>
                <w:sz w:val="20"/>
              </w:rPr>
            </w:pPr>
          </w:p>
        </w:tc>
        <w:tc>
          <w:tcPr>
            <w:tcW w:w="920" w:type="dxa"/>
            <w:vMerge/>
            <w:vAlign w:val="bottom"/>
          </w:tcPr>
          <w:p w:rsidR="00FA1766" w:rsidRPr="007178A5" w:rsidRDefault="00FA1766" w:rsidP="00B238A9">
            <w:pPr>
              <w:jc w:val="center"/>
              <w:rPr>
                <w:sz w:val="20"/>
              </w:rPr>
            </w:pPr>
          </w:p>
        </w:tc>
        <w:tc>
          <w:tcPr>
            <w:tcW w:w="1136" w:type="dxa"/>
            <w:vMerge/>
          </w:tcPr>
          <w:p w:rsidR="00FA1766" w:rsidRPr="007178A5" w:rsidRDefault="00FA1766" w:rsidP="00B238A9">
            <w:pPr>
              <w:jc w:val="center"/>
              <w:rPr>
                <w:sz w:val="20"/>
              </w:rPr>
            </w:pPr>
          </w:p>
        </w:tc>
        <w:tc>
          <w:tcPr>
            <w:tcW w:w="810" w:type="dxa"/>
            <w:vMerge/>
            <w:vAlign w:val="bottom"/>
          </w:tcPr>
          <w:p w:rsidR="00FA1766" w:rsidRPr="007178A5" w:rsidRDefault="00FA1766" w:rsidP="00B238A9">
            <w:pPr>
              <w:jc w:val="center"/>
              <w:rPr>
                <w:sz w:val="20"/>
              </w:rPr>
            </w:pPr>
          </w:p>
        </w:tc>
        <w:tc>
          <w:tcPr>
            <w:tcW w:w="1080" w:type="dxa"/>
            <w:vMerge/>
            <w:vAlign w:val="bottom"/>
          </w:tcPr>
          <w:p w:rsidR="00FA1766" w:rsidRPr="007178A5" w:rsidRDefault="00FA1766" w:rsidP="00B238A9">
            <w:pPr>
              <w:jc w:val="center"/>
              <w:rPr>
                <w:sz w:val="20"/>
              </w:rPr>
            </w:pPr>
          </w:p>
        </w:tc>
        <w:tc>
          <w:tcPr>
            <w:tcW w:w="954" w:type="dxa"/>
            <w:vMerge/>
          </w:tcPr>
          <w:p w:rsidR="00FA1766" w:rsidRPr="007178A5" w:rsidRDefault="00FA1766" w:rsidP="00B238A9">
            <w:pPr>
              <w:jc w:val="center"/>
              <w:rPr>
                <w:sz w:val="20"/>
              </w:rPr>
            </w:pPr>
          </w:p>
        </w:tc>
        <w:tc>
          <w:tcPr>
            <w:tcW w:w="1116" w:type="dxa"/>
            <w:vMerge/>
            <w:vAlign w:val="bottom"/>
          </w:tcPr>
          <w:p w:rsidR="00FA1766" w:rsidRPr="007178A5" w:rsidRDefault="00FA1766" w:rsidP="00B238A9">
            <w:pPr>
              <w:jc w:val="center"/>
              <w:rPr>
                <w:sz w:val="20"/>
              </w:rPr>
            </w:pPr>
          </w:p>
        </w:tc>
        <w:tc>
          <w:tcPr>
            <w:tcW w:w="1170" w:type="dxa"/>
            <w:vMerge/>
          </w:tcPr>
          <w:p w:rsidR="00FA1766" w:rsidRPr="007178A5" w:rsidRDefault="00FA1766" w:rsidP="00B238A9">
            <w:pPr>
              <w:jc w:val="center"/>
              <w:rPr>
                <w:sz w:val="20"/>
              </w:rPr>
            </w:pPr>
          </w:p>
        </w:tc>
        <w:tc>
          <w:tcPr>
            <w:tcW w:w="1170" w:type="dxa"/>
            <w:vMerge/>
            <w:vAlign w:val="bottom"/>
          </w:tcPr>
          <w:p w:rsidR="00FA1766" w:rsidRPr="007178A5" w:rsidRDefault="00FA1766" w:rsidP="00B238A9">
            <w:pPr>
              <w:jc w:val="center"/>
              <w:rPr>
                <w:sz w:val="20"/>
              </w:rPr>
            </w:pPr>
          </w:p>
        </w:tc>
        <w:tc>
          <w:tcPr>
            <w:tcW w:w="990" w:type="dxa"/>
            <w:tcBorders>
              <w:left w:val="nil"/>
            </w:tcBorders>
            <w:vAlign w:val="bottom"/>
          </w:tcPr>
          <w:p w:rsidR="00FA1766" w:rsidRPr="007178A5" w:rsidRDefault="00FA1766" w:rsidP="00B238A9">
            <w:pPr>
              <w:ind w:left="-105"/>
              <w:jc w:val="center"/>
              <w:rPr>
                <w:sz w:val="20"/>
              </w:rPr>
            </w:pPr>
            <w:r w:rsidRPr="007178A5">
              <w:rPr>
                <w:sz w:val="20"/>
              </w:rPr>
              <w:t>Supply</w:t>
            </w:r>
          </w:p>
        </w:tc>
        <w:tc>
          <w:tcPr>
            <w:tcW w:w="1080" w:type="dxa"/>
            <w:tcBorders>
              <w:left w:val="nil"/>
            </w:tcBorders>
            <w:vAlign w:val="bottom"/>
          </w:tcPr>
          <w:p w:rsidR="00FA1766" w:rsidRPr="007178A5" w:rsidRDefault="00FA1766" w:rsidP="00B238A9">
            <w:pPr>
              <w:ind w:left="-105"/>
              <w:jc w:val="center"/>
              <w:rPr>
                <w:sz w:val="20"/>
              </w:rPr>
            </w:pPr>
            <w:r w:rsidRPr="007178A5">
              <w:rPr>
                <w:sz w:val="20"/>
              </w:rPr>
              <w:t>Exhaust</w:t>
            </w:r>
          </w:p>
        </w:tc>
        <w:tc>
          <w:tcPr>
            <w:tcW w:w="2615" w:type="dxa"/>
            <w:vMerge/>
            <w:vAlign w:val="bottom"/>
          </w:tcPr>
          <w:p w:rsidR="00FA1766" w:rsidRPr="007178A5" w:rsidRDefault="00FA1766" w:rsidP="00B238A9">
            <w:pPr>
              <w:jc w:val="center"/>
              <w:rPr>
                <w:sz w:val="20"/>
              </w:rPr>
            </w:pPr>
          </w:p>
        </w:tc>
      </w:tr>
      <w:tr w:rsidR="00FA1766" w:rsidRPr="005C29E2" w:rsidTr="00B238A9">
        <w:trPr>
          <w:cantSplit/>
          <w:trHeight w:val="648"/>
          <w:jc w:val="center"/>
        </w:trPr>
        <w:tc>
          <w:tcPr>
            <w:tcW w:w="1909" w:type="dxa"/>
            <w:vAlign w:val="center"/>
          </w:tcPr>
          <w:p w:rsidR="00FA1766" w:rsidRDefault="00FA1766" w:rsidP="00B238A9">
            <w:pPr>
              <w:spacing w:before="60" w:after="60"/>
              <w:rPr>
                <w:sz w:val="22"/>
                <w:szCs w:val="22"/>
              </w:rPr>
            </w:pPr>
            <w:r>
              <w:rPr>
                <w:sz w:val="22"/>
                <w:szCs w:val="22"/>
              </w:rPr>
              <w:t>Background (outdoors)</w:t>
            </w:r>
          </w:p>
        </w:tc>
        <w:tc>
          <w:tcPr>
            <w:tcW w:w="920" w:type="dxa"/>
            <w:vAlign w:val="center"/>
          </w:tcPr>
          <w:p w:rsidR="00FA1766" w:rsidRDefault="00FA1766" w:rsidP="00B238A9">
            <w:pPr>
              <w:jc w:val="center"/>
              <w:rPr>
                <w:sz w:val="22"/>
                <w:szCs w:val="22"/>
              </w:rPr>
            </w:pPr>
            <w:r>
              <w:rPr>
                <w:sz w:val="22"/>
                <w:szCs w:val="22"/>
              </w:rPr>
              <w:t>391</w:t>
            </w:r>
          </w:p>
        </w:tc>
        <w:tc>
          <w:tcPr>
            <w:tcW w:w="1136" w:type="dxa"/>
            <w:vAlign w:val="center"/>
          </w:tcPr>
          <w:p w:rsidR="00FA1766" w:rsidRDefault="00FA1766" w:rsidP="00B238A9">
            <w:pPr>
              <w:jc w:val="center"/>
              <w:rPr>
                <w:sz w:val="22"/>
                <w:szCs w:val="22"/>
              </w:rPr>
            </w:pPr>
            <w:r>
              <w:rPr>
                <w:sz w:val="22"/>
                <w:szCs w:val="22"/>
              </w:rPr>
              <w:t>ND</w:t>
            </w:r>
          </w:p>
        </w:tc>
        <w:tc>
          <w:tcPr>
            <w:tcW w:w="810" w:type="dxa"/>
            <w:vAlign w:val="center"/>
          </w:tcPr>
          <w:p w:rsidR="00FA1766" w:rsidRDefault="00FA1766" w:rsidP="00B238A9">
            <w:pPr>
              <w:jc w:val="center"/>
              <w:rPr>
                <w:sz w:val="22"/>
                <w:szCs w:val="22"/>
              </w:rPr>
            </w:pPr>
            <w:r>
              <w:rPr>
                <w:sz w:val="22"/>
                <w:szCs w:val="22"/>
              </w:rPr>
              <w:t>70</w:t>
            </w:r>
          </w:p>
        </w:tc>
        <w:tc>
          <w:tcPr>
            <w:tcW w:w="1080" w:type="dxa"/>
            <w:vAlign w:val="center"/>
          </w:tcPr>
          <w:p w:rsidR="00FA1766" w:rsidRDefault="00FA1766" w:rsidP="00B238A9">
            <w:pPr>
              <w:jc w:val="center"/>
              <w:rPr>
                <w:sz w:val="22"/>
                <w:szCs w:val="22"/>
              </w:rPr>
            </w:pPr>
            <w:r>
              <w:rPr>
                <w:sz w:val="22"/>
                <w:szCs w:val="22"/>
              </w:rPr>
              <w:t>60</w:t>
            </w:r>
          </w:p>
        </w:tc>
        <w:tc>
          <w:tcPr>
            <w:tcW w:w="954" w:type="dxa"/>
            <w:vAlign w:val="center"/>
          </w:tcPr>
          <w:p w:rsidR="00FA1766" w:rsidRDefault="00FA1766" w:rsidP="00B238A9">
            <w:pPr>
              <w:jc w:val="center"/>
              <w:rPr>
                <w:sz w:val="22"/>
                <w:szCs w:val="22"/>
              </w:rPr>
            </w:pPr>
            <w:r>
              <w:rPr>
                <w:sz w:val="22"/>
                <w:szCs w:val="22"/>
              </w:rPr>
              <w:t>12</w:t>
            </w:r>
          </w:p>
        </w:tc>
        <w:tc>
          <w:tcPr>
            <w:tcW w:w="1116" w:type="dxa"/>
            <w:vAlign w:val="center"/>
          </w:tcPr>
          <w:p w:rsidR="00FA1766" w:rsidRDefault="00FA1766" w:rsidP="00B238A9">
            <w:pPr>
              <w:jc w:val="center"/>
              <w:rPr>
                <w:sz w:val="22"/>
                <w:szCs w:val="22"/>
              </w:rPr>
            </w:pPr>
          </w:p>
        </w:tc>
        <w:tc>
          <w:tcPr>
            <w:tcW w:w="1170" w:type="dxa"/>
            <w:vAlign w:val="center"/>
          </w:tcPr>
          <w:p w:rsidR="00FA1766" w:rsidRDefault="00FA1766" w:rsidP="00B238A9">
            <w:pPr>
              <w:jc w:val="center"/>
              <w:rPr>
                <w:sz w:val="22"/>
                <w:szCs w:val="22"/>
              </w:rPr>
            </w:pPr>
          </w:p>
        </w:tc>
        <w:tc>
          <w:tcPr>
            <w:tcW w:w="1170" w:type="dxa"/>
            <w:vAlign w:val="center"/>
          </w:tcPr>
          <w:p w:rsidR="00FA1766" w:rsidRDefault="00FA1766" w:rsidP="00B238A9">
            <w:pPr>
              <w:jc w:val="center"/>
              <w:rPr>
                <w:sz w:val="22"/>
                <w:szCs w:val="22"/>
              </w:rPr>
            </w:pPr>
          </w:p>
        </w:tc>
        <w:tc>
          <w:tcPr>
            <w:tcW w:w="990" w:type="dxa"/>
            <w:vAlign w:val="center"/>
          </w:tcPr>
          <w:p w:rsidR="00FA1766" w:rsidRDefault="00FA1766" w:rsidP="00B238A9">
            <w:pPr>
              <w:spacing w:before="60" w:after="60"/>
              <w:jc w:val="center"/>
              <w:rPr>
                <w:sz w:val="22"/>
                <w:szCs w:val="22"/>
              </w:rPr>
            </w:pPr>
          </w:p>
        </w:tc>
        <w:tc>
          <w:tcPr>
            <w:tcW w:w="1080" w:type="dxa"/>
            <w:vAlign w:val="center"/>
          </w:tcPr>
          <w:p w:rsidR="00FA1766" w:rsidRDefault="00FA1766" w:rsidP="00B238A9">
            <w:pPr>
              <w:spacing w:before="60" w:after="60"/>
              <w:jc w:val="center"/>
              <w:rPr>
                <w:sz w:val="22"/>
                <w:szCs w:val="22"/>
              </w:rPr>
            </w:pPr>
          </w:p>
        </w:tc>
        <w:tc>
          <w:tcPr>
            <w:tcW w:w="2615" w:type="dxa"/>
            <w:tcBorders>
              <w:left w:val="nil"/>
            </w:tcBorders>
            <w:vAlign w:val="center"/>
          </w:tcPr>
          <w:p w:rsidR="00FA1766" w:rsidRPr="00E44537" w:rsidRDefault="00FA1766" w:rsidP="00B238A9">
            <w:pPr>
              <w:spacing w:before="60" w:after="60"/>
              <w:rPr>
                <w:sz w:val="22"/>
                <w:szCs w:val="22"/>
              </w:rPr>
            </w:pPr>
          </w:p>
        </w:tc>
      </w:tr>
      <w:tr w:rsidR="00FA1766" w:rsidRPr="005C29E2" w:rsidTr="00B238A9">
        <w:trPr>
          <w:cantSplit/>
          <w:trHeight w:val="648"/>
          <w:jc w:val="center"/>
        </w:trPr>
        <w:tc>
          <w:tcPr>
            <w:tcW w:w="1909" w:type="dxa"/>
            <w:vAlign w:val="center"/>
          </w:tcPr>
          <w:p w:rsidR="00FA1766" w:rsidRPr="00E44537" w:rsidRDefault="00FA1766" w:rsidP="00B238A9">
            <w:pPr>
              <w:spacing w:before="60" w:after="60"/>
              <w:rPr>
                <w:sz w:val="22"/>
                <w:szCs w:val="22"/>
              </w:rPr>
            </w:pPr>
            <w:r>
              <w:rPr>
                <w:sz w:val="22"/>
                <w:szCs w:val="22"/>
              </w:rPr>
              <w:t>205 Hall</w:t>
            </w:r>
          </w:p>
        </w:tc>
        <w:tc>
          <w:tcPr>
            <w:tcW w:w="920" w:type="dxa"/>
            <w:vAlign w:val="center"/>
          </w:tcPr>
          <w:p w:rsidR="00FA1766" w:rsidRPr="00E44537" w:rsidRDefault="00FA1766" w:rsidP="00B238A9">
            <w:pPr>
              <w:jc w:val="center"/>
              <w:rPr>
                <w:sz w:val="22"/>
                <w:szCs w:val="22"/>
              </w:rPr>
            </w:pPr>
            <w:r>
              <w:rPr>
                <w:sz w:val="22"/>
                <w:szCs w:val="22"/>
              </w:rPr>
              <w:t>634</w:t>
            </w:r>
          </w:p>
        </w:tc>
        <w:tc>
          <w:tcPr>
            <w:tcW w:w="1136" w:type="dxa"/>
            <w:vAlign w:val="center"/>
          </w:tcPr>
          <w:p w:rsidR="00FA1766" w:rsidRPr="00E44537" w:rsidRDefault="00FA1766" w:rsidP="00B238A9">
            <w:pPr>
              <w:jc w:val="center"/>
              <w:rPr>
                <w:sz w:val="22"/>
                <w:szCs w:val="22"/>
              </w:rPr>
            </w:pPr>
            <w:r>
              <w:rPr>
                <w:sz w:val="22"/>
                <w:szCs w:val="22"/>
              </w:rPr>
              <w:t>ND</w:t>
            </w:r>
          </w:p>
        </w:tc>
        <w:tc>
          <w:tcPr>
            <w:tcW w:w="810" w:type="dxa"/>
            <w:vAlign w:val="center"/>
          </w:tcPr>
          <w:p w:rsidR="00FA1766" w:rsidRPr="00E44537" w:rsidRDefault="00FA1766" w:rsidP="00B238A9">
            <w:pPr>
              <w:jc w:val="center"/>
              <w:rPr>
                <w:sz w:val="22"/>
                <w:szCs w:val="22"/>
              </w:rPr>
            </w:pPr>
            <w:r>
              <w:rPr>
                <w:sz w:val="22"/>
                <w:szCs w:val="22"/>
              </w:rPr>
              <w:t>71</w:t>
            </w:r>
          </w:p>
        </w:tc>
        <w:tc>
          <w:tcPr>
            <w:tcW w:w="1080" w:type="dxa"/>
            <w:vAlign w:val="center"/>
          </w:tcPr>
          <w:p w:rsidR="00FA1766" w:rsidRPr="00E44537" w:rsidRDefault="00FA1766" w:rsidP="00B238A9">
            <w:pPr>
              <w:jc w:val="center"/>
              <w:rPr>
                <w:sz w:val="22"/>
                <w:szCs w:val="22"/>
              </w:rPr>
            </w:pPr>
            <w:r>
              <w:rPr>
                <w:sz w:val="22"/>
                <w:szCs w:val="22"/>
              </w:rPr>
              <w:t>56</w:t>
            </w:r>
          </w:p>
        </w:tc>
        <w:tc>
          <w:tcPr>
            <w:tcW w:w="954" w:type="dxa"/>
            <w:vAlign w:val="center"/>
          </w:tcPr>
          <w:p w:rsidR="00FA1766" w:rsidRPr="00E44537" w:rsidRDefault="00FA1766" w:rsidP="00B238A9">
            <w:pPr>
              <w:jc w:val="center"/>
              <w:rPr>
                <w:sz w:val="22"/>
                <w:szCs w:val="22"/>
              </w:rPr>
            </w:pPr>
            <w:r>
              <w:rPr>
                <w:sz w:val="22"/>
                <w:szCs w:val="22"/>
              </w:rPr>
              <w:t>8</w:t>
            </w:r>
          </w:p>
        </w:tc>
        <w:tc>
          <w:tcPr>
            <w:tcW w:w="1116" w:type="dxa"/>
            <w:vAlign w:val="center"/>
          </w:tcPr>
          <w:p w:rsidR="00FA1766" w:rsidRPr="00E44537" w:rsidRDefault="00FA1766" w:rsidP="00B238A9">
            <w:pPr>
              <w:jc w:val="center"/>
              <w:rPr>
                <w:sz w:val="22"/>
                <w:szCs w:val="22"/>
              </w:rPr>
            </w:pPr>
            <w:r>
              <w:rPr>
                <w:sz w:val="22"/>
                <w:szCs w:val="22"/>
              </w:rPr>
              <w:t>0</w:t>
            </w:r>
          </w:p>
        </w:tc>
        <w:tc>
          <w:tcPr>
            <w:tcW w:w="1170" w:type="dxa"/>
            <w:vAlign w:val="center"/>
          </w:tcPr>
          <w:p w:rsidR="00FA1766" w:rsidRDefault="00FA1766" w:rsidP="00B238A9">
            <w:pPr>
              <w:jc w:val="center"/>
              <w:rPr>
                <w:sz w:val="22"/>
                <w:szCs w:val="22"/>
              </w:rPr>
            </w:pPr>
            <w:r>
              <w:rPr>
                <w:sz w:val="22"/>
                <w:szCs w:val="22"/>
              </w:rPr>
              <w:t>ND</w:t>
            </w:r>
          </w:p>
        </w:tc>
        <w:tc>
          <w:tcPr>
            <w:tcW w:w="1170" w:type="dxa"/>
            <w:vAlign w:val="center"/>
          </w:tcPr>
          <w:p w:rsidR="00FA1766" w:rsidRPr="00E44537" w:rsidRDefault="00FA1766" w:rsidP="00B238A9">
            <w:pPr>
              <w:jc w:val="center"/>
              <w:rPr>
                <w:sz w:val="22"/>
                <w:szCs w:val="22"/>
              </w:rPr>
            </w:pPr>
            <w:r>
              <w:rPr>
                <w:sz w:val="22"/>
                <w:szCs w:val="22"/>
              </w:rPr>
              <w:t>N</w:t>
            </w:r>
          </w:p>
        </w:tc>
        <w:tc>
          <w:tcPr>
            <w:tcW w:w="990" w:type="dxa"/>
            <w:vAlign w:val="center"/>
          </w:tcPr>
          <w:p w:rsidR="00FA1766" w:rsidRPr="00E44537" w:rsidRDefault="00FA1766" w:rsidP="00B238A9">
            <w:pPr>
              <w:spacing w:before="60" w:after="60"/>
              <w:jc w:val="center"/>
              <w:rPr>
                <w:sz w:val="22"/>
                <w:szCs w:val="22"/>
              </w:rPr>
            </w:pPr>
            <w:r>
              <w:rPr>
                <w:sz w:val="22"/>
                <w:szCs w:val="22"/>
              </w:rPr>
              <w:t>Y</w:t>
            </w:r>
          </w:p>
        </w:tc>
        <w:tc>
          <w:tcPr>
            <w:tcW w:w="1080" w:type="dxa"/>
            <w:vAlign w:val="center"/>
          </w:tcPr>
          <w:p w:rsidR="00FA1766" w:rsidRPr="00E44537" w:rsidRDefault="00FA1766" w:rsidP="00B238A9">
            <w:pPr>
              <w:spacing w:before="60" w:after="60"/>
              <w:jc w:val="center"/>
              <w:rPr>
                <w:sz w:val="22"/>
                <w:szCs w:val="22"/>
              </w:rPr>
            </w:pPr>
            <w:r>
              <w:rPr>
                <w:sz w:val="22"/>
                <w:szCs w:val="22"/>
              </w:rPr>
              <w:t>Y</w:t>
            </w:r>
          </w:p>
        </w:tc>
        <w:tc>
          <w:tcPr>
            <w:tcW w:w="2615" w:type="dxa"/>
            <w:tcBorders>
              <w:left w:val="nil"/>
            </w:tcBorders>
            <w:vAlign w:val="center"/>
          </w:tcPr>
          <w:p w:rsidR="00FA1766" w:rsidRPr="00E44537" w:rsidRDefault="00FA1766" w:rsidP="00B238A9">
            <w:pPr>
              <w:spacing w:before="60" w:after="60"/>
              <w:rPr>
                <w:sz w:val="22"/>
                <w:szCs w:val="22"/>
              </w:rPr>
            </w:pPr>
          </w:p>
        </w:tc>
      </w:tr>
      <w:tr w:rsidR="00FA1766" w:rsidRPr="005C29E2" w:rsidTr="00B238A9">
        <w:trPr>
          <w:cantSplit/>
          <w:trHeight w:val="648"/>
          <w:jc w:val="center"/>
        </w:trPr>
        <w:tc>
          <w:tcPr>
            <w:tcW w:w="1909" w:type="dxa"/>
            <w:vAlign w:val="center"/>
          </w:tcPr>
          <w:p w:rsidR="00FA1766" w:rsidRPr="00E44537" w:rsidRDefault="00FA1766" w:rsidP="00B238A9">
            <w:pPr>
              <w:spacing w:before="60" w:after="60"/>
              <w:rPr>
                <w:sz w:val="22"/>
                <w:szCs w:val="22"/>
              </w:rPr>
            </w:pPr>
            <w:r>
              <w:rPr>
                <w:sz w:val="22"/>
                <w:szCs w:val="22"/>
              </w:rPr>
              <w:t>204 Lobby B</w:t>
            </w:r>
          </w:p>
        </w:tc>
        <w:tc>
          <w:tcPr>
            <w:tcW w:w="920" w:type="dxa"/>
            <w:vAlign w:val="center"/>
          </w:tcPr>
          <w:p w:rsidR="00FA1766" w:rsidRPr="00E44537" w:rsidRDefault="00FA1766" w:rsidP="00B238A9">
            <w:pPr>
              <w:spacing w:before="60" w:after="60"/>
              <w:jc w:val="center"/>
              <w:rPr>
                <w:sz w:val="22"/>
                <w:szCs w:val="22"/>
              </w:rPr>
            </w:pPr>
            <w:r>
              <w:rPr>
                <w:sz w:val="22"/>
                <w:szCs w:val="22"/>
              </w:rPr>
              <w:t>589</w:t>
            </w:r>
          </w:p>
        </w:tc>
        <w:tc>
          <w:tcPr>
            <w:tcW w:w="1136" w:type="dxa"/>
            <w:vAlign w:val="center"/>
          </w:tcPr>
          <w:p w:rsidR="00FA1766" w:rsidRPr="00E44537" w:rsidRDefault="00FA1766" w:rsidP="00B238A9">
            <w:pPr>
              <w:jc w:val="center"/>
              <w:rPr>
                <w:sz w:val="22"/>
                <w:szCs w:val="22"/>
              </w:rPr>
            </w:pPr>
            <w:r>
              <w:rPr>
                <w:sz w:val="22"/>
                <w:szCs w:val="22"/>
              </w:rPr>
              <w:t>ND</w:t>
            </w:r>
          </w:p>
        </w:tc>
        <w:tc>
          <w:tcPr>
            <w:tcW w:w="810" w:type="dxa"/>
            <w:vAlign w:val="center"/>
          </w:tcPr>
          <w:p w:rsidR="00FA1766" w:rsidRPr="00E44537" w:rsidRDefault="00FA1766" w:rsidP="00B238A9">
            <w:pPr>
              <w:spacing w:before="60" w:after="60"/>
              <w:jc w:val="center"/>
              <w:rPr>
                <w:sz w:val="22"/>
                <w:szCs w:val="22"/>
              </w:rPr>
            </w:pPr>
            <w:r>
              <w:rPr>
                <w:sz w:val="22"/>
                <w:szCs w:val="22"/>
              </w:rPr>
              <w:t>70</w:t>
            </w:r>
          </w:p>
        </w:tc>
        <w:tc>
          <w:tcPr>
            <w:tcW w:w="1080" w:type="dxa"/>
            <w:vAlign w:val="center"/>
          </w:tcPr>
          <w:p w:rsidR="00FA1766" w:rsidRPr="00E44537" w:rsidRDefault="00FA1766" w:rsidP="00B238A9">
            <w:pPr>
              <w:spacing w:before="60" w:after="60"/>
              <w:jc w:val="center"/>
              <w:rPr>
                <w:sz w:val="22"/>
                <w:szCs w:val="22"/>
              </w:rPr>
            </w:pPr>
            <w:r>
              <w:rPr>
                <w:sz w:val="22"/>
                <w:szCs w:val="22"/>
              </w:rPr>
              <w:t>54</w:t>
            </w:r>
          </w:p>
        </w:tc>
        <w:tc>
          <w:tcPr>
            <w:tcW w:w="954" w:type="dxa"/>
            <w:vAlign w:val="center"/>
          </w:tcPr>
          <w:p w:rsidR="00FA1766" w:rsidRPr="00E44537" w:rsidRDefault="00FA1766" w:rsidP="00B238A9">
            <w:pPr>
              <w:spacing w:before="60" w:after="60"/>
              <w:jc w:val="center"/>
              <w:rPr>
                <w:sz w:val="22"/>
                <w:szCs w:val="22"/>
              </w:rPr>
            </w:pPr>
            <w:r>
              <w:rPr>
                <w:sz w:val="22"/>
                <w:szCs w:val="22"/>
              </w:rPr>
              <w:t>8</w:t>
            </w:r>
          </w:p>
        </w:tc>
        <w:tc>
          <w:tcPr>
            <w:tcW w:w="1116" w:type="dxa"/>
            <w:vAlign w:val="center"/>
          </w:tcPr>
          <w:p w:rsidR="00FA1766" w:rsidRPr="00E44537" w:rsidRDefault="00FA1766" w:rsidP="00B238A9">
            <w:pPr>
              <w:spacing w:before="60" w:after="60"/>
              <w:jc w:val="center"/>
              <w:rPr>
                <w:sz w:val="22"/>
                <w:szCs w:val="22"/>
              </w:rPr>
            </w:pPr>
            <w:r>
              <w:rPr>
                <w:sz w:val="22"/>
                <w:szCs w:val="22"/>
              </w:rPr>
              <w:t>0</w:t>
            </w:r>
          </w:p>
        </w:tc>
        <w:tc>
          <w:tcPr>
            <w:tcW w:w="1170" w:type="dxa"/>
            <w:vAlign w:val="center"/>
          </w:tcPr>
          <w:p w:rsidR="00FA1766" w:rsidRDefault="00FA1766" w:rsidP="00B238A9">
            <w:pPr>
              <w:jc w:val="center"/>
              <w:rPr>
                <w:sz w:val="22"/>
                <w:szCs w:val="22"/>
              </w:rPr>
            </w:pPr>
            <w:r>
              <w:rPr>
                <w:sz w:val="22"/>
                <w:szCs w:val="22"/>
              </w:rPr>
              <w:t>ND</w:t>
            </w:r>
          </w:p>
        </w:tc>
        <w:tc>
          <w:tcPr>
            <w:tcW w:w="1170" w:type="dxa"/>
            <w:vAlign w:val="center"/>
          </w:tcPr>
          <w:p w:rsidR="00FA1766" w:rsidRPr="00E44537" w:rsidRDefault="00FA1766" w:rsidP="00B238A9">
            <w:pPr>
              <w:jc w:val="center"/>
              <w:rPr>
                <w:sz w:val="22"/>
                <w:szCs w:val="22"/>
              </w:rPr>
            </w:pPr>
            <w:r>
              <w:rPr>
                <w:sz w:val="22"/>
                <w:szCs w:val="22"/>
              </w:rPr>
              <w:t>N</w:t>
            </w:r>
          </w:p>
        </w:tc>
        <w:tc>
          <w:tcPr>
            <w:tcW w:w="990" w:type="dxa"/>
            <w:vAlign w:val="center"/>
          </w:tcPr>
          <w:p w:rsidR="00FA1766" w:rsidRPr="00E44537" w:rsidRDefault="00FA1766" w:rsidP="00B238A9">
            <w:pPr>
              <w:spacing w:before="60" w:after="60"/>
              <w:jc w:val="center"/>
              <w:rPr>
                <w:sz w:val="22"/>
                <w:szCs w:val="22"/>
              </w:rPr>
            </w:pPr>
            <w:r>
              <w:rPr>
                <w:sz w:val="22"/>
                <w:szCs w:val="22"/>
              </w:rPr>
              <w:t>Y</w:t>
            </w:r>
          </w:p>
        </w:tc>
        <w:tc>
          <w:tcPr>
            <w:tcW w:w="1080" w:type="dxa"/>
            <w:vAlign w:val="center"/>
          </w:tcPr>
          <w:p w:rsidR="00FA1766" w:rsidRPr="00E44537" w:rsidRDefault="00FA1766" w:rsidP="00B238A9">
            <w:pPr>
              <w:spacing w:before="60" w:after="60"/>
              <w:jc w:val="center"/>
              <w:rPr>
                <w:sz w:val="22"/>
                <w:szCs w:val="22"/>
              </w:rPr>
            </w:pPr>
            <w:r>
              <w:rPr>
                <w:sz w:val="22"/>
                <w:szCs w:val="22"/>
              </w:rPr>
              <w:t>Y</w:t>
            </w:r>
          </w:p>
        </w:tc>
        <w:tc>
          <w:tcPr>
            <w:tcW w:w="2615" w:type="dxa"/>
            <w:tcBorders>
              <w:left w:val="nil"/>
            </w:tcBorders>
            <w:vAlign w:val="center"/>
          </w:tcPr>
          <w:p w:rsidR="00FA1766" w:rsidRPr="00E44537" w:rsidRDefault="00FA1766" w:rsidP="00B238A9">
            <w:pPr>
              <w:spacing w:before="60" w:after="60"/>
              <w:rPr>
                <w:sz w:val="22"/>
                <w:szCs w:val="22"/>
              </w:rPr>
            </w:pPr>
          </w:p>
        </w:tc>
      </w:tr>
      <w:tr w:rsidR="00FA1766" w:rsidRPr="005C29E2" w:rsidTr="00B238A9">
        <w:trPr>
          <w:cantSplit/>
          <w:trHeight w:val="648"/>
          <w:jc w:val="center"/>
        </w:trPr>
        <w:tc>
          <w:tcPr>
            <w:tcW w:w="1909" w:type="dxa"/>
            <w:vAlign w:val="center"/>
          </w:tcPr>
          <w:p w:rsidR="00FA1766" w:rsidRPr="00E44537" w:rsidRDefault="00FA1766" w:rsidP="00B238A9">
            <w:pPr>
              <w:spacing w:before="60" w:after="60"/>
              <w:rPr>
                <w:sz w:val="22"/>
                <w:szCs w:val="22"/>
              </w:rPr>
            </w:pPr>
            <w:r>
              <w:rPr>
                <w:sz w:val="22"/>
                <w:szCs w:val="22"/>
              </w:rPr>
              <w:t>204 Reception</w:t>
            </w:r>
          </w:p>
        </w:tc>
        <w:tc>
          <w:tcPr>
            <w:tcW w:w="920" w:type="dxa"/>
            <w:vAlign w:val="center"/>
          </w:tcPr>
          <w:p w:rsidR="00FA1766" w:rsidRPr="00E44537" w:rsidRDefault="00FA1766" w:rsidP="00B238A9">
            <w:pPr>
              <w:spacing w:before="60" w:after="60"/>
              <w:jc w:val="center"/>
              <w:rPr>
                <w:sz w:val="22"/>
                <w:szCs w:val="22"/>
              </w:rPr>
            </w:pPr>
            <w:r>
              <w:rPr>
                <w:sz w:val="22"/>
                <w:szCs w:val="22"/>
              </w:rPr>
              <w:t>588</w:t>
            </w:r>
          </w:p>
        </w:tc>
        <w:tc>
          <w:tcPr>
            <w:tcW w:w="1136" w:type="dxa"/>
            <w:vAlign w:val="center"/>
          </w:tcPr>
          <w:p w:rsidR="00FA1766" w:rsidRPr="00E44537" w:rsidRDefault="00FA1766" w:rsidP="00B238A9">
            <w:pPr>
              <w:jc w:val="center"/>
              <w:rPr>
                <w:sz w:val="22"/>
                <w:szCs w:val="22"/>
              </w:rPr>
            </w:pPr>
            <w:r>
              <w:rPr>
                <w:sz w:val="22"/>
                <w:szCs w:val="22"/>
              </w:rPr>
              <w:t>ND</w:t>
            </w:r>
          </w:p>
        </w:tc>
        <w:tc>
          <w:tcPr>
            <w:tcW w:w="810" w:type="dxa"/>
            <w:vAlign w:val="center"/>
          </w:tcPr>
          <w:p w:rsidR="00FA1766" w:rsidRPr="00E44537" w:rsidRDefault="00FA1766" w:rsidP="00B238A9">
            <w:pPr>
              <w:spacing w:before="60" w:after="60"/>
              <w:jc w:val="center"/>
              <w:rPr>
                <w:sz w:val="22"/>
                <w:szCs w:val="22"/>
              </w:rPr>
            </w:pPr>
            <w:r>
              <w:rPr>
                <w:sz w:val="22"/>
                <w:szCs w:val="22"/>
              </w:rPr>
              <w:t>70</w:t>
            </w:r>
          </w:p>
        </w:tc>
        <w:tc>
          <w:tcPr>
            <w:tcW w:w="1080" w:type="dxa"/>
            <w:vAlign w:val="center"/>
          </w:tcPr>
          <w:p w:rsidR="00FA1766" w:rsidRPr="00E44537" w:rsidRDefault="00FA1766" w:rsidP="00B238A9">
            <w:pPr>
              <w:spacing w:before="60" w:after="60"/>
              <w:jc w:val="center"/>
              <w:rPr>
                <w:sz w:val="22"/>
                <w:szCs w:val="22"/>
              </w:rPr>
            </w:pPr>
            <w:r>
              <w:rPr>
                <w:sz w:val="22"/>
                <w:szCs w:val="22"/>
              </w:rPr>
              <w:t>56</w:t>
            </w:r>
          </w:p>
        </w:tc>
        <w:tc>
          <w:tcPr>
            <w:tcW w:w="954" w:type="dxa"/>
            <w:vAlign w:val="center"/>
          </w:tcPr>
          <w:p w:rsidR="00FA1766" w:rsidRPr="00E44537" w:rsidRDefault="00FA1766" w:rsidP="00B238A9">
            <w:pPr>
              <w:spacing w:before="60" w:after="60"/>
              <w:jc w:val="center"/>
              <w:rPr>
                <w:sz w:val="22"/>
                <w:szCs w:val="22"/>
              </w:rPr>
            </w:pPr>
            <w:r>
              <w:rPr>
                <w:sz w:val="22"/>
                <w:szCs w:val="22"/>
              </w:rPr>
              <w:t>8</w:t>
            </w:r>
          </w:p>
        </w:tc>
        <w:tc>
          <w:tcPr>
            <w:tcW w:w="1116" w:type="dxa"/>
            <w:vAlign w:val="center"/>
          </w:tcPr>
          <w:p w:rsidR="00FA1766" w:rsidRPr="00E44537" w:rsidRDefault="00FA1766" w:rsidP="00B238A9">
            <w:pPr>
              <w:spacing w:before="60" w:after="60"/>
              <w:jc w:val="center"/>
              <w:rPr>
                <w:sz w:val="22"/>
                <w:szCs w:val="22"/>
              </w:rPr>
            </w:pPr>
            <w:r>
              <w:rPr>
                <w:sz w:val="22"/>
                <w:szCs w:val="22"/>
              </w:rPr>
              <w:t>1</w:t>
            </w:r>
          </w:p>
        </w:tc>
        <w:tc>
          <w:tcPr>
            <w:tcW w:w="1170" w:type="dxa"/>
            <w:vAlign w:val="center"/>
          </w:tcPr>
          <w:p w:rsidR="00FA1766" w:rsidRDefault="00FA1766" w:rsidP="00B238A9">
            <w:pPr>
              <w:jc w:val="center"/>
              <w:rPr>
                <w:sz w:val="22"/>
                <w:szCs w:val="22"/>
              </w:rPr>
            </w:pPr>
            <w:r>
              <w:rPr>
                <w:sz w:val="22"/>
                <w:szCs w:val="22"/>
              </w:rPr>
              <w:t>ND</w:t>
            </w:r>
          </w:p>
        </w:tc>
        <w:tc>
          <w:tcPr>
            <w:tcW w:w="1170" w:type="dxa"/>
            <w:vAlign w:val="center"/>
          </w:tcPr>
          <w:p w:rsidR="00FA1766" w:rsidRPr="00E44537" w:rsidRDefault="00FA1766" w:rsidP="00B238A9">
            <w:pPr>
              <w:jc w:val="center"/>
              <w:rPr>
                <w:sz w:val="22"/>
                <w:szCs w:val="22"/>
              </w:rPr>
            </w:pPr>
            <w:r>
              <w:rPr>
                <w:sz w:val="22"/>
                <w:szCs w:val="22"/>
              </w:rPr>
              <w:t>N</w:t>
            </w:r>
          </w:p>
        </w:tc>
        <w:tc>
          <w:tcPr>
            <w:tcW w:w="990" w:type="dxa"/>
            <w:vAlign w:val="center"/>
          </w:tcPr>
          <w:p w:rsidR="00FA1766" w:rsidRPr="00E44537" w:rsidRDefault="00FA1766" w:rsidP="00B238A9">
            <w:pPr>
              <w:spacing w:before="60" w:after="60"/>
              <w:jc w:val="center"/>
              <w:rPr>
                <w:sz w:val="22"/>
                <w:szCs w:val="22"/>
              </w:rPr>
            </w:pPr>
            <w:r>
              <w:rPr>
                <w:sz w:val="22"/>
                <w:szCs w:val="22"/>
              </w:rPr>
              <w:t>Y</w:t>
            </w:r>
          </w:p>
        </w:tc>
        <w:tc>
          <w:tcPr>
            <w:tcW w:w="1080" w:type="dxa"/>
            <w:vAlign w:val="center"/>
          </w:tcPr>
          <w:p w:rsidR="00FA1766" w:rsidRPr="00E44537" w:rsidRDefault="00FA1766" w:rsidP="00B238A9">
            <w:pPr>
              <w:spacing w:before="60" w:after="60"/>
              <w:jc w:val="center"/>
              <w:rPr>
                <w:sz w:val="22"/>
                <w:szCs w:val="22"/>
              </w:rPr>
            </w:pPr>
            <w:r>
              <w:rPr>
                <w:sz w:val="22"/>
                <w:szCs w:val="22"/>
              </w:rPr>
              <w:t>Y</w:t>
            </w:r>
          </w:p>
        </w:tc>
        <w:tc>
          <w:tcPr>
            <w:tcW w:w="2615" w:type="dxa"/>
            <w:tcBorders>
              <w:left w:val="nil"/>
            </w:tcBorders>
            <w:vAlign w:val="center"/>
          </w:tcPr>
          <w:p w:rsidR="00FA1766" w:rsidRPr="00E44537" w:rsidRDefault="00FA1766" w:rsidP="00B238A9">
            <w:pPr>
              <w:spacing w:before="60" w:after="60"/>
              <w:rPr>
                <w:sz w:val="22"/>
                <w:szCs w:val="22"/>
              </w:rPr>
            </w:pPr>
          </w:p>
        </w:tc>
      </w:tr>
      <w:tr w:rsidR="00FA1766" w:rsidRPr="005C29E2" w:rsidTr="00B238A9">
        <w:trPr>
          <w:cantSplit/>
          <w:trHeight w:val="648"/>
          <w:jc w:val="center"/>
        </w:trPr>
        <w:tc>
          <w:tcPr>
            <w:tcW w:w="1909" w:type="dxa"/>
            <w:tcBorders>
              <w:bottom w:val="single" w:sz="12" w:space="0" w:color="000000"/>
            </w:tcBorders>
            <w:vAlign w:val="center"/>
          </w:tcPr>
          <w:p w:rsidR="00FA1766" w:rsidRPr="00E44537" w:rsidRDefault="00FA1766" w:rsidP="00B238A9">
            <w:pPr>
              <w:spacing w:before="60" w:after="60"/>
              <w:rPr>
                <w:sz w:val="22"/>
                <w:szCs w:val="22"/>
              </w:rPr>
            </w:pPr>
            <w:r>
              <w:rPr>
                <w:sz w:val="22"/>
                <w:szCs w:val="22"/>
              </w:rPr>
              <w:t>204 Lobby A</w:t>
            </w:r>
          </w:p>
        </w:tc>
        <w:tc>
          <w:tcPr>
            <w:tcW w:w="920" w:type="dxa"/>
            <w:tcBorders>
              <w:bottom w:val="single" w:sz="12" w:space="0" w:color="000000"/>
            </w:tcBorders>
            <w:vAlign w:val="center"/>
          </w:tcPr>
          <w:p w:rsidR="00FA1766" w:rsidRPr="00E44537" w:rsidRDefault="00FA1766" w:rsidP="00B238A9">
            <w:pPr>
              <w:jc w:val="center"/>
              <w:rPr>
                <w:sz w:val="22"/>
                <w:szCs w:val="22"/>
              </w:rPr>
            </w:pPr>
            <w:r>
              <w:rPr>
                <w:sz w:val="22"/>
                <w:szCs w:val="22"/>
              </w:rPr>
              <w:t>740</w:t>
            </w:r>
          </w:p>
        </w:tc>
        <w:tc>
          <w:tcPr>
            <w:tcW w:w="1136" w:type="dxa"/>
            <w:tcBorders>
              <w:bottom w:val="single" w:sz="12" w:space="0" w:color="000000"/>
            </w:tcBorders>
            <w:vAlign w:val="center"/>
          </w:tcPr>
          <w:p w:rsidR="00FA1766" w:rsidRPr="00E44537" w:rsidRDefault="00FA1766" w:rsidP="00B238A9">
            <w:pPr>
              <w:jc w:val="center"/>
              <w:rPr>
                <w:sz w:val="22"/>
                <w:szCs w:val="22"/>
              </w:rPr>
            </w:pPr>
            <w:r>
              <w:rPr>
                <w:sz w:val="22"/>
                <w:szCs w:val="22"/>
              </w:rPr>
              <w:t>ND</w:t>
            </w:r>
          </w:p>
        </w:tc>
        <w:tc>
          <w:tcPr>
            <w:tcW w:w="810" w:type="dxa"/>
            <w:tcBorders>
              <w:bottom w:val="single" w:sz="12" w:space="0" w:color="000000"/>
            </w:tcBorders>
            <w:vAlign w:val="center"/>
          </w:tcPr>
          <w:p w:rsidR="00FA1766" w:rsidRPr="00E44537" w:rsidRDefault="00FA1766" w:rsidP="00B238A9">
            <w:pPr>
              <w:jc w:val="center"/>
              <w:rPr>
                <w:sz w:val="22"/>
                <w:szCs w:val="22"/>
              </w:rPr>
            </w:pPr>
            <w:r>
              <w:rPr>
                <w:sz w:val="22"/>
                <w:szCs w:val="22"/>
              </w:rPr>
              <w:t>70</w:t>
            </w:r>
          </w:p>
        </w:tc>
        <w:tc>
          <w:tcPr>
            <w:tcW w:w="1080" w:type="dxa"/>
            <w:tcBorders>
              <w:bottom w:val="single" w:sz="12" w:space="0" w:color="000000"/>
            </w:tcBorders>
            <w:vAlign w:val="center"/>
          </w:tcPr>
          <w:p w:rsidR="00FA1766" w:rsidRPr="00E44537" w:rsidRDefault="00FA1766" w:rsidP="00B238A9">
            <w:pPr>
              <w:jc w:val="center"/>
              <w:rPr>
                <w:sz w:val="22"/>
                <w:szCs w:val="22"/>
              </w:rPr>
            </w:pPr>
            <w:r>
              <w:rPr>
                <w:sz w:val="22"/>
                <w:szCs w:val="22"/>
              </w:rPr>
              <w:t>56</w:t>
            </w:r>
          </w:p>
        </w:tc>
        <w:tc>
          <w:tcPr>
            <w:tcW w:w="954" w:type="dxa"/>
            <w:tcBorders>
              <w:bottom w:val="single" w:sz="12" w:space="0" w:color="000000"/>
            </w:tcBorders>
            <w:vAlign w:val="center"/>
          </w:tcPr>
          <w:p w:rsidR="00FA1766" w:rsidRPr="00E44537" w:rsidRDefault="00FA1766" w:rsidP="00B238A9">
            <w:pPr>
              <w:jc w:val="center"/>
              <w:rPr>
                <w:sz w:val="22"/>
                <w:szCs w:val="22"/>
              </w:rPr>
            </w:pPr>
            <w:r>
              <w:rPr>
                <w:sz w:val="22"/>
                <w:szCs w:val="22"/>
              </w:rPr>
              <w:t>12</w:t>
            </w:r>
          </w:p>
        </w:tc>
        <w:tc>
          <w:tcPr>
            <w:tcW w:w="1116" w:type="dxa"/>
            <w:tcBorders>
              <w:bottom w:val="single" w:sz="12" w:space="0" w:color="000000"/>
            </w:tcBorders>
            <w:vAlign w:val="center"/>
          </w:tcPr>
          <w:p w:rsidR="00FA1766" w:rsidRPr="00E44537" w:rsidRDefault="00FA1766" w:rsidP="00B238A9">
            <w:pPr>
              <w:jc w:val="center"/>
              <w:rPr>
                <w:sz w:val="22"/>
                <w:szCs w:val="22"/>
              </w:rPr>
            </w:pPr>
            <w:r>
              <w:rPr>
                <w:sz w:val="22"/>
                <w:szCs w:val="22"/>
              </w:rPr>
              <w:t>0</w:t>
            </w:r>
          </w:p>
        </w:tc>
        <w:tc>
          <w:tcPr>
            <w:tcW w:w="1170" w:type="dxa"/>
            <w:tcBorders>
              <w:bottom w:val="single" w:sz="12" w:space="0" w:color="000000"/>
            </w:tcBorders>
            <w:vAlign w:val="center"/>
          </w:tcPr>
          <w:p w:rsidR="00FA1766" w:rsidRDefault="00FA1766" w:rsidP="00B238A9">
            <w:pPr>
              <w:jc w:val="center"/>
              <w:rPr>
                <w:sz w:val="22"/>
                <w:szCs w:val="22"/>
              </w:rPr>
            </w:pPr>
            <w:r>
              <w:rPr>
                <w:sz w:val="22"/>
                <w:szCs w:val="22"/>
              </w:rPr>
              <w:t>ND</w:t>
            </w:r>
          </w:p>
        </w:tc>
        <w:tc>
          <w:tcPr>
            <w:tcW w:w="1170" w:type="dxa"/>
            <w:tcBorders>
              <w:bottom w:val="single" w:sz="12" w:space="0" w:color="000000"/>
            </w:tcBorders>
            <w:vAlign w:val="center"/>
          </w:tcPr>
          <w:p w:rsidR="00FA1766" w:rsidRPr="00E44537" w:rsidRDefault="00FA1766" w:rsidP="00B238A9">
            <w:pPr>
              <w:jc w:val="center"/>
              <w:rPr>
                <w:sz w:val="22"/>
                <w:szCs w:val="22"/>
              </w:rPr>
            </w:pPr>
            <w:r>
              <w:rPr>
                <w:sz w:val="22"/>
                <w:szCs w:val="22"/>
              </w:rPr>
              <w:t>N</w:t>
            </w:r>
          </w:p>
        </w:tc>
        <w:tc>
          <w:tcPr>
            <w:tcW w:w="990" w:type="dxa"/>
            <w:tcBorders>
              <w:bottom w:val="single" w:sz="12" w:space="0" w:color="000000"/>
            </w:tcBorders>
            <w:vAlign w:val="center"/>
          </w:tcPr>
          <w:p w:rsidR="00FA1766" w:rsidRPr="00E44537" w:rsidRDefault="00FA1766" w:rsidP="00B238A9">
            <w:pPr>
              <w:jc w:val="center"/>
              <w:rPr>
                <w:sz w:val="22"/>
                <w:szCs w:val="22"/>
              </w:rPr>
            </w:pPr>
            <w:r>
              <w:rPr>
                <w:sz w:val="22"/>
                <w:szCs w:val="22"/>
              </w:rPr>
              <w:t>Y</w:t>
            </w:r>
          </w:p>
        </w:tc>
        <w:tc>
          <w:tcPr>
            <w:tcW w:w="1080" w:type="dxa"/>
            <w:tcBorders>
              <w:bottom w:val="single" w:sz="12" w:space="0" w:color="000000"/>
            </w:tcBorders>
            <w:vAlign w:val="center"/>
          </w:tcPr>
          <w:p w:rsidR="00FA1766" w:rsidRPr="00E44537" w:rsidRDefault="00FA1766" w:rsidP="00B238A9">
            <w:pPr>
              <w:jc w:val="center"/>
              <w:rPr>
                <w:sz w:val="22"/>
                <w:szCs w:val="22"/>
              </w:rPr>
            </w:pPr>
            <w:r>
              <w:rPr>
                <w:sz w:val="22"/>
                <w:szCs w:val="22"/>
              </w:rPr>
              <w:t>Y</w:t>
            </w:r>
          </w:p>
        </w:tc>
        <w:tc>
          <w:tcPr>
            <w:tcW w:w="2615" w:type="dxa"/>
            <w:tcBorders>
              <w:left w:val="nil"/>
              <w:bottom w:val="single" w:sz="12" w:space="0" w:color="000000"/>
            </w:tcBorders>
            <w:vAlign w:val="center"/>
          </w:tcPr>
          <w:p w:rsidR="00FA1766" w:rsidRPr="00E44537" w:rsidRDefault="00FA1766" w:rsidP="00B238A9">
            <w:pPr>
              <w:rPr>
                <w:sz w:val="22"/>
                <w:szCs w:val="22"/>
              </w:rPr>
            </w:pPr>
            <w:r>
              <w:rPr>
                <w:sz w:val="22"/>
                <w:szCs w:val="22"/>
              </w:rPr>
              <w:t>Fan coil unit</w:t>
            </w:r>
          </w:p>
        </w:tc>
      </w:tr>
    </w:tbl>
    <w:p w:rsidR="00FA1766" w:rsidRPr="005C29E2" w:rsidRDefault="00FA1766" w:rsidP="00FA1766"/>
    <w:p w:rsidR="00A009E4" w:rsidRPr="00FA1766" w:rsidRDefault="00A009E4" w:rsidP="00FA1766">
      <w:pPr>
        <w:spacing w:line="480" w:lineRule="auto"/>
        <w:jc w:val="center"/>
        <w:rPr>
          <w:rFonts w:eastAsia="Calibri"/>
          <w:b/>
          <w:sz w:val="22"/>
          <w:szCs w:val="22"/>
        </w:rPr>
      </w:pPr>
    </w:p>
    <w:sectPr w:rsidR="00A009E4" w:rsidRPr="00FA1766" w:rsidSect="00FA1766">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A9" w:rsidRDefault="00B238A9">
      <w:r>
        <w:separator/>
      </w:r>
    </w:p>
  </w:endnote>
  <w:endnote w:type="continuationSeparator" w:id="0">
    <w:p w:rsidR="00B238A9" w:rsidRDefault="00B2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CE1">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766" w:rsidRDefault="00FA17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A9" w:rsidRDefault="00B238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3407"/>
      <w:gridCol w:w="2617"/>
      <w:gridCol w:w="2526"/>
    </w:tblGrid>
    <w:tr w:rsidR="00B238A9" w:rsidRPr="00F374D5" w:rsidTr="00B238A9">
      <w:trPr>
        <w:trHeight w:val="300"/>
        <w:jc w:val="center"/>
      </w:trPr>
      <w:tc>
        <w:tcPr>
          <w:tcW w:w="3407" w:type="dxa"/>
          <w:tcBorders>
            <w:top w:val="nil"/>
            <w:left w:val="nil"/>
            <w:bottom w:val="nil"/>
            <w:right w:val="nil"/>
          </w:tcBorders>
          <w:noWrap/>
          <w:vAlign w:val="center"/>
        </w:tcPr>
        <w:p w:rsidR="00B238A9" w:rsidRPr="00F374D5" w:rsidRDefault="00B238A9" w:rsidP="00B238A9">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noWrap/>
          <w:vAlign w:val="center"/>
        </w:tcPr>
        <w:p w:rsidR="00B238A9" w:rsidRPr="00F374D5" w:rsidRDefault="00B238A9" w:rsidP="00B238A9">
          <w:pPr>
            <w:rPr>
              <w:rFonts w:ascii="Times" w:hAnsi="Times" w:cs="Times"/>
              <w:sz w:val="20"/>
            </w:rPr>
          </w:pPr>
          <w:r>
            <w:rPr>
              <w:rFonts w:ascii="Times" w:hAnsi="Times" w:cs="Times"/>
              <w:sz w:val="20"/>
            </w:rPr>
            <w:t>AI = accumulated items</w:t>
          </w:r>
        </w:p>
      </w:tc>
      <w:tc>
        <w:tcPr>
          <w:tcW w:w="2526" w:type="dxa"/>
          <w:tcBorders>
            <w:top w:val="nil"/>
            <w:left w:val="nil"/>
            <w:bottom w:val="nil"/>
            <w:right w:val="nil"/>
          </w:tcBorders>
          <w:noWrap/>
          <w:vAlign w:val="center"/>
        </w:tcPr>
        <w:p w:rsidR="00B238A9" w:rsidRPr="00F374D5" w:rsidRDefault="00B238A9" w:rsidP="00B238A9">
          <w:pPr>
            <w:rPr>
              <w:rFonts w:ascii="Times" w:hAnsi="Times" w:cs="Times"/>
              <w:sz w:val="20"/>
            </w:rPr>
          </w:pPr>
          <w:r>
            <w:rPr>
              <w:rFonts w:ascii="Times" w:hAnsi="Times" w:cs="Times"/>
              <w:sz w:val="20"/>
            </w:rPr>
            <w:t>ND = non detect</w:t>
          </w:r>
        </w:p>
      </w:tc>
    </w:tr>
    <w:tr w:rsidR="00B238A9" w:rsidRPr="00F374D5" w:rsidTr="00B238A9">
      <w:trPr>
        <w:trHeight w:val="300"/>
        <w:jc w:val="center"/>
      </w:trPr>
      <w:tc>
        <w:tcPr>
          <w:tcW w:w="3407" w:type="dxa"/>
          <w:tcBorders>
            <w:top w:val="nil"/>
            <w:left w:val="nil"/>
            <w:bottom w:val="nil"/>
            <w:right w:val="nil"/>
          </w:tcBorders>
          <w:noWrap/>
          <w:vAlign w:val="center"/>
        </w:tcPr>
        <w:p w:rsidR="00B238A9" w:rsidRPr="00F374D5" w:rsidRDefault="00B238A9" w:rsidP="00B238A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noWrap/>
          <w:vAlign w:val="center"/>
        </w:tcPr>
        <w:p w:rsidR="00B238A9" w:rsidRPr="00F374D5" w:rsidRDefault="00B238A9" w:rsidP="00B238A9">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noWrap/>
          <w:vAlign w:val="center"/>
        </w:tcPr>
        <w:p w:rsidR="00B238A9" w:rsidRPr="00F374D5" w:rsidRDefault="00B238A9" w:rsidP="00B238A9">
          <w:pPr>
            <w:rPr>
              <w:rFonts w:ascii="Times" w:hAnsi="Times" w:cs="Times"/>
              <w:sz w:val="20"/>
            </w:rPr>
          </w:pPr>
          <w:r>
            <w:rPr>
              <w:rFonts w:ascii="Times" w:hAnsi="Times" w:cs="Times"/>
              <w:sz w:val="20"/>
            </w:rPr>
            <w:t>WD = water-damaged</w:t>
          </w:r>
        </w:p>
      </w:tc>
    </w:tr>
  </w:tbl>
  <w:p w:rsidR="00B238A9" w:rsidRDefault="00B238A9" w:rsidP="00B238A9">
    <w:pPr>
      <w:tabs>
        <w:tab w:val="left" w:pos="9180"/>
      </w:tabs>
      <w:rPr>
        <w:b/>
        <w:sz w:val="20"/>
      </w:rPr>
    </w:pPr>
  </w:p>
  <w:p w:rsidR="00B238A9" w:rsidRPr="009804D7" w:rsidRDefault="00B238A9" w:rsidP="00B238A9">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238A9" w:rsidTr="00B238A9">
      <w:tc>
        <w:tcPr>
          <w:tcW w:w="2718" w:type="dxa"/>
          <w:tcBorders>
            <w:top w:val="single" w:sz="18" w:space="0" w:color="auto"/>
          </w:tcBorders>
        </w:tcPr>
        <w:p w:rsidR="00B238A9" w:rsidRDefault="00B238A9" w:rsidP="00B238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B238A9" w:rsidRDefault="00B238A9" w:rsidP="00B238A9">
          <w:pPr>
            <w:rPr>
              <w:sz w:val="20"/>
            </w:rPr>
          </w:pPr>
          <w:r>
            <w:rPr>
              <w:sz w:val="20"/>
            </w:rPr>
            <w:t>&lt; 800 ppm = preferred</w:t>
          </w:r>
        </w:p>
      </w:tc>
      <w:tc>
        <w:tcPr>
          <w:tcW w:w="3600" w:type="dxa"/>
          <w:tcBorders>
            <w:top w:val="single" w:sz="18" w:space="0" w:color="auto"/>
          </w:tcBorders>
        </w:tcPr>
        <w:p w:rsidR="00B238A9" w:rsidRDefault="00B238A9" w:rsidP="00B238A9">
          <w:pPr>
            <w:jc w:val="right"/>
            <w:rPr>
              <w:sz w:val="20"/>
            </w:rPr>
          </w:pPr>
          <w:r>
            <w:rPr>
              <w:sz w:val="20"/>
            </w:rPr>
            <w:t>Temperature:</w:t>
          </w:r>
        </w:p>
      </w:tc>
      <w:tc>
        <w:tcPr>
          <w:tcW w:w="3420" w:type="dxa"/>
          <w:tcBorders>
            <w:top w:val="single" w:sz="18" w:space="0" w:color="auto"/>
          </w:tcBorders>
        </w:tcPr>
        <w:p w:rsidR="00B238A9" w:rsidRDefault="00B238A9" w:rsidP="00B238A9">
          <w:pPr>
            <w:rPr>
              <w:sz w:val="20"/>
            </w:rPr>
          </w:pPr>
          <w:r>
            <w:rPr>
              <w:sz w:val="20"/>
            </w:rPr>
            <w:t>70 - 78 °F</w:t>
          </w:r>
        </w:p>
      </w:tc>
    </w:tr>
    <w:tr w:rsidR="00B238A9" w:rsidTr="00B238A9">
      <w:tc>
        <w:tcPr>
          <w:tcW w:w="2718" w:type="dxa"/>
          <w:tcBorders>
            <w:bottom w:val="single" w:sz="18" w:space="0" w:color="auto"/>
          </w:tcBorders>
        </w:tcPr>
        <w:p w:rsidR="00B238A9" w:rsidRDefault="00B238A9" w:rsidP="00B238A9">
          <w:pPr>
            <w:jc w:val="right"/>
            <w:rPr>
              <w:sz w:val="20"/>
            </w:rPr>
          </w:pPr>
        </w:p>
      </w:tc>
      <w:tc>
        <w:tcPr>
          <w:tcW w:w="4860" w:type="dxa"/>
          <w:tcBorders>
            <w:bottom w:val="single" w:sz="18" w:space="0" w:color="auto"/>
          </w:tcBorders>
        </w:tcPr>
        <w:p w:rsidR="00B238A9" w:rsidRDefault="00B238A9" w:rsidP="00B238A9">
          <w:pPr>
            <w:rPr>
              <w:sz w:val="20"/>
            </w:rPr>
          </w:pPr>
          <w:r>
            <w:rPr>
              <w:sz w:val="20"/>
            </w:rPr>
            <w:t>&gt; 800 ppm = indicative of ventilation problems</w:t>
          </w:r>
        </w:p>
      </w:tc>
      <w:tc>
        <w:tcPr>
          <w:tcW w:w="3600" w:type="dxa"/>
          <w:tcBorders>
            <w:bottom w:val="single" w:sz="18" w:space="0" w:color="auto"/>
          </w:tcBorders>
        </w:tcPr>
        <w:p w:rsidR="00B238A9" w:rsidRDefault="00B238A9" w:rsidP="00B238A9">
          <w:pPr>
            <w:jc w:val="right"/>
            <w:rPr>
              <w:sz w:val="20"/>
            </w:rPr>
          </w:pPr>
          <w:r>
            <w:rPr>
              <w:sz w:val="20"/>
            </w:rPr>
            <w:t>Relative Humidity:</w:t>
          </w:r>
        </w:p>
      </w:tc>
      <w:tc>
        <w:tcPr>
          <w:tcW w:w="3420" w:type="dxa"/>
          <w:tcBorders>
            <w:bottom w:val="single" w:sz="18" w:space="0" w:color="auto"/>
          </w:tcBorders>
        </w:tcPr>
        <w:p w:rsidR="00B238A9" w:rsidRDefault="00B238A9" w:rsidP="00B238A9">
          <w:pPr>
            <w:rPr>
              <w:sz w:val="20"/>
            </w:rPr>
          </w:pPr>
          <w:r>
            <w:rPr>
              <w:sz w:val="20"/>
            </w:rPr>
            <w:t>40 - 60%</w:t>
          </w:r>
        </w:p>
      </w:tc>
    </w:tr>
  </w:tbl>
  <w:p w:rsidR="00B238A9" w:rsidRDefault="00B238A9" w:rsidP="00B238A9">
    <w:pPr>
      <w:pStyle w:val="Footer"/>
      <w:jc w:val="center"/>
    </w:pPr>
  </w:p>
  <w:p w:rsidR="00B238A9" w:rsidRPr="00FB37EB" w:rsidRDefault="00B238A9" w:rsidP="00B238A9">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073" w:type="dxa"/>
      <w:jc w:val="center"/>
      <w:tblInd w:w="-98" w:type="dxa"/>
      <w:tblLayout w:type="fixed"/>
      <w:tblLook w:val="0000" w:firstRow="0" w:lastRow="0" w:firstColumn="0" w:lastColumn="0" w:noHBand="0" w:noVBand="0"/>
    </w:tblPr>
    <w:tblGrid>
      <w:gridCol w:w="2295"/>
      <w:gridCol w:w="3510"/>
      <w:gridCol w:w="1992"/>
      <w:gridCol w:w="5276"/>
    </w:tblGrid>
    <w:tr w:rsidR="00B238A9" w:rsidRPr="00F374D5" w:rsidTr="00B238A9">
      <w:trPr>
        <w:trHeight w:val="300"/>
        <w:jc w:val="center"/>
      </w:trPr>
      <w:tc>
        <w:tcPr>
          <w:tcW w:w="2295" w:type="dxa"/>
          <w:tcBorders>
            <w:top w:val="nil"/>
            <w:left w:val="nil"/>
            <w:bottom w:val="nil"/>
            <w:right w:val="nil"/>
          </w:tcBorders>
          <w:noWrap/>
          <w:vAlign w:val="center"/>
        </w:tcPr>
        <w:p w:rsidR="00B238A9" w:rsidRPr="00F374D5" w:rsidRDefault="00B238A9" w:rsidP="00B238A9">
          <w:pPr>
            <w:rPr>
              <w:rFonts w:ascii="Times" w:hAnsi="Times" w:cs="Times"/>
              <w:sz w:val="20"/>
            </w:rPr>
          </w:pPr>
          <w:r w:rsidRPr="00F374D5">
            <w:rPr>
              <w:rFonts w:ascii="Times" w:hAnsi="Times" w:cs="Times"/>
              <w:sz w:val="20"/>
            </w:rPr>
            <w:t>ppm = parts per million</w:t>
          </w:r>
        </w:p>
      </w:tc>
      <w:tc>
        <w:tcPr>
          <w:tcW w:w="3510" w:type="dxa"/>
          <w:tcBorders>
            <w:top w:val="nil"/>
            <w:left w:val="nil"/>
            <w:bottom w:val="nil"/>
            <w:right w:val="nil"/>
          </w:tcBorders>
          <w:noWrap/>
          <w:vAlign w:val="center"/>
        </w:tcPr>
        <w:p w:rsidR="00B238A9" w:rsidRPr="00F374D5" w:rsidRDefault="00B238A9" w:rsidP="00B238A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992" w:type="dxa"/>
          <w:tcBorders>
            <w:top w:val="nil"/>
            <w:left w:val="nil"/>
            <w:bottom w:val="nil"/>
            <w:right w:val="nil"/>
          </w:tcBorders>
        </w:tcPr>
        <w:p w:rsidR="00B238A9" w:rsidRDefault="00B238A9" w:rsidP="00B238A9">
          <w:pPr>
            <w:rPr>
              <w:rFonts w:ascii="Times" w:hAnsi="Times" w:cs="Times"/>
              <w:sz w:val="20"/>
            </w:rPr>
          </w:pPr>
          <w:r>
            <w:rPr>
              <w:rFonts w:ascii="Times" w:hAnsi="Times" w:cs="Times"/>
              <w:sz w:val="20"/>
            </w:rPr>
            <w:t>ND = non detect</w:t>
          </w:r>
        </w:p>
      </w:tc>
      <w:tc>
        <w:tcPr>
          <w:tcW w:w="5276" w:type="dxa"/>
          <w:tcBorders>
            <w:top w:val="nil"/>
            <w:left w:val="nil"/>
            <w:bottom w:val="nil"/>
            <w:right w:val="nil"/>
          </w:tcBorders>
          <w:noWrap/>
          <w:vAlign w:val="center"/>
        </w:tcPr>
        <w:p w:rsidR="00B238A9" w:rsidRPr="00F374D5" w:rsidRDefault="00B238A9" w:rsidP="00B238A9">
          <w:pPr>
            <w:rPr>
              <w:rFonts w:ascii="Times" w:hAnsi="Times" w:cs="Times"/>
              <w:sz w:val="20"/>
            </w:rPr>
          </w:pPr>
          <w:r>
            <w:rPr>
              <w:rFonts w:ascii="Times" w:hAnsi="Times" w:cs="Times"/>
              <w:sz w:val="20"/>
            </w:rPr>
            <w:t>TVOC = total volatile organic compounds</w:t>
          </w:r>
        </w:p>
      </w:tc>
    </w:tr>
  </w:tbl>
  <w:p w:rsidR="00B238A9" w:rsidRDefault="00B238A9" w:rsidP="00B238A9">
    <w:pPr>
      <w:tabs>
        <w:tab w:val="left" w:pos="9180"/>
      </w:tabs>
      <w:rPr>
        <w:b/>
        <w:sz w:val="20"/>
      </w:rPr>
    </w:pPr>
  </w:p>
  <w:p w:rsidR="00B238A9" w:rsidRDefault="00B238A9" w:rsidP="00B238A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238A9" w:rsidTr="00B238A9">
      <w:tc>
        <w:tcPr>
          <w:tcW w:w="2718" w:type="dxa"/>
          <w:tcBorders>
            <w:top w:val="single" w:sz="18" w:space="0" w:color="auto"/>
          </w:tcBorders>
        </w:tcPr>
        <w:p w:rsidR="00B238A9" w:rsidRDefault="00B238A9" w:rsidP="00B238A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B238A9" w:rsidRDefault="00B238A9" w:rsidP="00B238A9">
          <w:pPr>
            <w:rPr>
              <w:sz w:val="20"/>
            </w:rPr>
          </w:pPr>
          <w:r>
            <w:rPr>
              <w:sz w:val="20"/>
            </w:rPr>
            <w:t>&lt; 800 ppm = preferred</w:t>
          </w:r>
        </w:p>
      </w:tc>
      <w:tc>
        <w:tcPr>
          <w:tcW w:w="3600" w:type="dxa"/>
          <w:tcBorders>
            <w:top w:val="single" w:sz="18" w:space="0" w:color="auto"/>
          </w:tcBorders>
        </w:tcPr>
        <w:p w:rsidR="00B238A9" w:rsidRDefault="00B238A9" w:rsidP="00B238A9">
          <w:pPr>
            <w:jc w:val="right"/>
            <w:rPr>
              <w:sz w:val="20"/>
            </w:rPr>
          </w:pPr>
          <w:r>
            <w:rPr>
              <w:sz w:val="20"/>
            </w:rPr>
            <w:t>Temperature:</w:t>
          </w:r>
        </w:p>
      </w:tc>
      <w:tc>
        <w:tcPr>
          <w:tcW w:w="3420" w:type="dxa"/>
          <w:tcBorders>
            <w:top w:val="single" w:sz="18" w:space="0" w:color="auto"/>
          </w:tcBorders>
        </w:tcPr>
        <w:p w:rsidR="00B238A9" w:rsidRDefault="00B238A9" w:rsidP="00B238A9">
          <w:pPr>
            <w:rPr>
              <w:sz w:val="20"/>
            </w:rPr>
          </w:pPr>
          <w:r>
            <w:rPr>
              <w:sz w:val="20"/>
            </w:rPr>
            <w:t>70 - 78 °F</w:t>
          </w:r>
        </w:p>
      </w:tc>
    </w:tr>
    <w:tr w:rsidR="00B238A9" w:rsidTr="00B238A9">
      <w:tc>
        <w:tcPr>
          <w:tcW w:w="2718" w:type="dxa"/>
          <w:tcBorders>
            <w:bottom w:val="single" w:sz="18" w:space="0" w:color="auto"/>
          </w:tcBorders>
        </w:tcPr>
        <w:p w:rsidR="00B238A9" w:rsidRDefault="00B238A9" w:rsidP="00B238A9">
          <w:pPr>
            <w:jc w:val="right"/>
            <w:rPr>
              <w:sz w:val="20"/>
            </w:rPr>
          </w:pPr>
        </w:p>
      </w:tc>
      <w:tc>
        <w:tcPr>
          <w:tcW w:w="4860" w:type="dxa"/>
          <w:tcBorders>
            <w:bottom w:val="single" w:sz="18" w:space="0" w:color="auto"/>
          </w:tcBorders>
        </w:tcPr>
        <w:p w:rsidR="00B238A9" w:rsidRDefault="00B238A9" w:rsidP="00B238A9">
          <w:pPr>
            <w:rPr>
              <w:sz w:val="20"/>
            </w:rPr>
          </w:pPr>
          <w:r>
            <w:rPr>
              <w:sz w:val="20"/>
            </w:rPr>
            <w:t>&gt; 800 ppm = indicative of ventilation problems</w:t>
          </w:r>
        </w:p>
      </w:tc>
      <w:tc>
        <w:tcPr>
          <w:tcW w:w="3600" w:type="dxa"/>
          <w:tcBorders>
            <w:bottom w:val="single" w:sz="18" w:space="0" w:color="auto"/>
          </w:tcBorders>
        </w:tcPr>
        <w:p w:rsidR="00B238A9" w:rsidRDefault="00B238A9" w:rsidP="00B238A9">
          <w:pPr>
            <w:jc w:val="right"/>
            <w:rPr>
              <w:sz w:val="20"/>
            </w:rPr>
          </w:pPr>
          <w:r>
            <w:rPr>
              <w:sz w:val="20"/>
            </w:rPr>
            <w:t>Relative Humidity:</w:t>
          </w:r>
        </w:p>
      </w:tc>
      <w:tc>
        <w:tcPr>
          <w:tcW w:w="3420" w:type="dxa"/>
          <w:tcBorders>
            <w:bottom w:val="single" w:sz="18" w:space="0" w:color="auto"/>
          </w:tcBorders>
        </w:tcPr>
        <w:p w:rsidR="00B238A9" w:rsidRDefault="00B238A9" w:rsidP="00B238A9">
          <w:pPr>
            <w:rPr>
              <w:sz w:val="20"/>
            </w:rPr>
          </w:pPr>
          <w:r>
            <w:rPr>
              <w:sz w:val="20"/>
            </w:rPr>
            <w:t>40 - 60%</w:t>
          </w:r>
        </w:p>
      </w:tc>
    </w:tr>
  </w:tbl>
  <w:p w:rsidR="00B238A9" w:rsidRDefault="00B238A9" w:rsidP="00B238A9">
    <w:pPr>
      <w:pStyle w:val="Footer"/>
      <w:jc w:val="center"/>
    </w:pPr>
  </w:p>
  <w:p w:rsidR="00B238A9" w:rsidRDefault="00B238A9" w:rsidP="00B238A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04CE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A9" w:rsidRDefault="00B238A9">
      <w:r>
        <w:separator/>
      </w:r>
    </w:p>
  </w:footnote>
  <w:footnote w:type="continuationSeparator" w:id="0">
    <w:p w:rsidR="00B238A9" w:rsidRDefault="00B238A9">
      <w:r>
        <w:continuationSeparator/>
      </w:r>
    </w:p>
  </w:footnote>
  <w:footnote w:id="1">
    <w:p w:rsidR="00E36C42" w:rsidRDefault="00E36C42" w:rsidP="00E36C42">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w:t>
      </w:r>
      <w:r w:rsidR="0097179C">
        <w:t xml:space="preserve"> </w:t>
      </w:r>
      <w:r>
        <w:t>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A9" w:rsidRDefault="00B23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B238A9" w:rsidTr="00B238A9">
      <w:trPr>
        <w:cantSplit/>
      </w:trPr>
      <w:tc>
        <w:tcPr>
          <w:tcW w:w="12258" w:type="dxa"/>
          <w:gridSpan w:val="3"/>
        </w:tcPr>
        <w:p w:rsidR="00B238A9" w:rsidRPr="00677AC6" w:rsidRDefault="00B238A9" w:rsidP="00B238A9">
          <w:pPr>
            <w:pStyle w:val="Header"/>
            <w:spacing w:before="60" w:after="60"/>
            <w:rPr>
              <w:b/>
            </w:rPr>
          </w:pPr>
          <w:r>
            <w:rPr>
              <w:b/>
            </w:rPr>
            <w:t>Location: Department of Revenue Office</w:t>
          </w:r>
        </w:p>
      </w:tc>
      <w:tc>
        <w:tcPr>
          <w:tcW w:w="2358" w:type="dxa"/>
        </w:tcPr>
        <w:p w:rsidR="00B238A9" w:rsidRDefault="00B238A9" w:rsidP="00B238A9">
          <w:pPr>
            <w:pStyle w:val="Header"/>
            <w:tabs>
              <w:tab w:val="clear" w:pos="4320"/>
              <w:tab w:val="clear" w:pos="8640"/>
            </w:tabs>
            <w:spacing w:before="60" w:after="60"/>
            <w:rPr>
              <w:b/>
            </w:rPr>
          </w:pPr>
          <w:r>
            <w:rPr>
              <w:b/>
            </w:rPr>
            <w:t>Indoor Air Results</w:t>
          </w:r>
        </w:p>
      </w:tc>
    </w:tr>
    <w:tr w:rsidR="00B238A9" w:rsidTr="00B238A9">
      <w:trPr>
        <w:cantSplit/>
      </w:trPr>
      <w:tc>
        <w:tcPr>
          <w:tcW w:w="6228" w:type="dxa"/>
        </w:tcPr>
        <w:p w:rsidR="00B238A9" w:rsidRDefault="00B238A9" w:rsidP="00B238A9">
          <w:pPr>
            <w:pStyle w:val="Header"/>
            <w:spacing w:before="60" w:after="60"/>
            <w:rPr>
              <w:b/>
            </w:rPr>
          </w:pPr>
          <w:r>
            <w:rPr>
              <w:b/>
            </w:rPr>
            <w:t>Address: 60 Perseverance Way, Hyannis, MA</w:t>
          </w:r>
        </w:p>
      </w:tc>
      <w:tc>
        <w:tcPr>
          <w:tcW w:w="3516" w:type="dxa"/>
        </w:tcPr>
        <w:p w:rsidR="00B238A9" w:rsidRDefault="00B238A9" w:rsidP="00B238A9">
          <w:pPr>
            <w:pStyle w:val="Header"/>
            <w:tabs>
              <w:tab w:val="clear" w:pos="4320"/>
              <w:tab w:val="clear" w:pos="8640"/>
            </w:tabs>
            <w:spacing w:before="60" w:after="60"/>
            <w:jc w:val="center"/>
            <w:rPr>
              <w:b/>
              <w:sz w:val="28"/>
            </w:rPr>
          </w:pPr>
          <w:r>
            <w:rPr>
              <w:b/>
              <w:sz w:val="28"/>
            </w:rPr>
            <w:t>Table 1 (continued)</w:t>
          </w:r>
        </w:p>
      </w:tc>
      <w:tc>
        <w:tcPr>
          <w:tcW w:w="2514" w:type="dxa"/>
        </w:tcPr>
        <w:p w:rsidR="00B238A9" w:rsidRDefault="00B238A9" w:rsidP="00B238A9">
          <w:pPr>
            <w:pStyle w:val="Header"/>
            <w:tabs>
              <w:tab w:val="clear" w:pos="4320"/>
              <w:tab w:val="clear" w:pos="8640"/>
            </w:tabs>
            <w:spacing w:before="60" w:after="60"/>
            <w:rPr>
              <w:b/>
            </w:rPr>
          </w:pPr>
        </w:p>
      </w:tc>
      <w:tc>
        <w:tcPr>
          <w:tcW w:w="2358" w:type="dxa"/>
        </w:tcPr>
        <w:p w:rsidR="00B238A9" w:rsidRDefault="00B238A9" w:rsidP="00B238A9">
          <w:pPr>
            <w:pStyle w:val="Header"/>
            <w:tabs>
              <w:tab w:val="clear" w:pos="4320"/>
              <w:tab w:val="clear" w:pos="8640"/>
            </w:tabs>
            <w:spacing w:before="60" w:after="60"/>
            <w:rPr>
              <w:b/>
            </w:rPr>
          </w:pPr>
          <w:r w:rsidRPr="00677AC6">
            <w:rPr>
              <w:b/>
            </w:rPr>
            <w:t>Date:</w:t>
          </w:r>
          <w:r>
            <w:rPr>
              <w:b/>
            </w:rPr>
            <w:t xml:space="preserve"> 8/3/2017</w:t>
          </w:r>
        </w:p>
      </w:tc>
    </w:tr>
  </w:tbl>
  <w:p w:rsidR="00B238A9" w:rsidRPr="00FB37EB" w:rsidRDefault="00B238A9" w:rsidP="00B23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B238A9" w:rsidTr="00B238A9">
      <w:trPr>
        <w:cantSplit/>
      </w:trPr>
      <w:tc>
        <w:tcPr>
          <w:tcW w:w="12258" w:type="dxa"/>
          <w:gridSpan w:val="3"/>
        </w:tcPr>
        <w:p w:rsidR="00B238A9" w:rsidRPr="00677AC6" w:rsidRDefault="00B238A9" w:rsidP="00B238A9">
          <w:pPr>
            <w:pStyle w:val="Header"/>
            <w:spacing w:before="60" w:after="60"/>
            <w:rPr>
              <w:b/>
            </w:rPr>
          </w:pPr>
          <w:r>
            <w:rPr>
              <w:b/>
            </w:rPr>
            <w:t>Location: Springfield Hall of Justice</w:t>
          </w:r>
        </w:p>
      </w:tc>
      <w:tc>
        <w:tcPr>
          <w:tcW w:w="2358" w:type="dxa"/>
        </w:tcPr>
        <w:p w:rsidR="00B238A9" w:rsidRDefault="00B238A9" w:rsidP="00B238A9">
          <w:pPr>
            <w:pStyle w:val="Header"/>
            <w:tabs>
              <w:tab w:val="clear" w:pos="4320"/>
              <w:tab w:val="clear" w:pos="8640"/>
            </w:tabs>
            <w:spacing w:before="60" w:after="60"/>
            <w:rPr>
              <w:b/>
            </w:rPr>
          </w:pPr>
          <w:r>
            <w:rPr>
              <w:b/>
            </w:rPr>
            <w:t>Indoor Air Results</w:t>
          </w:r>
        </w:p>
      </w:tc>
    </w:tr>
    <w:tr w:rsidR="00B238A9" w:rsidTr="00B238A9">
      <w:trPr>
        <w:cantSplit/>
      </w:trPr>
      <w:tc>
        <w:tcPr>
          <w:tcW w:w="6228" w:type="dxa"/>
        </w:tcPr>
        <w:p w:rsidR="00B238A9" w:rsidRDefault="00B238A9" w:rsidP="00B238A9">
          <w:pPr>
            <w:pStyle w:val="Header"/>
            <w:spacing w:before="60" w:after="60"/>
            <w:rPr>
              <w:b/>
            </w:rPr>
          </w:pPr>
          <w:r>
            <w:rPr>
              <w:b/>
            </w:rPr>
            <w:t xml:space="preserve">Address: </w:t>
          </w:r>
          <w:r w:rsidRPr="00846DC3">
            <w:rPr>
              <w:b/>
            </w:rPr>
            <w:t>50 State St, Springfield, MA</w:t>
          </w:r>
        </w:p>
      </w:tc>
      <w:tc>
        <w:tcPr>
          <w:tcW w:w="3516" w:type="dxa"/>
        </w:tcPr>
        <w:p w:rsidR="00B238A9" w:rsidRDefault="00B238A9" w:rsidP="00B238A9">
          <w:pPr>
            <w:pStyle w:val="Header"/>
            <w:tabs>
              <w:tab w:val="clear" w:pos="4320"/>
              <w:tab w:val="clear" w:pos="8640"/>
            </w:tabs>
            <w:spacing w:before="60" w:after="60"/>
            <w:jc w:val="center"/>
            <w:rPr>
              <w:b/>
              <w:sz w:val="28"/>
            </w:rPr>
          </w:pPr>
          <w:r>
            <w:rPr>
              <w:b/>
              <w:sz w:val="28"/>
            </w:rPr>
            <w:t>Table 1</w:t>
          </w:r>
        </w:p>
      </w:tc>
      <w:tc>
        <w:tcPr>
          <w:tcW w:w="2514" w:type="dxa"/>
        </w:tcPr>
        <w:p w:rsidR="00B238A9" w:rsidRDefault="00B238A9" w:rsidP="00B238A9">
          <w:pPr>
            <w:pStyle w:val="Header"/>
            <w:tabs>
              <w:tab w:val="clear" w:pos="4320"/>
              <w:tab w:val="clear" w:pos="8640"/>
            </w:tabs>
            <w:spacing w:before="60" w:after="60"/>
            <w:rPr>
              <w:b/>
            </w:rPr>
          </w:pPr>
        </w:p>
      </w:tc>
      <w:tc>
        <w:tcPr>
          <w:tcW w:w="2358" w:type="dxa"/>
        </w:tcPr>
        <w:p w:rsidR="00B238A9" w:rsidRDefault="00B238A9" w:rsidP="00B238A9">
          <w:pPr>
            <w:pStyle w:val="Header"/>
            <w:tabs>
              <w:tab w:val="clear" w:pos="4320"/>
              <w:tab w:val="clear" w:pos="8640"/>
            </w:tabs>
            <w:spacing w:before="60" w:after="60"/>
            <w:rPr>
              <w:b/>
            </w:rPr>
          </w:pPr>
          <w:r w:rsidRPr="00677AC6">
            <w:rPr>
              <w:b/>
            </w:rPr>
            <w:t>Date:</w:t>
          </w:r>
          <w:r>
            <w:rPr>
              <w:b/>
            </w:rPr>
            <w:t xml:space="preserve"> 6/16/2017</w:t>
          </w:r>
        </w:p>
      </w:tc>
    </w:tr>
  </w:tbl>
  <w:p w:rsidR="00B238A9" w:rsidRDefault="00B23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DA75B3"/>
    <w:multiLevelType w:val="multilevel"/>
    <w:tmpl w:val="6E2E5560"/>
    <w:numStyleLink w:val="StyleNumbered1"/>
  </w:abstractNum>
  <w:abstractNum w:abstractNumId="2">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1600B"/>
    <w:multiLevelType w:val="multilevel"/>
    <w:tmpl w:val="1762915E"/>
    <w:numStyleLink w:val="StyleBulletedSymbolsymbolBoldLeft0Hanging0251"/>
  </w:abstractNum>
  <w:abstractNum w:abstractNumId="7">
    <w:nsid w:val="1B6D4F5C"/>
    <w:multiLevelType w:val="multilevel"/>
    <w:tmpl w:val="DCE2720A"/>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DF329A2"/>
    <w:multiLevelType w:val="multilevel"/>
    <w:tmpl w:val="1762915E"/>
    <w:numStyleLink w:val="StyleBulletedSymbolsymbolBoldLeft0Hanging0251"/>
  </w:abstractNum>
  <w:abstractNum w:abstractNumId="9">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29E300D"/>
    <w:multiLevelType w:val="hybridMultilevel"/>
    <w:tmpl w:val="1902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2AD30EED"/>
    <w:multiLevelType w:val="multilevel"/>
    <w:tmpl w:val="1762915E"/>
    <w:numStyleLink w:val="StyleBulletedSymbolsymbolBoldLeft0Hanging0251"/>
  </w:abstractNum>
  <w:abstractNum w:abstractNumId="14">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3F4CCF"/>
    <w:multiLevelType w:val="hybridMultilevel"/>
    <w:tmpl w:val="C3A4F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nsid w:val="3DAC2A70"/>
    <w:multiLevelType w:val="multilevel"/>
    <w:tmpl w:val="6E2E5560"/>
    <w:styleLink w:val="StyleNumbered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DD64C6"/>
    <w:multiLevelType w:val="multilevel"/>
    <w:tmpl w:val="1762915E"/>
    <w:numStyleLink w:val="StyleBulletedSymbolsymbolBoldLeft0Hanging0251"/>
  </w:abstractNum>
  <w:abstractNum w:abstractNumId="21">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4E67BEC"/>
    <w:multiLevelType w:val="multilevel"/>
    <w:tmpl w:val="71C4E34C"/>
    <w:numStyleLink w:val="StyleNumberedLeft0Hanging025"/>
  </w:abstractNum>
  <w:abstractNum w:abstractNumId="23">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471A6608"/>
    <w:multiLevelType w:val="hybridMultilevel"/>
    <w:tmpl w:val="2914678A"/>
    <w:lvl w:ilvl="0" w:tplc="19681FB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FC6D8A"/>
    <w:multiLevelType w:val="multilevel"/>
    <w:tmpl w:val="1762915E"/>
    <w:numStyleLink w:val="StyleBulletedSymbolsymbolBoldLeft0Hanging0251"/>
  </w:abstractNum>
  <w:abstractNum w:abstractNumId="29">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0"/>
  </w:num>
  <w:num w:numId="3">
    <w:abstractNumId w:val="14"/>
  </w:num>
  <w:num w:numId="4">
    <w:abstractNumId w:val="17"/>
  </w:num>
  <w:num w:numId="5">
    <w:abstractNumId w:val="19"/>
  </w:num>
  <w:num w:numId="6">
    <w:abstractNumId w:val="30"/>
  </w:num>
  <w:num w:numId="7">
    <w:abstractNumId w:val="29"/>
  </w:num>
  <w:num w:numId="8">
    <w:abstractNumId w:val="10"/>
  </w:num>
  <w:num w:numId="9">
    <w:abstractNumId w:val="3"/>
  </w:num>
  <w:num w:numId="10">
    <w:abstractNumId w:val="12"/>
  </w:num>
  <w:num w:numId="11">
    <w:abstractNumId w:val="23"/>
  </w:num>
  <w:num w:numId="12">
    <w:abstractNumId w:val="9"/>
  </w:num>
  <w:num w:numId="13">
    <w:abstractNumId w:val="26"/>
  </w:num>
  <w:num w:numId="14">
    <w:abstractNumId w:val="21"/>
  </w:num>
  <w:num w:numId="15">
    <w:abstractNumId w:val="8"/>
  </w:num>
  <w:num w:numId="16">
    <w:abstractNumId w:val="20"/>
  </w:num>
  <w:num w:numId="17">
    <w:abstractNumId w:val="6"/>
  </w:num>
  <w:num w:numId="18">
    <w:abstractNumId w:val="13"/>
  </w:num>
  <w:num w:numId="19">
    <w:abstractNumId w:val="28"/>
  </w:num>
  <w:num w:numId="20">
    <w:abstractNumId w:val="27"/>
  </w:num>
  <w:num w:numId="21">
    <w:abstractNumId w:val="31"/>
  </w:num>
  <w:num w:numId="22">
    <w:abstractNumId w:val="22"/>
  </w:num>
  <w:num w:numId="23">
    <w:abstractNumId w:val="25"/>
  </w:num>
  <w:num w:numId="24">
    <w:abstractNumId w:val="4"/>
  </w:num>
  <w:num w:numId="25">
    <w:abstractNumId w:val="2"/>
  </w:num>
  <w:num w:numId="26">
    <w:abstractNumId w:val="7"/>
  </w:num>
  <w:num w:numId="27">
    <w:abstractNumId w:val="1"/>
  </w:num>
  <w:num w:numId="28">
    <w:abstractNumId w:val="18"/>
  </w:num>
  <w:num w:numId="29">
    <w:abstractNumId w:val="5"/>
  </w:num>
  <w:num w:numId="30">
    <w:abstractNumId w:val="24"/>
  </w:num>
  <w:num w:numId="31">
    <w:abstractNumId w:val="11"/>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081F"/>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55DF"/>
    <w:rsid w:val="000E64AB"/>
    <w:rsid w:val="000F07EE"/>
    <w:rsid w:val="000F247D"/>
    <w:rsid w:val="000F2B46"/>
    <w:rsid w:val="000F2DD2"/>
    <w:rsid w:val="000F5969"/>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3E43"/>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6BBA"/>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A09"/>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D7192"/>
    <w:rsid w:val="001E1274"/>
    <w:rsid w:val="001E1665"/>
    <w:rsid w:val="001E1E70"/>
    <w:rsid w:val="001E251E"/>
    <w:rsid w:val="001E2D1B"/>
    <w:rsid w:val="001E408E"/>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8E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05C58"/>
    <w:rsid w:val="002100BB"/>
    <w:rsid w:val="002102DD"/>
    <w:rsid w:val="002113D2"/>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088"/>
    <w:rsid w:val="00253B50"/>
    <w:rsid w:val="00253F0C"/>
    <w:rsid w:val="00255988"/>
    <w:rsid w:val="00257350"/>
    <w:rsid w:val="0026107E"/>
    <w:rsid w:val="00261269"/>
    <w:rsid w:val="00262919"/>
    <w:rsid w:val="00264059"/>
    <w:rsid w:val="00264AB2"/>
    <w:rsid w:val="00264AFB"/>
    <w:rsid w:val="00265723"/>
    <w:rsid w:val="00265775"/>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1EA5"/>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016"/>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D81"/>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44FF"/>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EEA"/>
    <w:rsid w:val="00355280"/>
    <w:rsid w:val="00355B10"/>
    <w:rsid w:val="00356121"/>
    <w:rsid w:val="00356AA9"/>
    <w:rsid w:val="00356C15"/>
    <w:rsid w:val="00357BD9"/>
    <w:rsid w:val="00357CB2"/>
    <w:rsid w:val="003601DC"/>
    <w:rsid w:val="003609C4"/>
    <w:rsid w:val="00361029"/>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4964"/>
    <w:rsid w:val="0038729C"/>
    <w:rsid w:val="00387FDE"/>
    <w:rsid w:val="00390663"/>
    <w:rsid w:val="0039069F"/>
    <w:rsid w:val="00392217"/>
    <w:rsid w:val="0039263A"/>
    <w:rsid w:val="00393091"/>
    <w:rsid w:val="00393D55"/>
    <w:rsid w:val="0039418E"/>
    <w:rsid w:val="003954F5"/>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C3C"/>
    <w:rsid w:val="003B5CF0"/>
    <w:rsid w:val="003B610C"/>
    <w:rsid w:val="003B6252"/>
    <w:rsid w:val="003B78B1"/>
    <w:rsid w:val="003C0022"/>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3E81"/>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5006"/>
    <w:rsid w:val="0044643A"/>
    <w:rsid w:val="0045416E"/>
    <w:rsid w:val="004543CC"/>
    <w:rsid w:val="004545E3"/>
    <w:rsid w:val="00454B4A"/>
    <w:rsid w:val="00454D42"/>
    <w:rsid w:val="00455543"/>
    <w:rsid w:val="00456C2C"/>
    <w:rsid w:val="00457603"/>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3F33"/>
    <w:rsid w:val="004A40B5"/>
    <w:rsid w:val="004A4AE7"/>
    <w:rsid w:val="004A515F"/>
    <w:rsid w:val="004A64E1"/>
    <w:rsid w:val="004A6811"/>
    <w:rsid w:val="004A70D1"/>
    <w:rsid w:val="004A76E0"/>
    <w:rsid w:val="004A79DD"/>
    <w:rsid w:val="004A7EB8"/>
    <w:rsid w:val="004B006E"/>
    <w:rsid w:val="004B0951"/>
    <w:rsid w:val="004B1323"/>
    <w:rsid w:val="004B13C2"/>
    <w:rsid w:val="004B16D4"/>
    <w:rsid w:val="004B193B"/>
    <w:rsid w:val="004B2D9F"/>
    <w:rsid w:val="004B30D7"/>
    <w:rsid w:val="004B3C7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4A5E"/>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47D09"/>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2C83"/>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1EA3"/>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030B"/>
    <w:rsid w:val="00641A2A"/>
    <w:rsid w:val="00641DDA"/>
    <w:rsid w:val="00642771"/>
    <w:rsid w:val="00644811"/>
    <w:rsid w:val="0064541B"/>
    <w:rsid w:val="0064547F"/>
    <w:rsid w:val="0064548F"/>
    <w:rsid w:val="00646E09"/>
    <w:rsid w:val="00651657"/>
    <w:rsid w:val="00651C6A"/>
    <w:rsid w:val="00651F00"/>
    <w:rsid w:val="00652F0C"/>
    <w:rsid w:val="00653719"/>
    <w:rsid w:val="00653AA7"/>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1E25"/>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98A"/>
    <w:rsid w:val="00741C86"/>
    <w:rsid w:val="00741D4F"/>
    <w:rsid w:val="007420F3"/>
    <w:rsid w:val="0074263D"/>
    <w:rsid w:val="00742646"/>
    <w:rsid w:val="007428FE"/>
    <w:rsid w:val="007435D1"/>
    <w:rsid w:val="00743E76"/>
    <w:rsid w:val="00744C79"/>
    <w:rsid w:val="00745073"/>
    <w:rsid w:val="00745ED4"/>
    <w:rsid w:val="00746B1E"/>
    <w:rsid w:val="00746D99"/>
    <w:rsid w:val="007472D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4CB"/>
    <w:rsid w:val="0077662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369"/>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2EA9"/>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1F5A"/>
    <w:rsid w:val="00842D7C"/>
    <w:rsid w:val="00844673"/>
    <w:rsid w:val="00844D12"/>
    <w:rsid w:val="00845218"/>
    <w:rsid w:val="00845CAC"/>
    <w:rsid w:val="00846546"/>
    <w:rsid w:val="00846596"/>
    <w:rsid w:val="00846D0D"/>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38F1"/>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8F7F61"/>
    <w:rsid w:val="009002F3"/>
    <w:rsid w:val="00901114"/>
    <w:rsid w:val="0090147E"/>
    <w:rsid w:val="009022AA"/>
    <w:rsid w:val="009023D9"/>
    <w:rsid w:val="0090298C"/>
    <w:rsid w:val="009033D2"/>
    <w:rsid w:val="00903BE0"/>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98B"/>
    <w:rsid w:val="00933C10"/>
    <w:rsid w:val="009350FD"/>
    <w:rsid w:val="0093560B"/>
    <w:rsid w:val="00937C75"/>
    <w:rsid w:val="00941272"/>
    <w:rsid w:val="0094161E"/>
    <w:rsid w:val="00941AAB"/>
    <w:rsid w:val="00941BA1"/>
    <w:rsid w:val="0094339E"/>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79C"/>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58F9"/>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EA1"/>
    <w:rsid w:val="00A42F4F"/>
    <w:rsid w:val="00A43F40"/>
    <w:rsid w:val="00A443CE"/>
    <w:rsid w:val="00A44AA2"/>
    <w:rsid w:val="00A46055"/>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0259"/>
    <w:rsid w:val="00A705B0"/>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59E5"/>
    <w:rsid w:val="00A875D1"/>
    <w:rsid w:val="00A87BF2"/>
    <w:rsid w:val="00A90795"/>
    <w:rsid w:val="00A907A9"/>
    <w:rsid w:val="00A90B98"/>
    <w:rsid w:val="00A91138"/>
    <w:rsid w:val="00A91275"/>
    <w:rsid w:val="00A9262C"/>
    <w:rsid w:val="00A92C70"/>
    <w:rsid w:val="00A92CD7"/>
    <w:rsid w:val="00A9343F"/>
    <w:rsid w:val="00A939DE"/>
    <w:rsid w:val="00A95AE2"/>
    <w:rsid w:val="00A96548"/>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387"/>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38A9"/>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0600"/>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521"/>
    <w:rsid w:val="00C33EDD"/>
    <w:rsid w:val="00C3473F"/>
    <w:rsid w:val="00C3481E"/>
    <w:rsid w:val="00C34E04"/>
    <w:rsid w:val="00C3603B"/>
    <w:rsid w:val="00C36316"/>
    <w:rsid w:val="00C364EF"/>
    <w:rsid w:val="00C365E3"/>
    <w:rsid w:val="00C367F9"/>
    <w:rsid w:val="00C37A27"/>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501"/>
    <w:rsid w:val="00CC7B11"/>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5EC"/>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74C"/>
    <w:rsid w:val="00DC296A"/>
    <w:rsid w:val="00DC4407"/>
    <w:rsid w:val="00DC4961"/>
    <w:rsid w:val="00DC5569"/>
    <w:rsid w:val="00DC5A66"/>
    <w:rsid w:val="00DC6636"/>
    <w:rsid w:val="00DC707B"/>
    <w:rsid w:val="00DD0516"/>
    <w:rsid w:val="00DD0E39"/>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64AD"/>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6C42"/>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3F85"/>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1F37"/>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39D2"/>
    <w:rsid w:val="00F04081"/>
    <w:rsid w:val="00F0449B"/>
    <w:rsid w:val="00F04CE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554"/>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03"/>
    <w:rsid w:val="00F82A1D"/>
    <w:rsid w:val="00F835F8"/>
    <w:rsid w:val="00F83D53"/>
    <w:rsid w:val="00F8405E"/>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1766"/>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HeaderChar">
    <w:name w:val="Header Char"/>
    <w:link w:val="Header"/>
    <w:uiPriority w:val="99"/>
    <w:locked/>
    <w:rsid w:val="00FA1766"/>
    <w:rPr>
      <w:sz w:val="24"/>
    </w:rPr>
  </w:style>
  <w:style w:type="character" w:customStyle="1" w:styleId="FooterChar">
    <w:name w:val="Footer Char"/>
    <w:link w:val="Footer"/>
    <w:uiPriority w:val="99"/>
    <w:locked/>
    <w:rsid w:val="00FA17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
    <w:name w:val="Style Numbered1"/>
    <w:basedOn w:val="NoList"/>
    <w:rsid w:val="0074198A"/>
    <w:pPr>
      <w:numPr>
        <w:numId w:val="28"/>
      </w:numPr>
    </w:pPr>
  </w:style>
  <w:style w:type="character" w:customStyle="1" w:styleId="HeaderChar">
    <w:name w:val="Header Char"/>
    <w:link w:val="Header"/>
    <w:uiPriority w:val="99"/>
    <w:locked/>
    <w:rsid w:val="00FA1766"/>
    <w:rPr>
      <w:sz w:val="24"/>
    </w:rPr>
  </w:style>
  <w:style w:type="character" w:customStyle="1" w:styleId="FooterChar">
    <w:name w:val="Footer Char"/>
    <w:link w:val="Footer"/>
    <w:uiPriority w:val="99"/>
    <w:locked/>
    <w:rsid w:val="00FA17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973027386">
      <w:bodyDiv w:val="1"/>
      <w:marLeft w:val="0"/>
      <w:marRight w:val="0"/>
      <w:marTop w:val="0"/>
      <w:marBottom w:val="0"/>
      <w:divBdr>
        <w:top w:val="none" w:sz="0" w:space="0" w:color="auto"/>
        <w:left w:val="none" w:sz="0" w:space="0" w:color="auto"/>
        <w:bottom w:val="none" w:sz="0" w:space="0" w:color="auto"/>
        <w:right w:val="none" w:sz="0" w:space="0" w:color="auto"/>
      </w:divBdr>
    </w:div>
    <w:div w:id="170231969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image" Target="media/image3.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header" Target="header1.xml"/><Relationship Id="rId28" Type="http://schemas.openxmlformats.org/officeDocument/2006/relationships/footer" Target="footer6.xml"/><Relationship Id="rId10" Type="http://schemas.openxmlformats.org/officeDocument/2006/relationships/hyperlink" Target="http://www.mass.gov/eohhs/gov/departments/dph/programs/environmental-health/exposure-topics/iaq/iaq-rpts/cities-and-towns-s.html#springfield"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5F2F-6414-4C2F-9C76-9A51E1D3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1452</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10078</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3538998</vt:i4>
      </vt:variant>
      <vt:variant>
        <vt:i4>3</vt:i4>
      </vt:variant>
      <vt:variant>
        <vt:i4>0</vt:i4>
      </vt:variant>
      <vt:variant>
        <vt:i4>5</vt:i4>
      </vt:variant>
      <vt:variant>
        <vt:lpwstr>http://www.mass.gov/eohhs/gov/departments/dph/programs/environmental-health/exposure-topics/iaq/iaq-rpts/cities-and-towns-s.html</vt:lpwstr>
      </vt:variant>
      <vt:variant>
        <vt:lpwstr>springfield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Springfield Hall of Justice (October 2017)</dc:title>
  <dc:subject>Springfield Hall of Justice</dc:subject>
  <dc:creator>Indoor Air Quality Program</dc:creator>
  <cp:keywords/>
  <cp:lastModifiedBy>AutoBVT</cp:lastModifiedBy>
  <cp:revision>2</cp:revision>
  <cp:lastPrinted>2017-03-01T20:56:00Z</cp:lastPrinted>
  <dcterms:created xsi:type="dcterms:W3CDTF">2018-11-28T15:20:00Z</dcterms:created>
  <dcterms:modified xsi:type="dcterms:W3CDTF">2018-11-28T15:20:00Z</dcterms:modified>
</cp:coreProperties>
</file>