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38" w:type="dxa"/>
        <w:tblBorders>
          <w:top w:val="single" w:sz="6" w:space="0" w:color="auto"/>
          <w:bottom w:val="single" w:sz="6" w:space="0" w:color="auto"/>
        </w:tblBorders>
        <w:tblLook w:val="04A0" w:firstRow="1" w:lastRow="0" w:firstColumn="1" w:lastColumn="0" w:noHBand="0" w:noVBand="1"/>
        <w:tblCaption w:val="Staff Report Information"/>
        <w:tblDescription w:val="Staff Report to the Commissioner of Public Health for a Determination of Need for Application UMMHC-21120810-RE"/>
      </w:tblPr>
      <w:tblGrid>
        <w:gridCol w:w="4537"/>
        <w:gridCol w:w="5201"/>
      </w:tblGrid>
      <w:tr w:rsidR="009F1A90" w:rsidRPr="00515206" w14:paraId="2DED4FE0" w14:textId="77777777" w:rsidTr="00272222">
        <w:trPr>
          <w:trHeight w:val="350"/>
          <w:tblHeader/>
        </w:trPr>
        <w:tc>
          <w:tcPr>
            <w:tcW w:w="9738" w:type="dxa"/>
            <w:gridSpan w:val="2"/>
            <w:shd w:val="clear" w:color="auto" w:fill="D9E2F3" w:themeFill="accent1" w:themeFillTint="33"/>
            <w:vAlign w:val="center"/>
          </w:tcPr>
          <w:p w14:paraId="7F763BAF" w14:textId="77777777" w:rsidR="009F1A90" w:rsidRPr="00515206" w:rsidRDefault="009F1A90" w:rsidP="009F1A90">
            <w:pPr>
              <w:pStyle w:val="NoSpacing"/>
              <w:ind w:right="540"/>
              <w:contextualSpacing/>
              <w:jc w:val="center"/>
              <w:rPr>
                <w:rFonts w:cstheme="minorHAnsi"/>
                <w:b/>
                <w:sz w:val="24"/>
                <w:szCs w:val="24"/>
              </w:rPr>
            </w:pPr>
            <w:bookmarkStart w:id="0" w:name="_GoBack"/>
            <w:bookmarkEnd w:id="0"/>
            <w:r>
              <w:br w:type="page"/>
            </w:r>
            <w:r w:rsidRPr="00515206">
              <w:rPr>
                <w:rFonts w:cstheme="minorHAnsi"/>
                <w:b/>
                <w:sz w:val="24"/>
                <w:szCs w:val="24"/>
              </w:rPr>
              <w:t xml:space="preserve">STAFF REPORT TO THE </w:t>
            </w:r>
            <w:r w:rsidR="00104CC1">
              <w:rPr>
                <w:rFonts w:cstheme="minorHAnsi"/>
                <w:b/>
                <w:sz w:val="24"/>
                <w:szCs w:val="24"/>
              </w:rPr>
              <w:t>COMMISSIONER of PUBLIC HEALTH</w:t>
            </w:r>
          </w:p>
          <w:p w14:paraId="75DCAD32" w14:textId="77777777" w:rsidR="009F1A90" w:rsidRPr="00515206" w:rsidRDefault="009F1A90" w:rsidP="009F1A90">
            <w:pPr>
              <w:pStyle w:val="Header"/>
              <w:ind w:right="540"/>
              <w:contextualSpacing/>
              <w:jc w:val="center"/>
              <w:rPr>
                <w:rFonts w:cstheme="minorHAnsi"/>
                <w:b/>
                <w:sz w:val="24"/>
                <w:szCs w:val="24"/>
              </w:rPr>
            </w:pPr>
            <w:r w:rsidRPr="00515206">
              <w:rPr>
                <w:rFonts w:cstheme="minorHAnsi"/>
                <w:b/>
                <w:sz w:val="24"/>
                <w:szCs w:val="24"/>
              </w:rPr>
              <w:t>FOR A DETERMINATION OF NEED</w:t>
            </w:r>
          </w:p>
        </w:tc>
      </w:tr>
      <w:tr w:rsidR="009F1A90" w:rsidRPr="00515206" w14:paraId="3702760D" w14:textId="77777777" w:rsidTr="00AA2A46">
        <w:trPr>
          <w:trHeight w:val="413"/>
        </w:trPr>
        <w:tc>
          <w:tcPr>
            <w:tcW w:w="4537" w:type="dxa"/>
            <w:shd w:val="clear" w:color="auto" w:fill="auto"/>
            <w:vAlign w:val="center"/>
          </w:tcPr>
          <w:p w14:paraId="041E0FD5" w14:textId="77777777" w:rsidR="009F1A90" w:rsidRPr="00515206" w:rsidRDefault="009F1A90" w:rsidP="009F1A90">
            <w:pPr>
              <w:ind w:right="540"/>
              <w:contextualSpacing/>
              <w:rPr>
                <w:rFonts w:cstheme="minorHAnsi"/>
                <w:sz w:val="24"/>
                <w:szCs w:val="24"/>
              </w:rPr>
            </w:pPr>
            <w:r w:rsidRPr="00515206">
              <w:rPr>
                <w:rFonts w:cstheme="minorHAnsi"/>
                <w:sz w:val="24"/>
                <w:szCs w:val="24"/>
              </w:rPr>
              <w:t xml:space="preserve">Applicant Name </w:t>
            </w:r>
          </w:p>
        </w:tc>
        <w:tc>
          <w:tcPr>
            <w:tcW w:w="5201" w:type="dxa"/>
            <w:shd w:val="clear" w:color="auto" w:fill="auto"/>
            <w:vAlign w:val="center"/>
          </w:tcPr>
          <w:p w14:paraId="10520E7C" w14:textId="77777777" w:rsidR="009F1A90" w:rsidRPr="00515206" w:rsidRDefault="009F1A90" w:rsidP="009F1A90">
            <w:pPr>
              <w:ind w:right="540"/>
              <w:contextualSpacing/>
              <w:rPr>
                <w:rFonts w:cstheme="minorHAnsi"/>
                <w:sz w:val="24"/>
                <w:szCs w:val="24"/>
              </w:rPr>
            </w:pPr>
            <w:r w:rsidRPr="0062390D">
              <w:rPr>
                <w:rFonts w:cstheme="minorHAnsi"/>
                <w:sz w:val="24"/>
                <w:szCs w:val="24"/>
              </w:rPr>
              <w:t>UMass Memor</w:t>
            </w:r>
            <w:r>
              <w:rPr>
                <w:rFonts w:cstheme="minorHAnsi"/>
                <w:sz w:val="24"/>
                <w:szCs w:val="24"/>
              </w:rPr>
              <w:t xml:space="preserve">ial Health Care, Incorporated </w:t>
            </w:r>
          </w:p>
        </w:tc>
      </w:tr>
      <w:tr w:rsidR="009F1A90" w:rsidRPr="00515206" w14:paraId="08C059BA" w14:textId="77777777" w:rsidTr="00AA2A46">
        <w:trPr>
          <w:trHeight w:val="357"/>
        </w:trPr>
        <w:tc>
          <w:tcPr>
            <w:tcW w:w="4537" w:type="dxa"/>
            <w:shd w:val="clear" w:color="auto" w:fill="auto"/>
            <w:vAlign w:val="center"/>
          </w:tcPr>
          <w:p w14:paraId="7477A3BE" w14:textId="77777777" w:rsidR="009F1A90" w:rsidRPr="00515206" w:rsidRDefault="009F1A90" w:rsidP="009F1A90">
            <w:pPr>
              <w:ind w:right="540"/>
              <w:contextualSpacing/>
              <w:rPr>
                <w:rFonts w:cstheme="minorHAnsi"/>
                <w:sz w:val="24"/>
                <w:szCs w:val="24"/>
              </w:rPr>
            </w:pPr>
            <w:r w:rsidRPr="00515206">
              <w:rPr>
                <w:rFonts w:cstheme="minorHAnsi"/>
                <w:sz w:val="24"/>
                <w:szCs w:val="24"/>
              </w:rPr>
              <w:t xml:space="preserve">Applicant Address </w:t>
            </w:r>
          </w:p>
        </w:tc>
        <w:tc>
          <w:tcPr>
            <w:tcW w:w="5201" w:type="dxa"/>
            <w:shd w:val="clear" w:color="auto" w:fill="auto"/>
            <w:vAlign w:val="center"/>
          </w:tcPr>
          <w:p w14:paraId="2CD193C1" w14:textId="77777777" w:rsidR="009F1A90" w:rsidRPr="00A705DD" w:rsidRDefault="009F1A90" w:rsidP="009F1A90">
            <w:pPr>
              <w:ind w:right="540"/>
              <w:contextualSpacing/>
              <w:rPr>
                <w:rFonts w:cstheme="minorHAnsi"/>
                <w:sz w:val="24"/>
                <w:szCs w:val="24"/>
              </w:rPr>
            </w:pPr>
            <w:r w:rsidRPr="00A705DD">
              <w:rPr>
                <w:rFonts w:cstheme="minorHAnsi"/>
                <w:sz w:val="24"/>
                <w:szCs w:val="24"/>
              </w:rPr>
              <w:t>One Biotech Park</w:t>
            </w:r>
          </w:p>
          <w:p w14:paraId="7F1E23F5" w14:textId="77777777" w:rsidR="009F1A90" w:rsidRPr="00A705DD" w:rsidRDefault="009F1A90" w:rsidP="009F1A90">
            <w:pPr>
              <w:ind w:right="540"/>
              <w:contextualSpacing/>
              <w:rPr>
                <w:rFonts w:cstheme="minorHAnsi"/>
                <w:sz w:val="24"/>
                <w:szCs w:val="24"/>
              </w:rPr>
            </w:pPr>
            <w:r w:rsidRPr="00A705DD">
              <w:rPr>
                <w:rFonts w:cstheme="minorHAnsi"/>
                <w:sz w:val="24"/>
                <w:szCs w:val="24"/>
              </w:rPr>
              <w:t>365 Plantation Street</w:t>
            </w:r>
          </w:p>
          <w:p w14:paraId="42566DD5" w14:textId="77777777" w:rsidR="009F1A90" w:rsidRPr="0029270C" w:rsidRDefault="009F1A90" w:rsidP="009F1A90">
            <w:pPr>
              <w:ind w:right="540"/>
              <w:contextualSpacing/>
              <w:rPr>
                <w:rFonts w:cstheme="minorHAnsi"/>
                <w:sz w:val="24"/>
                <w:szCs w:val="24"/>
              </w:rPr>
            </w:pPr>
            <w:r w:rsidRPr="0029270C">
              <w:rPr>
                <w:rFonts w:cstheme="minorHAnsi"/>
                <w:sz w:val="24"/>
                <w:szCs w:val="24"/>
              </w:rPr>
              <w:t>Worcester, Ma 01605</w:t>
            </w:r>
          </w:p>
        </w:tc>
      </w:tr>
      <w:tr w:rsidR="009F1A90" w:rsidRPr="00515206" w14:paraId="4DD00687" w14:textId="77777777" w:rsidTr="00AA2A46">
        <w:trPr>
          <w:trHeight w:val="377"/>
        </w:trPr>
        <w:tc>
          <w:tcPr>
            <w:tcW w:w="4537" w:type="dxa"/>
            <w:shd w:val="clear" w:color="auto" w:fill="auto"/>
            <w:vAlign w:val="center"/>
          </w:tcPr>
          <w:p w14:paraId="563EE3C6" w14:textId="77777777" w:rsidR="009F1A90" w:rsidRPr="00515206" w:rsidRDefault="009F1A90" w:rsidP="009F1A90">
            <w:pPr>
              <w:ind w:right="540"/>
              <w:contextualSpacing/>
              <w:rPr>
                <w:rFonts w:cstheme="minorHAnsi"/>
                <w:sz w:val="24"/>
                <w:szCs w:val="24"/>
              </w:rPr>
            </w:pPr>
            <w:r w:rsidRPr="00515206">
              <w:rPr>
                <w:rFonts w:cstheme="minorHAnsi"/>
                <w:sz w:val="24"/>
                <w:szCs w:val="24"/>
              </w:rPr>
              <w:t>Filing Date</w:t>
            </w:r>
          </w:p>
        </w:tc>
        <w:tc>
          <w:tcPr>
            <w:tcW w:w="5201" w:type="dxa"/>
            <w:shd w:val="clear" w:color="auto" w:fill="auto"/>
            <w:vAlign w:val="center"/>
          </w:tcPr>
          <w:p w14:paraId="45B50D67" w14:textId="77777777" w:rsidR="009F1A90" w:rsidRPr="00515206" w:rsidRDefault="009F1A90" w:rsidP="009F1A90">
            <w:pPr>
              <w:ind w:right="540"/>
              <w:contextualSpacing/>
              <w:rPr>
                <w:rFonts w:cstheme="minorHAnsi"/>
                <w:sz w:val="24"/>
                <w:szCs w:val="24"/>
              </w:rPr>
            </w:pPr>
            <w:r>
              <w:rPr>
                <w:rFonts w:cstheme="minorHAnsi"/>
                <w:sz w:val="24"/>
                <w:szCs w:val="24"/>
              </w:rPr>
              <w:t>February 16, 2022</w:t>
            </w:r>
          </w:p>
        </w:tc>
      </w:tr>
      <w:tr w:rsidR="009F1A90" w:rsidRPr="00515206" w14:paraId="0D64B273" w14:textId="77777777" w:rsidTr="00AA2A46">
        <w:trPr>
          <w:trHeight w:val="350"/>
        </w:trPr>
        <w:tc>
          <w:tcPr>
            <w:tcW w:w="4537" w:type="dxa"/>
            <w:shd w:val="clear" w:color="auto" w:fill="auto"/>
            <w:vAlign w:val="center"/>
          </w:tcPr>
          <w:p w14:paraId="40974847" w14:textId="77777777" w:rsidR="009F1A90" w:rsidRPr="00515206" w:rsidRDefault="009F1A90" w:rsidP="009F1A90">
            <w:pPr>
              <w:ind w:right="540"/>
              <w:contextualSpacing/>
              <w:rPr>
                <w:rFonts w:cstheme="minorHAnsi"/>
                <w:sz w:val="24"/>
                <w:szCs w:val="24"/>
              </w:rPr>
            </w:pPr>
            <w:r w:rsidRPr="00515206">
              <w:rPr>
                <w:rFonts w:cstheme="minorHAnsi"/>
                <w:sz w:val="24"/>
                <w:szCs w:val="24"/>
              </w:rPr>
              <w:t>Type of DoN Application</w:t>
            </w:r>
          </w:p>
        </w:tc>
        <w:tc>
          <w:tcPr>
            <w:tcW w:w="5201" w:type="dxa"/>
            <w:shd w:val="clear" w:color="auto" w:fill="auto"/>
            <w:vAlign w:val="center"/>
          </w:tcPr>
          <w:p w14:paraId="06BCA077" w14:textId="77777777" w:rsidR="009F1A90" w:rsidRPr="00515206" w:rsidRDefault="009F1A90" w:rsidP="009F1A90">
            <w:pPr>
              <w:ind w:right="540"/>
              <w:contextualSpacing/>
              <w:rPr>
                <w:rFonts w:cstheme="minorHAnsi"/>
                <w:sz w:val="24"/>
                <w:szCs w:val="24"/>
              </w:rPr>
            </w:pPr>
            <w:r>
              <w:rPr>
                <w:rFonts w:cstheme="minorHAnsi"/>
                <w:sz w:val="24"/>
                <w:szCs w:val="24"/>
              </w:rPr>
              <w:t>DoN Required Equipment</w:t>
            </w:r>
          </w:p>
        </w:tc>
      </w:tr>
      <w:tr w:rsidR="009F1A90" w:rsidRPr="00515206" w14:paraId="72E1A991" w14:textId="77777777" w:rsidTr="00AA2A46">
        <w:trPr>
          <w:trHeight w:val="350"/>
        </w:trPr>
        <w:tc>
          <w:tcPr>
            <w:tcW w:w="4537" w:type="dxa"/>
            <w:shd w:val="clear" w:color="auto" w:fill="auto"/>
            <w:vAlign w:val="center"/>
          </w:tcPr>
          <w:p w14:paraId="6B1EA89C" w14:textId="77777777" w:rsidR="009F1A90" w:rsidRPr="00515206" w:rsidRDefault="009F1A90" w:rsidP="009F1A90">
            <w:pPr>
              <w:ind w:right="540"/>
              <w:contextualSpacing/>
              <w:rPr>
                <w:rFonts w:cstheme="minorHAnsi"/>
                <w:sz w:val="24"/>
                <w:szCs w:val="24"/>
              </w:rPr>
            </w:pPr>
            <w:r w:rsidRPr="00515206">
              <w:rPr>
                <w:rFonts w:cstheme="minorHAnsi"/>
                <w:sz w:val="24"/>
                <w:szCs w:val="24"/>
              </w:rPr>
              <w:t>Total Value</w:t>
            </w:r>
          </w:p>
        </w:tc>
        <w:tc>
          <w:tcPr>
            <w:tcW w:w="5201" w:type="dxa"/>
            <w:shd w:val="clear" w:color="auto" w:fill="auto"/>
            <w:vAlign w:val="center"/>
          </w:tcPr>
          <w:p w14:paraId="123769C7" w14:textId="77777777" w:rsidR="009F1A90" w:rsidRPr="00515206" w:rsidRDefault="009F1A90" w:rsidP="009F1A90">
            <w:pPr>
              <w:ind w:right="540"/>
              <w:contextualSpacing/>
              <w:rPr>
                <w:rFonts w:cstheme="minorHAnsi"/>
                <w:sz w:val="24"/>
                <w:szCs w:val="24"/>
              </w:rPr>
            </w:pPr>
            <w:r w:rsidRPr="00A705DD">
              <w:rPr>
                <w:rFonts w:cstheme="minorHAnsi"/>
                <w:sz w:val="24"/>
                <w:szCs w:val="24"/>
              </w:rPr>
              <w:t>$3,832,862.00</w:t>
            </w:r>
          </w:p>
        </w:tc>
      </w:tr>
      <w:tr w:rsidR="009F1A90" w:rsidRPr="00515206" w14:paraId="299F35F2" w14:textId="77777777" w:rsidTr="00AA2A46">
        <w:trPr>
          <w:trHeight w:val="350"/>
        </w:trPr>
        <w:tc>
          <w:tcPr>
            <w:tcW w:w="4537" w:type="dxa"/>
            <w:shd w:val="clear" w:color="auto" w:fill="auto"/>
            <w:vAlign w:val="center"/>
          </w:tcPr>
          <w:p w14:paraId="56331B4E" w14:textId="77777777" w:rsidR="009F1A90" w:rsidRPr="00515206" w:rsidRDefault="009F1A90" w:rsidP="009F1A90">
            <w:pPr>
              <w:ind w:right="540"/>
              <w:contextualSpacing/>
              <w:rPr>
                <w:rFonts w:cstheme="minorHAnsi"/>
                <w:sz w:val="24"/>
                <w:szCs w:val="24"/>
              </w:rPr>
            </w:pPr>
            <w:r w:rsidRPr="00515206">
              <w:rPr>
                <w:rFonts w:cstheme="minorHAnsi"/>
                <w:sz w:val="24"/>
                <w:szCs w:val="24"/>
              </w:rPr>
              <w:t>Project Number</w:t>
            </w:r>
          </w:p>
        </w:tc>
        <w:tc>
          <w:tcPr>
            <w:tcW w:w="5201" w:type="dxa"/>
            <w:shd w:val="clear" w:color="auto" w:fill="auto"/>
            <w:vAlign w:val="center"/>
          </w:tcPr>
          <w:p w14:paraId="01AB7474" w14:textId="77777777" w:rsidR="009F1A90" w:rsidRPr="00A705DD" w:rsidRDefault="009F1A90" w:rsidP="009F1A90">
            <w:pPr>
              <w:ind w:right="540"/>
              <w:contextualSpacing/>
              <w:rPr>
                <w:rFonts w:cstheme="minorHAnsi"/>
                <w:sz w:val="24"/>
                <w:szCs w:val="24"/>
              </w:rPr>
            </w:pPr>
            <w:r w:rsidRPr="00575D89">
              <w:rPr>
                <w:rFonts w:cstheme="minorHAnsi"/>
                <w:sz w:val="24"/>
                <w:szCs w:val="24"/>
              </w:rPr>
              <w:t>UMMHC-21120810-RE</w:t>
            </w:r>
          </w:p>
        </w:tc>
      </w:tr>
      <w:tr w:rsidR="009F1A90" w:rsidRPr="00515206" w14:paraId="525DEA0C" w14:textId="77777777" w:rsidTr="00AA2A46">
        <w:trPr>
          <w:trHeight w:val="350"/>
        </w:trPr>
        <w:tc>
          <w:tcPr>
            <w:tcW w:w="4537" w:type="dxa"/>
            <w:shd w:val="clear" w:color="auto" w:fill="auto"/>
            <w:vAlign w:val="center"/>
          </w:tcPr>
          <w:p w14:paraId="5BE55A69" w14:textId="77777777" w:rsidR="009F1A90" w:rsidRPr="00515206" w:rsidRDefault="009F1A90" w:rsidP="009F1A90">
            <w:pPr>
              <w:ind w:right="540"/>
              <w:contextualSpacing/>
              <w:rPr>
                <w:rFonts w:cstheme="minorHAnsi"/>
                <w:sz w:val="24"/>
                <w:szCs w:val="24"/>
              </w:rPr>
            </w:pPr>
            <w:r w:rsidRPr="00515206">
              <w:rPr>
                <w:rFonts w:cstheme="minorHAnsi"/>
                <w:sz w:val="24"/>
                <w:szCs w:val="24"/>
              </w:rPr>
              <w:t>Ten Taxpayer Group (TTG)</w:t>
            </w:r>
          </w:p>
        </w:tc>
        <w:tc>
          <w:tcPr>
            <w:tcW w:w="5201" w:type="dxa"/>
            <w:shd w:val="clear" w:color="auto" w:fill="auto"/>
            <w:vAlign w:val="center"/>
          </w:tcPr>
          <w:p w14:paraId="08CA424B" w14:textId="77777777" w:rsidR="009F1A90" w:rsidRPr="00515206" w:rsidRDefault="009F1A90" w:rsidP="009F1A90">
            <w:pPr>
              <w:ind w:right="540"/>
              <w:contextualSpacing/>
              <w:rPr>
                <w:rFonts w:cstheme="minorHAnsi"/>
                <w:sz w:val="24"/>
                <w:szCs w:val="24"/>
              </w:rPr>
            </w:pPr>
            <w:r>
              <w:rPr>
                <w:rFonts w:cstheme="minorHAnsi"/>
                <w:sz w:val="24"/>
                <w:szCs w:val="24"/>
              </w:rPr>
              <w:t>None</w:t>
            </w:r>
          </w:p>
        </w:tc>
      </w:tr>
      <w:tr w:rsidR="009F1A90" w:rsidRPr="00515206" w14:paraId="562F8763" w14:textId="77777777" w:rsidTr="00AA2A46">
        <w:trPr>
          <w:trHeight w:val="350"/>
        </w:trPr>
        <w:tc>
          <w:tcPr>
            <w:tcW w:w="4537" w:type="dxa"/>
            <w:shd w:val="clear" w:color="auto" w:fill="auto"/>
            <w:vAlign w:val="center"/>
          </w:tcPr>
          <w:p w14:paraId="77E8AE0A" w14:textId="77777777" w:rsidR="009F1A90" w:rsidRPr="00515206" w:rsidRDefault="009F1A90" w:rsidP="009F1A90">
            <w:pPr>
              <w:ind w:right="540"/>
              <w:contextualSpacing/>
              <w:rPr>
                <w:rFonts w:cstheme="minorHAnsi"/>
                <w:sz w:val="24"/>
                <w:szCs w:val="24"/>
              </w:rPr>
            </w:pPr>
            <w:r w:rsidRPr="00515206">
              <w:rPr>
                <w:rFonts w:cstheme="minorHAnsi"/>
                <w:sz w:val="24"/>
                <w:szCs w:val="24"/>
              </w:rPr>
              <w:t>Community Health Initiative (CHI)</w:t>
            </w:r>
            <w:r w:rsidRPr="00515206" w:rsidDel="00FB532E">
              <w:rPr>
                <w:rFonts w:cstheme="minorHAnsi"/>
                <w:sz w:val="24"/>
                <w:szCs w:val="24"/>
              </w:rPr>
              <w:t xml:space="preserve"> </w:t>
            </w:r>
          </w:p>
        </w:tc>
        <w:tc>
          <w:tcPr>
            <w:tcW w:w="5201" w:type="dxa"/>
            <w:shd w:val="clear" w:color="auto" w:fill="auto"/>
            <w:vAlign w:val="center"/>
          </w:tcPr>
          <w:p w14:paraId="3469B41D" w14:textId="77777777" w:rsidR="009F1A90" w:rsidRPr="00515206" w:rsidRDefault="009F1A90" w:rsidP="009F1A90">
            <w:pPr>
              <w:ind w:right="540"/>
              <w:contextualSpacing/>
              <w:rPr>
                <w:rFonts w:cstheme="minorHAnsi"/>
                <w:sz w:val="24"/>
                <w:szCs w:val="24"/>
              </w:rPr>
            </w:pPr>
            <w:r w:rsidRPr="00A705DD">
              <w:rPr>
                <w:rFonts w:cstheme="minorHAnsi"/>
                <w:sz w:val="24"/>
                <w:szCs w:val="24"/>
              </w:rPr>
              <w:t>$191,643.10</w:t>
            </w:r>
          </w:p>
        </w:tc>
      </w:tr>
      <w:tr w:rsidR="009F1A90" w:rsidRPr="00515206" w14:paraId="10178300" w14:textId="77777777" w:rsidTr="00AA2A46">
        <w:trPr>
          <w:trHeight w:val="350"/>
        </w:trPr>
        <w:tc>
          <w:tcPr>
            <w:tcW w:w="4537" w:type="dxa"/>
            <w:shd w:val="clear" w:color="auto" w:fill="auto"/>
            <w:vAlign w:val="center"/>
          </w:tcPr>
          <w:p w14:paraId="7869CC69" w14:textId="77777777" w:rsidR="009F1A90" w:rsidRPr="00515206" w:rsidRDefault="009F1A90" w:rsidP="009F1A90">
            <w:pPr>
              <w:ind w:right="540"/>
              <w:contextualSpacing/>
              <w:rPr>
                <w:rFonts w:cstheme="minorHAnsi"/>
                <w:sz w:val="24"/>
                <w:szCs w:val="24"/>
              </w:rPr>
            </w:pPr>
            <w:r w:rsidRPr="00515206">
              <w:rPr>
                <w:rFonts w:cstheme="minorHAnsi"/>
                <w:sz w:val="24"/>
                <w:szCs w:val="24"/>
              </w:rPr>
              <w:t>Staff Recommendation</w:t>
            </w:r>
          </w:p>
        </w:tc>
        <w:tc>
          <w:tcPr>
            <w:tcW w:w="5201" w:type="dxa"/>
            <w:shd w:val="clear" w:color="auto" w:fill="auto"/>
            <w:vAlign w:val="center"/>
          </w:tcPr>
          <w:p w14:paraId="0DD3C41F" w14:textId="77777777" w:rsidR="009F1A90" w:rsidRPr="00515206" w:rsidRDefault="009F1A90" w:rsidP="009F1A90">
            <w:pPr>
              <w:ind w:right="540"/>
              <w:contextualSpacing/>
              <w:rPr>
                <w:rFonts w:cstheme="minorHAnsi"/>
                <w:sz w:val="24"/>
                <w:szCs w:val="24"/>
              </w:rPr>
            </w:pPr>
            <w:r>
              <w:rPr>
                <w:rFonts w:cstheme="minorHAnsi"/>
                <w:sz w:val="24"/>
                <w:szCs w:val="24"/>
              </w:rPr>
              <w:t>Approval</w:t>
            </w:r>
          </w:p>
        </w:tc>
      </w:tr>
      <w:tr w:rsidR="009F1A90" w:rsidRPr="00515206" w14:paraId="3B9CE902" w14:textId="77777777" w:rsidTr="00AA2A46">
        <w:trPr>
          <w:trHeight w:val="350"/>
        </w:trPr>
        <w:tc>
          <w:tcPr>
            <w:tcW w:w="4537" w:type="dxa"/>
            <w:shd w:val="clear" w:color="auto" w:fill="auto"/>
            <w:vAlign w:val="center"/>
          </w:tcPr>
          <w:p w14:paraId="71095124" w14:textId="77777777" w:rsidR="009F1A90" w:rsidRPr="00515206" w:rsidRDefault="009F1A90" w:rsidP="009F1A90">
            <w:pPr>
              <w:ind w:right="540"/>
              <w:contextualSpacing/>
              <w:rPr>
                <w:rFonts w:cstheme="minorHAnsi"/>
                <w:sz w:val="24"/>
                <w:szCs w:val="24"/>
              </w:rPr>
            </w:pPr>
            <w:r>
              <w:rPr>
                <w:rFonts w:cstheme="minorHAnsi"/>
                <w:sz w:val="24"/>
                <w:szCs w:val="24"/>
              </w:rPr>
              <w:t>Public Health Council</w:t>
            </w:r>
          </w:p>
        </w:tc>
        <w:tc>
          <w:tcPr>
            <w:tcW w:w="5201" w:type="dxa"/>
            <w:shd w:val="clear" w:color="auto" w:fill="auto"/>
            <w:vAlign w:val="center"/>
          </w:tcPr>
          <w:p w14:paraId="0D7AD07C" w14:textId="77777777" w:rsidR="009F1A90" w:rsidRPr="00515206" w:rsidRDefault="009F1A90" w:rsidP="009F1A90">
            <w:pPr>
              <w:ind w:right="540"/>
              <w:contextualSpacing/>
              <w:rPr>
                <w:rFonts w:cstheme="minorHAnsi"/>
                <w:sz w:val="24"/>
                <w:szCs w:val="24"/>
              </w:rPr>
            </w:pPr>
            <w:r>
              <w:rPr>
                <w:rFonts w:cstheme="minorHAnsi"/>
                <w:sz w:val="24"/>
                <w:szCs w:val="24"/>
              </w:rPr>
              <w:t>Delegated</w:t>
            </w:r>
          </w:p>
        </w:tc>
      </w:tr>
    </w:tbl>
    <w:p w14:paraId="4CD68FD8" w14:textId="77777777" w:rsidR="009F416F" w:rsidRDefault="009F416F" w:rsidP="009F416F">
      <w:pPr>
        <w:pStyle w:val="NoSpacing"/>
        <w:ind w:right="540"/>
        <w:contextualSpacing/>
        <w:rPr>
          <w:rFonts w:cstheme="minorHAnsi"/>
          <w:sz w:val="24"/>
          <w:szCs w:val="24"/>
          <w:u w:val="single"/>
        </w:rPr>
      </w:pPr>
      <w:r w:rsidRPr="002D223D">
        <w:rPr>
          <w:rFonts w:cstheme="minorHAnsi"/>
          <w:b/>
          <w:sz w:val="24"/>
          <w:szCs w:val="24"/>
          <w:u w:val="single"/>
        </w:rPr>
        <w:t>Project Summary and Regulatory Review</w:t>
      </w:r>
    </w:p>
    <w:p w14:paraId="5E5923F7" w14:textId="77777777" w:rsidR="009F416F" w:rsidRDefault="009F416F" w:rsidP="009F416F">
      <w:pPr>
        <w:pStyle w:val="NoSpacing"/>
        <w:ind w:right="540"/>
        <w:contextualSpacing/>
        <w:rPr>
          <w:rFonts w:cstheme="minorHAnsi"/>
          <w:sz w:val="24"/>
          <w:szCs w:val="24"/>
          <w:u w:val="single"/>
        </w:rPr>
      </w:pPr>
    </w:p>
    <w:p w14:paraId="62CD579D" w14:textId="05B24601" w:rsidR="009F416F" w:rsidRPr="00F62CAE" w:rsidRDefault="009F416F" w:rsidP="00F62CAE">
      <w:pPr>
        <w:rPr>
          <w:sz w:val="24"/>
          <w:szCs w:val="24"/>
        </w:rPr>
      </w:pPr>
      <w:r w:rsidRPr="0062390D">
        <w:rPr>
          <w:sz w:val="24"/>
          <w:szCs w:val="24"/>
        </w:rPr>
        <w:t>UMass Memorial Health Care, Inc. (UMMHC</w:t>
      </w:r>
      <w:r>
        <w:rPr>
          <w:sz w:val="24"/>
          <w:szCs w:val="24"/>
        </w:rPr>
        <w:t xml:space="preserve"> </w:t>
      </w:r>
      <w:r>
        <w:t>System</w:t>
      </w:r>
      <w:r w:rsidRPr="0062390D">
        <w:rPr>
          <w:sz w:val="24"/>
          <w:szCs w:val="24"/>
        </w:rPr>
        <w:t xml:space="preserve"> or the Applicant), located at One Biotech Park, 365 Plantation Street, Worcester, MA, 01605, filed a Notice of Determination of Need </w:t>
      </w:r>
      <w:r>
        <w:rPr>
          <w:sz w:val="24"/>
          <w:szCs w:val="24"/>
        </w:rPr>
        <w:t xml:space="preserve">(DoN) </w:t>
      </w:r>
      <w:r w:rsidRPr="0062390D">
        <w:rPr>
          <w:sz w:val="24"/>
          <w:szCs w:val="24"/>
        </w:rPr>
        <w:t>Application for the acquisition of one computed tomography (CT) unit to be located in the emergency department of the UMass Memorial Medical Center’s (UMMMC</w:t>
      </w:r>
      <w:r>
        <w:rPr>
          <w:sz w:val="24"/>
          <w:szCs w:val="24"/>
        </w:rPr>
        <w:t>)</w:t>
      </w:r>
      <w:r w:rsidRPr="0062390D">
        <w:rPr>
          <w:sz w:val="24"/>
          <w:szCs w:val="24"/>
        </w:rPr>
        <w:t xml:space="preserve"> University Campus at 55 Lake Aven</w:t>
      </w:r>
      <w:r w:rsidR="00F62CAE">
        <w:rPr>
          <w:sz w:val="24"/>
          <w:szCs w:val="24"/>
        </w:rPr>
        <w:t xml:space="preserve">ue North, Worcester, MA 01655. </w:t>
      </w:r>
    </w:p>
    <w:p w14:paraId="7AA71845" w14:textId="77777777" w:rsidR="009F416F" w:rsidRPr="0062390D" w:rsidRDefault="009F416F" w:rsidP="009F416F">
      <w:pPr>
        <w:pStyle w:val="NoSpacing"/>
        <w:contextualSpacing/>
        <w:rPr>
          <w:rFonts w:cstheme="minorHAnsi"/>
          <w:sz w:val="24"/>
          <w:szCs w:val="24"/>
        </w:rPr>
      </w:pPr>
      <w:r w:rsidRPr="0062390D">
        <w:rPr>
          <w:rFonts w:cstheme="minorHAnsi"/>
          <w:sz w:val="24"/>
          <w:szCs w:val="24"/>
        </w:rPr>
        <w:t xml:space="preserve">This DoN </w:t>
      </w:r>
      <w:r>
        <w:rPr>
          <w:rFonts w:cstheme="minorHAnsi"/>
          <w:sz w:val="24"/>
          <w:szCs w:val="24"/>
        </w:rPr>
        <w:t>a</w:t>
      </w:r>
      <w:r w:rsidRPr="0062390D">
        <w:rPr>
          <w:rFonts w:cstheme="minorHAnsi"/>
          <w:sz w:val="24"/>
          <w:szCs w:val="24"/>
        </w:rPr>
        <w:t xml:space="preserve">pplication falls within the definition of DoN-Required Equipment, which </w:t>
      </w:r>
      <w:r>
        <w:rPr>
          <w:rFonts w:cstheme="minorHAnsi"/>
          <w:sz w:val="24"/>
          <w:szCs w:val="24"/>
        </w:rPr>
        <w:t xml:space="preserve">is </w:t>
      </w:r>
      <w:r w:rsidRPr="0062390D">
        <w:rPr>
          <w:rFonts w:cstheme="minorHAnsi"/>
          <w:sz w:val="24"/>
          <w:szCs w:val="24"/>
        </w:rPr>
        <w:t xml:space="preserve">reviewed under the DoN regulation 105 CMR 100.000. The Department must determine that need exists for a Proposed Project, on the basis of material in the record, where the Applicant makes a clear and convincing demonstration that the Proposed Project meets each Determination of Need Factor set forth within 105 CMR 100.210. </w:t>
      </w:r>
      <w:r w:rsidRPr="00575366">
        <w:rPr>
          <w:rFonts w:cstheme="minorHAnsi"/>
          <w:sz w:val="24"/>
          <w:szCs w:val="24"/>
        </w:rPr>
        <w:t>This staff report addresses each of the six factors set forth in the regulation.</w:t>
      </w:r>
    </w:p>
    <w:p w14:paraId="4EDD97F6" w14:textId="7582B655" w:rsidR="00575366" w:rsidRDefault="00575366" w:rsidP="00BE7758">
      <w:pPr>
        <w:pStyle w:val="Heading1"/>
        <w:ind w:left="10"/>
      </w:pPr>
    </w:p>
    <w:p w14:paraId="16A03E86" w14:textId="77777777" w:rsidR="00575366" w:rsidRDefault="00575366">
      <w:pPr>
        <w:rPr>
          <w:rFonts w:ascii="Calibri" w:eastAsia="Calibri" w:hAnsi="Calibri" w:cs="Calibri"/>
          <w:color w:val="548AB7"/>
          <w:sz w:val="32"/>
        </w:rPr>
      </w:pPr>
      <w:r>
        <w:br w:type="page"/>
      </w:r>
    </w:p>
    <w:p w14:paraId="5FF5411A" w14:textId="77777777" w:rsidR="00BE7758" w:rsidRPr="00104CC1" w:rsidRDefault="00BE7758" w:rsidP="00BE7758">
      <w:pPr>
        <w:pStyle w:val="Heading1"/>
        <w:ind w:left="10"/>
        <w:rPr>
          <w:b/>
        </w:rPr>
      </w:pPr>
      <w:r w:rsidRPr="00104CC1">
        <w:rPr>
          <w:b/>
        </w:rPr>
        <w:lastRenderedPageBreak/>
        <w:t>Applicant Background and Application Overview</w:t>
      </w:r>
    </w:p>
    <w:p w14:paraId="5ECF7D53" w14:textId="77777777" w:rsidR="00BE7758" w:rsidRPr="003E004E" w:rsidRDefault="00BE7758" w:rsidP="00BE7758"/>
    <w:p w14:paraId="7DF3EB4B" w14:textId="5BD5677E" w:rsidR="00C06A76" w:rsidRDefault="00BE7758" w:rsidP="0068224A">
      <w:pPr>
        <w:pStyle w:val="NoSpacing"/>
        <w:contextualSpacing/>
        <w:rPr>
          <w:rFonts w:cstheme="minorHAnsi"/>
          <w:sz w:val="24"/>
          <w:szCs w:val="24"/>
        </w:rPr>
      </w:pPr>
      <w:r>
        <w:rPr>
          <w:rFonts w:cstheme="minorHAnsi"/>
          <w:sz w:val="24"/>
          <w:szCs w:val="24"/>
        </w:rPr>
        <w:t xml:space="preserve">The Applicant, UMass Memorial Health Care, Incorporated </w:t>
      </w:r>
      <w:r w:rsidR="00511868">
        <w:rPr>
          <w:rFonts w:cstheme="minorHAnsi"/>
          <w:sz w:val="24"/>
          <w:szCs w:val="24"/>
        </w:rPr>
        <w:t>(UMMHC</w:t>
      </w:r>
      <w:r>
        <w:rPr>
          <w:rFonts w:cstheme="minorHAnsi"/>
          <w:sz w:val="24"/>
          <w:szCs w:val="24"/>
        </w:rPr>
        <w:t>), located at</w:t>
      </w:r>
      <w:r w:rsidRPr="00511D12">
        <w:rPr>
          <w:rFonts w:cstheme="minorHAnsi"/>
          <w:sz w:val="24"/>
          <w:szCs w:val="24"/>
        </w:rPr>
        <w:t xml:space="preserve"> </w:t>
      </w:r>
      <w:r>
        <w:rPr>
          <w:rFonts w:cstheme="minorHAnsi"/>
          <w:sz w:val="24"/>
          <w:szCs w:val="24"/>
        </w:rPr>
        <w:t xml:space="preserve">One Biotech Park, </w:t>
      </w:r>
      <w:r w:rsidRPr="004F5B61">
        <w:rPr>
          <w:rFonts w:cstheme="minorHAnsi"/>
          <w:sz w:val="24"/>
          <w:szCs w:val="24"/>
        </w:rPr>
        <w:t>365 Plantation Street Worcester, MA  01605</w:t>
      </w:r>
      <w:r>
        <w:rPr>
          <w:rFonts w:cstheme="minorHAnsi"/>
          <w:sz w:val="24"/>
          <w:szCs w:val="24"/>
        </w:rPr>
        <w:t xml:space="preserve"> </w:t>
      </w:r>
      <w:r w:rsidRPr="00511D12">
        <w:rPr>
          <w:rFonts w:cstheme="minorHAnsi"/>
          <w:sz w:val="24"/>
          <w:szCs w:val="24"/>
        </w:rPr>
        <w:t>is the largest health care system in Central Massachusetts</w:t>
      </w:r>
      <w:r>
        <w:rPr>
          <w:rFonts w:cstheme="minorHAnsi"/>
          <w:sz w:val="24"/>
          <w:szCs w:val="24"/>
        </w:rPr>
        <w:t>. It is</w:t>
      </w:r>
      <w:r w:rsidRPr="00511D12">
        <w:rPr>
          <w:rFonts w:cstheme="minorHAnsi"/>
          <w:sz w:val="24"/>
          <w:szCs w:val="24"/>
        </w:rPr>
        <w:t xml:space="preserve"> comprised of one </w:t>
      </w:r>
      <w:r w:rsidR="00A4004B">
        <w:rPr>
          <w:rFonts w:cstheme="minorHAnsi"/>
          <w:sz w:val="24"/>
          <w:szCs w:val="24"/>
        </w:rPr>
        <w:t xml:space="preserve">academic medical center </w:t>
      </w:r>
      <w:r w:rsidRPr="00511D12">
        <w:rPr>
          <w:rFonts w:cstheme="minorHAnsi"/>
          <w:sz w:val="24"/>
          <w:szCs w:val="24"/>
        </w:rPr>
        <w:t>and three</w:t>
      </w:r>
      <w:r>
        <w:rPr>
          <w:rFonts w:cstheme="minorHAnsi"/>
          <w:sz w:val="24"/>
          <w:szCs w:val="24"/>
        </w:rPr>
        <w:t xml:space="preserve"> community </w:t>
      </w:r>
      <w:r w:rsidRPr="00511D12">
        <w:rPr>
          <w:rFonts w:cstheme="minorHAnsi"/>
          <w:sz w:val="24"/>
          <w:szCs w:val="24"/>
        </w:rPr>
        <w:t>hospitals</w:t>
      </w:r>
      <w:r>
        <w:rPr>
          <w:rFonts w:cstheme="minorHAnsi"/>
          <w:sz w:val="24"/>
          <w:szCs w:val="24"/>
        </w:rPr>
        <w:t xml:space="preserve">. All four </w:t>
      </w:r>
      <w:r w:rsidR="000E2B0F">
        <w:rPr>
          <w:rFonts w:cstheme="minorHAnsi"/>
          <w:sz w:val="24"/>
          <w:szCs w:val="24"/>
        </w:rPr>
        <w:t xml:space="preserve">of these </w:t>
      </w:r>
      <w:r>
        <w:rPr>
          <w:rFonts w:cstheme="minorHAnsi"/>
          <w:sz w:val="24"/>
          <w:szCs w:val="24"/>
        </w:rPr>
        <w:t>acute care hospitals are</w:t>
      </w:r>
      <w:r w:rsidR="0068224A" w:rsidRPr="0068224A">
        <w:rPr>
          <w:rFonts w:cstheme="minorHAnsi"/>
          <w:sz w:val="24"/>
          <w:szCs w:val="24"/>
        </w:rPr>
        <w:t xml:space="preserve"> designated by the Center for Health Information and Analysis</w:t>
      </w:r>
      <w:r w:rsidR="0068224A">
        <w:rPr>
          <w:rFonts w:cstheme="minorHAnsi"/>
          <w:sz w:val="24"/>
          <w:szCs w:val="24"/>
        </w:rPr>
        <w:t xml:space="preserve"> (CHIA) </w:t>
      </w:r>
      <w:r w:rsidR="0068224A" w:rsidRPr="0068224A">
        <w:rPr>
          <w:rFonts w:cstheme="minorHAnsi"/>
          <w:sz w:val="24"/>
          <w:szCs w:val="24"/>
        </w:rPr>
        <w:t>as</w:t>
      </w:r>
      <w:r w:rsidR="0068224A">
        <w:rPr>
          <w:rFonts w:cstheme="minorHAnsi"/>
          <w:sz w:val="24"/>
          <w:szCs w:val="24"/>
        </w:rPr>
        <w:t xml:space="preserve"> </w:t>
      </w:r>
      <w:r>
        <w:rPr>
          <w:rFonts w:cstheme="minorHAnsi"/>
          <w:sz w:val="24"/>
          <w:szCs w:val="24"/>
        </w:rPr>
        <w:t>High Public Pay</w:t>
      </w:r>
      <w:r w:rsidR="000E2B0F">
        <w:rPr>
          <w:rFonts w:cstheme="minorHAnsi"/>
          <w:sz w:val="24"/>
          <w:szCs w:val="24"/>
        </w:rPr>
        <w:t>er</w:t>
      </w:r>
      <w:r>
        <w:rPr>
          <w:rFonts w:cstheme="minorHAnsi"/>
          <w:sz w:val="24"/>
          <w:szCs w:val="24"/>
        </w:rPr>
        <w:t xml:space="preserve"> Hospitals</w:t>
      </w:r>
      <w:r w:rsidR="00217F0D">
        <w:rPr>
          <w:rFonts w:cstheme="minorHAnsi"/>
          <w:sz w:val="24"/>
          <w:szCs w:val="24"/>
        </w:rPr>
        <w:t xml:space="preserve"> (HPP)</w:t>
      </w:r>
      <w:r w:rsidR="00D17B42">
        <w:rPr>
          <w:rFonts w:cstheme="minorHAnsi"/>
          <w:sz w:val="24"/>
          <w:szCs w:val="24"/>
        </w:rPr>
        <w:t>.</w:t>
      </w:r>
      <w:r w:rsidR="00217F0D" w:rsidRPr="00217F0D">
        <w:rPr>
          <w:rFonts w:cstheme="minorHAnsi"/>
          <w:sz w:val="24"/>
          <w:szCs w:val="24"/>
          <w:vertAlign w:val="superscript"/>
        </w:rPr>
        <w:t>1, 2</w:t>
      </w:r>
      <w:r w:rsidR="0068224A">
        <w:rPr>
          <w:rFonts w:cstheme="minorHAnsi"/>
          <w:sz w:val="24"/>
          <w:szCs w:val="24"/>
        </w:rPr>
        <w:t xml:space="preserve"> </w:t>
      </w:r>
      <w:r w:rsidR="00C06A76" w:rsidRPr="00EB2FDA">
        <w:rPr>
          <w:rFonts w:cstheme="minorHAnsi"/>
          <w:sz w:val="24"/>
          <w:szCs w:val="24"/>
        </w:rPr>
        <w:t>Table</w:t>
      </w:r>
      <w:r w:rsidR="0068224A" w:rsidRPr="00EB2FDA">
        <w:rPr>
          <w:rFonts w:cstheme="minorHAnsi"/>
          <w:sz w:val="24"/>
          <w:szCs w:val="24"/>
        </w:rPr>
        <w:t xml:space="preserve"> </w:t>
      </w:r>
      <w:r w:rsidR="00EB2FDA">
        <w:rPr>
          <w:rFonts w:cstheme="minorHAnsi"/>
          <w:sz w:val="24"/>
          <w:szCs w:val="24"/>
        </w:rPr>
        <w:t>1</w:t>
      </w:r>
      <w:r w:rsidR="0068224A">
        <w:rPr>
          <w:rFonts w:cstheme="minorHAnsi"/>
          <w:sz w:val="24"/>
          <w:szCs w:val="24"/>
        </w:rPr>
        <w:t xml:space="preserve"> shows the percent of total public payments</w:t>
      </w:r>
      <w:r w:rsidR="00217F0D">
        <w:rPr>
          <w:rFonts w:cstheme="minorHAnsi"/>
          <w:sz w:val="24"/>
          <w:szCs w:val="24"/>
        </w:rPr>
        <w:t xml:space="preserve"> for each hospital.</w:t>
      </w:r>
    </w:p>
    <w:p w14:paraId="592AE30A" w14:textId="77777777" w:rsidR="00C06A76" w:rsidRDefault="00C06A76" w:rsidP="0068224A">
      <w:pPr>
        <w:pStyle w:val="NoSpacing"/>
        <w:contextualSpacing/>
        <w:rPr>
          <w:rFonts w:cstheme="minorHAnsi"/>
          <w:sz w:val="24"/>
          <w:szCs w:val="24"/>
        </w:rPr>
      </w:pPr>
    </w:p>
    <w:p w14:paraId="5907D528" w14:textId="58C1F963" w:rsidR="00BE7758" w:rsidRPr="007F4A4A" w:rsidRDefault="00C06A76" w:rsidP="009F1A90">
      <w:pPr>
        <w:pStyle w:val="NoSpacing"/>
        <w:contextualSpacing/>
        <w:jc w:val="center"/>
        <w:rPr>
          <w:rFonts w:cstheme="minorHAnsi"/>
          <w:b/>
          <w:bCs/>
          <w:sz w:val="24"/>
          <w:szCs w:val="24"/>
        </w:rPr>
      </w:pPr>
      <w:r w:rsidRPr="00EB2FDA">
        <w:rPr>
          <w:rFonts w:cstheme="minorHAnsi"/>
          <w:b/>
          <w:bCs/>
          <w:sz w:val="24"/>
          <w:szCs w:val="24"/>
          <w:u w:val="single"/>
        </w:rPr>
        <w:t xml:space="preserve">Table </w:t>
      </w:r>
      <w:r w:rsidR="00EB2FDA">
        <w:rPr>
          <w:rFonts w:cstheme="minorHAnsi"/>
          <w:b/>
          <w:bCs/>
          <w:sz w:val="24"/>
          <w:szCs w:val="24"/>
          <w:u w:val="single"/>
        </w:rPr>
        <w:t>1</w:t>
      </w:r>
      <w:r w:rsidR="000E2B0F" w:rsidRPr="007F4A4A">
        <w:rPr>
          <w:rFonts w:cstheme="minorHAnsi"/>
          <w:b/>
          <w:bCs/>
          <w:sz w:val="24"/>
          <w:szCs w:val="24"/>
        </w:rPr>
        <w:t>: Percent of Total Public Payments per UMMHC Acute Care Hospitals</w:t>
      </w:r>
    </w:p>
    <w:p w14:paraId="7AC3C06F" w14:textId="77777777" w:rsidR="00BE7758" w:rsidRDefault="00BE7758" w:rsidP="0068224A">
      <w:pPr>
        <w:pStyle w:val="NoSpacing"/>
        <w:contextualSpacing/>
        <w:rPr>
          <w:rFonts w:cstheme="minorHAnsi"/>
          <w:sz w:val="24"/>
          <w:szCs w:val="24"/>
        </w:rPr>
      </w:pPr>
    </w:p>
    <w:tbl>
      <w:tblPr>
        <w:tblStyle w:val="TableGrid1"/>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Description w:val="Table 1: Percent of Total Public Payments per UMMHC Acute Care Hospitals"/>
      </w:tblPr>
      <w:tblGrid>
        <w:gridCol w:w="3204"/>
        <w:gridCol w:w="3708"/>
        <w:gridCol w:w="1872"/>
      </w:tblGrid>
      <w:tr w:rsidR="00BE7758" w:rsidRPr="00BE0B0D" w14:paraId="2BF79657" w14:textId="77777777" w:rsidTr="00272222">
        <w:trPr>
          <w:trHeight w:val="602"/>
          <w:tblHeader/>
          <w:jc w:val="center"/>
        </w:trPr>
        <w:tc>
          <w:tcPr>
            <w:tcW w:w="3204" w:type="dxa"/>
            <w:noWrap/>
            <w:hideMark/>
          </w:tcPr>
          <w:p w14:paraId="177C78DB" w14:textId="2BF0B499" w:rsidR="00BE7758" w:rsidRPr="00BE0B0D" w:rsidRDefault="00BE7758" w:rsidP="00575D89">
            <w:pPr>
              <w:spacing w:after="200"/>
              <w:rPr>
                <w:rFonts w:ascii="Calibri" w:eastAsia="Calibri" w:hAnsi="Calibri" w:cs="Times New Roman"/>
                <w:b/>
                <w:bCs/>
                <w:u w:val="single"/>
              </w:rPr>
            </w:pPr>
            <w:r>
              <w:rPr>
                <w:rFonts w:ascii="Calibri" w:eastAsia="Calibri" w:hAnsi="Calibri" w:cs="Times New Roman"/>
                <w:b/>
                <w:bCs/>
                <w:u w:val="single"/>
              </w:rPr>
              <w:t xml:space="preserve">Acute </w:t>
            </w:r>
            <w:r w:rsidR="00642951">
              <w:rPr>
                <w:rFonts w:ascii="Calibri" w:eastAsia="Calibri" w:hAnsi="Calibri" w:cs="Times New Roman"/>
                <w:b/>
                <w:bCs/>
                <w:u w:val="single"/>
              </w:rPr>
              <w:t xml:space="preserve">Care </w:t>
            </w:r>
            <w:r>
              <w:rPr>
                <w:rFonts w:ascii="Calibri" w:eastAsia="Calibri" w:hAnsi="Calibri" w:cs="Times New Roman"/>
                <w:b/>
                <w:bCs/>
                <w:u w:val="single"/>
              </w:rPr>
              <w:t>Hospitals in UMMHC System</w:t>
            </w:r>
          </w:p>
        </w:tc>
        <w:tc>
          <w:tcPr>
            <w:tcW w:w="3708" w:type="dxa"/>
          </w:tcPr>
          <w:p w14:paraId="1D35291A" w14:textId="1CD59ED2" w:rsidR="00BE7758" w:rsidRDefault="00575D89" w:rsidP="0068224A">
            <w:pPr>
              <w:jc w:val="center"/>
              <w:rPr>
                <w:rFonts w:ascii="Calibri" w:eastAsia="Calibri" w:hAnsi="Calibri" w:cs="Times New Roman"/>
                <w:b/>
                <w:bCs/>
                <w:u w:val="single"/>
              </w:rPr>
            </w:pPr>
            <w:r w:rsidRPr="00575D89">
              <w:rPr>
                <w:rFonts w:ascii="Calibri" w:eastAsia="Calibri" w:hAnsi="Calibri" w:cs="Times New Roman"/>
                <w:b/>
                <w:bCs/>
                <w:u w:val="single"/>
              </w:rPr>
              <w:t>Type (Per CHIA Category)</w:t>
            </w:r>
            <w:r w:rsidRPr="00575D89">
              <w:rPr>
                <w:rFonts w:ascii="Calibri" w:eastAsia="Calibri" w:hAnsi="Calibri" w:cs="Times New Roman"/>
                <w:b/>
                <w:bCs/>
                <w:u w:val="single"/>
                <w:vertAlign w:val="superscript"/>
              </w:rPr>
              <w:footnoteReference w:id="1"/>
            </w:r>
          </w:p>
        </w:tc>
        <w:tc>
          <w:tcPr>
            <w:tcW w:w="1872" w:type="dxa"/>
            <w:noWrap/>
            <w:hideMark/>
          </w:tcPr>
          <w:p w14:paraId="1B767F1F" w14:textId="481A5050" w:rsidR="00BE7758" w:rsidRPr="00BE0B0D" w:rsidRDefault="00642951" w:rsidP="0068224A">
            <w:pPr>
              <w:jc w:val="center"/>
              <w:rPr>
                <w:rFonts w:ascii="Calibri" w:eastAsia="Calibri" w:hAnsi="Calibri" w:cs="Times New Roman"/>
                <w:b/>
                <w:bCs/>
                <w:u w:val="single"/>
              </w:rPr>
            </w:pPr>
            <w:r>
              <w:rPr>
                <w:rFonts w:ascii="Calibri" w:eastAsia="Calibri" w:hAnsi="Calibri" w:cs="Times New Roman"/>
                <w:b/>
                <w:bCs/>
                <w:u w:val="single"/>
              </w:rPr>
              <w:t>% of</w:t>
            </w:r>
            <w:r w:rsidR="00BE7758">
              <w:rPr>
                <w:rFonts w:ascii="Calibri" w:eastAsia="Calibri" w:hAnsi="Calibri" w:cs="Times New Roman"/>
                <w:b/>
                <w:bCs/>
                <w:u w:val="single"/>
              </w:rPr>
              <w:t xml:space="preserve"> Public  Payments</w:t>
            </w:r>
            <w:r w:rsidR="00BE7758" w:rsidRPr="00456A1D">
              <w:rPr>
                <w:rFonts w:ascii="Calibri" w:eastAsia="Calibri" w:hAnsi="Calibri" w:cs="Times New Roman"/>
                <w:b/>
                <w:bCs/>
                <w:u w:val="single"/>
                <w:vertAlign w:val="superscript"/>
              </w:rPr>
              <w:footnoteReference w:id="2"/>
            </w:r>
          </w:p>
        </w:tc>
      </w:tr>
      <w:tr w:rsidR="00BE7758" w:rsidRPr="00BE0B0D" w14:paraId="575406FE" w14:textId="77777777" w:rsidTr="00F8028E">
        <w:trPr>
          <w:trHeight w:val="240"/>
          <w:jc w:val="center"/>
        </w:trPr>
        <w:tc>
          <w:tcPr>
            <w:tcW w:w="3204" w:type="dxa"/>
            <w:hideMark/>
          </w:tcPr>
          <w:p w14:paraId="544F456C" w14:textId="77777777" w:rsidR="00BE7758" w:rsidRPr="00EA278A" w:rsidRDefault="00BE7758" w:rsidP="00575D89">
            <w:pPr>
              <w:rPr>
                <w:rFonts w:eastAsia="Calibri" w:cs="Times New Roman"/>
                <w:sz w:val="22"/>
                <w:szCs w:val="22"/>
              </w:rPr>
            </w:pPr>
            <w:r w:rsidRPr="00EA278A">
              <w:rPr>
                <w:rFonts w:eastAsia="Calibri" w:cs="Times New Roman"/>
                <w:sz w:val="22"/>
                <w:szCs w:val="22"/>
              </w:rPr>
              <w:t>Harrington Memorial Hospital</w:t>
            </w:r>
          </w:p>
        </w:tc>
        <w:tc>
          <w:tcPr>
            <w:tcW w:w="3708" w:type="dxa"/>
          </w:tcPr>
          <w:p w14:paraId="00271475" w14:textId="1C3766A3" w:rsidR="00BE7758" w:rsidRPr="00EA278A" w:rsidRDefault="00BE7758" w:rsidP="0095760D">
            <w:pPr>
              <w:rPr>
                <w:rFonts w:eastAsia="Calibri" w:cs="Times New Roman"/>
              </w:rPr>
            </w:pPr>
            <w:r>
              <w:rPr>
                <w:rFonts w:eastAsia="Calibri" w:cs="Times New Roman"/>
              </w:rPr>
              <w:t>Community H</w:t>
            </w:r>
            <w:r w:rsidR="00E90FE1">
              <w:rPr>
                <w:rFonts w:eastAsia="Calibri" w:cs="Times New Roman"/>
              </w:rPr>
              <w:t xml:space="preserve">igh </w:t>
            </w:r>
            <w:r>
              <w:rPr>
                <w:rFonts w:eastAsia="Calibri" w:cs="Times New Roman"/>
              </w:rPr>
              <w:t>P</w:t>
            </w:r>
            <w:r w:rsidR="00E90FE1">
              <w:rPr>
                <w:rFonts w:eastAsia="Calibri" w:cs="Times New Roman"/>
              </w:rPr>
              <w:t xml:space="preserve">ublic </w:t>
            </w:r>
            <w:r>
              <w:rPr>
                <w:rFonts w:eastAsia="Calibri" w:cs="Times New Roman"/>
              </w:rPr>
              <w:t>P</w:t>
            </w:r>
            <w:r w:rsidR="00E90FE1">
              <w:rPr>
                <w:rFonts w:eastAsia="Calibri" w:cs="Times New Roman"/>
              </w:rPr>
              <w:t>ayer</w:t>
            </w:r>
          </w:p>
        </w:tc>
        <w:tc>
          <w:tcPr>
            <w:tcW w:w="1872" w:type="dxa"/>
            <w:hideMark/>
          </w:tcPr>
          <w:p w14:paraId="76488645" w14:textId="77777777" w:rsidR="00BE7758" w:rsidRPr="00EA278A" w:rsidRDefault="00BE7758" w:rsidP="0095760D">
            <w:pPr>
              <w:ind w:left="-108"/>
              <w:jc w:val="center"/>
              <w:rPr>
                <w:rFonts w:eastAsia="Calibri" w:cs="Times New Roman"/>
                <w:sz w:val="22"/>
                <w:szCs w:val="22"/>
              </w:rPr>
            </w:pPr>
            <w:r w:rsidRPr="00EA278A">
              <w:rPr>
                <w:rFonts w:eastAsia="Calibri" w:cs="Times New Roman"/>
                <w:sz w:val="22"/>
                <w:szCs w:val="22"/>
              </w:rPr>
              <w:t>67.8%</w:t>
            </w:r>
          </w:p>
        </w:tc>
      </w:tr>
      <w:tr w:rsidR="00BE7758" w:rsidRPr="00BE0B0D" w14:paraId="0EDADF74" w14:textId="77777777" w:rsidTr="00F8028E">
        <w:trPr>
          <w:trHeight w:val="240"/>
          <w:jc w:val="center"/>
        </w:trPr>
        <w:tc>
          <w:tcPr>
            <w:tcW w:w="3204" w:type="dxa"/>
            <w:hideMark/>
          </w:tcPr>
          <w:p w14:paraId="4D9D2526" w14:textId="77777777" w:rsidR="00BE7758" w:rsidRPr="00EA278A" w:rsidRDefault="00BE7758" w:rsidP="00575D89">
            <w:pPr>
              <w:rPr>
                <w:rFonts w:eastAsia="Calibri" w:cs="Times New Roman"/>
                <w:sz w:val="22"/>
                <w:szCs w:val="22"/>
              </w:rPr>
            </w:pPr>
            <w:r w:rsidRPr="00EA278A">
              <w:rPr>
                <w:rFonts w:eastAsia="Calibri" w:cs="Times New Roman"/>
                <w:sz w:val="22"/>
                <w:szCs w:val="22"/>
              </w:rPr>
              <w:t>HealthAlliance Hospital</w:t>
            </w:r>
          </w:p>
        </w:tc>
        <w:tc>
          <w:tcPr>
            <w:tcW w:w="3708" w:type="dxa"/>
          </w:tcPr>
          <w:p w14:paraId="20A70BB5" w14:textId="124A03B8" w:rsidR="00BE7758" w:rsidRPr="00EA278A" w:rsidRDefault="00BE7758" w:rsidP="0095760D">
            <w:pPr>
              <w:rPr>
                <w:rFonts w:eastAsia="Calibri" w:cs="Times New Roman"/>
              </w:rPr>
            </w:pPr>
            <w:r w:rsidRPr="00456A1D">
              <w:rPr>
                <w:rFonts w:eastAsia="Calibri" w:cs="Times New Roman"/>
              </w:rPr>
              <w:t>Community</w:t>
            </w:r>
            <w:r>
              <w:rPr>
                <w:rFonts w:eastAsia="Calibri" w:cs="Times New Roman"/>
              </w:rPr>
              <w:t xml:space="preserve"> H</w:t>
            </w:r>
            <w:r w:rsidR="00E90FE1">
              <w:rPr>
                <w:rFonts w:eastAsia="Calibri" w:cs="Times New Roman"/>
              </w:rPr>
              <w:t xml:space="preserve">igh </w:t>
            </w:r>
            <w:r>
              <w:rPr>
                <w:rFonts w:eastAsia="Calibri" w:cs="Times New Roman"/>
              </w:rPr>
              <w:t>P</w:t>
            </w:r>
            <w:r w:rsidR="00E90FE1">
              <w:rPr>
                <w:rFonts w:eastAsia="Calibri" w:cs="Times New Roman"/>
              </w:rPr>
              <w:t xml:space="preserve">ublic </w:t>
            </w:r>
            <w:r>
              <w:rPr>
                <w:rFonts w:eastAsia="Calibri" w:cs="Times New Roman"/>
              </w:rPr>
              <w:t>P</w:t>
            </w:r>
            <w:r w:rsidR="00E90FE1">
              <w:rPr>
                <w:rFonts w:eastAsia="Calibri" w:cs="Times New Roman"/>
              </w:rPr>
              <w:t>ayer</w:t>
            </w:r>
          </w:p>
        </w:tc>
        <w:tc>
          <w:tcPr>
            <w:tcW w:w="1872" w:type="dxa"/>
            <w:hideMark/>
          </w:tcPr>
          <w:p w14:paraId="4378DD9E" w14:textId="77777777" w:rsidR="00BE7758" w:rsidRPr="00EA278A" w:rsidRDefault="00BE7758" w:rsidP="0095760D">
            <w:pPr>
              <w:ind w:left="-108"/>
              <w:jc w:val="center"/>
              <w:rPr>
                <w:rFonts w:eastAsia="Calibri" w:cs="Times New Roman"/>
                <w:sz w:val="22"/>
                <w:szCs w:val="22"/>
              </w:rPr>
            </w:pPr>
            <w:r w:rsidRPr="00EA278A">
              <w:rPr>
                <w:rFonts w:eastAsia="Calibri" w:cs="Times New Roman"/>
                <w:sz w:val="22"/>
                <w:szCs w:val="22"/>
              </w:rPr>
              <w:t>71.8%</w:t>
            </w:r>
          </w:p>
        </w:tc>
      </w:tr>
      <w:tr w:rsidR="00BE7758" w:rsidRPr="00BE0B0D" w14:paraId="6A6BA367" w14:textId="77777777" w:rsidTr="00F8028E">
        <w:trPr>
          <w:trHeight w:val="240"/>
          <w:jc w:val="center"/>
        </w:trPr>
        <w:tc>
          <w:tcPr>
            <w:tcW w:w="3204" w:type="dxa"/>
            <w:hideMark/>
          </w:tcPr>
          <w:p w14:paraId="7DBB0B93" w14:textId="77777777" w:rsidR="00BE7758" w:rsidRPr="00EA278A" w:rsidRDefault="00BE7758" w:rsidP="00575D89">
            <w:pPr>
              <w:rPr>
                <w:rFonts w:eastAsia="Calibri" w:cs="Times New Roman"/>
                <w:sz w:val="22"/>
                <w:szCs w:val="22"/>
              </w:rPr>
            </w:pPr>
            <w:r w:rsidRPr="00EA278A">
              <w:rPr>
                <w:rFonts w:eastAsia="Calibri" w:cs="Times New Roman"/>
                <w:sz w:val="22"/>
                <w:szCs w:val="22"/>
              </w:rPr>
              <w:t>Marlborough Hospital - UMASS Memorial Health Center</w:t>
            </w:r>
          </w:p>
        </w:tc>
        <w:tc>
          <w:tcPr>
            <w:tcW w:w="3708" w:type="dxa"/>
          </w:tcPr>
          <w:p w14:paraId="0BB80D94" w14:textId="54323249" w:rsidR="00BE7758" w:rsidRPr="00EA278A" w:rsidRDefault="00BE7758" w:rsidP="0095760D">
            <w:pPr>
              <w:rPr>
                <w:rFonts w:eastAsia="Calibri" w:cs="Times New Roman"/>
              </w:rPr>
            </w:pPr>
            <w:r>
              <w:rPr>
                <w:rFonts w:eastAsia="Calibri" w:cs="Times New Roman"/>
              </w:rPr>
              <w:t>Community H</w:t>
            </w:r>
            <w:r w:rsidR="00E90FE1">
              <w:rPr>
                <w:rFonts w:eastAsia="Calibri" w:cs="Times New Roman"/>
              </w:rPr>
              <w:t xml:space="preserve">igh </w:t>
            </w:r>
            <w:r>
              <w:rPr>
                <w:rFonts w:eastAsia="Calibri" w:cs="Times New Roman"/>
              </w:rPr>
              <w:t>P</w:t>
            </w:r>
            <w:r w:rsidR="00E90FE1">
              <w:rPr>
                <w:rFonts w:eastAsia="Calibri" w:cs="Times New Roman"/>
              </w:rPr>
              <w:t xml:space="preserve">ublic </w:t>
            </w:r>
            <w:r>
              <w:rPr>
                <w:rFonts w:eastAsia="Calibri" w:cs="Times New Roman"/>
              </w:rPr>
              <w:t>P</w:t>
            </w:r>
            <w:r w:rsidR="00E90FE1">
              <w:rPr>
                <w:rFonts w:eastAsia="Calibri" w:cs="Times New Roman"/>
              </w:rPr>
              <w:t>ayer</w:t>
            </w:r>
          </w:p>
        </w:tc>
        <w:tc>
          <w:tcPr>
            <w:tcW w:w="1872" w:type="dxa"/>
            <w:hideMark/>
          </w:tcPr>
          <w:p w14:paraId="2EED8DF4" w14:textId="77777777" w:rsidR="00BE7758" w:rsidRPr="00EA278A" w:rsidRDefault="00BE7758" w:rsidP="0095760D">
            <w:pPr>
              <w:ind w:left="-108"/>
              <w:jc w:val="center"/>
              <w:rPr>
                <w:rFonts w:eastAsia="Calibri" w:cs="Times New Roman"/>
                <w:sz w:val="22"/>
                <w:szCs w:val="22"/>
              </w:rPr>
            </w:pPr>
            <w:r w:rsidRPr="00EA278A">
              <w:rPr>
                <w:rFonts w:eastAsia="Calibri" w:cs="Times New Roman"/>
                <w:sz w:val="22"/>
                <w:szCs w:val="22"/>
              </w:rPr>
              <w:t>65.0%</w:t>
            </w:r>
          </w:p>
        </w:tc>
      </w:tr>
      <w:tr w:rsidR="00BE7758" w:rsidRPr="00BE0B0D" w14:paraId="7F3A6BBE" w14:textId="77777777" w:rsidTr="00F8028E">
        <w:trPr>
          <w:trHeight w:val="240"/>
          <w:jc w:val="center"/>
        </w:trPr>
        <w:tc>
          <w:tcPr>
            <w:tcW w:w="3204" w:type="dxa"/>
            <w:hideMark/>
          </w:tcPr>
          <w:p w14:paraId="3E68977C" w14:textId="77777777" w:rsidR="00BE7758" w:rsidRPr="00EA278A" w:rsidRDefault="00BE7758" w:rsidP="00575D89">
            <w:pPr>
              <w:rPr>
                <w:rFonts w:eastAsia="Calibri" w:cs="Times New Roman"/>
                <w:sz w:val="22"/>
                <w:szCs w:val="22"/>
              </w:rPr>
            </w:pPr>
            <w:r w:rsidRPr="00EA278A">
              <w:rPr>
                <w:rFonts w:eastAsia="Calibri" w:cs="Times New Roman"/>
                <w:sz w:val="22"/>
                <w:szCs w:val="22"/>
              </w:rPr>
              <w:t>UMass Memorial Medical Center</w:t>
            </w:r>
          </w:p>
        </w:tc>
        <w:tc>
          <w:tcPr>
            <w:tcW w:w="3708" w:type="dxa"/>
          </w:tcPr>
          <w:p w14:paraId="4D884D8F" w14:textId="73976340" w:rsidR="00BE7758" w:rsidRPr="00217F0D" w:rsidRDefault="00BE7758" w:rsidP="0095760D">
            <w:pPr>
              <w:rPr>
                <w:rFonts w:eastAsia="Calibri" w:cs="Times New Roman"/>
              </w:rPr>
            </w:pPr>
            <w:r>
              <w:rPr>
                <w:rFonts w:eastAsia="Calibri" w:cs="Times New Roman"/>
              </w:rPr>
              <w:t>A</w:t>
            </w:r>
            <w:r w:rsidR="00E90FE1">
              <w:rPr>
                <w:rFonts w:eastAsia="Calibri" w:cs="Times New Roman"/>
              </w:rPr>
              <w:t xml:space="preserve">cademic </w:t>
            </w:r>
            <w:r>
              <w:rPr>
                <w:rFonts w:eastAsia="Calibri" w:cs="Times New Roman"/>
              </w:rPr>
              <w:t>M</w:t>
            </w:r>
            <w:r w:rsidR="00E90FE1">
              <w:rPr>
                <w:rFonts w:eastAsia="Calibri" w:cs="Times New Roman"/>
              </w:rPr>
              <w:t>edica</w:t>
            </w:r>
            <w:r w:rsidR="00CA1316">
              <w:rPr>
                <w:rFonts w:eastAsia="Calibri" w:cs="Times New Roman"/>
              </w:rPr>
              <w:t>l</w:t>
            </w:r>
            <w:r w:rsidR="00E90FE1">
              <w:rPr>
                <w:rFonts w:eastAsia="Calibri" w:cs="Times New Roman"/>
              </w:rPr>
              <w:t xml:space="preserve"> </w:t>
            </w:r>
            <w:r>
              <w:rPr>
                <w:rFonts w:eastAsia="Calibri" w:cs="Times New Roman"/>
              </w:rPr>
              <w:t>C</w:t>
            </w:r>
            <w:r w:rsidR="00E90FE1">
              <w:rPr>
                <w:rFonts w:eastAsia="Calibri" w:cs="Times New Roman"/>
              </w:rPr>
              <w:t>enter</w:t>
            </w:r>
            <w:r w:rsidR="00642951">
              <w:rPr>
                <w:rFonts w:eastAsia="Calibri" w:cs="Times New Roman"/>
              </w:rPr>
              <w:t>,</w:t>
            </w:r>
            <w:r w:rsidR="00CA1316" w:rsidRPr="00990D35">
              <w:rPr>
                <w:rStyle w:val="FootnoteReference"/>
                <w:rFonts w:cstheme="minorHAnsi"/>
              </w:rPr>
              <w:footnoteReference w:id="3"/>
            </w:r>
            <w:r w:rsidR="00642951">
              <w:rPr>
                <w:rFonts w:eastAsia="Calibri" w:cs="Times New Roman"/>
              </w:rPr>
              <w:t xml:space="preserve"> </w:t>
            </w:r>
            <w:r>
              <w:rPr>
                <w:rFonts w:eastAsia="Calibri" w:cs="Times New Roman"/>
              </w:rPr>
              <w:t>HPP</w:t>
            </w:r>
          </w:p>
        </w:tc>
        <w:tc>
          <w:tcPr>
            <w:tcW w:w="1872" w:type="dxa"/>
            <w:hideMark/>
          </w:tcPr>
          <w:p w14:paraId="011434CE" w14:textId="77777777" w:rsidR="00BE7758" w:rsidRPr="00EA278A" w:rsidRDefault="00BE7758" w:rsidP="0095760D">
            <w:pPr>
              <w:ind w:left="-108"/>
              <w:jc w:val="center"/>
              <w:rPr>
                <w:rFonts w:eastAsia="Calibri" w:cs="Times New Roman"/>
                <w:sz w:val="22"/>
                <w:szCs w:val="22"/>
              </w:rPr>
            </w:pPr>
            <w:r w:rsidRPr="00EA278A">
              <w:rPr>
                <w:rFonts w:eastAsia="Calibri" w:cs="Times New Roman"/>
                <w:sz w:val="22"/>
                <w:szCs w:val="22"/>
              </w:rPr>
              <w:t>66.5%</w:t>
            </w:r>
          </w:p>
        </w:tc>
      </w:tr>
    </w:tbl>
    <w:p w14:paraId="1C8950FA" w14:textId="77777777" w:rsidR="00BE7758" w:rsidRDefault="00BE7758" w:rsidP="0068224A">
      <w:pPr>
        <w:pStyle w:val="NoSpacing"/>
        <w:contextualSpacing/>
        <w:rPr>
          <w:rFonts w:cstheme="minorHAnsi"/>
          <w:sz w:val="24"/>
          <w:szCs w:val="24"/>
        </w:rPr>
      </w:pPr>
    </w:p>
    <w:p w14:paraId="2323CD63" w14:textId="11C77774" w:rsidR="0068224A" w:rsidRPr="00990D35" w:rsidRDefault="0068224A" w:rsidP="00FC025B">
      <w:pPr>
        <w:pStyle w:val="NoSpacing"/>
        <w:contextualSpacing/>
        <w:rPr>
          <w:rFonts w:cstheme="minorHAnsi"/>
          <w:sz w:val="24"/>
          <w:szCs w:val="24"/>
        </w:rPr>
      </w:pPr>
      <w:r w:rsidRPr="0068224A">
        <w:rPr>
          <w:rFonts w:cstheme="minorHAnsi"/>
          <w:sz w:val="24"/>
          <w:szCs w:val="24"/>
        </w:rPr>
        <w:t>The UMMHC system</w:t>
      </w:r>
      <w:r w:rsidR="00DF4588">
        <w:rPr>
          <w:rStyle w:val="FootnoteReference"/>
          <w:rFonts w:cstheme="minorHAnsi"/>
          <w:sz w:val="24"/>
          <w:szCs w:val="24"/>
        </w:rPr>
        <w:footnoteReference w:id="4"/>
      </w:r>
      <w:r w:rsidR="005D13D7">
        <w:rPr>
          <w:rFonts w:cstheme="minorHAnsi"/>
          <w:sz w:val="24"/>
          <w:szCs w:val="24"/>
        </w:rPr>
        <w:t xml:space="preserve"> provides the full continuum of care </w:t>
      </w:r>
      <w:r w:rsidR="00CA1316">
        <w:rPr>
          <w:rFonts w:cstheme="minorHAnsi"/>
          <w:sz w:val="24"/>
          <w:szCs w:val="24"/>
        </w:rPr>
        <w:t>including</w:t>
      </w:r>
      <w:r w:rsidRPr="0068224A">
        <w:rPr>
          <w:rFonts w:cstheme="minorHAnsi"/>
          <w:sz w:val="24"/>
          <w:szCs w:val="24"/>
        </w:rPr>
        <w:t xml:space="preserve"> </w:t>
      </w:r>
      <w:r w:rsidR="00FC025B">
        <w:rPr>
          <w:rFonts w:cstheme="minorHAnsi"/>
          <w:sz w:val="24"/>
          <w:szCs w:val="24"/>
        </w:rPr>
        <w:t xml:space="preserve">trauma and tertiary care, </w:t>
      </w:r>
      <w:r w:rsidRPr="0068224A">
        <w:rPr>
          <w:rFonts w:cstheme="minorHAnsi"/>
          <w:sz w:val="24"/>
          <w:szCs w:val="24"/>
        </w:rPr>
        <w:t xml:space="preserve">behavioral health services </w:t>
      </w:r>
      <w:r w:rsidR="00CA1316">
        <w:rPr>
          <w:rFonts w:cstheme="minorHAnsi"/>
          <w:sz w:val="24"/>
          <w:szCs w:val="24"/>
        </w:rPr>
        <w:t>(</w:t>
      </w:r>
      <w:r w:rsidRPr="0068224A">
        <w:rPr>
          <w:rFonts w:cstheme="minorHAnsi"/>
          <w:sz w:val="24"/>
          <w:szCs w:val="24"/>
        </w:rPr>
        <w:t>through CommunityHealthlink</w:t>
      </w:r>
      <w:r w:rsidR="00CA1316">
        <w:rPr>
          <w:rFonts w:cstheme="minorHAnsi"/>
          <w:sz w:val="24"/>
          <w:szCs w:val="24"/>
        </w:rPr>
        <w:t>)</w:t>
      </w:r>
      <w:r w:rsidRPr="0068224A">
        <w:rPr>
          <w:rFonts w:cstheme="minorHAnsi"/>
          <w:sz w:val="24"/>
          <w:szCs w:val="24"/>
        </w:rPr>
        <w:t xml:space="preserve">, primary care, </w:t>
      </w:r>
      <w:r w:rsidR="00FC025B">
        <w:rPr>
          <w:rFonts w:cstheme="minorHAnsi"/>
          <w:sz w:val="24"/>
          <w:szCs w:val="24"/>
        </w:rPr>
        <w:t xml:space="preserve">a full range of </w:t>
      </w:r>
      <w:r w:rsidR="00B32E27">
        <w:rPr>
          <w:rFonts w:cstheme="minorHAnsi"/>
          <w:sz w:val="24"/>
          <w:szCs w:val="24"/>
        </w:rPr>
        <w:t xml:space="preserve">medical </w:t>
      </w:r>
      <w:r w:rsidRPr="0068224A">
        <w:rPr>
          <w:rFonts w:cstheme="minorHAnsi"/>
          <w:sz w:val="24"/>
          <w:szCs w:val="24"/>
        </w:rPr>
        <w:t xml:space="preserve">specialists, urgent care </w:t>
      </w:r>
      <w:r w:rsidR="00CA1316">
        <w:rPr>
          <w:rFonts w:cstheme="minorHAnsi"/>
          <w:sz w:val="24"/>
          <w:szCs w:val="24"/>
        </w:rPr>
        <w:t>(</w:t>
      </w:r>
      <w:r w:rsidRPr="0068224A">
        <w:rPr>
          <w:rFonts w:cstheme="minorHAnsi"/>
          <w:sz w:val="24"/>
          <w:szCs w:val="24"/>
        </w:rPr>
        <w:t>through CareWell Urgent Care</w:t>
      </w:r>
      <w:r w:rsidR="00CA1316">
        <w:rPr>
          <w:rFonts w:cstheme="minorHAnsi"/>
          <w:sz w:val="24"/>
          <w:szCs w:val="24"/>
        </w:rPr>
        <w:t>)</w:t>
      </w:r>
      <w:r w:rsidRPr="0068224A">
        <w:rPr>
          <w:rFonts w:cstheme="minorHAnsi"/>
          <w:sz w:val="24"/>
          <w:szCs w:val="24"/>
        </w:rPr>
        <w:t>, home health, and hospice.</w:t>
      </w:r>
      <w:r w:rsidR="00FC025B">
        <w:rPr>
          <w:rFonts w:cstheme="minorHAnsi"/>
          <w:sz w:val="24"/>
          <w:szCs w:val="24"/>
        </w:rPr>
        <w:t xml:space="preserve"> </w:t>
      </w:r>
      <w:r w:rsidR="00FC025B" w:rsidRPr="00FC025B">
        <w:rPr>
          <w:rFonts w:cstheme="minorHAnsi"/>
          <w:sz w:val="24"/>
          <w:szCs w:val="24"/>
        </w:rPr>
        <w:t xml:space="preserve">In </w:t>
      </w:r>
      <w:r w:rsidR="00FC025B" w:rsidRPr="00990D35">
        <w:rPr>
          <w:rFonts w:cstheme="minorHAnsi"/>
          <w:sz w:val="24"/>
          <w:szCs w:val="24"/>
        </w:rPr>
        <w:t>addition, the Applicant has several joint ventures including</w:t>
      </w:r>
      <w:r w:rsidR="00540160">
        <w:rPr>
          <w:rFonts w:cstheme="minorHAnsi"/>
          <w:sz w:val="24"/>
          <w:szCs w:val="24"/>
        </w:rPr>
        <w:t>:</w:t>
      </w:r>
      <w:r w:rsidR="00FC025B" w:rsidRPr="00990D35">
        <w:rPr>
          <w:rFonts w:cstheme="minorHAnsi"/>
          <w:sz w:val="24"/>
          <w:szCs w:val="24"/>
        </w:rPr>
        <w:t xml:space="preserve"> 1) Hospital for Behavioral Medicine (HBM), a 120-bed mental health treatment facility in Worcester County</w:t>
      </w:r>
      <w:r w:rsidR="00642951">
        <w:rPr>
          <w:rFonts w:cstheme="minorHAnsi"/>
          <w:sz w:val="24"/>
          <w:szCs w:val="24"/>
        </w:rPr>
        <w:t xml:space="preserve"> </w:t>
      </w:r>
      <w:r w:rsidR="00CA1316" w:rsidRPr="00990D35">
        <w:rPr>
          <w:rFonts w:cstheme="minorHAnsi"/>
          <w:sz w:val="24"/>
          <w:szCs w:val="24"/>
        </w:rPr>
        <w:t>2) The</w:t>
      </w:r>
      <w:r w:rsidR="00FC025B" w:rsidRPr="00990D35">
        <w:rPr>
          <w:rFonts w:cstheme="minorHAnsi"/>
          <w:sz w:val="24"/>
          <w:szCs w:val="24"/>
        </w:rPr>
        <w:t xml:space="preserve"> Surgery Center (ASC), an outpatient surgical facility in collaboration with Reliant Medical Group and Shields Health Care Group</w:t>
      </w:r>
      <w:r w:rsidR="00642951">
        <w:rPr>
          <w:rFonts w:cstheme="minorHAnsi"/>
          <w:sz w:val="24"/>
          <w:szCs w:val="24"/>
        </w:rPr>
        <w:t>,</w:t>
      </w:r>
      <w:r w:rsidR="00FC025B" w:rsidRPr="00990D35">
        <w:rPr>
          <w:rFonts w:cstheme="minorHAnsi"/>
          <w:sz w:val="24"/>
          <w:szCs w:val="24"/>
        </w:rPr>
        <w:t xml:space="preserve"> and 3) Pharmacy Ventures, which assists in developing and managing 340B programs for third parties</w:t>
      </w:r>
      <w:r w:rsidR="00540160">
        <w:rPr>
          <w:rFonts w:cstheme="minorHAnsi"/>
          <w:sz w:val="24"/>
          <w:szCs w:val="24"/>
        </w:rPr>
        <w:t>,</w:t>
      </w:r>
      <w:r w:rsidR="00FC025B" w:rsidRPr="00990D35">
        <w:rPr>
          <w:rFonts w:cstheme="minorHAnsi"/>
          <w:sz w:val="24"/>
          <w:szCs w:val="24"/>
        </w:rPr>
        <w:t xml:space="preserve"> as well as </w:t>
      </w:r>
      <w:r w:rsidR="00540160">
        <w:rPr>
          <w:rFonts w:cstheme="minorHAnsi"/>
          <w:sz w:val="24"/>
          <w:szCs w:val="24"/>
        </w:rPr>
        <w:t xml:space="preserve">for </w:t>
      </w:r>
      <w:r w:rsidR="00FC025B" w:rsidRPr="00990D35">
        <w:rPr>
          <w:rFonts w:cstheme="minorHAnsi"/>
          <w:sz w:val="24"/>
          <w:szCs w:val="24"/>
        </w:rPr>
        <w:t>UMMH’s specialty drug program at the University campus.</w:t>
      </w:r>
    </w:p>
    <w:p w14:paraId="5AF43A72" w14:textId="77777777" w:rsidR="00BE7758" w:rsidRPr="00990D35" w:rsidRDefault="00BE7758" w:rsidP="0068224A">
      <w:pPr>
        <w:pStyle w:val="NoSpacing"/>
        <w:contextualSpacing/>
        <w:rPr>
          <w:rFonts w:cstheme="minorHAnsi"/>
          <w:sz w:val="24"/>
          <w:szCs w:val="24"/>
        </w:rPr>
      </w:pPr>
    </w:p>
    <w:p w14:paraId="123A1472" w14:textId="6BE4B6FE" w:rsidR="00A4004B" w:rsidRPr="00990D35" w:rsidRDefault="009F4F73" w:rsidP="0068224A">
      <w:pPr>
        <w:pStyle w:val="NoSpacing"/>
        <w:contextualSpacing/>
        <w:rPr>
          <w:rFonts w:cstheme="minorHAnsi"/>
          <w:sz w:val="24"/>
          <w:szCs w:val="24"/>
        </w:rPr>
      </w:pPr>
      <w:r w:rsidRPr="0062390D">
        <w:rPr>
          <w:sz w:val="24"/>
          <w:szCs w:val="24"/>
        </w:rPr>
        <w:t>UMass Memorial Medical Center (UMMMC</w:t>
      </w:r>
      <w:r>
        <w:rPr>
          <w:sz w:val="24"/>
          <w:szCs w:val="24"/>
        </w:rPr>
        <w:t>)</w:t>
      </w:r>
      <w:r w:rsidR="0068224A" w:rsidRPr="00990D35">
        <w:rPr>
          <w:rFonts w:cstheme="minorHAnsi"/>
          <w:sz w:val="24"/>
          <w:szCs w:val="24"/>
        </w:rPr>
        <w:t xml:space="preserve">, </w:t>
      </w:r>
      <w:r w:rsidR="00BE7758" w:rsidRPr="00990D35">
        <w:rPr>
          <w:rFonts w:cstheme="minorHAnsi"/>
          <w:sz w:val="24"/>
          <w:szCs w:val="24"/>
        </w:rPr>
        <w:t>the Applicant’s academic medical center (AMC)</w:t>
      </w:r>
      <w:r w:rsidR="0068224A" w:rsidRPr="00990D35">
        <w:rPr>
          <w:rFonts w:cstheme="minorHAnsi"/>
          <w:sz w:val="24"/>
          <w:szCs w:val="24"/>
        </w:rPr>
        <w:t>,</w:t>
      </w:r>
      <w:r w:rsidR="00BE7758" w:rsidRPr="00990D35">
        <w:rPr>
          <w:rFonts w:cstheme="minorHAnsi"/>
          <w:sz w:val="24"/>
          <w:szCs w:val="24"/>
        </w:rPr>
        <w:t xml:space="preserve"> includes three campuses: Hahnemann, Memorial, and University. The </w:t>
      </w:r>
      <w:r w:rsidR="00AB4AF2" w:rsidRPr="00990D35">
        <w:rPr>
          <w:rFonts w:cstheme="minorHAnsi"/>
          <w:sz w:val="24"/>
          <w:szCs w:val="24"/>
        </w:rPr>
        <w:t xml:space="preserve">University </w:t>
      </w:r>
      <w:r w:rsidR="0025214E">
        <w:rPr>
          <w:rFonts w:cstheme="minorHAnsi"/>
          <w:sz w:val="24"/>
          <w:szCs w:val="24"/>
        </w:rPr>
        <w:t>C</w:t>
      </w:r>
      <w:r w:rsidR="00BE7758" w:rsidRPr="00990D35">
        <w:rPr>
          <w:rFonts w:cstheme="minorHAnsi"/>
          <w:sz w:val="24"/>
          <w:szCs w:val="24"/>
        </w:rPr>
        <w:t>ampus</w:t>
      </w:r>
      <w:r>
        <w:rPr>
          <w:rFonts w:cstheme="minorHAnsi"/>
          <w:sz w:val="24"/>
          <w:szCs w:val="24"/>
        </w:rPr>
        <w:t xml:space="preserve"> </w:t>
      </w:r>
      <w:r w:rsidR="00511868" w:rsidRPr="00990D35">
        <w:rPr>
          <w:rFonts w:cstheme="minorHAnsi"/>
          <w:sz w:val="24"/>
          <w:szCs w:val="24"/>
        </w:rPr>
        <w:t xml:space="preserve"> </w:t>
      </w:r>
      <w:r w:rsidR="00EB2FDA">
        <w:rPr>
          <w:rFonts w:cstheme="minorHAnsi"/>
          <w:sz w:val="24"/>
          <w:szCs w:val="24"/>
        </w:rPr>
        <w:t>s</w:t>
      </w:r>
      <w:r w:rsidR="00511868" w:rsidRPr="00990D35">
        <w:rPr>
          <w:rFonts w:cstheme="minorHAnsi"/>
          <w:sz w:val="24"/>
          <w:szCs w:val="24"/>
        </w:rPr>
        <w:t xml:space="preserve">ite is </w:t>
      </w:r>
      <w:r w:rsidR="00511868" w:rsidRPr="00990D35">
        <w:rPr>
          <w:rFonts w:cstheme="minorHAnsi"/>
          <w:sz w:val="24"/>
          <w:szCs w:val="24"/>
        </w:rPr>
        <w:lastRenderedPageBreak/>
        <w:t xml:space="preserve">licensed to operate 421 inpatient beds and </w:t>
      </w:r>
      <w:r w:rsidR="005D13D7" w:rsidRPr="00990D35">
        <w:rPr>
          <w:rFonts w:cstheme="minorHAnsi"/>
          <w:sz w:val="24"/>
          <w:szCs w:val="24"/>
        </w:rPr>
        <w:t>provides a full spectrum of tertiary acute care</w:t>
      </w:r>
      <w:r w:rsidR="00511868" w:rsidRPr="00990D35">
        <w:rPr>
          <w:rFonts w:cstheme="minorHAnsi"/>
          <w:sz w:val="24"/>
          <w:szCs w:val="24"/>
        </w:rPr>
        <w:t xml:space="preserve">, </w:t>
      </w:r>
      <w:r w:rsidR="001B6551">
        <w:rPr>
          <w:rFonts w:cstheme="minorHAnsi"/>
          <w:sz w:val="24"/>
          <w:szCs w:val="24"/>
        </w:rPr>
        <w:t>e</w:t>
      </w:r>
      <w:r w:rsidR="00511868" w:rsidRPr="00990D35">
        <w:rPr>
          <w:rFonts w:cstheme="minorHAnsi"/>
          <w:sz w:val="24"/>
          <w:szCs w:val="24"/>
        </w:rPr>
        <w:t xml:space="preserve">mergency </w:t>
      </w:r>
      <w:r w:rsidR="00EE0B10">
        <w:rPr>
          <w:rFonts w:cstheme="minorHAnsi"/>
          <w:sz w:val="24"/>
          <w:szCs w:val="24"/>
        </w:rPr>
        <w:t>d</w:t>
      </w:r>
      <w:r w:rsidR="00511868" w:rsidRPr="00990D35">
        <w:rPr>
          <w:rFonts w:cstheme="minorHAnsi"/>
          <w:sz w:val="24"/>
          <w:szCs w:val="24"/>
        </w:rPr>
        <w:t>epartment (ED) care</w:t>
      </w:r>
      <w:r w:rsidR="00511868" w:rsidRPr="00990D35">
        <w:rPr>
          <w:rStyle w:val="FootnoteReference"/>
          <w:rFonts w:cstheme="minorHAnsi"/>
          <w:sz w:val="24"/>
          <w:szCs w:val="24"/>
        </w:rPr>
        <w:footnoteReference w:id="5"/>
      </w:r>
      <w:r w:rsidR="00BE7758" w:rsidRPr="00990D35">
        <w:rPr>
          <w:rFonts w:cstheme="minorHAnsi"/>
          <w:sz w:val="24"/>
          <w:szCs w:val="24"/>
        </w:rPr>
        <w:t xml:space="preserve">, inpatient and outpatient </w:t>
      </w:r>
      <w:r w:rsidR="005D13D7" w:rsidRPr="00990D35">
        <w:rPr>
          <w:rFonts w:cstheme="minorHAnsi"/>
          <w:sz w:val="24"/>
          <w:szCs w:val="24"/>
        </w:rPr>
        <w:t>medical and surgical services</w:t>
      </w:r>
      <w:r w:rsidR="00BE7758" w:rsidRPr="00990D35">
        <w:rPr>
          <w:rFonts w:cstheme="minorHAnsi"/>
          <w:sz w:val="24"/>
          <w:szCs w:val="24"/>
        </w:rPr>
        <w:t>, includ</w:t>
      </w:r>
      <w:r w:rsidR="001B6551">
        <w:rPr>
          <w:rFonts w:cstheme="minorHAnsi"/>
          <w:sz w:val="24"/>
          <w:szCs w:val="24"/>
        </w:rPr>
        <w:t>ing</w:t>
      </w:r>
      <w:r w:rsidR="00BE7758" w:rsidRPr="00990D35">
        <w:rPr>
          <w:rFonts w:cstheme="minorHAnsi"/>
          <w:sz w:val="24"/>
          <w:szCs w:val="24"/>
        </w:rPr>
        <w:t xml:space="preserve"> cardiology, </w:t>
      </w:r>
      <w:r w:rsidR="005D13D7" w:rsidRPr="00990D35">
        <w:rPr>
          <w:rFonts w:cstheme="minorHAnsi"/>
          <w:sz w:val="24"/>
          <w:szCs w:val="24"/>
        </w:rPr>
        <w:t xml:space="preserve">neurology, </w:t>
      </w:r>
      <w:r w:rsidR="00BE7758" w:rsidRPr="00990D35">
        <w:rPr>
          <w:rFonts w:cstheme="minorHAnsi"/>
          <w:sz w:val="24"/>
          <w:szCs w:val="24"/>
        </w:rPr>
        <w:t xml:space="preserve">oncology, and radiology. </w:t>
      </w:r>
    </w:p>
    <w:p w14:paraId="28B3E8AD" w14:textId="77777777" w:rsidR="00FA5C83" w:rsidRPr="00990D35" w:rsidRDefault="00FA5C83" w:rsidP="0068224A">
      <w:pPr>
        <w:pStyle w:val="NoSpacing"/>
        <w:contextualSpacing/>
        <w:rPr>
          <w:rFonts w:cstheme="minorHAnsi"/>
          <w:sz w:val="24"/>
          <w:szCs w:val="24"/>
        </w:rPr>
      </w:pPr>
    </w:p>
    <w:p w14:paraId="6E20C551" w14:textId="1C21CACF" w:rsidR="00FA5C83" w:rsidRDefault="00EA7764" w:rsidP="0068224A">
      <w:pPr>
        <w:pStyle w:val="NoSpacing"/>
        <w:contextualSpacing/>
        <w:rPr>
          <w:rFonts w:cs="Garamond"/>
          <w:color w:val="000000"/>
          <w:sz w:val="24"/>
          <w:szCs w:val="24"/>
        </w:rPr>
      </w:pPr>
      <w:r w:rsidRPr="00990D35">
        <w:rPr>
          <w:rFonts w:cstheme="minorHAnsi"/>
          <w:sz w:val="24"/>
          <w:szCs w:val="24"/>
        </w:rPr>
        <w:t xml:space="preserve">The </w:t>
      </w:r>
      <w:r w:rsidR="001B6551">
        <w:rPr>
          <w:rFonts w:cstheme="minorHAnsi"/>
          <w:sz w:val="24"/>
          <w:szCs w:val="24"/>
        </w:rPr>
        <w:t>DoN Application</w:t>
      </w:r>
      <w:r w:rsidRPr="00990D35">
        <w:rPr>
          <w:rFonts w:cstheme="minorHAnsi"/>
          <w:sz w:val="24"/>
          <w:szCs w:val="24"/>
        </w:rPr>
        <w:t xml:space="preserve"> </w:t>
      </w:r>
      <w:r w:rsidR="001B6551" w:rsidRPr="00990D35">
        <w:rPr>
          <w:rFonts w:cstheme="minorHAnsi"/>
          <w:sz w:val="24"/>
          <w:szCs w:val="24"/>
        </w:rPr>
        <w:t>to add a fourth CT unit</w:t>
      </w:r>
      <w:r w:rsidRPr="00990D35">
        <w:rPr>
          <w:rFonts w:cstheme="minorHAnsi"/>
          <w:sz w:val="24"/>
          <w:szCs w:val="24"/>
        </w:rPr>
        <w:t xml:space="preserve"> </w:t>
      </w:r>
      <w:r w:rsidR="001B6551">
        <w:rPr>
          <w:rFonts w:cstheme="minorHAnsi"/>
          <w:sz w:val="24"/>
          <w:szCs w:val="24"/>
        </w:rPr>
        <w:t xml:space="preserve">is proposed </w:t>
      </w:r>
      <w:r w:rsidRPr="00990D35">
        <w:rPr>
          <w:rFonts w:cstheme="minorHAnsi"/>
          <w:sz w:val="24"/>
          <w:szCs w:val="24"/>
        </w:rPr>
        <w:t xml:space="preserve">to expand capacity at the University campus to meet the needs of current and future patients by improving its CT service and providing timely access. </w:t>
      </w:r>
      <w:r w:rsidR="00FA5C83" w:rsidRPr="00990D35">
        <w:rPr>
          <w:rFonts w:cstheme="minorHAnsi"/>
          <w:sz w:val="24"/>
          <w:szCs w:val="24"/>
        </w:rPr>
        <w:t xml:space="preserve">The additional unit will be located in the </w:t>
      </w:r>
      <w:r w:rsidR="001B6551">
        <w:rPr>
          <w:rFonts w:cstheme="minorHAnsi"/>
          <w:sz w:val="24"/>
          <w:szCs w:val="24"/>
        </w:rPr>
        <w:t>ED</w:t>
      </w:r>
      <w:r w:rsidR="00FA5C83" w:rsidRPr="00990D35">
        <w:rPr>
          <w:rFonts w:cstheme="minorHAnsi"/>
          <w:sz w:val="24"/>
          <w:szCs w:val="24"/>
        </w:rPr>
        <w:t xml:space="preserve">, </w:t>
      </w:r>
      <w:r w:rsidR="00EE0B10" w:rsidRPr="00990D35">
        <w:rPr>
          <w:rFonts w:cstheme="minorHAnsi"/>
          <w:sz w:val="24"/>
          <w:szCs w:val="24"/>
        </w:rPr>
        <w:t>the second largest ED in the Commonwealth</w:t>
      </w:r>
      <w:r w:rsidR="00EE0B10">
        <w:rPr>
          <w:rFonts w:cstheme="minorHAnsi"/>
          <w:sz w:val="24"/>
          <w:szCs w:val="24"/>
        </w:rPr>
        <w:t xml:space="preserve">, </w:t>
      </w:r>
      <w:r w:rsidR="00FA5C83" w:rsidRPr="00990D35">
        <w:rPr>
          <w:rFonts w:cstheme="minorHAnsi"/>
          <w:sz w:val="24"/>
          <w:szCs w:val="24"/>
        </w:rPr>
        <w:t>resulting in two dedicated CT units serv</w:t>
      </w:r>
      <w:r w:rsidR="00A30ED8" w:rsidRPr="00990D35">
        <w:rPr>
          <w:rFonts w:cstheme="minorHAnsi"/>
          <w:sz w:val="24"/>
          <w:szCs w:val="24"/>
        </w:rPr>
        <w:t>ing</w:t>
      </w:r>
      <w:r w:rsidR="00FA5C83" w:rsidRPr="00990D35">
        <w:rPr>
          <w:rFonts w:cstheme="minorHAnsi"/>
          <w:sz w:val="24"/>
          <w:szCs w:val="24"/>
        </w:rPr>
        <w:t xml:space="preserve"> emergency patients. </w:t>
      </w:r>
      <w:r w:rsidR="00BE7758" w:rsidRPr="00990D35">
        <w:rPr>
          <w:rFonts w:cstheme="minorHAnsi"/>
          <w:sz w:val="24"/>
          <w:szCs w:val="24"/>
        </w:rPr>
        <w:t xml:space="preserve">The </w:t>
      </w:r>
      <w:r w:rsidR="00A4004B" w:rsidRPr="00990D35">
        <w:rPr>
          <w:rFonts w:cstheme="minorHAnsi"/>
          <w:sz w:val="24"/>
          <w:szCs w:val="24"/>
        </w:rPr>
        <w:t xml:space="preserve">site of the Proposed Project </w:t>
      </w:r>
      <w:r w:rsidR="00BE7758" w:rsidRPr="00990D35">
        <w:rPr>
          <w:rFonts w:cstheme="minorHAnsi"/>
          <w:sz w:val="24"/>
          <w:szCs w:val="24"/>
        </w:rPr>
        <w:t>is the only Level 1 trauma center</w:t>
      </w:r>
      <w:r w:rsidR="004D41D0" w:rsidRPr="00990D35">
        <w:rPr>
          <w:rFonts w:cstheme="minorHAnsi"/>
          <w:sz w:val="24"/>
          <w:szCs w:val="24"/>
        </w:rPr>
        <w:t xml:space="preserve"> </w:t>
      </w:r>
      <w:r w:rsidRPr="00990D35">
        <w:rPr>
          <w:rFonts w:cstheme="minorHAnsi"/>
          <w:sz w:val="24"/>
          <w:szCs w:val="24"/>
        </w:rPr>
        <w:t xml:space="preserve">for adults and pediatric patients </w:t>
      </w:r>
      <w:r w:rsidR="004D41D0" w:rsidRPr="00990D35">
        <w:rPr>
          <w:rFonts w:cstheme="minorHAnsi"/>
          <w:sz w:val="24"/>
          <w:szCs w:val="24"/>
        </w:rPr>
        <w:t>in Central Massachusetts,</w:t>
      </w:r>
      <w:r w:rsidR="004D41D0" w:rsidRPr="00990D35">
        <w:rPr>
          <w:rStyle w:val="FootnoteReference"/>
          <w:rFonts w:cstheme="minorHAnsi"/>
          <w:sz w:val="24"/>
          <w:szCs w:val="24"/>
        </w:rPr>
        <w:footnoteReference w:id="6"/>
      </w:r>
      <w:r w:rsidR="0034539B" w:rsidRPr="00990D35">
        <w:rPr>
          <w:rFonts w:cstheme="minorHAnsi"/>
          <w:sz w:val="24"/>
          <w:szCs w:val="24"/>
        </w:rPr>
        <w:t xml:space="preserve"> </w:t>
      </w:r>
      <w:r w:rsidR="00BE7758" w:rsidRPr="00990D35">
        <w:rPr>
          <w:rFonts w:cstheme="minorHAnsi"/>
          <w:sz w:val="24"/>
          <w:szCs w:val="24"/>
        </w:rPr>
        <w:t xml:space="preserve">and </w:t>
      </w:r>
      <w:r w:rsidR="00AB2027" w:rsidRPr="00990D35">
        <w:rPr>
          <w:rFonts w:cstheme="minorHAnsi"/>
          <w:sz w:val="24"/>
          <w:szCs w:val="24"/>
        </w:rPr>
        <w:t xml:space="preserve">is </w:t>
      </w:r>
      <w:r w:rsidR="00EE0B10">
        <w:rPr>
          <w:rFonts w:cstheme="minorHAnsi"/>
          <w:sz w:val="24"/>
          <w:szCs w:val="24"/>
        </w:rPr>
        <w:t>also a</w:t>
      </w:r>
      <w:r w:rsidR="00AB2027" w:rsidRPr="00990D35">
        <w:rPr>
          <w:rFonts w:cstheme="minorHAnsi"/>
          <w:sz w:val="24"/>
          <w:szCs w:val="24"/>
        </w:rPr>
        <w:t xml:space="preserve"> designated stroke center</w:t>
      </w:r>
      <w:r w:rsidR="00EE0B10">
        <w:rPr>
          <w:rFonts w:cstheme="minorHAnsi"/>
          <w:sz w:val="24"/>
          <w:szCs w:val="24"/>
        </w:rPr>
        <w:t xml:space="preserve"> and</w:t>
      </w:r>
      <w:r w:rsidR="00FA5C83" w:rsidRPr="00990D35">
        <w:rPr>
          <w:rFonts w:cstheme="minorHAnsi"/>
          <w:sz w:val="24"/>
          <w:szCs w:val="24"/>
        </w:rPr>
        <w:t xml:space="preserve"> </w:t>
      </w:r>
      <w:r w:rsidR="00EE0B10">
        <w:rPr>
          <w:rFonts w:cstheme="minorHAnsi"/>
          <w:sz w:val="24"/>
          <w:szCs w:val="24"/>
        </w:rPr>
        <w:t xml:space="preserve">therefore </w:t>
      </w:r>
      <w:r w:rsidR="00FA5C83" w:rsidRPr="00990D35">
        <w:rPr>
          <w:rFonts w:cstheme="minorHAnsi"/>
          <w:sz w:val="24"/>
          <w:szCs w:val="24"/>
        </w:rPr>
        <w:t>need</w:t>
      </w:r>
      <w:r w:rsidR="00811A85">
        <w:rPr>
          <w:rFonts w:cstheme="minorHAnsi"/>
          <w:sz w:val="24"/>
          <w:szCs w:val="24"/>
        </w:rPr>
        <w:t>s</w:t>
      </w:r>
      <w:r w:rsidR="00FA5C83" w:rsidRPr="00990D35">
        <w:rPr>
          <w:rFonts w:cstheme="minorHAnsi"/>
          <w:sz w:val="24"/>
          <w:szCs w:val="24"/>
        </w:rPr>
        <w:t xml:space="preserve"> </w:t>
      </w:r>
      <w:r w:rsidR="00D402EE" w:rsidRPr="00990D35">
        <w:rPr>
          <w:rFonts w:cstheme="minorHAnsi"/>
          <w:sz w:val="24"/>
          <w:szCs w:val="24"/>
        </w:rPr>
        <w:t>to ensure timely access to CT</w:t>
      </w:r>
      <w:r w:rsidR="00FA5C83" w:rsidRPr="00990D35">
        <w:rPr>
          <w:rFonts w:cstheme="minorHAnsi"/>
          <w:sz w:val="24"/>
          <w:szCs w:val="24"/>
        </w:rPr>
        <w:t xml:space="preserve"> for all </w:t>
      </w:r>
      <w:r w:rsidR="00D402EE" w:rsidRPr="00990D35">
        <w:rPr>
          <w:rFonts w:cstheme="minorHAnsi"/>
          <w:sz w:val="24"/>
          <w:szCs w:val="24"/>
        </w:rPr>
        <w:t>ED patients</w:t>
      </w:r>
      <w:r w:rsidR="00AB4AF2" w:rsidRPr="00990D35">
        <w:rPr>
          <w:rFonts w:cstheme="minorHAnsi"/>
          <w:sz w:val="24"/>
          <w:szCs w:val="24"/>
        </w:rPr>
        <w:t xml:space="preserve"> </w:t>
      </w:r>
      <w:r w:rsidR="00FA5C83" w:rsidRPr="00990D35">
        <w:rPr>
          <w:rFonts w:cstheme="minorHAnsi"/>
          <w:sz w:val="24"/>
          <w:szCs w:val="24"/>
        </w:rPr>
        <w:t>in the service area.</w:t>
      </w:r>
      <w:r w:rsidR="0034539B" w:rsidRPr="00990D35">
        <w:rPr>
          <w:rFonts w:ascii="Garamond" w:hAnsi="Garamond" w:cs="Garamond"/>
          <w:color w:val="000000"/>
          <w:sz w:val="24"/>
          <w:szCs w:val="24"/>
        </w:rPr>
        <w:t xml:space="preserve"> </w:t>
      </w:r>
      <w:r w:rsidR="00990D35" w:rsidRPr="00990D35">
        <w:rPr>
          <w:rFonts w:cs="Garamond"/>
          <w:color w:val="000000"/>
          <w:sz w:val="24"/>
          <w:szCs w:val="24"/>
        </w:rPr>
        <w:t xml:space="preserve">Currently, the </w:t>
      </w:r>
      <w:r w:rsidR="00032F3E">
        <w:rPr>
          <w:rFonts w:cs="Garamond"/>
          <w:color w:val="000000"/>
          <w:sz w:val="24"/>
          <w:szCs w:val="24"/>
        </w:rPr>
        <w:t xml:space="preserve">University Campus’ </w:t>
      </w:r>
      <w:r w:rsidR="00990D35" w:rsidRPr="00990D35">
        <w:rPr>
          <w:rFonts w:cs="Garamond"/>
          <w:color w:val="000000"/>
          <w:sz w:val="24"/>
          <w:szCs w:val="24"/>
        </w:rPr>
        <w:t xml:space="preserve"> </w:t>
      </w:r>
      <w:r w:rsidR="00990D35">
        <w:rPr>
          <w:rFonts w:cs="Garamond"/>
          <w:color w:val="000000"/>
          <w:sz w:val="24"/>
          <w:szCs w:val="24"/>
        </w:rPr>
        <w:t xml:space="preserve">ED’s </w:t>
      </w:r>
      <w:r w:rsidR="00990D35" w:rsidRPr="00990D35">
        <w:rPr>
          <w:rFonts w:cs="Garamond"/>
          <w:color w:val="000000"/>
          <w:sz w:val="24"/>
          <w:szCs w:val="24"/>
        </w:rPr>
        <w:t xml:space="preserve">existing </w:t>
      </w:r>
      <w:r w:rsidR="00990D35">
        <w:rPr>
          <w:rFonts w:cs="Garamond"/>
          <w:color w:val="000000"/>
          <w:sz w:val="24"/>
          <w:szCs w:val="24"/>
        </w:rPr>
        <w:t xml:space="preserve">CT </w:t>
      </w:r>
      <w:r w:rsidR="00990D35" w:rsidRPr="00990D35">
        <w:rPr>
          <w:rFonts w:cs="Garamond"/>
          <w:color w:val="000000"/>
          <w:sz w:val="24"/>
          <w:szCs w:val="24"/>
        </w:rPr>
        <w:t xml:space="preserve">unit </w:t>
      </w:r>
      <w:r w:rsidR="00EE0B10">
        <w:rPr>
          <w:rFonts w:cs="Garamond"/>
          <w:color w:val="000000"/>
          <w:sz w:val="24"/>
          <w:szCs w:val="24"/>
        </w:rPr>
        <w:t xml:space="preserve">is operating </w:t>
      </w:r>
      <w:r w:rsidR="00990D35" w:rsidRPr="00990D35">
        <w:rPr>
          <w:rFonts w:cs="Garamond"/>
          <w:color w:val="000000"/>
          <w:sz w:val="24"/>
          <w:szCs w:val="24"/>
        </w:rPr>
        <w:t xml:space="preserve">above capacity resulting in significant </w:t>
      </w:r>
      <w:r w:rsidR="00990D35">
        <w:rPr>
          <w:rFonts w:cs="Garamond"/>
          <w:color w:val="000000"/>
          <w:sz w:val="24"/>
          <w:szCs w:val="24"/>
        </w:rPr>
        <w:t xml:space="preserve">patient </w:t>
      </w:r>
      <w:r w:rsidR="00990D35" w:rsidRPr="00990D35">
        <w:rPr>
          <w:rFonts w:cs="Garamond"/>
          <w:color w:val="000000"/>
          <w:sz w:val="24"/>
          <w:szCs w:val="24"/>
        </w:rPr>
        <w:t>delays</w:t>
      </w:r>
      <w:r w:rsidR="00990D35">
        <w:rPr>
          <w:rFonts w:cs="Garamond"/>
          <w:color w:val="000000"/>
          <w:sz w:val="24"/>
          <w:szCs w:val="24"/>
        </w:rPr>
        <w:t>, and increased CT unit downtime</w:t>
      </w:r>
      <w:r w:rsidR="00990D35" w:rsidRPr="00990D35">
        <w:rPr>
          <w:rFonts w:cs="Garamond"/>
          <w:color w:val="000000"/>
          <w:sz w:val="24"/>
          <w:szCs w:val="24"/>
        </w:rPr>
        <w:t xml:space="preserve"> </w:t>
      </w:r>
      <w:r w:rsidR="00990D35">
        <w:rPr>
          <w:rFonts w:cs="Garamond"/>
          <w:color w:val="000000"/>
          <w:sz w:val="24"/>
          <w:szCs w:val="24"/>
        </w:rPr>
        <w:t xml:space="preserve">leading to </w:t>
      </w:r>
      <w:r w:rsidR="00990D35" w:rsidRPr="00990D35">
        <w:rPr>
          <w:rFonts w:cs="Garamond"/>
          <w:color w:val="000000"/>
          <w:sz w:val="24"/>
          <w:szCs w:val="24"/>
        </w:rPr>
        <w:t>suboptimal ED throughput</w:t>
      </w:r>
      <w:r w:rsidR="00EE0B10">
        <w:rPr>
          <w:rFonts w:cs="Garamond"/>
          <w:color w:val="000000"/>
          <w:sz w:val="24"/>
          <w:szCs w:val="24"/>
        </w:rPr>
        <w:t>.</w:t>
      </w:r>
      <w:r w:rsidR="00990D35">
        <w:rPr>
          <w:rFonts w:cs="Garamond"/>
          <w:color w:val="000000"/>
          <w:sz w:val="24"/>
          <w:szCs w:val="24"/>
        </w:rPr>
        <w:t xml:space="preserve"> </w:t>
      </w:r>
    </w:p>
    <w:p w14:paraId="3FD65CFC" w14:textId="77777777" w:rsidR="00990D35" w:rsidRPr="00990D35" w:rsidRDefault="00990D35" w:rsidP="0068224A">
      <w:pPr>
        <w:pStyle w:val="NoSpacing"/>
        <w:contextualSpacing/>
        <w:rPr>
          <w:rFonts w:cstheme="minorHAnsi"/>
          <w:sz w:val="24"/>
          <w:szCs w:val="24"/>
        </w:rPr>
      </w:pPr>
    </w:p>
    <w:p w14:paraId="04464FF2" w14:textId="296FAECD" w:rsidR="00AB4AF2" w:rsidRPr="00990D35" w:rsidRDefault="007F4A4A" w:rsidP="0068224A">
      <w:pPr>
        <w:pStyle w:val="NoSpacing"/>
        <w:contextualSpacing/>
        <w:rPr>
          <w:rFonts w:cstheme="minorHAnsi"/>
          <w:sz w:val="24"/>
          <w:szCs w:val="24"/>
        </w:rPr>
      </w:pPr>
      <w:r>
        <w:rPr>
          <w:rFonts w:cstheme="minorHAnsi"/>
          <w:sz w:val="24"/>
          <w:szCs w:val="24"/>
        </w:rPr>
        <w:t xml:space="preserve">While </w:t>
      </w:r>
      <w:r w:rsidRPr="00990D35">
        <w:rPr>
          <w:rFonts w:cstheme="minorHAnsi"/>
          <w:sz w:val="24"/>
          <w:szCs w:val="24"/>
        </w:rPr>
        <w:t>renovation of</w:t>
      </w:r>
      <w:r>
        <w:rPr>
          <w:rFonts w:cstheme="minorHAnsi"/>
          <w:sz w:val="24"/>
          <w:szCs w:val="24"/>
        </w:rPr>
        <w:t xml:space="preserve"> </w:t>
      </w:r>
      <w:r w:rsidRPr="00990D35">
        <w:rPr>
          <w:rFonts w:cstheme="minorHAnsi"/>
          <w:sz w:val="24"/>
          <w:szCs w:val="24"/>
        </w:rPr>
        <w:t>1,539 gross square feet (GSF)</w:t>
      </w:r>
      <w:r>
        <w:rPr>
          <w:rFonts w:cstheme="minorHAnsi"/>
          <w:sz w:val="24"/>
          <w:szCs w:val="24"/>
        </w:rPr>
        <w:t xml:space="preserve"> is required, t</w:t>
      </w:r>
      <w:r w:rsidR="00FA5C83" w:rsidRPr="00990D35">
        <w:rPr>
          <w:rFonts w:cstheme="minorHAnsi"/>
          <w:sz w:val="24"/>
          <w:szCs w:val="24"/>
        </w:rPr>
        <w:t>here is no new construction associated with this Proposed Project</w:t>
      </w:r>
      <w:r w:rsidR="00AB4AF2" w:rsidRPr="00990D35">
        <w:rPr>
          <w:rFonts w:cstheme="minorHAnsi"/>
          <w:sz w:val="24"/>
          <w:szCs w:val="24"/>
        </w:rPr>
        <w:t xml:space="preserve">. </w:t>
      </w:r>
    </w:p>
    <w:p w14:paraId="41959DA1" w14:textId="77777777" w:rsidR="00811A85" w:rsidRDefault="00811A85" w:rsidP="00575366">
      <w:pPr>
        <w:pStyle w:val="Heading1"/>
        <w:ind w:left="0"/>
        <w:rPr>
          <w:b/>
        </w:rPr>
      </w:pPr>
    </w:p>
    <w:p w14:paraId="592B24F2" w14:textId="5FBF1BAD" w:rsidR="00575366" w:rsidRPr="00575366" w:rsidRDefault="00575366" w:rsidP="00575366">
      <w:pPr>
        <w:pStyle w:val="Heading1"/>
        <w:ind w:left="0"/>
        <w:rPr>
          <w:b/>
        </w:rPr>
      </w:pPr>
      <w:r w:rsidRPr="00575366">
        <w:rPr>
          <w:b/>
        </w:rPr>
        <w:t xml:space="preserve">Factor 1 </w:t>
      </w:r>
    </w:p>
    <w:p w14:paraId="066BB7B6" w14:textId="67354515" w:rsidR="00693BED" w:rsidRPr="00990D35" w:rsidRDefault="00575366" w:rsidP="00575366">
      <w:pPr>
        <w:pStyle w:val="NoSpacing"/>
        <w:contextualSpacing/>
        <w:rPr>
          <w:rFonts w:cstheme="minorHAnsi"/>
          <w:sz w:val="24"/>
          <w:szCs w:val="24"/>
        </w:rPr>
      </w:pPr>
      <w:r w:rsidRPr="00575366">
        <w:rPr>
          <w:rFonts w:cstheme="minorHAnsi"/>
          <w:sz w:val="24"/>
          <w:szCs w:val="24"/>
        </w:rPr>
        <w:t>In this section, we assess if the Applicant has sufficiently addressed patient panel need, public health value, competitiveness and cost containment, and community engagement for the expansion of the CT service.</w:t>
      </w:r>
    </w:p>
    <w:p w14:paraId="1C8B5726" w14:textId="77777777" w:rsidR="00575366" w:rsidRDefault="00575366" w:rsidP="00591160">
      <w:pPr>
        <w:pStyle w:val="Heading1"/>
        <w:ind w:left="0"/>
        <w:rPr>
          <w:rStyle w:val="Heading1Char"/>
          <w:b/>
        </w:rPr>
      </w:pPr>
    </w:p>
    <w:p w14:paraId="68889B8C" w14:textId="77777777" w:rsidR="009F1A90" w:rsidRPr="00104CC1" w:rsidRDefault="00693BED" w:rsidP="00591160">
      <w:pPr>
        <w:pStyle w:val="Heading1"/>
        <w:ind w:left="0"/>
        <w:rPr>
          <w:rStyle w:val="Heading1Char"/>
          <w:b/>
        </w:rPr>
      </w:pPr>
      <w:r w:rsidRPr="00104CC1">
        <w:rPr>
          <w:rStyle w:val="Heading1Char"/>
          <w:b/>
        </w:rPr>
        <w:t>Patient Panel</w:t>
      </w:r>
      <w:r w:rsidRPr="00104CC1">
        <w:rPr>
          <w:rFonts w:cstheme="minorHAnsi"/>
          <w:b/>
          <w:sz w:val="24"/>
          <w:szCs w:val="24"/>
          <w:vertAlign w:val="superscript"/>
        </w:rPr>
        <w:footnoteReference w:id="7"/>
      </w:r>
    </w:p>
    <w:p w14:paraId="0D4E10E1" w14:textId="4C9601AE" w:rsidR="00B044A9" w:rsidRPr="005B4A74" w:rsidRDefault="00B044A9" w:rsidP="00F62CAE">
      <w:pPr>
        <w:pStyle w:val="NoSpacing"/>
        <w:spacing w:before="240"/>
        <w:contextualSpacing/>
        <w:rPr>
          <w:rFonts w:cstheme="minorHAnsi"/>
          <w:sz w:val="24"/>
          <w:szCs w:val="24"/>
        </w:rPr>
      </w:pPr>
      <w:r w:rsidRPr="00575366">
        <w:rPr>
          <w:b/>
          <w:sz w:val="24"/>
          <w:szCs w:val="24"/>
        </w:rPr>
        <w:t>UMass Memorial Health Care</w:t>
      </w:r>
      <w:r w:rsidR="00E9726D" w:rsidRPr="00575366">
        <w:rPr>
          <w:b/>
          <w:sz w:val="24"/>
          <w:szCs w:val="24"/>
        </w:rPr>
        <w:t>. Inc.</w:t>
      </w:r>
      <w:r w:rsidR="006D6A7F" w:rsidRPr="00575366">
        <w:rPr>
          <w:b/>
          <w:sz w:val="24"/>
          <w:szCs w:val="24"/>
        </w:rPr>
        <w:t xml:space="preserve"> and UMMMC</w:t>
      </w:r>
      <w:r w:rsidRPr="005B4A74">
        <w:rPr>
          <w:sz w:val="24"/>
          <w:szCs w:val="24"/>
        </w:rPr>
        <w:t xml:space="preserve"> </w:t>
      </w:r>
    </w:p>
    <w:p w14:paraId="0D4B379C" w14:textId="3D5C6432" w:rsidR="00A31C4C" w:rsidRDefault="00B044A9" w:rsidP="00A31C4C">
      <w:pPr>
        <w:rPr>
          <w:sz w:val="24"/>
          <w:szCs w:val="24"/>
        </w:rPr>
      </w:pPr>
      <w:r>
        <w:rPr>
          <w:sz w:val="24"/>
          <w:szCs w:val="24"/>
        </w:rPr>
        <w:t xml:space="preserve">The Applicant reports </w:t>
      </w:r>
      <w:r w:rsidR="008C3444">
        <w:rPr>
          <w:sz w:val="24"/>
          <w:szCs w:val="24"/>
        </w:rPr>
        <w:t xml:space="preserve">the </w:t>
      </w:r>
      <w:r w:rsidRPr="00B044A9">
        <w:rPr>
          <w:sz w:val="24"/>
          <w:szCs w:val="24"/>
        </w:rPr>
        <w:t xml:space="preserve">UMMHC </w:t>
      </w:r>
      <w:r w:rsidR="008C3444">
        <w:rPr>
          <w:sz w:val="24"/>
          <w:szCs w:val="24"/>
        </w:rPr>
        <w:t xml:space="preserve">system </w:t>
      </w:r>
      <w:r w:rsidRPr="00B044A9">
        <w:rPr>
          <w:sz w:val="24"/>
          <w:szCs w:val="24"/>
        </w:rPr>
        <w:t xml:space="preserve">serves a large and diverse </w:t>
      </w:r>
      <w:r w:rsidR="006967BD">
        <w:rPr>
          <w:sz w:val="24"/>
          <w:szCs w:val="24"/>
        </w:rPr>
        <w:t>P</w:t>
      </w:r>
      <w:r w:rsidRPr="00B044A9">
        <w:rPr>
          <w:sz w:val="24"/>
          <w:szCs w:val="24"/>
        </w:rPr>
        <w:t xml:space="preserve">atient </w:t>
      </w:r>
      <w:r w:rsidR="006967BD">
        <w:rPr>
          <w:sz w:val="24"/>
          <w:szCs w:val="24"/>
        </w:rPr>
        <w:t>P</w:t>
      </w:r>
      <w:r w:rsidRPr="00B044A9">
        <w:rPr>
          <w:sz w:val="24"/>
          <w:szCs w:val="24"/>
        </w:rPr>
        <w:t xml:space="preserve">anel, caring for over 370,000 patients each year at its hospitals, urgent care clinics, and physician groups. </w:t>
      </w:r>
      <w:r w:rsidR="00BD3C75" w:rsidRPr="00EB2FDA">
        <w:rPr>
          <w:sz w:val="24"/>
          <w:szCs w:val="24"/>
        </w:rPr>
        <w:t xml:space="preserve">Table </w:t>
      </w:r>
      <w:r w:rsidR="00EB2FDA">
        <w:rPr>
          <w:sz w:val="24"/>
          <w:szCs w:val="24"/>
        </w:rPr>
        <w:t xml:space="preserve">2 </w:t>
      </w:r>
      <w:r w:rsidR="00BD3C75">
        <w:rPr>
          <w:sz w:val="24"/>
          <w:szCs w:val="24"/>
        </w:rPr>
        <w:t xml:space="preserve">shows the Patient Panel of UMMHC and the </w:t>
      </w:r>
      <w:r w:rsidR="006967BD">
        <w:rPr>
          <w:sz w:val="24"/>
          <w:szCs w:val="24"/>
        </w:rPr>
        <w:t xml:space="preserve">subset of people who utilize </w:t>
      </w:r>
      <w:r w:rsidR="00BD3C75">
        <w:rPr>
          <w:sz w:val="24"/>
          <w:szCs w:val="24"/>
        </w:rPr>
        <w:t>UMMMC</w:t>
      </w:r>
      <w:r w:rsidR="008C3444">
        <w:rPr>
          <w:sz w:val="24"/>
          <w:szCs w:val="24"/>
        </w:rPr>
        <w:t xml:space="preserve"> </w:t>
      </w:r>
      <w:r w:rsidR="006967BD">
        <w:rPr>
          <w:sz w:val="24"/>
          <w:szCs w:val="24"/>
        </w:rPr>
        <w:t xml:space="preserve">(to be referred to as UMMMC’s patient population henceforth in this report) </w:t>
      </w:r>
      <w:r w:rsidR="00BD3C75">
        <w:rPr>
          <w:sz w:val="24"/>
          <w:szCs w:val="24"/>
        </w:rPr>
        <w:t xml:space="preserve">for the </w:t>
      </w:r>
      <w:r w:rsidR="0066796F">
        <w:rPr>
          <w:sz w:val="24"/>
          <w:szCs w:val="24"/>
        </w:rPr>
        <w:t>36-month</w:t>
      </w:r>
      <w:r w:rsidR="00BD3C75">
        <w:rPr>
          <w:sz w:val="24"/>
          <w:szCs w:val="24"/>
        </w:rPr>
        <w:t xml:space="preserve"> period FY 2019-2021. </w:t>
      </w:r>
      <w:r w:rsidR="00A31C4C" w:rsidRPr="00A31C4C">
        <w:rPr>
          <w:sz w:val="24"/>
          <w:szCs w:val="24"/>
        </w:rPr>
        <w:t xml:space="preserve">Note </w:t>
      </w:r>
      <w:r w:rsidR="00A31C4C">
        <w:rPr>
          <w:sz w:val="24"/>
          <w:szCs w:val="24"/>
        </w:rPr>
        <w:t>the following</w:t>
      </w:r>
      <w:r w:rsidR="0066796F">
        <w:rPr>
          <w:sz w:val="24"/>
          <w:szCs w:val="24"/>
        </w:rPr>
        <w:t>:</w:t>
      </w:r>
    </w:p>
    <w:p w14:paraId="0A5B72E9" w14:textId="65ED9CC2" w:rsidR="00C06A76" w:rsidRPr="00C06A76" w:rsidRDefault="00C06A76" w:rsidP="006A1E9B">
      <w:pPr>
        <w:pStyle w:val="ListParagraph"/>
        <w:numPr>
          <w:ilvl w:val="0"/>
          <w:numId w:val="1"/>
        </w:numPr>
        <w:rPr>
          <w:sz w:val="24"/>
          <w:szCs w:val="24"/>
        </w:rPr>
      </w:pPr>
      <w:r w:rsidRPr="00C06A76">
        <w:rPr>
          <w:sz w:val="24"/>
          <w:szCs w:val="24"/>
        </w:rPr>
        <w:t>T</w:t>
      </w:r>
      <w:r w:rsidR="00A31C4C" w:rsidRPr="00C06A76">
        <w:rPr>
          <w:sz w:val="24"/>
          <w:szCs w:val="24"/>
        </w:rPr>
        <w:t>he University site comprises ~75% of overall UMMHC patients in the system</w:t>
      </w:r>
      <w:r w:rsidRPr="00C06A76">
        <w:rPr>
          <w:sz w:val="24"/>
          <w:szCs w:val="24"/>
        </w:rPr>
        <w:t>.</w:t>
      </w:r>
    </w:p>
    <w:p w14:paraId="67A39A43" w14:textId="65B05463" w:rsidR="00C06A76" w:rsidRPr="00C06A76" w:rsidRDefault="00A31C4C" w:rsidP="006A1E9B">
      <w:pPr>
        <w:pStyle w:val="ListParagraph"/>
        <w:numPr>
          <w:ilvl w:val="0"/>
          <w:numId w:val="1"/>
        </w:numPr>
        <w:rPr>
          <w:sz w:val="24"/>
          <w:szCs w:val="24"/>
        </w:rPr>
      </w:pPr>
      <w:r w:rsidRPr="00C06A76">
        <w:rPr>
          <w:sz w:val="24"/>
          <w:szCs w:val="24"/>
        </w:rPr>
        <w:lastRenderedPageBreak/>
        <w:t>Over the three years</w:t>
      </w:r>
      <w:r w:rsidR="008A7F77">
        <w:rPr>
          <w:sz w:val="24"/>
          <w:szCs w:val="24"/>
        </w:rPr>
        <w:t>, both UMMHC’s Patient Panel and UMMMC’s</w:t>
      </w:r>
      <w:r w:rsidRPr="00C06A76">
        <w:rPr>
          <w:sz w:val="24"/>
          <w:szCs w:val="24"/>
        </w:rPr>
        <w:t xml:space="preserve"> </w:t>
      </w:r>
      <w:r w:rsidR="008A7F77">
        <w:rPr>
          <w:sz w:val="24"/>
          <w:szCs w:val="24"/>
        </w:rPr>
        <w:t>patient</w:t>
      </w:r>
      <w:r w:rsidRPr="00C06A76">
        <w:rPr>
          <w:sz w:val="24"/>
          <w:szCs w:val="24"/>
        </w:rPr>
        <w:t xml:space="preserve"> population grew nearly 6%</w:t>
      </w:r>
      <w:r w:rsidR="00C06A76" w:rsidRPr="00C06A76">
        <w:rPr>
          <w:sz w:val="24"/>
          <w:szCs w:val="24"/>
        </w:rPr>
        <w:t>.</w:t>
      </w:r>
      <w:r w:rsidRPr="00C06A76">
        <w:rPr>
          <w:sz w:val="24"/>
          <w:szCs w:val="24"/>
        </w:rPr>
        <w:t xml:space="preserve"> </w:t>
      </w:r>
    </w:p>
    <w:p w14:paraId="276A4325" w14:textId="70EF357A" w:rsidR="00A31C4C" w:rsidRDefault="00E358E9" w:rsidP="006A1E9B">
      <w:pPr>
        <w:pStyle w:val="ListParagraph"/>
        <w:numPr>
          <w:ilvl w:val="0"/>
          <w:numId w:val="1"/>
        </w:numPr>
        <w:rPr>
          <w:sz w:val="24"/>
          <w:szCs w:val="24"/>
        </w:rPr>
      </w:pPr>
      <w:r>
        <w:rPr>
          <w:sz w:val="24"/>
          <w:szCs w:val="24"/>
        </w:rPr>
        <w:t>D</w:t>
      </w:r>
      <w:r w:rsidR="00A31C4C" w:rsidRPr="00C06A76">
        <w:rPr>
          <w:sz w:val="24"/>
          <w:szCs w:val="24"/>
        </w:rPr>
        <w:t xml:space="preserve">uring the </w:t>
      </w:r>
      <w:r w:rsidR="0095760D">
        <w:rPr>
          <w:sz w:val="24"/>
          <w:szCs w:val="24"/>
        </w:rPr>
        <w:t>2020 fiscal year</w:t>
      </w:r>
      <w:r w:rsidR="0066796F">
        <w:rPr>
          <w:sz w:val="24"/>
          <w:szCs w:val="24"/>
        </w:rPr>
        <w:t xml:space="preserve">, </w:t>
      </w:r>
      <w:r w:rsidR="0095760D">
        <w:rPr>
          <w:sz w:val="24"/>
          <w:szCs w:val="24"/>
        </w:rPr>
        <w:t>there was ~ 7%</w:t>
      </w:r>
      <w:r w:rsidR="00A31C4C" w:rsidRPr="00C06A76">
        <w:rPr>
          <w:sz w:val="24"/>
          <w:szCs w:val="24"/>
        </w:rPr>
        <w:t xml:space="preserve"> decline in patients at </w:t>
      </w:r>
      <w:r>
        <w:rPr>
          <w:sz w:val="24"/>
          <w:szCs w:val="24"/>
        </w:rPr>
        <w:t xml:space="preserve">both </w:t>
      </w:r>
      <w:r w:rsidR="00A31C4C" w:rsidRPr="00C06A76">
        <w:rPr>
          <w:sz w:val="24"/>
          <w:szCs w:val="24"/>
        </w:rPr>
        <w:t>UMMHC and UMMMC</w:t>
      </w:r>
      <w:r w:rsidR="0095760D">
        <w:rPr>
          <w:sz w:val="24"/>
          <w:szCs w:val="24"/>
        </w:rPr>
        <w:t xml:space="preserve"> that</w:t>
      </w:r>
      <w:r w:rsidR="0066796F">
        <w:rPr>
          <w:sz w:val="24"/>
          <w:szCs w:val="24"/>
        </w:rPr>
        <w:t xml:space="preserve"> the Applicant </w:t>
      </w:r>
      <w:r w:rsidR="00A31C4C" w:rsidRPr="00C06A76">
        <w:rPr>
          <w:sz w:val="24"/>
          <w:szCs w:val="24"/>
        </w:rPr>
        <w:t>attribut</w:t>
      </w:r>
      <w:r w:rsidR="0066796F">
        <w:rPr>
          <w:sz w:val="24"/>
          <w:szCs w:val="24"/>
        </w:rPr>
        <w:t>es</w:t>
      </w:r>
      <w:r w:rsidR="00A31C4C" w:rsidRPr="00C06A76">
        <w:rPr>
          <w:sz w:val="24"/>
          <w:szCs w:val="24"/>
        </w:rPr>
        <w:t xml:space="preserve"> to the Covid 19 emergency.</w:t>
      </w:r>
      <w:r w:rsidR="0066796F">
        <w:rPr>
          <w:sz w:val="24"/>
          <w:szCs w:val="24"/>
        </w:rPr>
        <w:t xml:space="preserve"> </w:t>
      </w:r>
    </w:p>
    <w:p w14:paraId="15EDB182" w14:textId="77777777" w:rsidR="0095760D" w:rsidRPr="00C06A76" w:rsidRDefault="0095760D" w:rsidP="0095760D">
      <w:pPr>
        <w:pStyle w:val="ListParagraph"/>
        <w:rPr>
          <w:sz w:val="24"/>
          <w:szCs w:val="24"/>
        </w:rPr>
      </w:pPr>
    </w:p>
    <w:p w14:paraId="42EF632E" w14:textId="1CBE584A" w:rsidR="00BD3C75" w:rsidRPr="007F4A4A" w:rsidRDefault="00BD3C75" w:rsidP="00207CEB">
      <w:pPr>
        <w:pStyle w:val="FootnoteText"/>
        <w:jc w:val="center"/>
        <w:rPr>
          <w:b/>
          <w:bCs/>
          <w:sz w:val="24"/>
          <w:szCs w:val="24"/>
        </w:rPr>
      </w:pPr>
      <w:r w:rsidRPr="00EB2FDA">
        <w:rPr>
          <w:b/>
          <w:bCs/>
          <w:sz w:val="24"/>
          <w:szCs w:val="24"/>
          <w:u w:val="single"/>
        </w:rPr>
        <w:t>Table</w:t>
      </w:r>
      <w:r w:rsidR="00A30ED8" w:rsidRPr="00EB2FDA">
        <w:rPr>
          <w:b/>
          <w:bCs/>
          <w:u w:val="single"/>
        </w:rPr>
        <w:t xml:space="preserve"> </w:t>
      </w:r>
      <w:r w:rsidR="00EB2FDA" w:rsidRPr="00EB2FDA">
        <w:rPr>
          <w:b/>
          <w:bCs/>
          <w:sz w:val="24"/>
          <w:szCs w:val="24"/>
          <w:u w:val="single"/>
        </w:rPr>
        <w:t>2</w:t>
      </w:r>
      <w:r w:rsidR="006967BD" w:rsidRPr="007F4A4A">
        <w:rPr>
          <w:b/>
          <w:bCs/>
          <w:sz w:val="24"/>
          <w:szCs w:val="24"/>
        </w:rPr>
        <w:t>: Patient Panel Data for UMMHC</w:t>
      </w:r>
      <w:r w:rsidR="00837221">
        <w:rPr>
          <w:b/>
          <w:bCs/>
          <w:sz w:val="24"/>
          <w:szCs w:val="24"/>
        </w:rPr>
        <w:t xml:space="preserve"> System</w:t>
      </w:r>
      <w:r w:rsidR="006967BD" w:rsidRPr="007F4A4A">
        <w:rPr>
          <w:b/>
          <w:bCs/>
          <w:sz w:val="24"/>
          <w:szCs w:val="24"/>
        </w:rPr>
        <w:t xml:space="preserve"> and Patient Population Data for UMMMC</w:t>
      </w:r>
      <w:r w:rsidR="00837221">
        <w:rPr>
          <w:b/>
          <w:bCs/>
          <w:sz w:val="24"/>
          <w:szCs w:val="24"/>
        </w:rPr>
        <w:t xml:space="preserve"> </w:t>
      </w:r>
      <w:r w:rsidR="00B07221">
        <w:rPr>
          <w:b/>
          <w:bCs/>
          <w:sz w:val="24"/>
          <w:szCs w:val="24"/>
        </w:rPr>
        <w:t>“</w:t>
      </w:r>
      <w:r w:rsidR="00837221">
        <w:rPr>
          <w:b/>
          <w:bCs/>
          <w:sz w:val="24"/>
          <w:szCs w:val="24"/>
        </w:rPr>
        <w:t>Hospital</w:t>
      </w:r>
      <w:r w:rsidR="00B07221">
        <w:rPr>
          <w:b/>
          <w:bCs/>
          <w:sz w:val="24"/>
          <w:szCs w:val="24"/>
        </w:rPr>
        <w:t>”</w:t>
      </w:r>
    </w:p>
    <w:p w14:paraId="28F139DE" w14:textId="794A3CBF" w:rsidR="00E52A3F" w:rsidRDefault="00E52A3F" w:rsidP="00104CC1">
      <w:pPr>
        <w:pStyle w:val="FootnoteText"/>
        <w:rPr>
          <w:sz w:val="24"/>
          <w:szCs w:val="24"/>
        </w:rPr>
      </w:pPr>
    </w:p>
    <w:tbl>
      <w:tblPr>
        <w:tblStyle w:val="TableGrid"/>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Description w:val="Table 2: Patient Panel Data for UMMHC System and Patient Population Data for UMMMC “Hospital”"/>
      </w:tblPr>
      <w:tblGrid>
        <w:gridCol w:w="3888"/>
        <w:gridCol w:w="1530"/>
        <w:gridCol w:w="1440"/>
        <w:gridCol w:w="1440"/>
      </w:tblGrid>
      <w:tr w:rsidR="00E52A3F" w14:paraId="331EA869" w14:textId="77777777" w:rsidTr="00272222">
        <w:trPr>
          <w:tblHeader/>
          <w:jc w:val="center"/>
        </w:trPr>
        <w:tc>
          <w:tcPr>
            <w:tcW w:w="3888" w:type="dxa"/>
          </w:tcPr>
          <w:p w14:paraId="1F854A21" w14:textId="068B2E46" w:rsidR="00E52A3F" w:rsidRDefault="00E52A3F" w:rsidP="00104CC1">
            <w:pPr>
              <w:pStyle w:val="FootnoteText"/>
              <w:rPr>
                <w:sz w:val="24"/>
                <w:szCs w:val="24"/>
              </w:rPr>
            </w:pPr>
          </w:p>
        </w:tc>
        <w:tc>
          <w:tcPr>
            <w:tcW w:w="1530" w:type="dxa"/>
          </w:tcPr>
          <w:p w14:paraId="57798D28" w14:textId="1744A86C" w:rsidR="00E52A3F" w:rsidRDefault="00E52A3F" w:rsidP="00B07221">
            <w:pPr>
              <w:pStyle w:val="FootnoteText"/>
              <w:jc w:val="center"/>
              <w:rPr>
                <w:sz w:val="24"/>
                <w:szCs w:val="24"/>
              </w:rPr>
            </w:pPr>
            <w:r>
              <w:rPr>
                <w:sz w:val="24"/>
                <w:szCs w:val="24"/>
              </w:rPr>
              <w:t># of Patients</w:t>
            </w:r>
            <w:r w:rsidR="008A7F77">
              <w:rPr>
                <w:sz w:val="24"/>
                <w:szCs w:val="24"/>
              </w:rPr>
              <w:t xml:space="preserve"> FY19</w:t>
            </w:r>
          </w:p>
        </w:tc>
        <w:tc>
          <w:tcPr>
            <w:tcW w:w="1440" w:type="dxa"/>
          </w:tcPr>
          <w:p w14:paraId="6D292812" w14:textId="63A22890" w:rsidR="00E52A3F" w:rsidRDefault="00E52A3F" w:rsidP="00B07221">
            <w:pPr>
              <w:pStyle w:val="FootnoteText"/>
              <w:jc w:val="center"/>
              <w:rPr>
                <w:sz w:val="24"/>
                <w:szCs w:val="24"/>
              </w:rPr>
            </w:pPr>
            <w:r>
              <w:rPr>
                <w:sz w:val="24"/>
                <w:szCs w:val="24"/>
              </w:rPr>
              <w:t># of Patients</w:t>
            </w:r>
            <w:r w:rsidR="008A7F77">
              <w:rPr>
                <w:sz w:val="24"/>
                <w:szCs w:val="24"/>
              </w:rPr>
              <w:t xml:space="preserve"> FY20</w:t>
            </w:r>
          </w:p>
        </w:tc>
        <w:tc>
          <w:tcPr>
            <w:tcW w:w="1440" w:type="dxa"/>
          </w:tcPr>
          <w:p w14:paraId="5EF333FF" w14:textId="2FC2018C" w:rsidR="00E52A3F" w:rsidRDefault="00E52A3F" w:rsidP="00B07221">
            <w:pPr>
              <w:pStyle w:val="FootnoteText"/>
              <w:jc w:val="center"/>
              <w:rPr>
                <w:sz w:val="24"/>
                <w:szCs w:val="24"/>
              </w:rPr>
            </w:pPr>
            <w:r>
              <w:rPr>
                <w:sz w:val="24"/>
                <w:szCs w:val="24"/>
              </w:rPr>
              <w:t># of Patients</w:t>
            </w:r>
            <w:r w:rsidR="008A7F77">
              <w:rPr>
                <w:sz w:val="24"/>
                <w:szCs w:val="24"/>
              </w:rPr>
              <w:t xml:space="preserve"> FY21</w:t>
            </w:r>
          </w:p>
        </w:tc>
      </w:tr>
      <w:tr w:rsidR="00E52A3F" w14:paraId="011ED9CF" w14:textId="77777777" w:rsidTr="00207CEB">
        <w:trPr>
          <w:jc w:val="center"/>
        </w:trPr>
        <w:tc>
          <w:tcPr>
            <w:tcW w:w="3888" w:type="dxa"/>
            <w:shd w:val="clear" w:color="auto" w:fill="D0EAF0"/>
            <w:vAlign w:val="center"/>
          </w:tcPr>
          <w:p w14:paraId="3A2F97C4" w14:textId="3B7DEE13" w:rsidR="00E52A3F" w:rsidRDefault="009F4F73" w:rsidP="00E52A3F">
            <w:pPr>
              <w:pStyle w:val="FootnoteText"/>
              <w:rPr>
                <w:sz w:val="24"/>
                <w:szCs w:val="24"/>
              </w:rPr>
            </w:pPr>
            <w:r>
              <w:rPr>
                <w:rFonts w:ascii="Calibri" w:eastAsia="Times New Roman" w:hAnsi="Calibri" w:cs="Times New Roman"/>
                <w:color w:val="000000"/>
                <w:sz w:val="24"/>
                <w:szCs w:val="24"/>
              </w:rPr>
              <w:t>UMMHC</w:t>
            </w:r>
          </w:p>
        </w:tc>
        <w:tc>
          <w:tcPr>
            <w:tcW w:w="1530" w:type="dxa"/>
            <w:shd w:val="clear" w:color="auto" w:fill="D0EAF0"/>
            <w:vAlign w:val="center"/>
          </w:tcPr>
          <w:p w14:paraId="4EDE08F4" w14:textId="37A148EB" w:rsidR="00E52A3F" w:rsidRDefault="00E52A3F" w:rsidP="00B07221">
            <w:pPr>
              <w:pStyle w:val="FootnoteText"/>
              <w:jc w:val="center"/>
              <w:rPr>
                <w:sz w:val="24"/>
                <w:szCs w:val="24"/>
              </w:rPr>
            </w:pPr>
            <w:r w:rsidRPr="00E9726D">
              <w:rPr>
                <w:rFonts w:ascii="Calibri" w:eastAsiaTheme="minorEastAsia" w:hAnsi="Calibri" w:cs="Times New Roman"/>
                <w:color w:val="000000"/>
                <w:sz w:val="24"/>
                <w:szCs w:val="24"/>
              </w:rPr>
              <w:t>371,488</w:t>
            </w:r>
          </w:p>
        </w:tc>
        <w:tc>
          <w:tcPr>
            <w:tcW w:w="1440" w:type="dxa"/>
            <w:shd w:val="clear" w:color="auto" w:fill="D0EAF0"/>
            <w:vAlign w:val="center"/>
          </w:tcPr>
          <w:p w14:paraId="370A4ECF" w14:textId="41772CEC" w:rsidR="00E52A3F" w:rsidRDefault="00E52A3F" w:rsidP="00B07221">
            <w:pPr>
              <w:pStyle w:val="FootnoteText"/>
              <w:jc w:val="center"/>
              <w:rPr>
                <w:sz w:val="24"/>
                <w:szCs w:val="24"/>
              </w:rPr>
            </w:pPr>
            <w:r w:rsidRPr="00E9726D">
              <w:rPr>
                <w:rFonts w:ascii="Calibri" w:eastAsiaTheme="minorEastAsia" w:hAnsi="Calibri" w:cs="Times New Roman"/>
                <w:color w:val="000000"/>
                <w:sz w:val="24"/>
                <w:szCs w:val="24"/>
              </w:rPr>
              <w:t>345,864</w:t>
            </w:r>
          </w:p>
        </w:tc>
        <w:tc>
          <w:tcPr>
            <w:tcW w:w="1440" w:type="dxa"/>
            <w:shd w:val="clear" w:color="auto" w:fill="D0EAF0"/>
            <w:vAlign w:val="center"/>
          </w:tcPr>
          <w:p w14:paraId="217E30B2" w14:textId="14033380" w:rsidR="00E52A3F" w:rsidRDefault="00E52A3F" w:rsidP="00B07221">
            <w:pPr>
              <w:pStyle w:val="FootnoteText"/>
              <w:jc w:val="center"/>
              <w:rPr>
                <w:sz w:val="24"/>
                <w:szCs w:val="24"/>
              </w:rPr>
            </w:pPr>
            <w:r w:rsidRPr="00E9726D">
              <w:rPr>
                <w:rFonts w:ascii="Calibri" w:eastAsiaTheme="minorEastAsia" w:hAnsi="Calibri" w:cs="Times New Roman"/>
                <w:color w:val="000000"/>
                <w:sz w:val="24"/>
                <w:szCs w:val="24"/>
              </w:rPr>
              <w:t>393,429</w:t>
            </w:r>
          </w:p>
        </w:tc>
      </w:tr>
      <w:tr w:rsidR="00E52A3F" w14:paraId="3EF54B71" w14:textId="77777777" w:rsidTr="00207CEB">
        <w:trPr>
          <w:jc w:val="center"/>
        </w:trPr>
        <w:tc>
          <w:tcPr>
            <w:tcW w:w="3888" w:type="dxa"/>
            <w:shd w:val="clear" w:color="auto" w:fill="EAD5FF"/>
            <w:vAlign w:val="bottom"/>
          </w:tcPr>
          <w:p w14:paraId="17969612" w14:textId="62CE9734" w:rsidR="00E52A3F" w:rsidRDefault="009F4F73" w:rsidP="00E52A3F">
            <w:pPr>
              <w:pStyle w:val="FootnoteText"/>
              <w:rPr>
                <w:sz w:val="24"/>
                <w:szCs w:val="24"/>
              </w:rPr>
            </w:pPr>
            <w:r w:rsidRPr="0062390D">
              <w:rPr>
                <w:sz w:val="24"/>
                <w:szCs w:val="24"/>
              </w:rPr>
              <w:t>UMMMC University Campus</w:t>
            </w:r>
          </w:p>
        </w:tc>
        <w:tc>
          <w:tcPr>
            <w:tcW w:w="1530" w:type="dxa"/>
            <w:shd w:val="clear" w:color="auto" w:fill="EAD5FF"/>
            <w:vAlign w:val="center"/>
          </w:tcPr>
          <w:p w14:paraId="0707E90A" w14:textId="54D22866" w:rsidR="00E52A3F" w:rsidRDefault="00E52A3F" w:rsidP="00B07221">
            <w:pPr>
              <w:pStyle w:val="FootnoteText"/>
              <w:jc w:val="center"/>
              <w:rPr>
                <w:sz w:val="24"/>
                <w:szCs w:val="24"/>
              </w:rPr>
            </w:pPr>
            <w:r w:rsidRPr="00E9726D">
              <w:rPr>
                <w:rFonts w:ascii="Calibri" w:eastAsiaTheme="minorEastAsia" w:hAnsi="Calibri" w:cs="Times New Roman"/>
                <w:color w:val="000000"/>
                <w:sz w:val="24"/>
                <w:szCs w:val="24"/>
              </w:rPr>
              <w:t>278,919</w:t>
            </w:r>
          </w:p>
        </w:tc>
        <w:tc>
          <w:tcPr>
            <w:tcW w:w="1440" w:type="dxa"/>
            <w:shd w:val="clear" w:color="auto" w:fill="EAD5FF"/>
            <w:vAlign w:val="center"/>
          </w:tcPr>
          <w:p w14:paraId="5583E1F6" w14:textId="1D64C545" w:rsidR="00E52A3F" w:rsidRDefault="00E52A3F" w:rsidP="00B07221">
            <w:pPr>
              <w:pStyle w:val="FootnoteText"/>
              <w:jc w:val="center"/>
              <w:rPr>
                <w:sz w:val="24"/>
                <w:szCs w:val="24"/>
              </w:rPr>
            </w:pPr>
            <w:r w:rsidRPr="00E9726D">
              <w:rPr>
                <w:rFonts w:ascii="Calibri" w:eastAsiaTheme="minorEastAsia" w:hAnsi="Calibri" w:cs="Times New Roman"/>
                <w:color w:val="000000"/>
                <w:sz w:val="24"/>
                <w:szCs w:val="24"/>
              </w:rPr>
              <w:t>257,326</w:t>
            </w:r>
          </w:p>
        </w:tc>
        <w:tc>
          <w:tcPr>
            <w:tcW w:w="1440" w:type="dxa"/>
            <w:shd w:val="clear" w:color="auto" w:fill="EAD5FF"/>
            <w:vAlign w:val="center"/>
          </w:tcPr>
          <w:p w14:paraId="3F807AD6" w14:textId="3DF0B757" w:rsidR="00E52A3F" w:rsidRDefault="00E52A3F" w:rsidP="00B07221">
            <w:pPr>
              <w:pStyle w:val="FootnoteText"/>
              <w:jc w:val="center"/>
              <w:rPr>
                <w:sz w:val="24"/>
                <w:szCs w:val="24"/>
              </w:rPr>
            </w:pPr>
            <w:r w:rsidRPr="00E9726D">
              <w:rPr>
                <w:rFonts w:ascii="Calibri" w:eastAsiaTheme="minorEastAsia" w:hAnsi="Calibri" w:cs="Times New Roman"/>
                <w:color w:val="000000"/>
                <w:sz w:val="24"/>
                <w:szCs w:val="24"/>
              </w:rPr>
              <w:t>295,417</w:t>
            </w:r>
          </w:p>
        </w:tc>
      </w:tr>
      <w:tr w:rsidR="00E52A3F" w14:paraId="41CBBDA3" w14:textId="77777777" w:rsidTr="00207CEB">
        <w:trPr>
          <w:jc w:val="center"/>
        </w:trPr>
        <w:tc>
          <w:tcPr>
            <w:tcW w:w="3888" w:type="dxa"/>
            <w:vAlign w:val="bottom"/>
          </w:tcPr>
          <w:p w14:paraId="635C16E0" w14:textId="00CE4E91" w:rsidR="00E52A3F" w:rsidRDefault="00E52A3F" w:rsidP="00E52A3F">
            <w:pPr>
              <w:pStyle w:val="FootnoteText"/>
              <w:rPr>
                <w:sz w:val="24"/>
                <w:szCs w:val="24"/>
              </w:rPr>
            </w:pPr>
            <w:r w:rsidRPr="00E9726D">
              <w:rPr>
                <w:rFonts w:ascii="Calibri" w:eastAsia="Times New Roman" w:hAnsi="Calibri" w:cs="Times New Roman"/>
                <w:color w:val="000000"/>
                <w:sz w:val="24"/>
                <w:szCs w:val="24"/>
              </w:rPr>
              <w:t xml:space="preserve">UMMMC's University </w:t>
            </w:r>
            <w:r w:rsidR="009F4F73">
              <w:rPr>
                <w:rFonts w:ascii="Calibri" w:eastAsia="Times New Roman" w:hAnsi="Calibri" w:cs="Times New Roman"/>
                <w:color w:val="000000"/>
                <w:sz w:val="24"/>
                <w:szCs w:val="24"/>
              </w:rPr>
              <w:t>S</w:t>
            </w:r>
            <w:r w:rsidRPr="00E9726D">
              <w:rPr>
                <w:rFonts w:ascii="Calibri" w:eastAsia="Times New Roman" w:hAnsi="Calibri" w:cs="Times New Roman"/>
                <w:color w:val="000000"/>
                <w:sz w:val="24"/>
                <w:szCs w:val="24"/>
              </w:rPr>
              <w:t xml:space="preserve">hare of </w:t>
            </w:r>
            <w:r w:rsidR="009F4F73">
              <w:rPr>
                <w:rFonts w:ascii="Calibri" w:eastAsia="Times New Roman" w:hAnsi="Calibri" w:cs="Times New Roman"/>
                <w:color w:val="000000"/>
                <w:sz w:val="24"/>
                <w:szCs w:val="24"/>
              </w:rPr>
              <w:t>T</w:t>
            </w:r>
            <w:r w:rsidRPr="00E9726D">
              <w:rPr>
                <w:rFonts w:ascii="Calibri" w:eastAsia="Times New Roman" w:hAnsi="Calibri" w:cs="Times New Roman"/>
                <w:color w:val="000000"/>
                <w:sz w:val="24"/>
                <w:szCs w:val="24"/>
              </w:rPr>
              <w:t>otal</w:t>
            </w:r>
          </w:p>
        </w:tc>
        <w:tc>
          <w:tcPr>
            <w:tcW w:w="1530" w:type="dxa"/>
            <w:vAlign w:val="bottom"/>
          </w:tcPr>
          <w:p w14:paraId="5EE66DA2" w14:textId="2E54C173" w:rsidR="00E52A3F" w:rsidRDefault="00E52A3F" w:rsidP="00B07221">
            <w:pPr>
              <w:pStyle w:val="FootnoteText"/>
              <w:jc w:val="center"/>
              <w:rPr>
                <w:sz w:val="24"/>
                <w:szCs w:val="24"/>
              </w:rPr>
            </w:pPr>
            <w:r w:rsidRPr="00E9726D">
              <w:rPr>
                <w:rFonts w:ascii="Calibri" w:eastAsia="Times New Roman" w:hAnsi="Calibri" w:cs="Times New Roman"/>
                <w:color w:val="000000"/>
                <w:sz w:val="24"/>
                <w:szCs w:val="24"/>
              </w:rPr>
              <w:t>75.1%</w:t>
            </w:r>
          </w:p>
        </w:tc>
        <w:tc>
          <w:tcPr>
            <w:tcW w:w="1440" w:type="dxa"/>
            <w:vAlign w:val="bottom"/>
          </w:tcPr>
          <w:p w14:paraId="4908CD06" w14:textId="048E188C" w:rsidR="00E52A3F" w:rsidRDefault="00E52A3F" w:rsidP="00B07221">
            <w:pPr>
              <w:pStyle w:val="FootnoteText"/>
              <w:jc w:val="center"/>
              <w:rPr>
                <w:sz w:val="24"/>
                <w:szCs w:val="24"/>
              </w:rPr>
            </w:pPr>
            <w:r w:rsidRPr="00E9726D">
              <w:rPr>
                <w:rFonts w:ascii="Calibri" w:eastAsia="Times New Roman" w:hAnsi="Calibri" w:cs="Times New Roman"/>
                <w:color w:val="000000"/>
                <w:sz w:val="24"/>
                <w:szCs w:val="24"/>
              </w:rPr>
              <w:t>74.4%</w:t>
            </w:r>
          </w:p>
        </w:tc>
        <w:tc>
          <w:tcPr>
            <w:tcW w:w="1440" w:type="dxa"/>
            <w:vAlign w:val="bottom"/>
          </w:tcPr>
          <w:p w14:paraId="71AE2B9B" w14:textId="5A505613" w:rsidR="00E52A3F" w:rsidRDefault="00E52A3F" w:rsidP="00B07221">
            <w:pPr>
              <w:pStyle w:val="FootnoteText"/>
              <w:jc w:val="center"/>
              <w:rPr>
                <w:sz w:val="24"/>
                <w:szCs w:val="24"/>
              </w:rPr>
            </w:pPr>
            <w:r w:rsidRPr="00E9726D">
              <w:rPr>
                <w:rFonts w:ascii="Calibri" w:eastAsia="Times New Roman" w:hAnsi="Calibri" w:cs="Times New Roman"/>
                <w:color w:val="000000"/>
                <w:sz w:val="24"/>
                <w:szCs w:val="24"/>
              </w:rPr>
              <w:t>75.1%</w:t>
            </w:r>
          </w:p>
        </w:tc>
      </w:tr>
    </w:tbl>
    <w:p w14:paraId="30095DA7" w14:textId="77777777" w:rsidR="00E52A3F" w:rsidRPr="006967BD" w:rsidRDefault="00E52A3F" w:rsidP="00104CC1">
      <w:pPr>
        <w:pStyle w:val="FootnoteText"/>
        <w:rPr>
          <w:sz w:val="24"/>
          <w:szCs w:val="24"/>
        </w:rPr>
      </w:pPr>
    </w:p>
    <w:p w14:paraId="37B60F9E" w14:textId="77777777" w:rsidR="009F4F73" w:rsidRDefault="009F4F73" w:rsidP="00B044A9">
      <w:pPr>
        <w:rPr>
          <w:sz w:val="24"/>
          <w:szCs w:val="24"/>
        </w:rPr>
      </w:pPr>
    </w:p>
    <w:p w14:paraId="3FAD440A" w14:textId="3F52253C" w:rsidR="00C06A76" w:rsidRDefault="001A7010" w:rsidP="00B044A9">
      <w:pPr>
        <w:rPr>
          <w:sz w:val="24"/>
          <w:szCs w:val="24"/>
        </w:rPr>
      </w:pPr>
      <w:r w:rsidRPr="001A7010">
        <w:rPr>
          <w:sz w:val="24"/>
          <w:szCs w:val="24"/>
        </w:rPr>
        <w:t xml:space="preserve">The Applicant provided three years of demographic information for UMMHC and for UMMMC. </w:t>
      </w:r>
      <w:r w:rsidR="00D817DE">
        <w:rPr>
          <w:sz w:val="24"/>
          <w:szCs w:val="24"/>
        </w:rPr>
        <w:t xml:space="preserve">There being </w:t>
      </w:r>
      <w:r>
        <w:rPr>
          <w:sz w:val="24"/>
          <w:szCs w:val="24"/>
        </w:rPr>
        <w:t>no significant changes across the</w:t>
      </w:r>
      <w:r w:rsidR="00A76008">
        <w:rPr>
          <w:sz w:val="24"/>
          <w:szCs w:val="24"/>
        </w:rPr>
        <w:t xml:space="preserve"> </w:t>
      </w:r>
      <w:r>
        <w:rPr>
          <w:sz w:val="24"/>
          <w:szCs w:val="24"/>
        </w:rPr>
        <w:t>three years</w:t>
      </w:r>
      <w:r w:rsidR="0095760D">
        <w:rPr>
          <w:sz w:val="24"/>
          <w:szCs w:val="24"/>
        </w:rPr>
        <w:t xml:space="preserve"> other than the growth in the Patient Panel</w:t>
      </w:r>
      <w:r>
        <w:rPr>
          <w:sz w:val="24"/>
          <w:szCs w:val="24"/>
        </w:rPr>
        <w:t xml:space="preserve">, </w:t>
      </w:r>
      <w:r w:rsidR="00C06A76" w:rsidRPr="00EB2FDA">
        <w:rPr>
          <w:sz w:val="24"/>
          <w:szCs w:val="24"/>
        </w:rPr>
        <w:t>Table</w:t>
      </w:r>
      <w:r w:rsidR="00EB2FDA">
        <w:rPr>
          <w:sz w:val="24"/>
          <w:szCs w:val="24"/>
        </w:rPr>
        <w:t xml:space="preserve"> 3 </w:t>
      </w:r>
      <w:r w:rsidR="00C06A76">
        <w:rPr>
          <w:sz w:val="24"/>
          <w:szCs w:val="24"/>
        </w:rPr>
        <w:t xml:space="preserve">provides </w:t>
      </w:r>
      <w:r w:rsidR="00CC4644">
        <w:rPr>
          <w:sz w:val="24"/>
          <w:szCs w:val="24"/>
        </w:rPr>
        <w:t xml:space="preserve">the </w:t>
      </w:r>
      <w:r>
        <w:rPr>
          <w:sz w:val="24"/>
          <w:szCs w:val="24"/>
        </w:rPr>
        <w:t xml:space="preserve">FY 21 </w:t>
      </w:r>
      <w:r w:rsidR="00C06A76">
        <w:rPr>
          <w:sz w:val="24"/>
          <w:szCs w:val="24"/>
        </w:rPr>
        <w:t>demographic profiles of the Applicant and of the UMMMC patients.</w:t>
      </w:r>
      <w:r>
        <w:rPr>
          <w:sz w:val="24"/>
          <w:szCs w:val="24"/>
        </w:rPr>
        <w:t xml:space="preserve"> </w:t>
      </w:r>
    </w:p>
    <w:p w14:paraId="665762D8" w14:textId="27332DDF" w:rsidR="00F6472E" w:rsidRPr="0087412C" w:rsidRDefault="00C06A76" w:rsidP="00C06A76">
      <w:pPr>
        <w:jc w:val="center"/>
        <w:rPr>
          <w:b/>
          <w:bCs/>
          <w:sz w:val="24"/>
          <w:szCs w:val="24"/>
          <w:u w:val="single"/>
        </w:rPr>
      </w:pPr>
      <w:r w:rsidRPr="00EB2FDA">
        <w:rPr>
          <w:b/>
          <w:bCs/>
          <w:sz w:val="24"/>
          <w:szCs w:val="24"/>
          <w:u w:val="single"/>
        </w:rPr>
        <w:t>Table</w:t>
      </w:r>
      <w:r w:rsidR="00EB2FDA">
        <w:rPr>
          <w:b/>
          <w:bCs/>
          <w:sz w:val="24"/>
          <w:szCs w:val="24"/>
          <w:u w:val="single"/>
        </w:rPr>
        <w:t xml:space="preserve"> 3</w:t>
      </w:r>
      <w:r w:rsidR="00A7564C" w:rsidRPr="00EB2FDA">
        <w:rPr>
          <w:b/>
          <w:bCs/>
          <w:sz w:val="24"/>
          <w:szCs w:val="24"/>
        </w:rPr>
        <w:t xml:space="preserve">: </w:t>
      </w:r>
      <w:r w:rsidR="00681108" w:rsidRPr="00C12BB4">
        <w:rPr>
          <w:b/>
          <w:bCs/>
          <w:sz w:val="24"/>
          <w:szCs w:val="24"/>
        </w:rPr>
        <w:t xml:space="preserve">FY21 </w:t>
      </w:r>
      <w:r w:rsidR="00A7564C" w:rsidRPr="00C12BB4">
        <w:rPr>
          <w:b/>
          <w:bCs/>
          <w:sz w:val="24"/>
          <w:szCs w:val="24"/>
        </w:rPr>
        <w:t>Demographic Breakdown of UMMHC</w:t>
      </w:r>
      <w:r w:rsidR="00837221">
        <w:rPr>
          <w:b/>
          <w:bCs/>
          <w:sz w:val="24"/>
          <w:szCs w:val="24"/>
        </w:rPr>
        <w:t xml:space="preserve"> System</w:t>
      </w:r>
      <w:r w:rsidR="00A7564C" w:rsidRPr="00C12BB4">
        <w:rPr>
          <w:b/>
          <w:bCs/>
          <w:sz w:val="24"/>
          <w:szCs w:val="24"/>
        </w:rPr>
        <w:t xml:space="preserve"> Patient Panel and UMMMC </w:t>
      </w:r>
      <w:r w:rsidR="00837221">
        <w:rPr>
          <w:b/>
          <w:bCs/>
          <w:sz w:val="24"/>
          <w:szCs w:val="24"/>
        </w:rPr>
        <w:t xml:space="preserve">Hospital </w:t>
      </w:r>
      <w:r w:rsidR="00A7564C" w:rsidRPr="00C12BB4">
        <w:rPr>
          <w:b/>
          <w:bCs/>
          <w:sz w:val="24"/>
          <w:szCs w:val="24"/>
        </w:rPr>
        <w:t>Patient Population</w:t>
      </w:r>
      <w:r w:rsidR="00A7564C" w:rsidRPr="009F4F73">
        <w:rPr>
          <w:b/>
          <w:bCs/>
          <w:sz w:val="24"/>
          <w:szCs w:val="24"/>
          <w:u w:val="single"/>
        </w:rPr>
        <w:t xml:space="preserve"> </w:t>
      </w:r>
    </w:p>
    <w:tbl>
      <w:tblPr>
        <w:tblW w:w="85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082"/>
        <w:gridCol w:w="1168"/>
        <w:gridCol w:w="1086"/>
        <w:gridCol w:w="1168"/>
        <w:gridCol w:w="1086"/>
      </w:tblGrid>
      <w:tr w:rsidR="00C06A76" w:rsidRPr="00C06A76" w14:paraId="182BD489" w14:textId="77777777" w:rsidTr="0025214E">
        <w:trPr>
          <w:trHeight w:val="314"/>
          <w:jc w:val="center"/>
        </w:trPr>
        <w:tc>
          <w:tcPr>
            <w:tcW w:w="4082" w:type="dxa"/>
            <w:shd w:val="clear" w:color="auto" w:fill="auto"/>
            <w:vAlign w:val="center"/>
            <w:hideMark/>
          </w:tcPr>
          <w:p w14:paraId="0C61D2C2" w14:textId="7D7FB0F2" w:rsidR="00C06A76" w:rsidRPr="00213759" w:rsidRDefault="00C06A76" w:rsidP="00C06A76">
            <w:pPr>
              <w:spacing w:after="0" w:line="240" w:lineRule="auto"/>
              <w:rPr>
                <w:rFonts w:ascii="Calibri" w:eastAsia="Times New Roman" w:hAnsi="Calibri" w:cs="Times New Roman"/>
                <w:b/>
                <w:bCs/>
                <w:color w:val="000000"/>
                <w:sz w:val="24"/>
                <w:szCs w:val="24"/>
              </w:rPr>
            </w:pPr>
            <w:r w:rsidRPr="00213759">
              <w:rPr>
                <w:rFonts w:ascii="Calibri" w:eastAsiaTheme="minorEastAsia" w:hAnsi="Calibri" w:cs="Times New Roman"/>
                <w:b/>
                <w:bCs/>
                <w:color w:val="000000"/>
                <w:sz w:val="24"/>
                <w:szCs w:val="24"/>
              </w:rPr>
              <w:t xml:space="preserve">FY </w:t>
            </w:r>
            <w:r w:rsidR="00213759" w:rsidRPr="00213759">
              <w:rPr>
                <w:rFonts w:ascii="Calibri" w:eastAsiaTheme="minorEastAsia" w:hAnsi="Calibri" w:cs="Times New Roman"/>
                <w:b/>
                <w:bCs/>
                <w:color w:val="000000"/>
                <w:sz w:val="24"/>
                <w:szCs w:val="24"/>
              </w:rPr>
              <w:t>20</w:t>
            </w:r>
            <w:r w:rsidRPr="00213759">
              <w:rPr>
                <w:rFonts w:ascii="Calibri" w:eastAsiaTheme="minorEastAsia" w:hAnsi="Calibri" w:cs="Times New Roman"/>
                <w:b/>
                <w:bCs/>
                <w:color w:val="000000"/>
                <w:sz w:val="24"/>
                <w:szCs w:val="24"/>
              </w:rPr>
              <w:t>21</w:t>
            </w:r>
          </w:p>
        </w:tc>
        <w:tc>
          <w:tcPr>
            <w:tcW w:w="2254" w:type="dxa"/>
            <w:gridSpan w:val="2"/>
            <w:shd w:val="clear" w:color="auto" w:fill="D0EAF0"/>
            <w:vAlign w:val="center"/>
            <w:hideMark/>
          </w:tcPr>
          <w:p w14:paraId="1FDF1354" w14:textId="3A5D7F26" w:rsidR="00C06A76" w:rsidRPr="00213759" w:rsidRDefault="00C06A76" w:rsidP="00C06A76">
            <w:pPr>
              <w:spacing w:after="0" w:line="240" w:lineRule="auto"/>
              <w:jc w:val="center"/>
              <w:rPr>
                <w:rFonts w:ascii="Calibri" w:eastAsia="Times New Roman" w:hAnsi="Calibri" w:cs="Times New Roman"/>
                <w:b/>
                <w:color w:val="000000"/>
                <w:sz w:val="24"/>
                <w:szCs w:val="24"/>
              </w:rPr>
            </w:pPr>
            <w:r w:rsidRPr="00213759">
              <w:rPr>
                <w:rFonts w:ascii="Calibri" w:eastAsia="Times New Roman" w:hAnsi="Calibri" w:cs="Times New Roman"/>
                <w:b/>
                <w:color w:val="000000"/>
                <w:sz w:val="24"/>
                <w:szCs w:val="24"/>
              </w:rPr>
              <w:t>UMMHC</w:t>
            </w:r>
            <w:r w:rsidR="00837221">
              <w:rPr>
                <w:rFonts w:ascii="Calibri" w:eastAsia="Times New Roman" w:hAnsi="Calibri" w:cs="Times New Roman"/>
                <w:b/>
                <w:color w:val="000000"/>
                <w:sz w:val="24"/>
                <w:szCs w:val="24"/>
              </w:rPr>
              <w:t xml:space="preserve"> </w:t>
            </w:r>
            <w:r w:rsidR="00837221" w:rsidRPr="0025214E">
              <w:rPr>
                <w:rFonts w:eastAsia="Times New Roman" w:cs="Times New Roman"/>
                <w:b/>
                <w:bCs/>
                <w:color w:val="000000"/>
              </w:rPr>
              <w:t>System</w:t>
            </w:r>
          </w:p>
        </w:tc>
        <w:tc>
          <w:tcPr>
            <w:tcW w:w="2254" w:type="dxa"/>
            <w:gridSpan w:val="2"/>
            <w:shd w:val="clear" w:color="000000" w:fill="D9E2F3"/>
            <w:vAlign w:val="center"/>
            <w:hideMark/>
          </w:tcPr>
          <w:p w14:paraId="4BF52F7E" w14:textId="72DECEAB" w:rsidR="00C06A76" w:rsidRPr="00213759" w:rsidRDefault="00C06A76" w:rsidP="00C06A76">
            <w:pPr>
              <w:spacing w:after="0" w:line="240" w:lineRule="auto"/>
              <w:jc w:val="center"/>
              <w:rPr>
                <w:rFonts w:ascii="Calibri" w:eastAsia="Times New Roman" w:hAnsi="Calibri" w:cs="Times New Roman"/>
                <w:b/>
                <w:color w:val="000000"/>
                <w:sz w:val="24"/>
                <w:szCs w:val="24"/>
              </w:rPr>
            </w:pPr>
            <w:r w:rsidRPr="00213759">
              <w:rPr>
                <w:rFonts w:ascii="Calibri" w:eastAsia="Times New Roman" w:hAnsi="Calibri" w:cs="Times New Roman"/>
                <w:b/>
                <w:color w:val="000000"/>
                <w:sz w:val="24"/>
                <w:szCs w:val="24"/>
              </w:rPr>
              <w:t>UMMMC</w:t>
            </w:r>
            <w:r w:rsidR="0072783A">
              <w:rPr>
                <w:rFonts w:ascii="Calibri" w:eastAsia="Times New Roman" w:hAnsi="Calibri" w:cs="Times New Roman"/>
                <w:b/>
                <w:color w:val="000000"/>
                <w:sz w:val="24"/>
                <w:szCs w:val="24"/>
              </w:rPr>
              <w:t xml:space="preserve"> Hospital</w:t>
            </w:r>
          </w:p>
        </w:tc>
      </w:tr>
      <w:tr w:rsidR="00C06A76" w:rsidRPr="00C06A76" w14:paraId="0EF211C8" w14:textId="77777777" w:rsidTr="0025214E">
        <w:trPr>
          <w:trHeight w:val="314"/>
          <w:jc w:val="center"/>
        </w:trPr>
        <w:tc>
          <w:tcPr>
            <w:tcW w:w="4082" w:type="dxa"/>
            <w:shd w:val="clear" w:color="auto" w:fill="auto"/>
            <w:vAlign w:val="center"/>
            <w:hideMark/>
          </w:tcPr>
          <w:p w14:paraId="6485447D" w14:textId="77777777" w:rsidR="00C06A76" w:rsidRPr="00C06A76" w:rsidRDefault="00C06A76" w:rsidP="00C06A76">
            <w:pPr>
              <w:spacing w:after="0" w:line="240" w:lineRule="auto"/>
              <w:rPr>
                <w:rFonts w:ascii="Calibri" w:eastAsia="Times New Roman" w:hAnsi="Calibri" w:cs="Times New Roman"/>
                <w:b/>
                <w:bCs/>
                <w:color w:val="000000"/>
              </w:rPr>
            </w:pPr>
          </w:p>
        </w:tc>
        <w:tc>
          <w:tcPr>
            <w:tcW w:w="1168" w:type="dxa"/>
            <w:shd w:val="clear" w:color="auto" w:fill="auto"/>
            <w:vAlign w:val="center"/>
            <w:hideMark/>
          </w:tcPr>
          <w:p w14:paraId="67A15C81" w14:textId="77777777" w:rsidR="00C06A76" w:rsidRPr="00213759" w:rsidRDefault="00C06A76" w:rsidP="00C06A76">
            <w:pPr>
              <w:spacing w:after="0" w:line="240" w:lineRule="auto"/>
              <w:jc w:val="center"/>
              <w:rPr>
                <w:rFonts w:ascii="Calibri" w:eastAsia="Times New Roman" w:hAnsi="Calibri" w:cs="Times New Roman"/>
                <w:b/>
                <w:color w:val="000000"/>
              </w:rPr>
            </w:pPr>
            <w:r w:rsidRPr="00213759">
              <w:rPr>
                <w:rFonts w:ascii="Calibri" w:eastAsiaTheme="minorEastAsia" w:hAnsi="Calibri" w:cs="Times New Roman"/>
                <w:b/>
                <w:color w:val="000000"/>
              </w:rPr>
              <w:t>Count</w:t>
            </w:r>
          </w:p>
        </w:tc>
        <w:tc>
          <w:tcPr>
            <w:tcW w:w="1085" w:type="dxa"/>
            <w:shd w:val="clear" w:color="auto" w:fill="auto"/>
            <w:vAlign w:val="center"/>
            <w:hideMark/>
          </w:tcPr>
          <w:p w14:paraId="3466ACB0" w14:textId="77777777" w:rsidR="00C06A76" w:rsidRPr="00213759" w:rsidRDefault="00C06A76" w:rsidP="00C06A76">
            <w:pPr>
              <w:spacing w:after="0" w:line="240" w:lineRule="auto"/>
              <w:jc w:val="center"/>
              <w:rPr>
                <w:rFonts w:ascii="Calibri" w:eastAsia="Times New Roman" w:hAnsi="Calibri" w:cs="Times New Roman"/>
                <w:b/>
                <w:color w:val="000000"/>
              </w:rPr>
            </w:pPr>
            <w:r w:rsidRPr="00213759">
              <w:rPr>
                <w:rFonts w:ascii="Calibri" w:eastAsiaTheme="minorEastAsia" w:hAnsi="Calibri" w:cs="Times New Roman"/>
                <w:b/>
                <w:color w:val="000000"/>
              </w:rPr>
              <w:t>%</w:t>
            </w:r>
          </w:p>
        </w:tc>
        <w:tc>
          <w:tcPr>
            <w:tcW w:w="1168" w:type="dxa"/>
            <w:shd w:val="clear" w:color="auto" w:fill="auto"/>
            <w:vAlign w:val="center"/>
            <w:hideMark/>
          </w:tcPr>
          <w:p w14:paraId="61FB9E06" w14:textId="77777777" w:rsidR="00C06A76" w:rsidRPr="00213759" w:rsidRDefault="00C06A76" w:rsidP="00C06A76">
            <w:pPr>
              <w:spacing w:after="0" w:line="240" w:lineRule="auto"/>
              <w:jc w:val="center"/>
              <w:rPr>
                <w:rFonts w:ascii="Calibri" w:eastAsia="Times New Roman" w:hAnsi="Calibri" w:cs="Times New Roman"/>
                <w:b/>
                <w:color w:val="000000"/>
              </w:rPr>
            </w:pPr>
            <w:r w:rsidRPr="00213759">
              <w:rPr>
                <w:rFonts w:ascii="Calibri" w:eastAsiaTheme="minorEastAsia" w:hAnsi="Calibri" w:cs="Times New Roman"/>
                <w:b/>
                <w:color w:val="000000"/>
              </w:rPr>
              <w:t>Count</w:t>
            </w:r>
          </w:p>
        </w:tc>
        <w:tc>
          <w:tcPr>
            <w:tcW w:w="1085" w:type="dxa"/>
            <w:shd w:val="clear" w:color="auto" w:fill="auto"/>
            <w:vAlign w:val="center"/>
            <w:hideMark/>
          </w:tcPr>
          <w:p w14:paraId="0CEA2DF7" w14:textId="77777777" w:rsidR="00C06A76" w:rsidRPr="00213759" w:rsidRDefault="00C06A76" w:rsidP="00C06A76">
            <w:pPr>
              <w:spacing w:after="0" w:line="240" w:lineRule="auto"/>
              <w:jc w:val="center"/>
              <w:rPr>
                <w:rFonts w:ascii="Calibri" w:eastAsia="Times New Roman" w:hAnsi="Calibri" w:cs="Times New Roman"/>
                <w:b/>
                <w:color w:val="000000"/>
              </w:rPr>
            </w:pPr>
            <w:r w:rsidRPr="00213759">
              <w:rPr>
                <w:rFonts w:ascii="Calibri" w:eastAsiaTheme="minorEastAsia" w:hAnsi="Calibri" w:cs="Times New Roman"/>
                <w:b/>
                <w:color w:val="000000"/>
              </w:rPr>
              <w:t>%</w:t>
            </w:r>
          </w:p>
        </w:tc>
      </w:tr>
      <w:tr w:rsidR="00C06A76" w:rsidRPr="00C06A76" w14:paraId="03BD7AF7" w14:textId="77777777" w:rsidTr="0025214E">
        <w:trPr>
          <w:trHeight w:val="314"/>
          <w:jc w:val="center"/>
        </w:trPr>
        <w:tc>
          <w:tcPr>
            <w:tcW w:w="4082" w:type="dxa"/>
            <w:shd w:val="clear" w:color="000000" w:fill="FFFFFF"/>
            <w:vAlign w:val="center"/>
            <w:hideMark/>
          </w:tcPr>
          <w:p w14:paraId="77A0F035" w14:textId="77777777" w:rsidR="00C06A76" w:rsidRPr="00213759" w:rsidRDefault="00C06A76" w:rsidP="00C06A76">
            <w:pPr>
              <w:spacing w:after="0" w:line="240" w:lineRule="auto"/>
              <w:rPr>
                <w:rFonts w:eastAsia="Times New Roman" w:cs="Times New Roman"/>
                <w:color w:val="000000"/>
                <w:sz w:val="24"/>
                <w:szCs w:val="24"/>
              </w:rPr>
            </w:pPr>
            <w:r w:rsidRPr="00213759">
              <w:rPr>
                <w:rFonts w:eastAsiaTheme="minorEastAsia" w:cs="Times New Roman"/>
                <w:color w:val="000000"/>
                <w:sz w:val="24"/>
                <w:szCs w:val="24"/>
              </w:rPr>
              <w:t>Total Patients</w:t>
            </w:r>
          </w:p>
        </w:tc>
        <w:tc>
          <w:tcPr>
            <w:tcW w:w="1168" w:type="dxa"/>
            <w:shd w:val="clear" w:color="000000" w:fill="DAEEF3"/>
            <w:vAlign w:val="center"/>
            <w:hideMark/>
          </w:tcPr>
          <w:p w14:paraId="742C1730"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393,429</w:t>
            </w:r>
          </w:p>
        </w:tc>
        <w:tc>
          <w:tcPr>
            <w:tcW w:w="1085" w:type="dxa"/>
            <w:shd w:val="clear" w:color="000000" w:fill="DAEEF3"/>
            <w:vAlign w:val="center"/>
            <w:hideMark/>
          </w:tcPr>
          <w:p w14:paraId="5A82890B"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100%</w:t>
            </w:r>
          </w:p>
        </w:tc>
        <w:tc>
          <w:tcPr>
            <w:tcW w:w="1168" w:type="dxa"/>
            <w:shd w:val="clear" w:color="auto" w:fill="EAD5FF"/>
            <w:vAlign w:val="center"/>
            <w:hideMark/>
          </w:tcPr>
          <w:p w14:paraId="5CD04788"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295,417</w:t>
            </w:r>
          </w:p>
        </w:tc>
        <w:tc>
          <w:tcPr>
            <w:tcW w:w="1085" w:type="dxa"/>
            <w:shd w:val="clear" w:color="auto" w:fill="EAD5FF"/>
            <w:vAlign w:val="center"/>
            <w:hideMark/>
          </w:tcPr>
          <w:p w14:paraId="3D5512C2"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100%</w:t>
            </w:r>
          </w:p>
        </w:tc>
      </w:tr>
      <w:tr w:rsidR="00C06A76" w:rsidRPr="00C06A76" w14:paraId="0E30A6B5" w14:textId="77777777" w:rsidTr="0025214E">
        <w:trPr>
          <w:trHeight w:val="314"/>
          <w:jc w:val="center"/>
        </w:trPr>
        <w:tc>
          <w:tcPr>
            <w:tcW w:w="4082" w:type="dxa"/>
            <w:shd w:val="clear" w:color="auto" w:fill="C1FFE0"/>
            <w:vAlign w:val="center"/>
            <w:hideMark/>
          </w:tcPr>
          <w:p w14:paraId="17230B15" w14:textId="77777777" w:rsidR="00C06A76" w:rsidRPr="00213759" w:rsidRDefault="00C06A76" w:rsidP="00C06A76">
            <w:pPr>
              <w:spacing w:after="0" w:line="240" w:lineRule="auto"/>
              <w:rPr>
                <w:rFonts w:eastAsia="Times New Roman" w:cs="Times New Roman"/>
                <w:color w:val="000000"/>
                <w:sz w:val="24"/>
                <w:szCs w:val="24"/>
              </w:rPr>
            </w:pPr>
            <w:r w:rsidRPr="00213759">
              <w:rPr>
                <w:rFonts w:eastAsiaTheme="minorEastAsia" w:cs="Times New Roman"/>
                <w:color w:val="000000"/>
                <w:sz w:val="24"/>
                <w:szCs w:val="24"/>
              </w:rPr>
              <w:t>GENDER</w:t>
            </w:r>
          </w:p>
        </w:tc>
        <w:tc>
          <w:tcPr>
            <w:tcW w:w="2254" w:type="dxa"/>
            <w:gridSpan w:val="2"/>
            <w:shd w:val="clear" w:color="auto" w:fill="D0EAF0"/>
            <w:vAlign w:val="center"/>
            <w:hideMark/>
          </w:tcPr>
          <w:p w14:paraId="366CE4B2" w14:textId="77777777" w:rsidR="00C06A76" w:rsidRPr="00213759" w:rsidRDefault="00C06A76" w:rsidP="00C06A76">
            <w:pPr>
              <w:spacing w:after="0" w:line="240" w:lineRule="auto"/>
              <w:rPr>
                <w:rFonts w:eastAsia="Times New Roman" w:cs="Times New Roman"/>
                <w:color w:val="000000"/>
                <w:sz w:val="24"/>
                <w:szCs w:val="24"/>
              </w:rPr>
            </w:pPr>
            <w:r w:rsidRPr="00213759">
              <w:rPr>
                <w:rFonts w:eastAsiaTheme="minorEastAsia" w:cs="Times New Roman"/>
                <w:color w:val="000000"/>
                <w:sz w:val="24"/>
                <w:szCs w:val="24"/>
              </w:rPr>
              <w:t> </w:t>
            </w:r>
          </w:p>
        </w:tc>
        <w:tc>
          <w:tcPr>
            <w:tcW w:w="2254" w:type="dxa"/>
            <w:gridSpan w:val="2"/>
            <w:shd w:val="clear" w:color="auto" w:fill="EAD5FF"/>
            <w:vAlign w:val="center"/>
            <w:hideMark/>
          </w:tcPr>
          <w:p w14:paraId="0A8E3FC2" w14:textId="77777777" w:rsidR="00C06A76" w:rsidRPr="00213759" w:rsidRDefault="00C06A76" w:rsidP="00C06A76">
            <w:pPr>
              <w:spacing w:after="0" w:line="240" w:lineRule="auto"/>
              <w:rPr>
                <w:rFonts w:eastAsia="Times New Roman" w:cs="Times New Roman"/>
                <w:color w:val="000000"/>
                <w:sz w:val="24"/>
                <w:szCs w:val="24"/>
              </w:rPr>
            </w:pPr>
            <w:r w:rsidRPr="00213759">
              <w:rPr>
                <w:rFonts w:eastAsiaTheme="minorEastAsia" w:cs="Times New Roman"/>
                <w:color w:val="000000"/>
                <w:sz w:val="24"/>
                <w:szCs w:val="24"/>
              </w:rPr>
              <w:t> </w:t>
            </w:r>
          </w:p>
        </w:tc>
      </w:tr>
      <w:tr w:rsidR="00C06A76" w:rsidRPr="00C06A76" w14:paraId="65815375" w14:textId="77777777" w:rsidTr="0025214E">
        <w:trPr>
          <w:trHeight w:val="59"/>
          <w:jc w:val="center"/>
        </w:trPr>
        <w:tc>
          <w:tcPr>
            <w:tcW w:w="4082" w:type="dxa"/>
            <w:shd w:val="clear" w:color="auto" w:fill="auto"/>
            <w:vAlign w:val="center"/>
            <w:hideMark/>
          </w:tcPr>
          <w:p w14:paraId="7B782E30" w14:textId="77777777" w:rsidR="00C06A76" w:rsidRPr="00213759" w:rsidRDefault="00C06A76" w:rsidP="00C06A76">
            <w:pPr>
              <w:spacing w:after="0" w:line="240" w:lineRule="auto"/>
              <w:rPr>
                <w:rFonts w:eastAsia="Times New Roman" w:cs="Times New Roman"/>
                <w:color w:val="000000"/>
                <w:sz w:val="24"/>
                <w:szCs w:val="24"/>
              </w:rPr>
            </w:pPr>
            <w:r w:rsidRPr="00213759">
              <w:rPr>
                <w:rFonts w:eastAsiaTheme="minorEastAsia" w:cs="Times New Roman"/>
                <w:color w:val="000000"/>
                <w:sz w:val="24"/>
                <w:szCs w:val="24"/>
              </w:rPr>
              <w:t>Female</w:t>
            </w:r>
          </w:p>
        </w:tc>
        <w:tc>
          <w:tcPr>
            <w:tcW w:w="1168" w:type="dxa"/>
            <w:shd w:val="clear" w:color="auto" w:fill="auto"/>
            <w:vAlign w:val="center"/>
            <w:hideMark/>
          </w:tcPr>
          <w:p w14:paraId="4C90EFBB"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218,434</w:t>
            </w:r>
          </w:p>
        </w:tc>
        <w:tc>
          <w:tcPr>
            <w:tcW w:w="1085" w:type="dxa"/>
            <w:shd w:val="clear" w:color="auto" w:fill="auto"/>
            <w:vAlign w:val="center"/>
            <w:hideMark/>
          </w:tcPr>
          <w:p w14:paraId="6F49C25B" w14:textId="23E37D76"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5</w:t>
            </w:r>
            <w:r w:rsidR="0087412C">
              <w:rPr>
                <w:rFonts w:eastAsiaTheme="minorEastAsia" w:cs="Times New Roman"/>
                <w:color w:val="000000"/>
                <w:sz w:val="24"/>
                <w:szCs w:val="24"/>
              </w:rPr>
              <w:t>5.5</w:t>
            </w:r>
            <w:r w:rsidRPr="00213759">
              <w:rPr>
                <w:rFonts w:eastAsiaTheme="minorEastAsia" w:cs="Times New Roman"/>
                <w:color w:val="000000"/>
                <w:sz w:val="24"/>
                <w:szCs w:val="24"/>
              </w:rPr>
              <w:t>%</w:t>
            </w:r>
          </w:p>
        </w:tc>
        <w:tc>
          <w:tcPr>
            <w:tcW w:w="1168" w:type="dxa"/>
            <w:shd w:val="clear" w:color="auto" w:fill="auto"/>
            <w:vAlign w:val="center"/>
            <w:hideMark/>
          </w:tcPr>
          <w:p w14:paraId="7BB20CB3"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164,339</w:t>
            </w:r>
          </w:p>
        </w:tc>
        <w:tc>
          <w:tcPr>
            <w:tcW w:w="1085" w:type="dxa"/>
            <w:shd w:val="clear" w:color="auto" w:fill="auto"/>
            <w:vAlign w:val="center"/>
            <w:hideMark/>
          </w:tcPr>
          <w:p w14:paraId="789E21BD" w14:textId="6950E052"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5</w:t>
            </w:r>
            <w:r w:rsidR="0087412C">
              <w:rPr>
                <w:rFonts w:eastAsiaTheme="minorEastAsia" w:cs="Times New Roman"/>
                <w:color w:val="000000"/>
                <w:sz w:val="24"/>
                <w:szCs w:val="24"/>
              </w:rPr>
              <w:t>5.6</w:t>
            </w:r>
            <w:r w:rsidRPr="00213759">
              <w:rPr>
                <w:rFonts w:eastAsiaTheme="minorEastAsia" w:cs="Times New Roman"/>
                <w:color w:val="000000"/>
                <w:sz w:val="24"/>
                <w:szCs w:val="24"/>
              </w:rPr>
              <w:t>%</w:t>
            </w:r>
          </w:p>
        </w:tc>
      </w:tr>
      <w:tr w:rsidR="00C06A76" w:rsidRPr="00C06A76" w14:paraId="1C72AF27" w14:textId="77777777" w:rsidTr="0025214E">
        <w:trPr>
          <w:trHeight w:val="314"/>
          <w:jc w:val="center"/>
        </w:trPr>
        <w:tc>
          <w:tcPr>
            <w:tcW w:w="4082" w:type="dxa"/>
            <w:shd w:val="clear" w:color="auto" w:fill="auto"/>
            <w:vAlign w:val="center"/>
            <w:hideMark/>
          </w:tcPr>
          <w:p w14:paraId="2D6B9CD3" w14:textId="77777777" w:rsidR="00C06A76" w:rsidRPr="00213759" w:rsidRDefault="00C06A76" w:rsidP="00C06A76">
            <w:pPr>
              <w:spacing w:after="0" w:line="240" w:lineRule="auto"/>
              <w:rPr>
                <w:rFonts w:eastAsia="Times New Roman" w:cs="Times New Roman"/>
                <w:color w:val="000000"/>
                <w:sz w:val="24"/>
                <w:szCs w:val="24"/>
              </w:rPr>
            </w:pPr>
            <w:r w:rsidRPr="00213759">
              <w:rPr>
                <w:rFonts w:eastAsiaTheme="minorEastAsia" w:cs="Times New Roman"/>
                <w:color w:val="000000"/>
                <w:sz w:val="24"/>
                <w:szCs w:val="24"/>
              </w:rPr>
              <w:t>Male</w:t>
            </w:r>
          </w:p>
        </w:tc>
        <w:tc>
          <w:tcPr>
            <w:tcW w:w="1168" w:type="dxa"/>
            <w:shd w:val="clear" w:color="auto" w:fill="auto"/>
            <w:vAlign w:val="center"/>
            <w:hideMark/>
          </w:tcPr>
          <w:p w14:paraId="146C2505"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174,530</w:t>
            </w:r>
          </w:p>
        </w:tc>
        <w:tc>
          <w:tcPr>
            <w:tcW w:w="1085" w:type="dxa"/>
            <w:shd w:val="clear" w:color="auto" w:fill="auto"/>
            <w:vAlign w:val="center"/>
            <w:hideMark/>
          </w:tcPr>
          <w:p w14:paraId="13D4E68B" w14:textId="351187E6"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44</w:t>
            </w:r>
            <w:r w:rsidR="0087412C">
              <w:rPr>
                <w:rFonts w:eastAsiaTheme="minorEastAsia" w:cs="Times New Roman"/>
                <w:color w:val="000000"/>
                <w:sz w:val="24"/>
                <w:szCs w:val="24"/>
              </w:rPr>
              <w:t>.4</w:t>
            </w:r>
            <w:r w:rsidRPr="00213759">
              <w:rPr>
                <w:rFonts w:eastAsiaTheme="minorEastAsia" w:cs="Times New Roman"/>
                <w:color w:val="000000"/>
                <w:sz w:val="24"/>
                <w:szCs w:val="24"/>
              </w:rPr>
              <w:t>%</w:t>
            </w:r>
          </w:p>
        </w:tc>
        <w:tc>
          <w:tcPr>
            <w:tcW w:w="1168" w:type="dxa"/>
            <w:shd w:val="clear" w:color="auto" w:fill="auto"/>
            <w:vAlign w:val="center"/>
            <w:hideMark/>
          </w:tcPr>
          <w:p w14:paraId="699D1F09"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130,911</w:t>
            </w:r>
          </w:p>
        </w:tc>
        <w:tc>
          <w:tcPr>
            <w:tcW w:w="1085" w:type="dxa"/>
            <w:shd w:val="clear" w:color="auto" w:fill="auto"/>
            <w:vAlign w:val="center"/>
            <w:hideMark/>
          </w:tcPr>
          <w:p w14:paraId="4BBC937B" w14:textId="64A6E809"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44</w:t>
            </w:r>
            <w:r w:rsidR="0087412C">
              <w:rPr>
                <w:rFonts w:eastAsiaTheme="minorEastAsia" w:cs="Times New Roman"/>
                <w:color w:val="000000"/>
                <w:sz w:val="24"/>
                <w:szCs w:val="24"/>
              </w:rPr>
              <w:t>.3</w:t>
            </w:r>
            <w:r w:rsidRPr="00213759">
              <w:rPr>
                <w:rFonts w:eastAsiaTheme="minorEastAsia" w:cs="Times New Roman"/>
                <w:color w:val="000000"/>
                <w:sz w:val="24"/>
                <w:szCs w:val="24"/>
              </w:rPr>
              <w:t>%</w:t>
            </w:r>
          </w:p>
        </w:tc>
      </w:tr>
      <w:tr w:rsidR="00C06A76" w:rsidRPr="00C06A76" w14:paraId="32D94B8F" w14:textId="77777777" w:rsidTr="0025214E">
        <w:trPr>
          <w:trHeight w:val="359"/>
          <w:jc w:val="center"/>
        </w:trPr>
        <w:tc>
          <w:tcPr>
            <w:tcW w:w="4082" w:type="dxa"/>
            <w:shd w:val="clear" w:color="auto" w:fill="auto"/>
            <w:vAlign w:val="center"/>
            <w:hideMark/>
          </w:tcPr>
          <w:p w14:paraId="76B619FF" w14:textId="77777777" w:rsidR="00C06A76" w:rsidRPr="00213759" w:rsidRDefault="00C06A76" w:rsidP="00C06A76">
            <w:pPr>
              <w:spacing w:after="0" w:line="240" w:lineRule="auto"/>
              <w:rPr>
                <w:rFonts w:eastAsia="Times New Roman" w:cs="Times New Roman"/>
                <w:color w:val="000000"/>
                <w:sz w:val="24"/>
                <w:szCs w:val="24"/>
              </w:rPr>
            </w:pPr>
            <w:r w:rsidRPr="00213759">
              <w:rPr>
                <w:rFonts w:eastAsiaTheme="minorEastAsia" w:cs="Times New Roman"/>
                <w:color w:val="000000"/>
                <w:sz w:val="24"/>
                <w:szCs w:val="24"/>
              </w:rPr>
              <w:t>Unknown</w:t>
            </w:r>
          </w:p>
        </w:tc>
        <w:tc>
          <w:tcPr>
            <w:tcW w:w="1168" w:type="dxa"/>
            <w:shd w:val="clear" w:color="auto" w:fill="auto"/>
            <w:vAlign w:val="center"/>
            <w:hideMark/>
          </w:tcPr>
          <w:p w14:paraId="431039A2"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465</w:t>
            </w:r>
          </w:p>
        </w:tc>
        <w:tc>
          <w:tcPr>
            <w:tcW w:w="1085" w:type="dxa"/>
            <w:shd w:val="clear" w:color="auto" w:fill="auto"/>
            <w:vAlign w:val="center"/>
            <w:hideMark/>
          </w:tcPr>
          <w:p w14:paraId="607FC834" w14:textId="3A9F426E"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0</w:t>
            </w:r>
            <w:r w:rsidR="0087412C">
              <w:rPr>
                <w:rFonts w:eastAsiaTheme="minorEastAsia" w:cs="Times New Roman"/>
                <w:color w:val="000000"/>
                <w:sz w:val="24"/>
                <w:szCs w:val="24"/>
              </w:rPr>
              <w:t>.1</w:t>
            </w:r>
            <w:r w:rsidRPr="00213759">
              <w:rPr>
                <w:rFonts w:eastAsiaTheme="minorEastAsia" w:cs="Times New Roman"/>
                <w:color w:val="000000"/>
                <w:sz w:val="24"/>
                <w:szCs w:val="24"/>
              </w:rPr>
              <w:t>%</w:t>
            </w:r>
          </w:p>
        </w:tc>
        <w:tc>
          <w:tcPr>
            <w:tcW w:w="1168" w:type="dxa"/>
            <w:shd w:val="clear" w:color="auto" w:fill="auto"/>
            <w:vAlign w:val="center"/>
            <w:hideMark/>
          </w:tcPr>
          <w:p w14:paraId="21305041"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167</w:t>
            </w:r>
          </w:p>
        </w:tc>
        <w:tc>
          <w:tcPr>
            <w:tcW w:w="1085" w:type="dxa"/>
            <w:shd w:val="clear" w:color="auto" w:fill="auto"/>
            <w:vAlign w:val="center"/>
            <w:hideMark/>
          </w:tcPr>
          <w:p w14:paraId="55838D87" w14:textId="0D058DF6"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0</w:t>
            </w:r>
            <w:r w:rsidR="0087412C">
              <w:rPr>
                <w:rFonts w:eastAsiaTheme="minorEastAsia" w:cs="Times New Roman"/>
                <w:color w:val="000000"/>
                <w:sz w:val="24"/>
                <w:szCs w:val="24"/>
              </w:rPr>
              <w:t>.1</w:t>
            </w:r>
            <w:r w:rsidRPr="00213759">
              <w:rPr>
                <w:rFonts w:eastAsiaTheme="minorEastAsia" w:cs="Times New Roman"/>
                <w:color w:val="000000"/>
                <w:sz w:val="24"/>
                <w:szCs w:val="24"/>
              </w:rPr>
              <w:t>%</w:t>
            </w:r>
          </w:p>
        </w:tc>
      </w:tr>
      <w:tr w:rsidR="00C06A76" w:rsidRPr="00C06A76" w14:paraId="5939FE87" w14:textId="77777777" w:rsidTr="0025214E">
        <w:trPr>
          <w:trHeight w:val="359"/>
          <w:jc w:val="center"/>
        </w:trPr>
        <w:tc>
          <w:tcPr>
            <w:tcW w:w="4082" w:type="dxa"/>
            <w:shd w:val="clear" w:color="000000" w:fill="FFFFFF"/>
            <w:vAlign w:val="center"/>
            <w:hideMark/>
          </w:tcPr>
          <w:p w14:paraId="55348CC8" w14:textId="77777777" w:rsidR="00C06A76" w:rsidRPr="00213759" w:rsidRDefault="00C06A76" w:rsidP="00C06A76">
            <w:pPr>
              <w:spacing w:after="0" w:line="240" w:lineRule="auto"/>
              <w:rPr>
                <w:rFonts w:eastAsia="Times New Roman" w:cs="Times New Roman"/>
                <w:color w:val="000000"/>
                <w:sz w:val="24"/>
                <w:szCs w:val="24"/>
              </w:rPr>
            </w:pPr>
            <w:r w:rsidRPr="00213759">
              <w:rPr>
                <w:rFonts w:eastAsiaTheme="minorEastAsia" w:cs="Times New Roman"/>
                <w:color w:val="000000"/>
                <w:sz w:val="24"/>
                <w:szCs w:val="24"/>
              </w:rPr>
              <w:t>Total Gender</w:t>
            </w:r>
          </w:p>
        </w:tc>
        <w:tc>
          <w:tcPr>
            <w:tcW w:w="1168" w:type="dxa"/>
            <w:shd w:val="clear" w:color="auto" w:fill="auto"/>
            <w:vAlign w:val="center"/>
            <w:hideMark/>
          </w:tcPr>
          <w:p w14:paraId="5C09BAB5"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393,429</w:t>
            </w:r>
          </w:p>
        </w:tc>
        <w:tc>
          <w:tcPr>
            <w:tcW w:w="1085" w:type="dxa"/>
            <w:shd w:val="clear" w:color="auto" w:fill="auto"/>
            <w:vAlign w:val="center"/>
            <w:hideMark/>
          </w:tcPr>
          <w:p w14:paraId="7C4C9ABA"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100%</w:t>
            </w:r>
          </w:p>
        </w:tc>
        <w:tc>
          <w:tcPr>
            <w:tcW w:w="1168" w:type="dxa"/>
            <w:shd w:val="clear" w:color="auto" w:fill="auto"/>
            <w:vAlign w:val="center"/>
            <w:hideMark/>
          </w:tcPr>
          <w:p w14:paraId="21D8BDC5"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295,417</w:t>
            </w:r>
          </w:p>
        </w:tc>
        <w:tc>
          <w:tcPr>
            <w:tcW w:w="1085" w:type="dxa"/>
            <w:shd w:val="clear" w:color="auto" w:fill="auto"/>
            <w:vAlign w:val="center"/>
            <w:hideMark/>
          </w:tcPr>
          <w:p w14:paraId="12F4ED22"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100%</w:t>
            </w:r>
          </w:p>
        </w:tc>
      </w:tr>
      <w:tr w:rsidR="00C06A76" w:rsidRPr="00C06A76" w14:paraId="09A9FB58" w14:textId="77777777" w:rsidTr="0025214E">
        <w:trPr>
          <w:trHeight w:val="314"/>
          <w:jc w:val="center"/>
        </w:trPr>
        <w:tc>
          <w:tcPr>
            <w:tcW w:w="4082" w:type="dxa"/>
            <w:shd w:val="clear" w:color="auto" w:fill="C1FFE0"/>
            <w:vAlign w:val="center"/>
            <w:hideMark/>
          </w:tcPr>
          <w:p w14:paraId="20E65E55" w14:textId="77777777" w:rsidR="00C06A76" w:rsidRPr="00213759" w:rsidRDefault="00C06A76" w:rsidP="00C06A76">
            <w:pPr>
              <w:spacing w:after="0" w:line="240" w:lineRule="auto"/>
              <w:rPr>
                <w:rFonts w:eastAsia="Times New Roman" w:cs="Times New Roman"/>
                <w:color w:val="000000"/>
                <w:sz w:val="24"/>
                <w:szCs w:val="24"/>
              </w:rPr>
            </w:pPr>
            <w:r w:rsidRPr="00213759">
              <w:rPr>
                <w:rFonts w:eastAsiaTheme="minorEastAsia" w:cs="Times New Roman"/>
                <w:color w:val="000000"/>
                <w:sz w:val="24"/>
                <w:szCs w:val="24"/>
              </w:rPr>
              <w:t>AGE</w:t>
            </w:r>
          </w:p>
        </w:tc>
        <w:tc>
          <w:tcPr>
            <w:tcW w:w="2254" w:type="dxa"/>
            <w:gridSpan w:val="2"/>
            <w:shd w:val="clear" w:color="auto" w:fill="D0EAF0"/>
            <w:vAlign w:val="center"/>
            <w:hideMark/>
          </w:tcPr>
          <w:p w14:paraId="40BD9BD3" w14:textId="77777777" w:rsidR="00C06A76" w:rsidRPr="00213759" w:rsidRDefault="00C06A76" w:rsidP="00C06A76">
            <w:pPr>
              <w:spacing w:after="0" w:line="240" w:lineRule="auto"/>
              <w:rPr>
                <w:rFonts w:eastAsia="Times New Roman" w:cs="Times New Roman"/>
                <w:color w:val="000000"/>
                <w:sz w:val="24"/>
                <w:szCs w:val="24"/>
              </w:rPr>
            </w:pPr>
            <w:r w:rsidRPr="00213759">
              <w:rPr>
                <w:rFonts w:eastAsiaTheme="minorEastAsia" w:cs="Times New Roman"/>
                <w:color w:val="000000"/>
                <w:sz w:val="24"/>
                <w:szCs w:val="24"/>
              </w:rPr>
              <w:t> </w:t>
            </w:r>
          </w:p>
        </w:tc>
        <w:tc>
          <w:tcPr>
            <w:tcW w:w="2254" w:type="dxa"/>
            <w:gridSpan w:val="2"/>
            <w:shd w:val="clear" w:color="auto" w:fill="EAD5FF"/>
            <w:vAlign w:val="center"/>
            <w:hideMark/>
          </w:tcPr>
          <w:p w14:paraId="450FC94A" w14:textId="77777777" w:rsidR="00C06A76" w:rsidRPr="00213759" w:rsidRDefault="00C06A76" w:rsidP="00C06A76">
            <w:pPr>
              <w:spacing w:after="0" w:line="240" w:lineRule="auto"/>
              <w:rPr>
                <w:rFonts w:eastAsia="Times New Roman" w:cs="Times New Roman"/>
                <w:color w:val="000000"/>
                <w:sz w:val="24"/>
                <w:szCs w:val="24"/>
              </w:rPr>
            </w:pPr>
            <w:r w:rsidRPr="00213759">
              <w:rPr>
                <w:rFonts w:eastAsiaTheme="minorEastAsia" w:cs="Times New Roman"/>
                <w:color w:val="000000"/>
                <w:sz w:val="24"/>
                <w:szCs w:val="24"/>
              </w:rPr>
              <w:t> </w:t>
            </w:r>
          </w:p>
        </w:tc>
      </w:tr>
      <w:tr w:rsidR="00C06A76" w:rsidRPr="00C06A76" w14:paraId="594962A3" w14:textId="77777777" w:rsidTr="0025214E">
        <w:trPr>
          <w:trHeight w:val="314"/>
          <w:jc w:val="center"/>
        </w:trPr>
        <w:tc>
          <w:tcPr>
            <w:tcW w:w="4082" w:type="dxa"/>
            <w:shd w:val="clear" w:color="auto" w:fill="auto"/>
            <w:vAlign w:val="center"/>
            <w:hideMark/>
          </w:tcPr>
          <w:p w14:paraId="591C222E" w14:textId="77777777" w:rsidR="00C06A76" w:rsidRPr="00213759" w:rsidRDefault="00C06A76" w:rsidP="00C06A76">
            <w:pPr>
              <w:spacing w:after="0" w:line="240" w:lineRule="auto"/>
              <w:rPr>
                <w:rFonts w:eastAsia="Times New Roman" w:cs="Times New Roman"/>
                <w:color w:val="000000"/>
                <w:sz w:val="24"/>
                <w:szCs w:val="24"/>
              </w:rPr>
            </w:pPr>
            <w:r w:rsidRPr="00213759">
              <w:rPr>
                <w:rFonts w:eastAsiaTheme="minorEastAsia" w:cs="Times New Roman"/>
                <w:color w:val="000000"/>
                <w:sz w:val="24"/>
                <w:szCs w:val="24"/>
              </w:rPr>
              <w:t>0-17</w:t>
            </w:r>
          </w:p>
        </w:tc>
        <w:tc>
          <w:tcPr>
            <w:tcW w:w="1168" w:type="dxa"/>
            <w:shd w:val="clear" w:color="auto" w:fill="auto"/>
            <w:vAlign w:val="center"/>
            <w:hideMark/>
          </w:tcPr>
          <w:p w14:paraId="275815EE"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72,425</w:t>
            </w:r>
          </w:p>
        </w:tc>
        <w:tc>
          <w:tcPr>
            <w:tcW w:w="1085" w:type="dxa"/>
            <w:shd w:val="clear" w:color="auto" w:fill="auto"/>
            <w:vAlign w:val="center"/>
            <w:hideMark/>
          </w:tcPr>
          <w:p w14:paraId="794E0F6B" w14:textId="706FB423"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18</w:t>
            </w:r>
            <w:r w:rsidR="0087412C">
              <w:rPr>
                <w:rFonts w:eastAsiaTheme="minorEastAsia" w:cs="Times New Roman"/>
                <w:color w:val="000000"/>
                <w:sz w:val="24"/>
                <w:szCs w:val="24"/>
              </w:rPr>
              <w:t>.4</w:t>
            </w:r>
            <w:r w:rsidRPr="00213759">
              <w:rPr>
                <w:rFonts w:eastAsiaTheme="minorEastAsia" w:cs="Times New Roman"/>
                <w:color w:val="000000"/>
                <w:sz w:val="24"/>
                <w:szCs w:val="24"/>
              </w:rPr>
              <w:t>%</w:t>
            </w:r>
          </w:p>
        </w:tc>
        <w:tc>
          <w:tcPr>
            <w:tcW w:w="1168" w:type="dxa"/>
            <w:shd w:val="clear" w:color="auto" w:fill="auto"/>
            <w:vAlign w:val="center"/>
            <w:hideMark/>
          </w:tcPr>
          <w:p w14:paraId="42B27268"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55,748</w:t>
            </w:r>
          </w:p>
        </w:tc>
        <w:tc>
          <w:tcPr>
            <w:tcW w:w="1085" w:type="dxa"/>
            <w:shd w:val="clear" w:color="auto" w:fill="auto"/>
            <w:vAlign w:val="center"/>
            <w:hideMark/>
          </w:tcPr>
          <w:p w14:paraId="52DBE768" w14:textId="5EBA9C6E"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1</w:t>
            </w:r>
            <w:r w:rsidR="0087412C">
              <w:rPr>
                <w:rFonts w:eastAsiaTheme="minorEastAsia" w:cs="Times New Roman"/>
                <w:color w:val="000000"/>
                <w:sz w:val="24"/>
                <w:szCs w:val="24"/>
              </w:rPr>
              <w:t>8.9</w:t>
            </w:r>
            <w:r w:rsidRPr="00213759">
              <w:rPr>
                <w:rFonts w:eastAsiaTheme="minorEastAsia" w:cs="Times New Roman"/>
                <w:color w:val="000000"/>
                <w:sz w:val="24"/>
                <w:szCs w:val="24"/>
              </w:rPr>
              <w:t>%</w:t>
            </w:r>
          </w:p>
        </w:tc>
      </w:tr>
      <w:tr w:rsidR="00C06A76" w:rsidRPr="00C06A76" w14:paraId="37E5624D" w14:textId="77777777" w:rsidTr="0025214E">
        <w:trPr>
          <w:trHeight w:val="314"/>
          <w:jc w:val="center"/>
        </w:trPr>
        <w:tc>
          <w:tcPr>
            <w:tcW w:w="4082" w:type="dxa"/>
            <w:shd w:val="clear" w:color="auto" w:fill="auto"/>
            <w:vAlign w:val="center"/>
            <w:hideMark/>
          </w:tcPr>
          <w:p w14:paraId="6F59E998" w14:textId="77777777" w:rsidR="00C06A76" w:rsidRPr="00213759" w:rsidRDefault="00C06A76" w:rsidP="00C06A76">
            <w:pPr>
              <w:spacing w:after="0" w:line="240" w:lineRule="auto"/>
              <w:rPr>
                <w:rFonts w:eastAsia="Times New Roman" w:cs="Times New Roman"/>
                <w:color w:val="000000"/>
                <w:sz w:val="24"/>
                <w:szCs w:val="24"/>
              </w:rPr>
            </w:pPr>
            <w:r w:rsidRPr="00213759">
              <w:rPr>
                <w:rFonts w:eastAsiaTheme="minorEastAsia" w:cs="Times New Roman"/>
                <w:color w:val="000000"/>
                <w:sz w:val="24"/>
                <w:szCs w:val="24"/>
              </w:rPr>
              <w:t>18-64</w:t>
            </w:r>
          </w:p>
        </w:tc>
        <w:tc>
          <w:tcPr>
            <w:tcW w:w="1168" w:type="dxa"/>
            <w:shd w:val="clear" w:color="auto" w:fill="auto"/>
            <w:vAlign w:val="center"/>
            <w:hideMark/>
          </w:tcPr>
          <w:p w14:paraId="67635903"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237,664</w:t>
            </w:r>
          </w:p>
        </w:tc>
        <w:tc>
          <w:tcPr>
            <w:tcW w:w="1085" w:type="dxa"/>
            <w:shd w:val="clear" w:color="auto" w:fill="auto"/>
            <w:vAlign w:val="center"/>
            <w:hideMark/>
          </w:tcPr>
          <w:p w14:paraId="695ABE66" w14:textId="066310D2"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60</w:t>
            </w:r>
            <w:r w:rsidR="0087412C">
              <w:rPr>
                <w:rFonts w:eastAsiaTheme="minorEastAsia" w:cs="Times New Roman"/>
                <w:color w:val="000000"/>
                <w:sz w:val="24"/>
                <w:szCs w:val="24"/>
              </w:rPr>
              <w:t>.4</w:t>
            </w:r>
            <w:r w:rsidRPr="00213759">
              <w:rPr>
                <w:rFonts w:eastAsiaTheme="minorEastAsia" w:cs="Times New Roman"/>
                <w:color w:val="000000"/>
                <w:sz w:val="24"/>
                <w:szCs w:val="24"/>
              </w:rPr>
              <w:t>%</w:t>
            </w:r>
          </w:p>
        </w:tc>
        <w:tc>
          <w:tcPr>
            <w:tcW w:w="1168" w:type="dxa"/>
            <w:shd w:val="clear" w:color="auto" w:fill="auto"/>
            <w:vAlign w:val="center"/>
            <w:hideMark/>
          </w:tcPr>
          <w:p w14:paraId="594747FD"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173,745</w:t>
            </w:r>
          </w:p>
        </w:tc>
        <w:tc>
          <w:tcPr>
            <w:tcW w:w="1085" w:type="dxa"/>
            <w:shd w:val="clear" w:color="auto" w:fill="auto"/>
            <w:vAlign w:val="center"/>
            <w:hideMark/>
          </w:tcPr>
          <w:p w14:paraId="1EA19532" w14:textId="380FFE5B"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5</w:t>
            </w:r>
            <w:r w:rsidR="0087412C">
              <w:rPr>
                <w:rFonts w:eastAsiaTheme="minorEastAsia" w:cs="Times New Roman"/>
                <w:color w:val="000000"/>
                <w:sz w:val="24"/>
                <w:szCs w:val="24"/>
              </w:rPr>
              <w:t>8.8</w:t>
            </w:r>
            <w:r w:rsidRPr="00213759">
              <w:rPr>
                <w:rFonts w:eastAsiaTheme="minorEastAsia" w:cs="Times New Roman"/>
                <w:color w:val="000000"/>
                <w:sz w:val="24"/>
                <w:szCs w:val="24"/>
              </w:rPr>
              <w:t>%</w:t>
            </w:r>
          </w:p>
        </w:tc>
      </w:tr>
      <w:tr w:rsidR="00C06A76" w:rsidRPr="00C06A76" w14:paraId="161ADB07" w14:textId="77777777" w:rsidTr="0025214E">
        <w:trPr>
          <w:trHeight w:val="314"/>
          <w:jc w:val="center"/>
        </w:trPr>
        <w:tc>
          <w:tcPr>
            <w:tcW w:w="4082" w:type="dxa"/>
            <w:shd w:val="clear" w:color="auto" w:fill="auto"/>
            <w:vAlign w:val="center"/>
            <w:hideMark/>
          </w:tcPr>
          <w:p w14:paraId="75F8F438" w14:textId="77777777" w:rsidR="00C06A76" w:rsidRPr="00213759" w:rsidRDefault="00C06A76" w:rsidP="00C06A76">
            <w:pPr>
              <w:spacing w:after="0" w:line="240" w:lineRule="auto"/>
              <w:rPr>
                <w:rFonts w:eastAsia="Times New Roman" w:cs="Times New Roman"/>
                <w:color w:val="000000"/>
                <w:sz w:val="24"/>
                <w:szCs w:val="24"/>
              </w:rPr>
            </w:pPr>
            <w:r w:rsidRPr="00213759">
              <w:rPr>
                <w:rFonts w:eastAsiaTheme="minorEastAsia" w:cs="Times New Roman"/>
                <w:color w:val="000000"/>
                <w:sz w:val="24"/>
                <w:szCs w:val="24"/>
              </w:rPr>
              <w:t>65+</w:t>
            </w:r>
          </w:p>
        </w:tc>
        <w:tc>
          <w:tcPr>
            <w:tcW w:w="1168" w:type="dxa"/>
            <w:shd w:val="clear" w:color="auto" w:fill="auto"/>
            <w:vAlign w:val="center"/>
            <w:hideMark/>
          </w:tcPr>
          <w:p w14:paraId="6ABDF6C9"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83,332</w:t>
            </w:r>
          </w:p>
        </w:tc>
        <w:tc>
          <w:tcPr>
            <w:tcW w:w="1085" w:type="dxa"/>
            <w:shd w:val="clear" w:color="auto" w:fill="auto"/>
            <w:vAlign w:val="center"/>
            <w:hideMark/>
          </w:tcPr>
          <w:p w14:paraId="14B17356" w14:textId="6874BD9E"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21</w:t>
            </w:r>
            <w:r w:rsidR="0087412C">
              <w:rPr>
                <w:rFonts w:eastAsiaTheme="minorEastAsia" w:cs="Times New Roman"/>
                <w:color w:val="000000"/>
                <w:sz w:val="24"/>
                <w:szCs w:val="24"/>
              </w:rPr>
              <w:t>.2</w:t>
            </w:r>
            <w:r w:rsidRPr="00213759">
              <w:rPr>
                <w:rFonts w:eastAsiaTheme="minorEastAsia" w:cs="Times New Roman"/>
                <w:color w:val="000000"/>
                <w:sz w:val="24"/>
                <w:szCs w:val="24"/>
              </w:rPr>
              <w:t>%</w:t>
            </w:r>
          </w:p>
        </w:tc>
        <w:tc>
          <w:tcPr>
            <w:tcW w:w="1168" w:type="dxa"/>
            <w:shd w:val="clear" w:color="auto" w:fill="auto"/>
            <w:vAlign w:val="center"/>
            <w:hideMark/>
          </w:tcPr>
          <w:p w14:paraId="76A25672"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65,919</w:t>
            </w:r>
          </w:p>
        </w:tc>
        <w:tc>
          <w:tcPr>
            <w:tcW w:w="1085" w:type="dxa"/>
            <w:shd w:val="clear" w:color="auto" w:fill="auto"/>
            <w:vAlign w:val="center"/>
            <w:hideMark/>
          </w:tcPr>
          <w:p w14:paraId="4CDB5A0F" w14:textId="19F0C6E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22</w:t>
            </w:r>
            <w:r w:rsidR="0087412C">
              <w:rPr>
                <w:rFonts w:eastAsiaTheme="minorEastAsia" w:cs="Times New Roman"/>
                <w:color w:val="000000"/>
                <w:sz w:val="24"/>
                <w:szCs w:val="24"/>
              </w:rPr>
              <w:t>.3</w:t>
            </w:r>
            <w:r w:rsidRPr="00213759">
              <w:rPr>
                <w:rFonts w:eastAsiaTheme="minorEastAsia" w:cs="Times New Roman"/>
                <w:color w:val="000000"/>
                <w:sz w:val="24"/>
                <w:szCs w:val="24"/>
              </w:rPr>
              <w:t>%</w:t>
            </w:r>
          </w:p>
        </w:tc>
      </w:tr>
      <w:tr w:rsidR="00C06A76" w:rsidRPr="00C06A76" w14:paraId="261782C8" w14:textId="77777777" w:rsidTr="0025214E">
        <w:trPr>
          <w:trHeight w:val="299"/>
          <w:jc w:val="center"/>
        </w:trPr>
        <w:tc>
          <w:tcPr>
            <w:tcW w:w="4082" w:type="dxa"/>
            <w:shd w:val="clear" w:color="auto" w:fill="auto"/>
            <w:vAlign w:val="center"/>
            <w:hideMark/>
          </w:tcPr>
          <w:p w14:paraId="1F514C66" w14:textId="77777777" w:rsidR="00C06A76" w:rsidRPr="00213759" w:rsidRDefault="00C06A76" w:rsidP="00C06A76">
            <w:pPr>
              <w:spacing w:after="0" w:line="240" w:lineRule="auto"/>
              <w:rPr>
                <w:rFonts w:eastAsia="Times New Roman" w:cs="Times New Roman"/>
                <w:color w:val="000000"/>
                <w:sz w:val="24"/>
                <w:szCs w:val="24"/>
              </w:rPr>
            </w:pPr>
            <w:r w:rsidRPr="00213759">
              <w:rPr>
                <w:rFonts w:eastAsiaTheme="minorEastAsia" w:cs="Times New Roman"/>
                <w:color w:val="000000"/>
                <w:sz w:val="24"/>
                <w:szCs w:val="24"/>
              </w:rPr>
              <w:t>Unknown</w:t>
            </w:r>
          </w:p>
        </w:tc>
        <w:tc>
          <w:tcPr>
            <w:tcW w:w="1168" w:type="dxa"/>
            <w:shd w:val="clear" w:color="auto" w:fill="auto"/>
            <w:vAlign w:val="center"/>
            <w:hideMark/>
          </w:tcPr>
          <w:p w14:paraId="0CECA905"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8</w:t>
            </w:r>
          </w:p>
        </w:tc>
        <w:tc>
          <w:tcPr>
            <w:tcW w:w="1085" w:type="dxa"/>
            <w:shd w:val="clear" w:color="auto" w:fill="auto"/>
            <w:vAlign w:val="center"/>
            <w:hideMark/>
          </w:tcPr>
          <w:p w14:paraId="6E1CCEA0" w14:textId="02766B4F"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0</w:t>
            </w:r>
            <w:r w:rsidR="0087412C">
              <w:rPr>
                <w:rFonts w:eastAsiaTheme="minorEastAsia" w:cs="Times New Roman"/>
                <w:color w:val="000000"/>
                <w:sz w:val="24"/>
                <w:szCs w:val="24"/>
              </w:rPr>
              <w:t>.0</w:t>
            </w:r>
            <w:r w:rsidRPr="00213759">
              <w:rPr>
                <w:rFonts w:eastAsiaTheme="minorEastAsia" w:cs="Times New Roman"/>
                <w:color w:val="000000"/>
                <w:sz w:val="24"/>
                <w:szCs w:val="24"/>
              </w:rPr>
              <w:t>%</w:t>
            </w:r>
          </w:p>
        </w:tc>
        <w:tc>
          <w:tcPr>
            <w:tcW w:w="1168" w:type="dxa"/>
            <w:shd w:val="clear" w:color="auto" w:fill="auto"/>
            <w:vAlign w:val="center"/>
            <w:hideMark/>
          </w:tcPr>
          <w:p w14:paraId="622FB799"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5</w:t>
            </w:r>
          </w:p>
        </w:tc>
        <w:tc>
          <w:tcPr>
            <w:tcW w:w="1085" w:type="dxa"/>
            <w:shd w:val="clear" w:color="auto" w:fill="auto"/>
            <w:vAlign w:val="center"/>
            <w:hideMark/>
          </w:tcPr>
          <w:p w14:paraId="5BA362F0" w14:textId="38B48635"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0</w:t>
            </w:r>
            <w:r w:rsidR="0087412C">
              <w:rPr>
                <w:rFonts w:eastAsiaTheme="minorEastAsia" w:cs="Times New Roman"/>
                <w:color w:val="000000"/>
                <w:sz w:val="24"/>
                <w:szCs w:val="24"/>
              </w:rPr>
              <w:t>.0</w:t>
            </w:r>
            <w:r w:rsidRPr="00213759">
              <w:rPr>
                <w:rFonts w:eastAsiaTheme="minorEastAsia" w:cs="Times New Roman"/>
                <w:color w:val="000000"/>
                <w:sz w:val="24"/>
                <w:szCs w:val="24"/>
              </w:rPr>
              <w:t>%</w:t>
            </w:r>
          </w:p>
        </w:tc>
      </w:tr>
      <w:tr w:rsidR="00C06A76" w:rsidRPr="00C06A76" w14:paraId="08FFC8C4" w14:textId="77777777" w:rsidTr="0025214E">
        <w:trPr>
          <w:trHeight w:val="222"/>
          <w:jc w:val="center"/>
        </w:trPr>
        <w:tc>
          <w:tcPr>
            <w:tcW w:w="4082" w:type="dxa"/>
            <w:shd w:val="clear" w:color="000000" w:fill="FFFFFF"/>
            <w:vAlign w:val="center"/>
            <w:hideMark/>
          </w:tcPr>
          <w:p w14:paraId="6F00F437" w14:textId="77777777" w:rsidR="00C06A76" w:rsidRPr="00213759" w:rsidRDefault="00C06A76" w:rsidP="00C06A76">
            <w:pPr>
              <w:spacing w:after="0" w:line="240" w:lineRule="auto"/>
              <w:rPr>
                <w:rFonts w:eastAsia="Times New Roman" w:cs="Times New Roman"/>
                <w:color w:val="000000"/>
                <w:sz w:val="24"/>
                <w:szCs w:val="24"/>
              </w:rPr>
            </w:pPr>
            <w:r w:rsidRPr="00213759">
              <w:rPr>
                <w:rFonts w:eastAsiaTheme="minorEastAsia" w:cs="Times New Roman"/>
                <w:color w:val="000000"/>
                <w:sz w:val="24"/>
                <w:szCs w:val="24"/>
              </w:rPr>
              <w:t>Total Age</w:t>
            </w:r>
          </w:p>
        </w:tc>
        <w:tc>
          <w:tcPr>
            <w:tcW w:w="1168" w:type="dxa"/>
            <w:shd w:val="clear" w:color="auto" w:fill="auto"/>
            <w:vAlign w:val="center"/>
            <w:hideMark/>
          </w:tcPr>
          <w:p w14:paraId="12A5DFB7"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393,429</w:t>
            </w:r>
          </w:p>
        </w:tc>
        <w:tc>
          <w:tcPr>
            <w:tcW w:w="1085" w:type="dxa"/>
            <w:shd w:val="clear" w:color="auto" w:fill="auto"/>
            <w:vAlign w:val="center"/>
            <w:hideMark/>
          </w:tcPr>
          <w:p w14:paraId="00841B2B"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100%</w:t>
            </w:r>
          </w:p>
        </w:tc>
        <w:tc>
          <w:tcPr>
            <w:tcW w:w="1168" w:type="dxa"/>
            <w:shd w:val="clear" w:color="auto" w:fill="auto"/>
            <w:vAlign w:val="center"/>
            <w:hideMark/>
          </w:tcPr>
          <w:p w14:paraId="6712F020"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295,417</w:t>
            </w:r>
          </w:p>
        </w:tc>
        <w:tc>
          <w:tcPr>
            <w:tcW w:w="1085" w:type="dxa"/>
            <w:shd w:val="clear" w:color="auto" w:fill="auto"/>
            <w:vAlign w:val="center"/>
            <w:hideMark/>
          </w:tcPr>
          <w:p w14:paraId="5C92DB9C"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100%</w:t>
            </w:r>
          </w:p>
        </w:tc>
      </w:tr>
      <w:tr w:rsidR="00C06A76" w:rsidRPr="00C06A76" w14:paraId="5AD31DF5" w14:textId="77777777" w:rsidTr="0025214E">
        <w:trPr>
          <w:trHeight w:val="314"/>
          <w:jc w:val="center"/>
        </w:trPr>
        <w:tc>
          <w:tcPr>
            <w:tcW w:w="4082" w:type="dxa"/>
            <w:shd w:val="clear" w:color="auto" w:fill="C1FFE0"/>
            <w:vAlign w:val="center"/>
            <w:hideMark/>
          </w:tcPr>
          <w:p w14:paraId="57C5B98E" w14:textId="77777777" w:rsidR="00C06A76" w:rsidRPr="00213759" w:rsidRDefault="00C06A76" w:rsidP="00C06A76">
            <w:pPr>
              <w:spacing w:after="0" w:line="240" w:lineRule="auto"/>
              <w:rPr>
                <w:rFonts w:eastAsia="Times New Roman" w:cs="Times New Roman"/>
                <w:color w:val="000000"/>
                <w:sz w:val="24"/>
                <w:szCs w:val="24"/>
              </w:rPr>
            </w:pPr>
            <w:r w:rsidRPr="00213759">
              <w:rPr>
                <w:rFonts w:eastAsiaTheme="minorEastAsia" w:cs="Times New Roman"/>
                <w:color w:val="000000"/>
                <w:sz w:val="24"/>
                <w:szCs w:val="24"/>
              </w:rPr>
              <w:t>RACE</w:t>
            </w:r>
          </w:p>
        </w:tc>
        <w:tc>
          <w:tcPr>
            <w:tcW w:w="2254" w:type="dxa"/>
            <w:gridSpan w:val="2"/>
            <w:shd w:val="clear" w:color="auto" w:fill="D0EAF0"/>
            <w:vAlign w:val="center"/>
            <w:hideMark/>
          </w:tcPr>
          <w:p w14:paraId="576C58D2" w14:textId="77777777" w:rsidR="00C06A76" w:rsidRPr="00213759" w:rsidRDefault="00C06A76" w:rsidP="00C06A76">
            <w:pPr>
              <w:spacing w:after="0" w:line="240" w:lineRule="auto"/>
              <w:rPr>
                <w:rFonts w:eastAsia="Times New Roman" w:cs="Times New Roman"/>
                <w:color w:val="000000"/>
                <w:sz w:val="24"/>
                <w:szCs w:val="24"/>
              </w:rPr>
            </w:pPr>
            <w:r w:rsidRPr="00213759">
              <w:rPr>
                <w:rFonts w:eastAsiaTheme="minorEastAsia" w:cs="Times New Roman"/>
                <w:color w:val="000000"/>
                <w:sz w:val="24"/>
                <w:szCs w:val="24"/>
              </w:rPr>
              <w:t> </w:t>
            </w:r>
          </w:p>
        </w:tc>
        <w:tc>
          <w:tcPr>
            <w:tcW w:w="2254" w:type="dxa"/>
            <w:gridSpan w:val="2"/>
            <w:shd w:val="clear" w:color="auto" w:fill="EAD5FF"/>
            <w:vAlign w:val="center"/>
            <w:hideMark/>
          </w:tcPr>
          <w:p w14:paraId="72986121" w14:textId="77777777" w:rsidR="00C06A76" w:rsidRPr="00213759" w:rsidRDefault="00C06A76" w:rsidP="00C06A76">
            <w:pPr>
              <w:spacing w:after="0" w:line="240" w:lineRule="auto"/>
              <w:rPr>
                <w:rFonts w:eastAsia="Times New Roman" w:cs="Times New Roman"/>
                <w:color w:val="000000"/>
                <w:sz w:val="24"/>
                <w:szCs w:val="24"/>
              </w:rPr>
            </w:pPr>
            <w:r w:rsidRPr="00213759">
              <w:rPr>
                <w:rFonts w:eastAsiaTheme="minorEastAsia" w:cs="Times New Roman"/>
                <w:color w:val="000000"/>
                <w:sz w:val="24"/>
                <w:szCs w:val="24"/>
              </w:rPr>
              <w:t> </w:t>
            </w:r>
          </w:p>
        </w:tc>
      </w:tr>
      <w:tr w:rsidR="00C06A76" w:rsidRPr="00C06A76" w14:paraId="65011369" w14:textId="77777777" w:rsidTr="0025214E">
        <w:trPr>
          <w:trHeight w:val="249"/>
          <w:jc w:val="center"/>
        </w:trPr>
        <w:tc>
          <w:tcPr>
            <w:tcW w:w="4082" w:type="dxa"/>
            <w:shd w:val="clear" w:color="auto" w:fill="auto"/>
            <w:vAlign w:val="center"/>
            <w:hideMark/>
          </w:tcPr>
          <w:p w14:paraId="70311A4A" w14:textId="77777777" w:rsidR="00C06A76" w:rsidRPr="00213759" w:rsidRDefault="00C06A76" w:rsidP="00C06A76">
            <w:pPr>
              <w:spacing w:after="0" w:line="240" w:lineRule="auto"/>
              <w:rPr>
                <w:rFonts w:eastAsia="Times New Roman" w:cs="Times New Roman"/>
                <w:color w:val="000000"/>
                <w:sz w:val="24"/>
                <w:szCs w:val="24"/>
              </w:rPr>
            </w:pPr>
            <w:r w:rsidRPr="00213759">
              <w:rPr>
                <w:rFonts w:eastAsiaTheme="minorEastAsia" w:cs="Times New Roman"/>
                <w:color w:val="000000"/>
                <w:sz w:val="24"/>
                <w:szCs w:val="24"/>
              </w:rPr>
              <w:t>American Indian or Alaska Native</w:t>
            </w:r>
          </w:p>
        </w:tc>
        <w:tc>
          <w:tcPr>
            <w:tcW w:w="1168" w:type="dxa"/>
            <w:shd w:val="clear" w:color="auto" w:fill="auto"/>
            <w:vAlign w:val="center"/>
            <w:hideMark/>
          </w:tcPr>
          <w:p w14:paraId="26CA845E"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894</w:t>
            </w:r>
          </w:p>
        </w:tc>
        <w:tc>
          <w:tcPr>
            <w:tcW w:w="1085" w:type="dxa"/>
            <w:shd w:val="clear" w:color="auto" w:fill="auto"/>
            <w:vAlign w:val="center"/>
            <w:hideMark/>
          </w:tcPr>
          <w:p w14:paraId="4244CAD0"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0.2%</w:t>
            </w:r>
          </w:p>
        </w:tc>
        <w:tc>
          <w:tcPr>
            <w:tcW w:w="1168" w:type="dxa"/>
            <w:shd w:val="clear" w:color="auto" w:fill="auto"/>
            <w:vAlign w:val="center"/>
            <w:hideMark/>
          </w:tcPr>
          <w:p w14:paraId="64255E09"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762</w:t>
            </w:r>
          </w:p>
        </w:tc>
        <w:tc>
          <w:tcPr>
            <w:tcW w:w="1085" w:type="dxa"/>
            <w:shd w:val="clear" w:color="auto" w:fill="auto"/>
            <w:vAlign w:val="center"/>
            <w:hideMark/>
          </w:tcPr>
          <w:p w14:paraId="08955C42"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0.3%</w:t>
            </w:r>
          </w:p>
        </w:tc>
      </w:tr>
      <w:tr w:rsidR="00C06A76" w:rsidRPr="00C06A76" w14:paraId="742189C4" w14:textId="77777777" w:rsidTr="0025214E">
        <w:trPr>
          <w:trHeight w:val="141"/>
          <w:jc w:val="center"/>
        </w:trPr>
        <w:tc>
          <w:tcPr>
            <w:tcW w:w="4082" w:type="dxa"/>
            <w:shd w:val="clear" w:color="auto" w:fill="auto"/>
            <w:vAlign w:val="center"/>
            <w:hideMark/>
          </w:tcPr>
          <w:p w14:paraId="75528F43" w14:textId="77777777" w:rsidR="00C06A76" w:rsidRPr="00213759" w:rsidRDefault="00C06A76" w:rsidP="00C06A76">
            <w:pPr>
              <w:spacing w:after="0" w:line="240" w:lineRule="auto"/>
              <w:rPr>
                <w:rFonts w:eastAsia="Times New Roman" w:cs="Times New Roman"/>
                <w:color w:val="000000"/>
                <w:sz w:val="24"/>
                <w:szCs w:val="24"/>
              </w:rPr>
            </w:pPr>
            <w:r w:rsidRPr="00213759">
              <w:rPr>
                <w:rFonts w:eastAsiaTheme="minorEastAsia" w:cs="Times New Roman"/>
                <w:color w:val="000000"/>
                <w:sz w:val="24"/>
                <w:szCs w:val="24"/>
              </w:rPr>
              <w:t>Asian</w:t>
            </w:r>
          </w:p>
        </w:tc>
        <w:tc>
          <w:tcPr>
            <w:tcW w:w="1168" w:type="dxa"/>
            <w:shd w:val="clear" w:color="auto" w:fill="auto"/>
            <w:vAlign w:val="center"/>
            <w:hideMark/>
          </w:tcPr>
          <w:p w14:paraId="7B4F01A9"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15,024</w:t>
            </w:r>
          </w:p>
        </w:tc>
        <w:tc>
          <w:tcPr>
            <w:tcW w:w="1085" w:type="dxa"/>
            <w:shd w:val="clear" w:color="auto" w:fill="auto"/>
            <w:vAlign w:val="center"/>
            <w:hideMark/>
          </w:tcPr>
          <w:p w14:paraId="20FFA835"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3.8%</w:t>
            </w:r>
          </w:p>
        </w:tc>
        <w:tc>
          <w:tcPr>
            <w:tcW w:w="1168" w:type="dxa"/>
            <w:shd w:val="clear" w:color="auto" w:fill="auto"/>
            <w:vAlign w:val="center"/>
            <w:hideMark/>
          </w:tcPr>
          <w:p w14:paraId="0AE4BDD1"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11,852</w:t>
            </w:r>
          </w:p>
        </w:tc>
        <w:tc>
          <w:tcPr>
            <w:tcW w:w="1085" w:type="dxa"/>
            <w:shd w:val="clear" w:color="auto" w:fill="auto"/>
            <w:vAlign w:val="center"/>
            <w:hideMark/>
          </w:tcPr>
          <w:p w14:paraId="0452B620"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4.0%</w:t>
            </w:r>
          </w:p>
        </w:tc>
      </w:tr>
      <w:tr w:rsidR="00C06A76" w:rsidRPr="00C06A76" w14:paraId="1E58D7F0" w14:textId="77777777" w:rsidTr="0025214E">
        <w:trPr>
          <w:trHeight w:val="222"/>
          <w:jc w:val="center"/>
        </w:trPr>
        <w:tc>
          <w:tcPr>
            <w:tcW w:w="4082" w:type="dxa"/>
            <w:shd w:val="clear" w:color="auto" w:fill="auto"/>
            <w:vAlign w:val="center"/>
            <w:hideMark/>
          </w:tcPr>
          <w:p w14:paraId="45AF217C" w14:textId="77777777" w:rsidR="00C06A76" w:rsidRPr="00213759" w:rsidRDefault="00C06A76" w:rsidP="00C06A76">
            <w:pPr>
              <w:spacing w:after="0" w:line="240" w:lineRule="auto"/>
              <w:rPr>
                <w:rFonts w:eastAsia="Times New Roman" w:cs="Times New Roman"/>
                <w:color w:val="000000"/>
                <w:sz w:val="24"/>
                <w:szCs w:val="24"/>
              </w:rPr>
            </w:pPr>
            <w:r w:rsidRPr="00213759">
              <w:rPr>
                <w:rFonts w:eastAsiaTheme="minorEastAsia" w:cs="Times New Roman"/>
                <w:color w:val="000000"/>
                <w:sz w:val="24"/>
                <w:szCs w:val="24"/>
              </w:rPr>
              <w:t>Black or African American</w:t>
            </w:r>
          </w:p>
        </w:tc>
        <w:tc>
          <w:tcPr>
            <w:tcW w:w="1168" w:type="dxa"/>
            <w:shd w:val="clear" w:color="auto" w:fill="auto"/>
            <w:vAlign w:val="center"/>
            <w:hideMark/>
          </w:tcPr>
          <w:p w14:paraId="6AA4607F"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23,378</w:t>
            </w:r>
          </w:p>
        </w:tc>
        <w:tc>
          <w:tcPr>
            <w:tcW w:w="1085" w:type="dxa"/>
            <w:shd w:val="clear" w:color="auto" w:fill="auto"/>
            <w:vAlign w:val="center"/>
            <w:hideMark/>
          </w:tcPr>
          <w:p w14:paraId="3F16C8CB"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5.9%</w:t>
            </w:r>
          </w:p>
        </w:tc>
        <w:tc>
          <w:tcPr>
            <w:tcW w:w="1168" w:type="dxa"/>
            <w:shd w:val="clear" w:color="auto" w:fill="auto"/>
            <w:vAlign w:val="center"/>
            <w:hideMark/>
          </w:tcPr>
          <w:p w14:paraId="6821F9B9"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19,195</w:t>
            </w:r>
          </w:p>
        </w:tc>
        <w:tc>
          <w:tcPr>
            <w:tcW w:w="1085" w:type="dxa"/>
            <w:shd w:val="clear" w:color="auto" w:fill="auto"/>
            <w:vAlign w:val="center"/>
            <w:hideMark/>
          </w:tcPr>
          <w:p w14:paraId="7A761036"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6.5%</w:t>
            </w:r>
          </w:p>
        </w:tc>
      </w:tr>
      <w:tr w:rsidR="00C06A76" w:rsidRPr="00C06A76" w14:paraId="022D7C4E" w14:textId="77777777" w:rsidTr="0025214E">
        <w:trPr>
          <w:trHeight w:val="314"/>
          <w:jc w:val="center"/>
        </w:trPr>
        <w:tc>
          <w:tcPr>
            <w:tcW w:w="4082" w:type="dxa"/>
            <w:shd w:val="clear" w:color="auto" w:fill="auto"/>
            <w:vAlign w:val="center"/>
            <w:hideMark/>
          </w:tcPr>
          <w:p w14:paraId="5160D074" w14:textId="77777777" w:rsidR="00C06A76" w:rsidRPr="00213759" w:rsidRDefault="00C06A76" w:rsidP="00C06A76">
            <w:pPr>
              <w:spacing w:after="0" w:line="240" w:lineRule="auto"/>
              <w:rPr>
                <w:rFonts w:eastAsia="Times New Roman" w:cs="Times New Roman"/>
                <w:color w:val="000000"/>
                <w:sz w:val="24"/>
                <w:szCs w:val="24"/>
              </w:rPr>
            </w:pPr>
            <w:r w:rsidRPr="00213759">
              <w:rPr>
                <w:rFonts w:eastAsiaTheme="minorEastAsia" w:cs="Times New Roman"/>
                <w:color w:val="000000"/>
                <w:sz w:val="24"/>
                <w:szCs w:val="24"/>
              </w:rPr>
              <w:lastRenderedPageBreak/>
              <w:t>Declined</w:t>
            </w:r>
          </w:p>
        </w:tc>
        <w:tc>
          <w:tcPr>
            <w:tcW w:w="1168" w:type="dxa"/>
            <w:shd w:val="clear" w:color="auto" w:fill="auto"/>
            <w:vAlign w:val="center"/>
            <w:hideMark/>
          </w:tcPr>
          <w:p w14:paraId="0A29C9CF"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3,275</w:t>
            </w:r>
          </w:p>
        </w:tc>
        <w:tc>
          <w:tcPr>
            <w:tcW w:w="1085" w:type="dxa"/>
            <w:shd w:val="clear" w:color="auto" w:fill="auto"/>
            <w:vAlign w:val="center"/>
            <w:hideMark/>
          </w:tcPr>
          <w:p w14:paraId="002FD19C"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0.8%</w:t>
            </w:r>
          </w:p>
        </w:tc>
        <w:tc>
          <w:tcPr>
            <w:tcW w:w="1168" w:type="dxa"/>
            <w:shd w:val="clear" w:color="auto" w:fill="auto"/>
            <w:vAlign w:val="center"/>
            <w:hideMark/>
          </w:tcPr>
          <w:p w14:paraId="4589051E"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2,850</w:t>
            </w:r>
          </w:p>
        </w:tc>
        <w:tc>
          <w:tcPr>
            <w:tcW w:w="1085" w:type="dxa"/>
            <w:shd w:val="clear" w:color="auto" w:fill="auto"/>
            <w:vAlign w:val="center"/>
            <w:hideMark/>
          </w:tcPr>
          <w:p w14:paraId="349639A0"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1.0%</w:t>
            </w:r>
          </w:p>
        </w:tc>
      </w:tr>
      <w:tr w:rsidR="00C06A76" w:rsidRPr="00C06A76" w14:paraId="11B26C84" w14:textId="77777777" w:rsidTr="0025214E">
        <w:trPr>
          <w:trHeight w:val="59"/>
          <w:jc w:val="center"/>
        </w:trPr>
        <w:tc>
          <w:tcPr>
            <w:tcW w:w="4082" w:type="dxa"/>
            <w:shd w:val="clear" w:color="auto" w:fill="auto"/>
            <w:vAlign w:val="center"/>
            <w:hideMark/>
          </w:tcPr>
          <w:p w14:paraId="26067343" w14:textId="77777777" w:rsidR="00C06A76" w:rsidRPr="00213759" w:rsidRDefault="00C06A76" w:rsidP="00C06A76">
            <w:pPr>
              <w:spacing w:after="0" w:line="240" w:lineRule="auto"/>
              <w:rPr>
                <w:rFonts w:eastAsia="Times New Roman" w:cs="Times New Roman"/>
                <w:color w:val="000000"/>
                <w:sz w:val="24"/>
                <w:szCs w:val="24"/>
              </w:rPr>
            </w:pPr>
            <w:r w:rsidRPr="00213759">
              <w:rPr>
                <w:rFonts w:eastAsiaTheme="minorEastAsia" w:cs="Times New Roman"/>
                <w:color w:val="000000"/>
                <w:sz w:val="24"/>
                <w:szCs w:val="24"/>
              </w:rPr>
              <w:t>Multi-Racial</w:t>
            </w:r>
          </w:p>
        </w:tc>
        <w:tc>
          <w:tcPr>
            <w:tcW w:w="1168" w:type="dxa"/>
            <w:shd w:val="clear" w:color="auto" w:fill="auto"/>
            <w:vAlign w:val="center"/>
            <w:hideMark/>
          </w:tcPr>
          <w:p w14:paraId="60808A49"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0</w:t>
            </w:r>
          </w:p>
        </w:tc>
        <w:tc>
          <w:tcPr>
            <w:tcW w:w="1085" w:type="dxa"/>
            <w:shd w:val="clear" w:color="auto" w:fill="auto"/>
            <w:vAlign w:val="center"/>
            <w:hideMark/>
          </w:tcPr>
          <w:p w14:paraId="3E460529"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0.0%</w:t>
            </w:r>
          </w:p>
        </w:tc>
        <w:tc>
          <w:tcPr>
            <w:tcW w:w="1168" w:type="dxa"/>
            <w:shd w:val="clear" w:color="auto" w:fill="auto"/>
            <w:vAlign w:val="center"/>
            <w:hideMark/>
          </w:tcPr>
          <w:p w14:paraId="1F40CC4A"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0</w:t>
            </w:r>
          </w:p>
        </w:tc>
        <w:tc>
          <w:tcPr>
            <w:tcW w:w="1085" w:type="dxa"/>
            <w:shd w:val="clear" w:color="auto" w:fill="auto"/>
            <w:vAlign w:val="center"/>
            <w:hideMark/>
          </w:tcPr>
          <w:p w14:paraId="13E9F6EC"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0.0%</w:t>
            </w:r>
          </w:p>
        </w:tc>
      </w:tr>
      <w:tr w:rsidR="00C06A76" w:rsidRPr="00C06A76" w14:paraId="60BEBEF5" w14:textId="77777777" w:rsidTr="0025214E">
        <w:trPr>
          <w:trHeight w:val="114"/>
          <w:jc w:val="center"/>
        </w:trPr>
        <w:tc>
          <w:tcPr>
            <w:tcW w:w="4082" w:type="dxa"/>
            <w:shd w:val="clear" w:color="auto" w:fill="auto"/>
            <w:vAlign w:val="center"/>
            <w:hideMark/>
          </w:tcPr>
          <w:p w14:paraId="04F9C0F3" w14:textId="77777777" w:rsidR="00C06A76" w:rsidRPr="00213759" w:rsidRDefault="00C06A76" w:rsidP="00C06A76">
            <w:pPr>
              <w:spacing w:after="0" w:line="240" w:lineRule="auto"/>
              <w:rPr>
                <w:rFonts w:eastAsia="Times New Roman" w:cs="Times New Roman"/>
                <w:color w:val="000000"/>
                <w:sz w:val="24"/>
                <w:szCs w:val="24"/>
              </w:rPr>
            </w:pPr>
            <w:r w:rsidRPr="00213759">
              <w:rPr>
                <w:rFonts w:eastAsiaTheme="minorEastAsia" w:cs="Times New Roman"/>
                <w:color w:val="000000"/>
                <w:sz w:val="24"/>
                <w:szCs w:val="24"/>
              </w:rPr>
              <w:t>Native Hawaiian or Other Pacific Islander</w:t>
            </w:r>
          </w:p>
        </w:tc>
        <w:tc>
          <w:tcPr>
            <w:tcW w:w="1168" w:type="dxa"/>
            <w:shd w:val="clear" w:color="auto" w:fill="auto"/>
            <w:vAlign w:val="center"/>
            <w:hideMark/>
          </w:tcPr>
          <w:p w14:paraId="7C6BD834"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190</w:t>
            </w:r>
          </w:p>
        </w:tc>
        <w:tc>
          <w:tcPr>
            <w:tcW w:w="1085" w:type="dxa"/>
            <w:shd w:val="clear" w:color="auto" w:fill="auto"/>
            <w:vAlign w:val="center"/>
            <w:hideMark/>
          </w:tcPr>
          <w:p w14:paraId="5052505B"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0.0%</w:t>
            </w:r>
          </w:p>
        </w:tc>
        <w:tc>
          <w:tcPr>
            <w:tcW w:w="1168" w:type="dxa"/>
            <w:shd w:val="clear" w:color="auto" w:fill="auto"/>
            <w:vAlign w:val="center"/>
            <w:hideMark/>
          </w:tcPr>
          <w:p w14:paraId="00E18A81"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153</w:t>
            </w:r>
          </w:p>
        </w:tc>
        <w:tc>
          <w:tcPr>
            <w:tcW w:w="1085" w:type="dxa"/>
            <w:shd w:val="clear" w:color="auto" w:fill="auto"/>
            <w:vAlign w:val="center"/>
            <w:hideMark/>
          </w:tcPr>
          <w:p w14:paraId="678B295D"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0.1%</w:t>
            </w:r>
          </w:p>
        </w:tc>
      </w:tr>
      <w:tr w:rsidR="00C06A76" w:rsidRPr="00C06A76" w14:paraId="5A3DB43A" w14:textId="77777777" w:rsidTr="0025214E">
        <w:trPr>
          <w:trHeight w:val="59"/>
          <w:jc w:val="center"/>
        </w:trPr>
        <w:tc>
          <w:tcPr>
            <w:tcW w:w="4082" w:type="dxa"/>
            <w:shd w:val="clear" w:color="auto" w:fill="auto"/>
            <w:vAlign w:val="center"/>
            <w:hideMark/>
          </w:tcPr>
          <w:p w14:paraId="10B0B112" w14:textId="77777777" w:rsidR="00C06A76" w:rsidRPr="00213759" w:rsidRDefault="00C06A76" w:rsidP="00C06A76">
            <w:pPr>
              <w:spacing w:after="0" w:line="240" w:lineRule="auto"/>
              <w:rPr>
                <w:rFonts w:eastAsia="Times New Roman" w:cs="Times New Roman"/>
                <w:color w:val="000000"/>
                <w:sz w:val="24"/>
                <w:szCs w:val="24"/>
              </w:rPr>
            </w:pPr>
            <w:r w:rsidRPr="00213759">
              <w:rPr>
                <w:rFonts w:eastAsiaTheme="minorEastAsia" w:cs="Times New Roman"/>
                <w:color w:val="000000"/>
                <w:sz w:val="24"/>
                <w:szCs w:val="24"/>
              </w:rPr>
              <w:t>Other/Unknown</w:t>
            </w:r>
          </w:p>
        </w:tc>
        <w:tc>
          <w:tcPr>
            <w:tcW w:w="1168" w:type="dxa"/>
            <w:shd w:val="clear" w:color="auto" w:fill="auto"/>
            <w:vAlign w:val="center"/>
            <w:hideMark/>
          </w:tcPr>
          <w:p w14:paraId="6585C0E0"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52,988</w:t>
            </w:r>
          </w:p>
        </w:tc>
        <w:tc>
          <w:tcPr>
            <w:tcW w:w="1085" w:type="dxa"/>
            <w:shd w:val="clear" w:color="auto" w:fill="auto"/>
            <w:vAlign w:val="center"/>
            <w:hideMark/>
          </w:tcPr>
          <w:p w14:paraId="57453A33"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13.5%</w:t>
            </w:r>
          </w:p>
        </w:tc>
        <w:tc>
          <w:tcPr>
            <w:tcW w:w="1168" w:type="dxa"/>
            <w:shd w:val="clear" w:color="auto" w:fill="auto"/>
            <w:vAlign w:val="center"/>
            <w:hideMark/>
          </w:tcPr>
          <w:p w14:paraId="15D694CA"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40,327</w:t>
            </w:r>
          </w:p>
        </w:tc>
        <w:tc>
          <w:tcPr>
            <w:tcW w:w="1085" w:type="dxa"/>
            <w:shd w:val="clear" w:color="auto" w:fill="auto"/>
            <w:vAlign w:val="center"/>
            <w:hideMark/>
          </w:tcPr>
          <w:p w14:paraId="6416D030"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13.7%</w:t>
            </w:r>
          </w:p>
        </w:tc>
      </w:tr>
      <w:tr w:rsidR="00C06A76" w:rsidRPr="00C06A76" w14:paraId="63E1D59D" w14:textId="77777777" w:rsidTr="0025214E">
        <w:trPr>
          <w:trHeight w:val="59"/>
          <w:jc w:val="center"/>
        </w:trPr>
        <w:tc>
          <w:tcPr>
            <w:tcW w:w="4082" w:type="dxa"/>
            <w:shd w:val="clear" w:color="auto" w:fill="auto"/>
            <w:vAlign w:val="center"/>
            <w:hideMark/>
          </w:tcPr>
          <w:p w14:paraId="0C37F967" w14:textId="77777777" w:rsidR="00C06A76" w:rsidRPr="00213759" w:rsidRDefault="00C06A76" w:rsidP="00C06A76">
            <w:pPr>
              <w:spacing w:after="0" w:line="240" w:lineRule="auto"/>
              <w:rPr>
                <w:rFonts w:eastAsia="Times New Roman" w:cs="Times New Roman"/>
                <w:color w:val="000000"/>
                <w:sz w:val="24"/>
                <w:szCs w:val="24"/>
              </w:rPr>
            </w:pPr>
            <w:r w:rsidRPr="00213759">
              <w:rPr>
                <w:rFonts w:eastAsiaTheme="minorEastAsia" w:cs="Times New Roman"/>
                <w:color w:val="000000"/>
                <w:sz w:val="24"/>
                <w:szCs w:val="24"/>
              </w:rPr>
              <w:t>White</w:t>
            </w:r>
          </w:p>
        </w:tc>
        <w:tc>
          <w:tcPr>
            <w:tcW w:w="1168" w:type="dxa"/>
            <w:shd w:val="clear" w:color="auto" w:fill="auto"/>
            <w:vAlign w:val="center"/>
            <w:hideMark/>
          </w:tcPr>
          <w:p w14:paraId="5A67A036"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297,680</w:t>
            </w:r>
          </w:p>
        </w:tc>
        <w:tc>
          <w:tcPr>
            <w:tcW w:w="1085" w:type="dxa"/>
            <w:shd w:val="clear" w:color="auto" w:fill="auto"/>
            <w:vAlign w:val="center"/>
            <w:hideMark/>
          </w:tcPr>
          <w:p w14:paraId="547A0F82"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75.7%</w:t>
            </w:r>
          </w:p>
        </w:tc>
        <w:tc>
          <w:tcPr>
            <w:tcW w:w="1168" w:type="dxa"/>
            <w:shd w:val="clear" w:color="auto" w:fill="auto"/>
            <w:vAlign w:val="center"/>
            <w:hideMark/>
          </w:tcPr>
          <w:p w14:paraId="69B1CA89"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220,278</w:t>
            </w:r>
          </w:p>
        </w:tc>
        <w:tc>
          <w:tcPr>
            <w:tcW w:w="1085" w:type="dxa"/>
            <w:shd w:val="clear" w:color="auto" w:fill="auto"/>
            <w:vAlign w:val="center"/>
            <w:hideMark/>
          </w:tcPr>
          <w:p w14:paraId="64B3E194"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74.6%</w:t>
            </w:r>
          </w:p>
        </w:tc>
      </w:tr>
      <w:tr w:rsidR="00C06A76" w:rsidRPr="00C06A76" w14:paraId="16D0F856" w14:textId="77777777" w:rsidTr="0025214E">
        <w:trPr>
          <w:trHeight w:val="204"/>
          <w:jc w:val="center"/>
        </w:trPr>
        <w:tc>
          <w:tcPr>
            <w:tcW w:w="4082" w:type="dxa"/>
            <w:shd w:val="clear" w:color="000000" w:fill="FFFFFF"/>
            <w:vAlign w:val="center"/>
            <w:hideMark/>
          </w:tcPr>
          <w:p w14:paraId="69CCC29F" w14:textId="77777777" w:rsidR="00C06A76" w:rsidRPr="00213759" w:rsidRDefault="00C06A76" w:rsidP="00C06A76">
            <w:pPr>
              <w:spacing w:after="0" w:line="240" w:lineRule="auto"/>
              <w:rPr>
                <w:rFonts w:eastAsia="Times New Roman" w:cs="Times New Roman"/>
                <w:color w:val="000000"/>
                <w:sz w:val="24"/>
                <w:szCs w:val="24"/>
              </w:rPr>
            </w:pPr>
            <w:r w:rsidRPr="00213759">
              <w:rPr>
                <w:rFonts w:eastAsiaTheme="minorEastAsia" w:cs="Times New Roman"/>
                <w:color w:val="000000"/>
                <w:sz w:val="24"/>
                <w:szCs w:val="24"/>
              </w:rPr>
              <w:t>Total Race</w:t>
            </w:r>
          </w:p>
        </w:tc>
        <w:tc>
          <w:tcPr>
            <w:tcW w:w="1168" w:type="dxa"/>
            <w:shd w:val="clear" w:color="auto" w:fill="auto"/>
            <w:vAlign w:val="center"/>
            <w:hideMark/>
          </w:tcPr>
          <w:p w14:paraId="6F533EC0"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393,429</w:t>
            </w:r>
          </w:p>
        </w:tc>
        <w:tc>
          <w:tcPr>
            <w:tcW w:w="1085" w:type="dxa"/>
            <w:shd w:val="clear" w:color="auto" w:fill="auto"/>
            <w:vAlign w:val="center"/>
            <w:hideMark/>
          </w:tcPr>
          <w:p w14:paraId="679B48A7"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100.0%</w:t>
            </w:r>
          </w:p>
        </w:tc>
        <w:tc>
          <w:tcPr>
            <w:tcW w:w="1168" w:type="dxa"/>
            <w:shd w:val="clear" w:color="auto" w:fill="auto"/>
            <w:vAlign w:val="center"/>
            <w:hideMark/>
          </w:tcPr>
          <w:p w14:paraId="4B3F2714"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295,417</w:t>
            </w:r>
          </w:p>
        </w:tc>
        <w:tc>
          <w:tcPr>
            <w:tcW w:w="1085" w:type="dxa"/>
            <w:shd w:val="clear" w:color="auto" w:fill="auto"/>
            <w:vAlign w:val="center"/>
            <w:hideMark/>
          </w:tcPr>
          <w:p w14:paraId="50CB0022"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100.0%</w:t>
            </w:r>
          </w:p>
        </w:tc>
      </w:tr>
      <w:tr w:rsidR="00C06A76" w:rsidRPr="00C06A76" w14:paraId="6880BC1B" w14:textId="77777777" w:rsidTr="0025214E">
        <w:trPr>
          <w:trHeight w:val="59"/>
          <w:jc w:val="center"/>
        </w:trPr>
        <w:tc>
          <w:tcPr>
            <w:tcW w:w="4082" w:type="dxa"/>
            <w:shd w:val="clear" w:color="auto" w:fill="C1FFE0"/>
            <w:vAlign w:val="center"/>
            <w:hideMark/>
          </w:tcPr>
          <w:p w14:paraId="69D3C8DE" w14:textId="77777777" w:rsidR="00C06A76" w:rsidRPr="00213759" w:rsidRDefault="00C06A76" w:rsidP="00C06A76">
            <w:pPr>
              <w:spacing w:after="0" w:line="240" w:lineRule="auto"/>
              <w:rPr>
                <w:rFonts w:eastAsia="Times New Roman" w:cs="Times New Roman"/>
                <w:color w:val="000000"/>
                <w:sz w:val="24"/>
                <w:szCs w:val="24"/>
              </w:rPr>
            </w:pPr>
            <w:r w:rsidRPr="00213759">
              <w:rPr>
                <w:rFonts w:eastAsiaTheme="minorEastAsia" w:cs="Times New Roman"/>
                <w:color w:val="000000"/>
                <w:sz w:val="24"/>
                <w:szCs w:val="24"/>
              </w:rPr>
              <w:t xml:space="preserve">ETHNICITY </w:t>
            </w:r>
          </w:p>
        </w:tc>
        <w:tc>
          <w:tcPr>
            <w:tcW w:w="2254" w:type="dxa"/>
            <w:gridSpan w:val="2"/>
            <w:shd w:val="clear" w:color="auto" w:fill="D0EAF0"/>
            <w:vAlign w:val="center"/>
            <w:hideMark/>
          </w:tcPr>
          <w:p w14:paraId="7CCDCD61" w14:textId="77777777" w:rsidR="00C06A76" w:rsidRPr="00213759" w:rsidRDefault="00C06A76" w:rsidP="00C06A76">
            <w:pPr>
              <w:spacing w:after="0" w:line="240" w:lineRule="auto"/>
              <w:rPr>
                <w:rFonts w:eastAsia="Times New Roman" w:cs="Times New Roman"/>
                <w:color w:val="000000"/>
                <w:sz w:val="24"/>
                <w:szCs w:val="24"/>
              </w:rPr>
            </w:pPr>
            <w:r w:rsidRPr="00213759">
              <w:rPr>
                <w:rFonts w:eastAsiaTheme="minorEastAsia" w:cs="Times New Roman"/>
                <w:color w:val="000000"/>
                <w:sz w:val="24"/>
                <w:szCs w:val="24"/>
              </w:rPr>
              <w:t> </w:t>
            </w:r>
          </w:p>
        </w:tc>
        <w:tc>
          <w:tcPr>
            <w:tcW w:w="2254" w:type="dxa"/>
            <w:gridSpan w:val="2"/>
            <w:shd w:val="clear" w:color="auto" w:fill="EAD5FF"/>
            <w:vAlign w:val="center"/>
            <w:hideMark/>
          </w:tcPr>
          <w:p w14:paraId="7E4CEF2E" w14:textId="77777777" w:rsidR="00C06A76" w:rsidRPr="00213759" w:rsidRDefault="00C06A76" w:rsidP="00C06A76">
            <w:pPr>
              <w:spacing w:after="0" w:line="240" w:lineRule="auto"/>
              <w:rPr>
                <w:rFonts w:eastAsia="Times New Roman" w:cs="Times New Roman"/>
                <w:color w:val="000000"/>
                <w:sz w:val="24"/>
                <w:szCs w:val="24"/>
              </w:rPr>
            </w:pPr>
            <w:r w:rsidRPr="00213759">
              <w:rPr>
                <w:rFonts w:eastAsiaTheme="minorEastAsia" w:cs="Times New Roman"/>
                <w:color w:val="000000"/>
                <w:sz w:val="24"/>
                <w:szCs w:val="24"/>
              </w:rPr>
              <w:t> </w:t>
            </w:r>
          </w:p>
        </w:tc>
      </w:tr>
      <w:tr w:rsidR="00C06A76" w:rsidRPr="00C06A76" w14:paraId="2F5569A8" w14:textId="77777777" w:rsidTr="0025214E">
        <w:trPr>
          <w:trHeight w:val="59"/>
          <w:jc w:val="center"/>
        </w:trPr>
        <w:tc>
          <w:tcPr>
            <w:tcW w:w="4082" w:type="dxa"/>
            <w:shd w:val="clear" w:color="auto" w:fill="auto"/>
            <w:vAlign w:val="center"/>
            <w:hideMark/>
          </w:tcPr>
          <w:p w14:paraId="2DBD5684" w14:textId="77777777" w:rsidR="00C06A76" w:rsidRPr="00213759" w:rsidRDefault="00C06A76" w:rsidP="00C06A76">
            <w:pPr>
              <w:spacing w:after="0" w:line="240" w:lineRule="auto"/>
              <w:rPr>
                <w:rFonts w:eastAsia="Times New Roman" w:cs="Times New Roman"/>
                <w:color w:val="000000"/>
                <w:sz w:val="24"/>
                <w:szCs w:val="24"/>
              </w:rPr>
            </w:pPr>
            <w:r w:rsidRPr="00213759">
              <w:rPr>
                <w:rFonts w:eastAsiaTheme="minorEastAsia" w:cs="Times New Roman"/>
                <w:color w:val="000000"/>
                <w:sz w:val="24"/>
                <w:szCs w:val="24"/>
              </w:rPr>
              <w:t>Decline to Answer</w:t>
            </w:r>
          </w:p>
        </w:tc>
        <w:tc>
          <w:tcPr>
            <w:tcW w:w="1168" w:type="dxa"/>
            <w:shd w:val="clear" w:color="auto" w:fill="auto"/>
            <w:vAlign w:val="center"/>
            <w:hideMark/>
          </w:tcPr>
          <w:p w14:paraId="53ACBF59"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6,472</w:t>
            </w:r>
          </w:p>
        </w:tc>
        <w:tc>
          <w:tcPr>
            <w:tcW w:w="1085" w:type="dxa"/>
            <w:shd w:val="clear" w:color="auto" w:fill="auto"/>
            <w:vAlign w:val="center"/>
            <w:hideMark/>
          </w:tcPr>
          <w:p w14:paraId="2535986B"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1.6%</w:t>
            </w:r>
          </w:p>
        </w:tc>
        <w:tc>
          <w:tcPr>
            <w:tcW w:w="1168" w:type="dxa"/>
            <w:shd w:val="clear" w:color="auto" w:fill="auto"/>
            <w:vAlign w:val="center"/>
            <w:hideMark/>
          </w:tcPr>
          <w:p w14:paraId="1425079B"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5,528</w:t>
            </w:r>
          </w:p>
        </w:tc>
        <w:tc>
          <w:tcPr>
            <w:tcW w:w="1085" w:type="dxa"/>
            <w:shd w:val="clear" w:color="auto" w:fill="auto"/>
            <w:vAlign w:val="center"/>
            <w:hideMark/>
          </w:tcPr>
          <w:p w14:paraId="6BA18AC4"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1.9%</w:t>
            </w:r>
          </w:p>
        </w:tc>
      </w:tr>
      <w:tr w:rsidR="00C06A76" w:rsidRPr="00C06A76" w14:paraId="0E0C60A9" w14:textId="77777777" w:rsidTr="0025214E">
        <w:trPr>
          <w:trHeight w:val="59"/>
          <w:jc w:val="center"/>
        </w:trPr>
        <w:tc>
          <w:tcPr>
            <w:tcW w:w="4082" w:type="dxa"/>
            <w:shd w:val="clear" w:color="auto" w:fill="auto"/>
            <w:vAlign w:val="center"/>
            <w:hideMark/>
          </w:tcPr>
          <w:p w14:paraId="7AC30D99" w14:textId="77777777" w:rsidR="00C06A76" w:rsidRPr="00213759" w:rsidRDefault="00C06A76" w:rsidP="00C06A76">
            <w:pPr>
              <w:spacing w:after="0" w:line="240" w:lineRule="auto"/>
              <w:rPr>
                <w:rFonts w:eastAsia="Times New Roman" w:cs="Times New Roman"/>
                <w:color w:val="000000"/>
                <w:sz w:val="24"/>
                <w:szCs w:val="24"/>
              </w:rPr>
            </w:pPr>
            <w:r w:rsidRPr="00213759">
              <w:rPr>
                <w:rFonts w:eastAsiaTheme="minorEastAsia" w:cs="Times New Roman"/>
                <w:color w:val="000000"/>
                <w:sz w:val="24"/>
                <w:szCs w:val="24"/>
              </w:rPr>
              <w:t>Hispanic or Latino</w:t>
            </w:r>
          </w:p>
        </w:tc>
        <w:tc>
          <w:tcPr>
            <w:tcW w:w="1168" w:type="dxa"/>
            <w:shd w:val="clear" w:color="auto" w:fill="auto"/>
            <w:vAlign w:val="center"/>
            <w:hideMark/>
          </w:tcPr>
          <w:p w14:paraId="27ED8FEF"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59,041</w:t>
            </w:r>
          </w:p>
        </w:tc>
        <w:tc>
          <w:tcPr>
            <w:tcW w:w="1085" w:type="dxa"/>
            <w:shd w:val="clear" w:color="auto" w:fill="auto"/>
            <w:vAlign w:val="center"/>
            <w:hideMark/>
          </w:tcPr>
          <w:p w14:paraId="5FB78649"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15.0%</w:t>
            </w:r>
          </w:p>
        </w:tc>
        <w:tc>
          <w:tcPr>
            <w:tcW w:w="1168" w:type="dxa"/>
            <w:shd w:val="clear" w:color="auto" w:fill="auto"/>
            <w:vAlign w:val="center"/>
            <w:hideMark/>
          </w:tcPr>
          <w:p w14:paraId="1EA77CC8"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43,675</w:t>
            </w:r>
          </w:p>
        </w:tc>
        <w:tc>
          <w:tcPr>
            <w:tcW w:w="1085" w:type="dxa"/>
            <w:shd w:val="clear" w:color="auto" w:fill="auto"/>
            <w:vAlign w:val="center"/>
            <w:hideMark/>
          </w:tcPr>
          <w:p w14:paraId="1A6ACB77"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14.8%</w:t>
            </w:r>
          </w:p>
        </w:tc>
      </w:tr>
      <w:tr w:rsidR="00C06A76" w:rsidRPr="00C06A76" w14:paraId="1C500C6F" w14:textId="77777777" w:rsidTr="0025214E">
        <w:trPr>
          <w:trHeight w:val="59"/>
          <w:jc w:val="center"/>
        </w:trPr>
        <w:tc>
          <w:tcPr>
            <w:tcW w:w="4082" w:type="dxa"/>
            <w:shd w:val="clear" w:color="auto" w:fill="auto"/>
            <w:vAlign w:val="center"/>
            <w:hideMark/>
          </w:tcPr>
          <w:p w14:paraId="0BE4F15D" w14:textId="77777777" w:rsidR="00C06A76" w:rsidRPr="00213759" w:rsidRDefault="00C06A76" w:rsidP="00C06A76">
            <w:pPr>
              <w:spacing w:after="0" w:line="240" w:lineRule="auto"/>
              <w:rPr>
                <w:rFonts w:eastAsia="Times New Roman" w:cs="Times New Roman"/>
                <w:color w:val="000000"/>
                <w:sz w:val="24"/>
                <w:szCs w:val="24"/>
              </w:rPr>
            </w:pPr>
            <w:r w:rsidRPr="00213759">
              <w:rPr>
                <w:rFonts w:eastAsiaTheme="minorEastAsia" w:cs="Times New Roman"/>
                <w:color w:val="000000"/>
                <w:sz w:val="24"/>
                <w:szCs w:val="24"/>
              </w:rPr>
              <w:t>Not Hispanic or Latino</w:t>
            </w:r>
          </w:p>
        </w:tc>
        <w:tc>
          <w:tcPr>
            <w:tcW w:w="1168" w:type="dxa"/>
            <w:shd w:val="clear" w:color="auto" w:fill="auto"/>
            <w:vAlign w:val="center"/>
            <w:hideMark/>
          </w:tcPr>
          <w:p w14:paraId="690C3893"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317,480</w:t>
            </w:r>
          </w:p>
        </w:tc>
        <w:tc>
          <w:tcPr>
            <w:tcW w:w="1085" w:type="dxa"/>
            <w:shd w:val="clear" w:color="auto" w:fill="auto"/>
            <w:vAlign w:val="center"/>
            <w:hideMark/>
          </w:tcPr>
          <w:p w14:paraId="14E35DA9"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80.7%</w:t>
            </w:r>
          </w:p>
        </w:tc>
        <w:tc>
          <w:tcPr>
            <w:tcW w:w="1168" w:type="dxa"/>
            <w:shd w:val="clear" w:color="auto" w:fill="auto"/>
            <w:vAlign w:val="center"/>
            <w:hideMark/>
          </w:tcPr>
          <w:p w14:paraId="718CD257"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239,526</w:t>
            </w:r>
          </w:p>
        </w:tc>
        <w:tc>
          <w:tcPr>
            <w:tcW w:w="1085" w:type="dxa"/>
            <w:shd w:val="clear" w:color="auto" w:fill="auto"/>
            <w:vAlign w:val="center"/>
            <w:hideMark/>
          </w:tcPr>
          <w:p w14:paraId="426E4B6A"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81.1%</w:t>
            </w:r>
          </w:p>
        </w:tc>
      </w:tr>
      <w:tr w:rsidR="00C06A76" w:rsidRPr="00C06A76" w14:paraId="0B930728" w14:textId="77777777" w:rsidTr="0025214E">
        <w:trPr>
          <w:trHeight w:val="59"/>
          <w:jc w:val="center"/>
        </w:trPr>
        <w:tc>
          <w:tcPr>
            <w:tcW w:w="4082" w:type="dxa"/>
            <w:shd w:val="clear" w:color="auto" w:fill="auto"/>
            <w:vAlign w:val="center"/>
            <w:hideMark/>
          </w:tcPr>
          <w:p w14:paraId="45F9B984" w14:textId="77777777" w:rsidR="00C06A76" w:rsidRPr="00213759" w:rsidRDefault="00C06A76" w:rsidP="00C06A76">
            <w:pPr>
              <w:spacing w:after="0" w:line="240" w:lineRule="auto"/>
              <w:rPr>
                <w:rFonts w:eastAsia="Times New Roman" w:cs="Times New Roman"/>
                <w:color w:val="000000"/>
                <w:sz w:val="24"/>
                <w:szCs w:val="24"/>
              </w:rPr>
            </w:pPr>
            <w:r w:rsidRPr="00213759">
              <w:rPr>
                <w:rFonts w:eastAsiaTheme="minorEastAsia" w:cs="Times New Roman"/>
                <w:color w:val="000000"/>
                <w:sz w:val="24"/>
                <w:szCs w:val="24"/>
              </w:rPr>
              <w:t>Unknown</w:t>
            </w:r>
          </w:p>
        </w:tc>
        <w:tc>
          <w:tcPr>
            <w:tcW w:w="1168" w:type="dxa"/>
            <w:shd w:val="clear" w:color="auto" w:fill="auto"/>
            <w:vAlign w:val="center"/>
            <w:hideMark/>
          </w:tcPr>
          <w:p w14:paraId="184EE9D4"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10,436</w:t>
            </w:r>
          </w:p>
        </w:tc>
        <w:tc>
          <w:tcPr>
            <w:tcW w:w="1085" w:type="dxa"/>
            <w:shd w:val="clear" w:color="auto" w:fill="auto"/>
            <w:vAlign w:val="center"/>
            <w:hideMark/>
          </w:tcPr>
          <w:p w14:paraId="266D1A92"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2.7%</w:t>
            </w:r>
          </w:p>
        </w:tc>
        <w:tc>
          <w:tcPr>
            <w:tcW w:w="1168" w:type="dxa"/>
            <w:shd w:val="clear" w:color="auto" w:fill="auto"/>
            <w:vAlign w:val="center"/>
            <w:hideMark/>
          </w:tcPr>
          <w:p w14:paraId="42A1217D"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6,688</w:t>
            </w:r>
          </w:p>
        </w:tc>
        <w:tc>
          <w:tcPr>
            <w:tcW w:w="1085" w:type="dxa"/>
            <w:shd w:val="clear" w:color="auto" w:fill="auto"/>
            <w:vAlign w:val="center"/>
            <w:hideMark/>
          </w:tcPr>
          <w:p w14:paraId="3A8E9911"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2.3%</w:t>
            </w:r>
          </w:p>
        </w:tc>
      </w:tr>
      <w:tr w:rsidR="00C06A76" w:rsidRPr="00C06A76" w14:paraId="355664A9" w14:textId="77777777" w:rsidTr="0025214E">
        <w:trPr>
          <w:trHeight w:val="59"/>
          <w:jc w:val="center"/>
        </w:trPr>
        <w:tc>
          <w:tcPr>
            <w:tcW w:w="4082" w:type="dxa"/>
            <w:shd w:val="clear" w:color="000000" w:fill="FFFFFF"/>
            <w:vAlign w:val="center"/>
            <w:hideMark/>
          </w:tcPr>
          <w:p w14:paraId="2286452D" w14:textId="77777777" w:rsidR="00C06A76" w:rsidRPr="00213759" w:rsidRDefault="00C06A76" w:rsidP="00C06A76">
            <w:pPr>
              <w:spacing w:after="0" w:line="240" w:lineRule="auto"/>
              <w:rPr>
                <w:rFonts w:eastAsia="Times New Roman" w:cs="Times New Roman"/>
                <w:color w:val="000000"/>
                <w:sz w:val="24"/>
                <w:szCs w:val="24"/>
              </w:rPr>
            </w:pPr>
            <w:r w:rsidRPr="00213759">
              <w:rPr>
                <w:rFonts w:eastAsiaTheme="minorEastAsia" w:cs="Times New Roman"/>
                <w:color w:val="000000"/>
                <w:sz w:val="24"/>
                <w:szCs w:val="24"/>
              </w:rPr>
              <w:t>Total Ethnicity</w:t>
            </w:r>
          </w:p>
        </w:tc>
        <w:tc>
          <w:tcPr>
            <w:tcW w:w="1168" w:type="dxa"/>
            <w:shd w:val="clear" w:color="auto" w:fill="auto"/>
            <w:vAlign w:val="center"/>
            <w:hideMark/>
          </w:tcPr>
          <w:p w14:paraId="1418994E"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393,429</w:t>
            </w:r>
          </w:p>
        </w:tc>
        <w:tc>
          <w:tcPr>
            <w:tcW w:w="1085" w:type="dxa"/>
            <w:shd w:val="clear" w:color="auto" w:fill="auto"/>
            <w:vAlign w:val="center"/>
            <w:hideMark/>
          </w:tcPr>
          <w:p w14:paraId="0EBE0388"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100.0%</w:t>
            </w:r>
          </w:p>
        </w:tc>
        <w:tc>
          <w:tcPr>
            <w:tcW w:w="1168" w:type="dxa"/>
            <w:shd w:val="clear" w:color="auto" w:fill="auto"/>
            <w:vAlign w:val="center"/>
            <w:hideMark/>
          </w:tcPr>
          <w:p w14:paraId="2A9A22BE"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295,417</w:t>
            </w:r>
          </w:p>
        </w:tc>
        <w:tc>
          <w:tcPr>
            <w:tcW w:w="1085" w:type="dxa"/>
            <w:shd w:val="clear" w:color="auto" w:fill="auto"/>
            <w:vAlign w:val="center"/>
            <w:hideMark/>
          </w:tcPr>
          <w:p w14:paraId="76339E8C"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100.0%</w:t>
            </w:r>
          </w:p>
        </w:tc>
      </w:tr>
      <w:tr w:rsidR="00C06A76" w:rsidRPr="00C06A76" w14:paraId="585BAEAC" w14:textId="77777777" w:rsidTr="0025214E">
        <w:trPr>
          <w:trHeight w:val="59"/>
          <w:jc w:val="center"/>
        </w:trPr>
        <w:tc>
          <w:tcPr>
            <w:tcW w:w="4082" w:type="dxa"/>
            <w:shd w:val="clear" w:color="auto" w:fill="C1FFE0"/>
            <w:noWrap/>
            <w:vAlign w:val="center"/>
            <w:hideMark/>
          </w:tcPr>
          <w:p w14:paraId="4E606E5A" w14:textId="77777777" w:rsidR="00C06A76" w:rsidRPr="00213759" w:rsidRDefault="00C06A76" w:rsidP="00C06A76">
            <w:pPr>
              <w:spacing w:after="0" w:line="240" w:lineRule="auto"/>
              <w:rPr>
                <w:rFonts w:eastAsia="Times New Roman" w:cs="Times New Roman"/>
                <w:color w:val="000000"/>
                <w:sz w:val="24"/>
                <w:szCs w:val="24"/>
              </w:rPr>
            </w:pPr>
            <w:r w:rsidRPr="00213759">
              <w:rPr>
                <w:rFonts w:eastAsiaTheme="minorEastAsia" w:cs="Times New Roman"/>
                <w:color w:val="000000"/>
                <w:sz w:val="24"/>
                <w:szCs w:val="24"/>
              </w:rPr>
              <w:t xml:space="preserve">PATIENT ORIGIN </w:t>
            </w:r>
          </w:p>
        </w:tc>
        <w:tc>
          <w:tcPr>
            <w:tcW w:w="2254" w:type="dxa"/>
            <w:gridSpan w:val="2"/>
            <w:shd w:val="clear" w:color="auto" w:fill="D0EAF0"/>
            <w:noWrap/>
            <w:vAlign w:val="center"/>
            <w:hideMark/>
          </w:tcPr>
          <w:p w14:paraId="64764D0F" w14:textId="77777777" w:rsidR="00C06A76" w:rsidRPr="00213759" w:rsidRDefault="00C06A76" w:rsidP="00C06A76">
            <w:pPr>
              <w:spacing w:after="0" w:line="240" w:lineRule="auto"/>
              <w:rPr>
                <w:rFonts w:eastAsia="Times New Roman" w:cs="Times New Roman"/>
                <w:color w:val="000000"/>
                <w:sz w:val="24"/>
                <w:szCs w:val="24"/>
              </w:rPr>
            </w:pPr>
            <w:r w:rsidRPr="00213759">
              <w:rPr>
                <w:rFonts w:eastAsiaTheme="minorEastAsia" w:cs="Times New Roman"/>
                <w:color w:val="000000"/>
                <w:sz w:val="24"/>
                <w:szCs w:val="24"/>
              </w:rPr>
              <w:t> </w:t>
            </w:r>
          </w:p>
        </w:tc>
        <w:tc>
          <w:tcPr>
            <w:tcW w:w="2254" w:type="dxa"/>
            <w:gridSpan w:val="2"/>
            <w:shd w:val="clear" w:color="auto" w:fill="EAD5FF"/>
            <w:vAlign w:val="center"/>
            <w:hideMark/>
          </w:tcPr>
          <w:p w14:paraId="2977148A" w14:textId="77777777" w:rsidR="00C06A76" w:rsidRPr="00213759" w:rsidRDefault="00C06A76" w:rsidP="00C06A76">
            <w:pPr>
              <w:spacing w:after="0" w:line="240" w:lineRule="auto"/>
              <w:rPr>
                <w:rFonts w:eastAsia="Times New Roman" w:cs="Times New Roman"/>
                <w:color w:val="000000"/>
                <w:sz w:val="24"/>
                <w:szCs w:val="24"/>
              </w:rPr>
            </w:pPr>
            <w:r w:rsidRPr="00213759">
              <w:rPr>
                <w:rFonts w:eastAsiaTheme="minorEastAsia" w:cs="Times New Roman"/>
                <w:color w:val="000000"/>
                <w:sz w:val="24"/>
                <w:szCs w:val="24"/>
              </w:rPr>
              <w:t> </w:t>
            </w:r>
          </w:p>
        </w:tc>
      </w:tr>
      <w:tr w:rsidR="00C06A76" w:rsidRPr="00C06A76" w14:paraId="4A2FC72B" w14:textId="77777777" w:rsidTr="0025214E">
        <w:trPr>
          <w:trHeight w:val="59"/>
          <w:jc w:val="center"/>
        </w:trPr>
        <w:tc>
          <w:tcPr>
            <w:tcW w:w="4082" w:type="dxa"/>
            <w:shd w:val="clear" w:color="auto" w:fill="auto"/>
            <w:vAlign w:val="center"/>
            <w:hideMark/>
          </w:tcPr>
          <w:p w14:paraId="5048F3B2" w14:textId="77777777" w:rsidR="00C06A76" w:rsidRPr="00213759" w:rsidRDefault="00C06A76" w:rsidP="00C06A76">
            <w:pPr>
              <w:spacing w:after="0" w:line="240" w:lineRule="auto"/>
              <w:rPr>
                <w:rFonts w:eastAsia="Times New Roman" w:cs="Times New Roman"/>
                <w:color w:val="000000"/>
                <w:sz w:val="24"/>
                <w:szCs w:val="24"/>
              </w:rPr>
            </w:pPr>
            <w:r w:rsidRPr="00213759">
              <w:rPr>
                <w:rFonts w:eastAsiaTheme="minorEastAsia" w:cs="Times New Roman"/>
                <w:color w:val="000000"/>
                <w:sz w:val="24"/>
                <w:szCs w:val="24"/>
              </w:rPr>
              <w:t>Central Mass</w:t>
            </w:r>
          </w:p>
        </w:tc>
        <w:tc>
          <w:tcPr>
            <w:tcW w:w="1168" w:type="dxa"/>
            <w:shd w:val="clear" w:color="auto" w:fill="auto"/>
            <w:vAlign w:val="center"/>
            <w:hideMark/>
          </w:tcPr>
          <w:p w14:paraId="19B9CD22"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352,496</w:t>
            </w:r>
          </w:p>
        </w:tc>
        <w:tc>
          <w:tcPr>
            <w:tcW w:w="1085" w:type="dxa"/>
            <w:shd w:val="clear" w:color="auto" w:fill="auto"/>
            <w:vAlign w:val="center"/>
            <w:hideMark/>
          </w:tcPr>
          <w:p w14:paraId="07FF402F"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89.6%</w:t>
            </w:r>
          </w:p>
        </w:tc>
        <w:tc>
          <w:tcPr>
            <w:tcW w:w="1168" w:type="dxa"/>
            <w:shd w:val="clear" w:color="auto" w:fill="auto"/>
            <w:vAlign w:val="center"/>
            <w:hideMark/>
          </w:tcPr>
          <w:p w14:paraId="664E12B4"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262,968</w:t>
            </w:r>
          </w:p>
        </w:tc>
        <w:tc>
          <w:tcPr>
            <w:tcW w:w="1085" w:type="dxa"/>
            <w:shd w:val="clear" w:color="auto" w:fill="auto"/>
            <w:vAlign w:val="center"/>
            <w:hideMark/>
          </w:tcPr>
          <w:p w14:paraId="5C30761B"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89.0%</w:t>
            </w:r>
          </w:p>
        </w:tc>
      </w:tr>
      <w:tr w:rsidR="00C06A76" w:rsidRPr="00C06A76" w14:paraId="3F814ACB" w14:textId="77777777" w:rsidTr="0025214E">
        <w:trPr>
          <w:trHeight w:val="59"/>
          <w:jc w:val="center"/>
        </w:trPr>
        <w:tc>
          <w:tcPr>
            <w:tcW w:w="4082" w:type="dxa"/>
            <w:shd w:val="clear" w:color="auto" w:fill="auto"/>
            <w:vAlign w:val="center"/>
            <w:hideMark/>
          </w:tcPr>
          <w:p w14:paraId="25F8A2E6" w14:textId="77777777" w:rsidR="00C06A76" w:rsidRPr="00213759" w:rsidRDefault="00C06A76" w:rsidP="00C06A76">
            <w:pPr>
              <w:spacing w:after="0" w:line="240" w:lineRule="auto"/>
              <w:rPr>
                <w:rFonts w:eastAsia="Times New Roman" w:cs="Times New Roman"/>
                <w:color w:val="000000"/>
                <w:sz w:val="24"/>
                <w:szCs w:val="24"/>
              </w:rPr>
            </w:pPr>
            <w:r w:rsidRPr="00213759">
              <w:rPr>
                <w:rFonts w:eastAsiaTheme="minorEastAsia" w:cs="Times New Roman"/>
                <w:color w:val="000000"/>
                <w:sz w:val="24"/>
                <w:szCs w:val="24"/>
              </w:rPr>
              <w:t>Eastern Mass</w:t>
            </w:r>
          </w:p>
        </w:tc>
        <w:tc>
          <w:tcPr>
            <w:tcW w:w="1168" w:type="dxa"/>
            <w:shd w:val="clear" w:color="auto" w:fill="auto"/>
            <w:vAlign w:val="center"/>
            <w:hideMark/>
          </w:tcPr>
          <w:p w14:paraId="4E8E2912"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19,587</w:t>
            </w:r>
          </w:p>
        </w:tc>
        <w:tc>
          <w:tcPr>
            <w:tcW w:w="1085" w:type="dxa"/>
            <w:shd w:val="clear" w:color="auto" w:fill="auto"/>
            <w:vAlign w:val="center"/>
            <w:hideMark/>
          </w:tcPr>
          <w:p w14:paraId="3ECA775F"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5.0%</w:t>
            </w:r>
          </w:p>
        </w:tc>
        <w:tc>
          <w:tcPr>
            <w:tcW w:w="1168" w:type="dxa"/>
            <w:shd w:val="clear" w:color="auto" w:fill="auto"/>
            <w:vAlign w:val="center"/>
            <w:hideMark/>
          </w:tcPr>
          <w:p w14:paraId="78525D90"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13,865</w:t>
            </w:r>
          </w:p>
        </w:tc>
        <w:tc>
          <w:tcPr>
            <w:tcW w:w="1085" w:type="dxa"/>
            <w:shd w:val="clear" w:color="auto" w:fill="auto"/>
            <w:vAlign w:val="center"/>
            <w:hideMark/>
          </w:tcPr>
          <w:p w14:paraId="0ADC464A"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4.7%</w:t>
            </w:r>
          </w:p>
        </w:tc>
      </w:tr>
      <w:tr w:rsidR="00C06A76" w:rsidRPr="00C06A76" w14:paraId="3AFBCF19" w14:textId="77777777" w:rsidTr="0025214E">
        <w:trPr>
          <w:trHeight w:val="59"/>
          <w:jc w:val="center"/>
        </w:trPr>
        <w:tc>
          <w:tcPr>
            <w:tcW w:w="4082" w:type="dxa"/>
            <w:shd w:val="clear" w:color="auto" w:fill="auto"/>
            <w:vAlign w:val="center"/>
            <w:hideMark/>
          </w:tcPr>
          <w:p w14:paraId="5E1F1347" w14:textId="77777777" w:rsidR="00C06A76" w:rsidRPr="00213759" w:rsidRDefault="00C06A76" w:rsidP="00C06A76">
            <w:pPr>
              <w:spacing w:after="0" w:line="240" w:lineRule="auto"/>
              <w:rPr>
                <w:rFonts w:eastAsia="Times New Roman" w:cs="Times New Roman"/>
                <w:color w:val="000000"/>
                <w:sz w:val="24"/>
                <w:szCs w:val="24"/>
              </w:rPr>
            </w:pPr>
            <w:r w:rsidRPr="00213759">
              <w:rPr>
                <w:rFonts w:eastAsiaTheme="minorEastAsia" w:cs="Times New Roman"/>
                <w:color w:val="000000"/>
                <w:sz w:val="24"/>
                <w:szCs w:val="24"/>
              </w:rPr>
              <w:t>Western Mass</w:t>
            </w:r>
          </w:p>
        </w:tc>
        <w:tc>
          <w:tcPr>
            <w:tcW w:w="1168" w:type="dxa"/>
            <w:shd w:val="clear" w:color="auto" w:fill="auto"/>
            <w:vAlign w:val="center"/>
            <w:hideMark/>
          </w:tcPr>
          <w:p w14:paraId="69337A36"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8,881</w:t>
            </w:r>
          </w:p>
        </w:tc>
        <w:tc>
          <w:tcPr>
            <w:tcW w:w="1085" w:type="dxa"/>
            <w:shd w:val="clear" w:color="auto" w:fill="auto"/>
            <w:vAlign w:val="center"/>
            <w:hideMark/>
          </w:tcPr>
          <w:p w14:paraId="76E44746"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2.3%</w:t>
            </w:r>
          </w:p>
        </w:tc>
        <w:tc>
          <w:tcPr>
            <w:tcW w:w="1168" w:type="dxa"/>
            <w:shd w:val="clear" w:color="auto" w:fill="auto"/>
            <w:vAlign w:val="center"/>
            <w:hideMark/>
          </w:tcPr>
          <w:p w14:paraId="2E8F4A95"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8,519</w:t>
            </w:r>
          </w:p>
        </w:tc>
        <w:tc>
          <w:tcPr>
            <w:tcW w:w="1085" w:type="dxa"/>
            <w:shd w:val="clear" w:color="auto" w:fill="auto"/>
            <w:vAlign w:val="center"/>
            <w:hideMark/>
          </w:tcPr>
          <w:p w14:paraId="4A2CFD3C"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2.9%</w:t>
            </w:r>
          </w:p>
        </w:tc>
      </w:tr>
      <w:tr w:rsidR="00C06A76" w:rsidRPr="00C06A76" w14:paraId="3E4125F9" w14:textId="77777777" w:rsidTr="0025214E">
        <w:trPr>
          <w:trHeight w:val="59"/>
          <w:jc w:val="center"/>
        </w:trPr>
        <w:tc>
          <w:tcPr>
            <w:tcW w:w="4082" w:type="dxa"/>
            <w:shd w:val="clear" w:color="auto" w:fill="auto"/>
            <w:vAlign w:val="center"/>
            <w:hideMark/>
          </w:tcPr>
          <w:p w14:paraId="6944C5ED" w14:textId="77777777" w:rsidR="00C06A76" w:rsidRPr="00213759" w:rsidRDefault="00C06A76" w:rsidP="00C06A76">
            <w:pPr>
              <w:spacing w:after="0" w:line="240" w:lineRule="auto"/>
              <w:rPr>
                <w:rFonts w:eastAsia="Times New Roman" w:cs="Times New Roman"/>
                <w:color w:val="000000"/>
                <w:sz w:val="24"/>
                <w:szCs w:val="24"/>
              </w:rPr>
            </w:pPr>
            <w:r w:rsidRPr="00213759">
              <w:rPr>
                <w:rFonts w:eastAsiaTheme="minorEastAsia" w:cs="Times New Roman"/>
                <w:color w:val="000000"/>
                <w:sz w:val="24"/>
                <w:szCs w:val="24"/>
              </w:rPr>
              <w:t>Out of State</w:t>
            </w:r>
          </w:p>
        </w:tc>
        <w:tc>
          <w:tcPr>
            <w:tcW w:w="1168" w:type="dxa"/>
            <w:shd w:val="clear" w:color="auto" w:fill="auto"/>
            <w:vAlign w:val="center"/>
            <w:hideMark/>
          </w:tcPr>
          <w:p w14:paraId="0E69F8C1"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12,465</w:t>
            </w:r>
          </w:p>
        </w:tc>
        <w:tc>
          <w:tcPr>
            <w:tcW w:w="1085" w:type="dxa"/>
            <w:shd w:val="clear" w:color="auto" w:fill="auto"/>
            <w:vAlign w:val="center"/>
            <w:hideMark/>
          </w:tcPr>
          <w:p w14:paraId="1278CDEC"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3.2%</w:t>
            </w:r>
          </w:p>
        </w:tc>
        <w:tc>
          <w:tcPr>
            <w:tcW w:w="1168" w:type="dxa"/>
            <w:shd w:val="clear" w:color="auto" w:fill="auto"/>
            <w:vAlign w:val="center"/>
            <w:hideMark/>
          </w:tcPr>
          <w:p w14:paraId="3F8086FD"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10,065</w:t>
            </w:r>
          </w:p>
        </w:tc>
        <w:tc>
          <w:tcPr>
            <w:tcW w:w="1085" w:type="dxa"/>
            <w:shd w:val="clear" w:color="auto" w:fill="auto"/>
            <w:vAlign w:val="center"/>
            <w:hideMark/>
          </w:tcPr>
          <w:p w14:paraId="40C770DA"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3.4%</w:t>
            </w:r>
          </w:p>
        </w:tc>
      </w:tr>
      <w:tr w:rsidR="00C06A76" w:rsidRPr="00C06A76" w14:paraId="51AAA727" w14:textId="77777777" w:rsidTr="0025214E">
        <w:trPr>
          <w:trHeight w:val="141"/>
          <w:jc w:val="center"/>
        </w:trPr>
        <w:tc>
          <w:tcPr>
            <w:tcW w:w="4082" w:type="dxa"/>
            <w:shd w:val="clear" w:color="auto" w:fill="auto"/>
            <w:vAlign w:val="center"/>
            <w:hideMark/>
          </w:tcPr>
          <w:p w14:paraId="645AA5EF" w14:textId="77777777" w:rsidR="00C06A76" w:rsidRPr="00213759" w:rsidRDefault="00C06A76" w:rsidP="00C06A76">
            <w:pPr>
              <w:spacing w:after="0" w:line="240" w:lineRule="auto"/>
              <w:rPr>
                <w:rFonts w:eastAsia="Times New Roman" w:cs="Times New Roman"/>
                <w:color w:val="000000"/>
                <w:sz w:val="24"/>
                <w:szCs w:val="24"/>
              </w:rPr>
            </w:pPr>
            <w:r w:rsidRPr="00213759">
              <w:rPr>
                <w:rFonts w:eastAsiaTheme="minorEastAsia" w:cs="Times New Roman"/>
                <w:color w:val="000000"/>
                <w:sz w:val="24"/>
                <w:szCs w:val="24"/>
              </w:rPr>
              <w:t>Total Patient Origin</w:t>
            </w:r>
          </w:p>
        </w:tc>
        <w:tc>
          <w:tcPr>
            <w:tcW w:w="1168" w:type="dxa"/>
            <w:shd w:val="clear" w:color="auto" w:fill="auto"/>
            <w:vAlign w:val="center"/>
            <w:hideMark/>
          </w:tcPr>
          <w:p w14:paraId="049CB1EC"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393,429</w:t>
            </w:r>
          </w:p>
        </w:tc>
        <w:tc>
          <w:tcPr>
            <w:tcW w:w="1085" w:type="dxa"/>
            <w:shd w:val="clear" w:color="auto" w:fill="auto"/>
            <w:vAlign w:val="center"/>
            <w:hideMark/>
          </w:tcPr>
          <w:p w14:paraId="0A625406"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100.0%</w:t>
            </w:r>
          </w:p>
        </w:tc>
        <w:tc>
          <w:tcPr>
            <w:tcW w:w="1168" w:type="dxa"/>
            <w:shd w:val="clear" w:color="auto" w:fill="auto"/>
            <w:vAlign w:val="center"/>
            <w:hideMark/>
          </w:tcPr>
          <w:p w14:paraId="793E20E0"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295,417</w:t>
            </w:r>
          </w:p>
        </w:tc>
        <w:tc>
          <w:tcPr>
            <w:tcW w:w="1085" w:type="dxa"/>
            <w:shd w:val="clear" w:color="auto" w:fill="auto"/>
            <w:vAlign w:val="center"/>
            <w:hideMark/>
          </w:tcPr>
          <w:p w14:paraId="5F802224" w14:textId="77777777" w:rsidR="00C06A76" w:rsidRPr="00213759" w:rsidRDefault="00C06A76" w:rsidP="00C06A76">
            <w:pPr>
              <w:spacing w:after="0" w:line="240" w:lineRule="auto"/>
              <w:jc w:val="right"/>
              <w:rPr>
                <w:rFonts w:eastAsia="Times New Roman" w:cs="Times New Roman"/>
                <w:color w:val="000000"/>
                <w:sz w:val="24"/>
                <w:szCs w:val="24"/>
              </w:rPr>
            </w:pPr>
            <w:r w:rsidRPr="00213759">
              <w:rPr>
                <w:rFonts w:eastAsiaTheme="minorEastAsia" w:cs="Times New Roman"/>
                <w:color w:val="000000"/>
                <w:sz w:val="24"/>
                <w:szCs w:val="24"/>
              </w:rPr>
              <w:t>100.0%</w:t>
            </w:r>
          </w:p>
        </w:tc>
      </w:tr>
    </w:tbl>
    <w:p w14:paraId="4177EDBB" w14:textId="77777777" w:rsidR="00F6472E" w:rsidRDefault="00F6472E" w:rsidP="00C06A76">
      <w:pPr>
        <w:jc w:val="center"/>
        <w:rPr>
          <w:sz w:val="24"/>
          <w:szCs w:val="24"/>
        </w:rPr>
      </w:pPr>
    </w:p>
    <w:p w14:paraId="3EF50C2B" w14:textId="05D7066C" w:rsidR="001A7010" w:rsidRDefault="001A7010" w:rsidP="00746EE8">
      <w:pPr>
        <w:spacing w:line="240" w:lineRule="auto"/>
        <w:rPr>
          <w:sz w:val="24"/>
          <w:szCs w:val="24"/>
        </w:rPr>
      </w:pPr>
      <w:r>
        <w:rPr>
          <w:b/>
          <w:sz w:val="24"/>
          <w:szCs w:val="24"/>
        </w:rPr>
        <w:t>Gender</w:t>
      </w:r>
      <w:r w:rsidRPr="001A7010">
        <w:rPr>
          <w:b/>
          <w:sz w:val="24"/>
          <w:szCs w:val="24"/>
        </w:rPr>
        <w:t>:</w:t>
      </w:r>
      <w:r>
        <w:rPr>
          <w:sz w:val="24"/>
          <w:szCs w:val="24"/>
        </w:rPr>
        <w:t xml:space="preserve"> </w:t>
      </w:r>
      <w:r w:rsidR="00B044A9" w:rsidRPr="00B044A9">
        <w:rPr>
          <w:sz w:val="24"/>
          <w:szCs w:val="24"/>
        </w:rPr>
        <w:t xml:space="preserve">The UMMHC patient panel </w:t>
      </w:r>
      <w:r w:rsidR="00213759">
        <w:rPr>
          <w:sz w:val="24"/>
          <w:szCs w:val="24"/>
        </w:rPr>
        <w:t>and the</w:t>
      </w:r>
      <w:r w:rsidR="00545E7B">
        <w:rPr>
          <w:sz w:val="24"/>
          <w:szCs w:val="24"/>
        </w:rPr>
        <w:t xml:space="preserve"> UMMMC</w:t>
      </w:r>
      <w:r w:rsidR="00213759">
        <w:rPr>
          <w:sz w:val="24"/>
          <w:szCs w:val="24"/>
        </w:rPr>
        <w:t xml:space="preserve"> patient</w:t>
      </w:r>
      <w:r w:rsidR="00545E7B">
        <w:rPr>
          <w:sz w:val="24"/>
          <w:szCs w:val="24"/>
        </w:rPr>
        <w:t xml:space="preserve"> population</w:t>
      </w:r>
      <w:r w:rsidR="00213759">
        <w:rPr>
          <w:sz w:val="24"/>
          <w:szCs w:val="24"/>
        </w:rPr>
        <w:t xml:space="preserve"> </w:t>
      </w:r>
      <w:r w:rsidR="00B044A9" w:rsidRPr="00B044A9">
        <w:rPr>
          <w:sz w:val="24"/>
          <w:szCs w:val="24"/>
        </w:rPr>
        <w:t>during FY21</w:t>
      </w:r>
      <w:r w:rsidR="00B044A9" w:rsidRPr="00B044A9">
        <w:rPr>
          <w:sz w:val="24"/>
          <w:szCs w:val="24"/>
          <w:vertAlign w:val="superscript"/>
        </w:rPr>
        <w:footnoteReference w:id="8"/>
      </w:r>
      <w:r w:rsidR="00B044A9" w:rsidRPr="00B044A9">
        <w:rPr>
          <w:sz w:val="24"/>
          <w:szCs w:val="24"/>
        </w:rPr>
        <w:t xml:space="preserve"> </w:t>
      </w:r>
      <w:r w:rsidR="00213759">
        <w:rPr>
          <w:sz w:val="24"/>
          <w:szCs w:val="24"/>
        </w:rPr>
        <w:t>were both</w:t>
      </w:r>
      <w:r w:rsidR="00B044A9" w:rsidRPr="00B044A9">
        <w:rPr>
          <w:sz w:val="24"/>
          <w:szCs w:val="24"/>
        </w:rPr>
        <w:t xml:space="preserve"> 56% female and 44% ma</w:t>
      </w:r>
      <w:r w:rsidR="00213759">
        <w:rPr>
          <w:sz w:val="24"/>
          <w:szCs w:val="24"/>
        </w:rPr>
        <w:t>le for each of the three years.</w:t>
      </w:r>
      <w:r w:rsidR="00D817DE">
        <w:rPr>
          <w:sz w:val="24"/>
          <w:szCs w:val="24"/>
        </w:rPr>
        <w:t xml:space="preserve"> </w:t>
      </w:r>
    </w:p>
    <w:p w14:paraId="42018655" w14:textId="61AAC896" w:rsidR="001A7010" w:rsidRDefault="00B044A9" w:rsidP="00213759">
      <w:pPr>
        <w:spacing w:line="240" w:lineRule="auto"/>
        <w:rPr>
          <w:sz w:val="24"/>
          <w:szCs w:val="24"/>
        </w:rPr>
      </w:pPr>
      <w:r w:rsidRPr="001A7010">
        <w:rPr>
          <w:b/>
          <w:sz w:val="24"/>
          <w:szCs w:val="24"/>
        </w:rPr>
        <w:t>Age</w:t>
      </w:r>
      <w:r w:rsidR="001A7010">
        <w:rPr>
          <w:sz w:val="24"/>
          <w:szCs w:val="24"/>
        </w:rPr>
        <w:t>:</w:t>
      </w:r>
      <w:r w:rsidRPr="00B044A9">
        <w:rPr>
          <w:sz w:val="24"/>
          <w:szCs w:val="24"/>
        </w:rPr>
        <w:t xml:space="preserve"> </w:t>
      </w:r>
      <w:r w:rsidR="001A7010">
        <w:rPr>
          <w:sz w:val="24"/>
          <w:szCs w:val="24"/>
        </w:rPr>
        <w:t xml:space="preserve"> </w:t>
      </w:r>
      <w:r w:rsidR="00213759">
        <w:rPr>
          <w:sz w:val="24"/>
          <w:szCs w:val="24"/>
        </w:rPr>
        <w:t>O</w:t>
      </w:r>
      <w:r w:rsidR="00213759" w:rsidRPr="00213759">
        <w:rPr>
          <w:sz w:val="24"/>
          <w:szCs w:val="24"/>
        </w:rPr>
        <w:t>f UMMHC patients</w:t>
      </w:r>
      <w:r w:rsidR="00213759">
        <w:rPr>
          <w:sz w:val="24"/>
          <w:szCs w:val="24"/>
        </w:rPr>
        <w:t xml:space="preserve">, 19% are aged 0-17, </w:t>
      </w:r>
      <w:r w:rsidR="00213759" w:rsidRPr="00213759">
        <w:rPr>
          <w:sz w:val="24"/>
          <w:szCs w:val="24"/>
        </w:rPr>
        <w:t xml:space="preserve">60% were ages 18-64, </w:t>
      </w:r>
      <w:r w:rsidR="00213759">
        <w:rPr>
          <w:sz w:val="24"/>
          <w:szCs w:val="24"/>
        </w:rPr>
        <w:t xml:space="preserve">and </w:t>
      </w:r>
      <w:r w:rsidR="00213759" w:rsidRPr="00213759">
        <w:rPr>
          <w:sz w:val="24"/>
          <w:szCs w:val="24"/>
        </w:rPr>
        <w:t>21% are aged 65 and</w:t>
      </w:r>
      <w:r w:rsidR="00213759">
        <w:rPr>
          <w:sz w:val="24"/>
          <w:szCs w:val="24"/>
        </w:rPr>
        <w:t xml:space="preserve"> older.</w:t>
      </w:r>
      <w:r w:rsidR="00A50524">
        <w:rPr>
          <w:sz w:val="24"/>
          <w:szCs w:val="24"/>
        </w:rPr>
        <w:t xml:space="preserve"> </w:t>
      </w:r>
      <w:r w:rsidR="00213759">
        <w:rPr>
          <w:sz w:val="24"/>
          <w:szCs w:val="24"/>
        </w:rPr>
        <w:t>Similarly</w:t>
      </w:r>
      <w:r w:rsidR="00937164">
        <w:rPr>
          <w:sz w:val="24"/>
          <w:szCs w:val="24"/>
        </w:rPr>
        <w:t>,</w:t>
      </w:r>
      <w:r w:rsidR="00213759">
        <w:rPr>
          <w:sz w:val="24"/>
          <w:szCs w:val="24"/>
        </w:rPr>
        <w:t xml:space="preserve"> for UMMMC,</w:t>
      </w:r>
      <w:r w:rsidR="00213759" w:rsidRPr="00213759">
        <w:t xml:space="preserve"> </w:t>
      </w:r>
      <w:r w:rsidR="00213759" w:rsidRPr="00213759">
        <w:rPr>
          <w:sz w:val="24"/>
          <w:szCs w:val="24"/>
        </w:rPr>
        <w:t>19%</w:t>
      </w:r>
      <w:r w:rsidR="00213759">
        <w:rPr>
          <w:sz w:val="24"/>
          <w:szCs w:val="24"/>
        </w:rPr>
        <w:t xml:space="preserve"> were ages 0-17, </w:t>
      </w:r>
      <w:r w:rsidR="00213759" w:rsidRPr="00213759">
        <w:rPr>
          <w:sz w:val="24"/>
          <w:szCs w:val="24"/>
        </w:rPr>
        <w:t>59%</w:t>
      </w:r>
      <w:r w:rsidR="00213759">
        <w:rPr>
          <w:sz w:val="24"/>
          <w:szCs w:val="24"/>
        </w:rPr>
        <w:t xml:space="preserve"> were ages 18-64, and </w:t>
      </w:r>
      <w:r w:rsidR="00213759" w:rsidRPr="00213759">
        <w:rPr>
          <w:sz w:val="24"/>
          <w:szCs w:val="24"/>
        </w:rPr>
        <w:t>22%</w:t>
      </w:r>
      <w:r w:rsidR="00213759">
        <w:rPr>
          <w:sz w:val="24"/>
          <w:szCs w:val="24"/>
        </w:rPr>
        <w:t xml:space="preserve"> were 65 and older.</w:t>
      </w:r>
    </w:p>
    <w:p w14:paraId="7B6D6661" w14:textId="440AB090" w:rsidR="0021274A" w:rsidRDefault="001A7010" w:rsidP="00A50524">
      <w:pPr>
        <w:spacing w:before="240" w:line="240" w:lineRule="auto"/>
        <w:rPr>
          <w:sz w:val="24"/>
          <w:szCs w:val="24"/>
        </w:rPr>
      </w:pPr>
      <w:r w:rsidRPr="001A7010">
        <w:rPr>
          <w:b/>
          <w:sz w:val="24"/>
          <w:szCs w:val="24"/>
        </w:rPr>
        <w:t>R</w:t>
      </w:r>
      <w:r w:rsidR="00B044A9" w:rsidRPr="001A7010">
        <w:rPr>
          <w:b/>
          <w:sz w:val="24"/>
          <w:szCs w:val="24"/>
        </w:rPr>
        <w:t>ace and ethnicity</w:t>
      </w:r>
      <w:r>
        <w:rPr>
          <w:b/>
          <w:sz w:val="24"/>
          <w:szCs w:val="24"/>
        </w:rPr>
        <w:t>:</w:t>
      </w:r>
      <w:r w:rsidR="00B044A9" w:rsidRPr="00B044A9">
        <w:rPr>
          <w:sz w:val="24"/>
          <w:szCs w:val="24"/>
        </w:rPr>
        <w:t xml:space="preserve"> </w:t>
      </w:r>
      <w:r w:rsidR="0021274A">
        <w:rPr>
          <w:sz w:val="24"/>
          <w:szCs w:val="24"/>
        </w:rPr>
        <w:t>A</w:t>
      </w:r>
      <w:r w:rsidR="00B044A9" w:rsidRPr="00B044A9">
        <w:rPr>
          <w:sz w:val="24"/>
          <w:szCs w:val="24"/>
        </w:rPr>
        <w:t>s self-reported by UMMHC patients, the predominant race</w:t>
      </w:r>
      <w:r w:rsidR="00CD0865">
        <w:rPr>
          <w:sz w:val="24"/>
          <w:szCs w:val="24"/>
        </w:rPr>
        <w:t xml:space="preserve"> </w:t>
      </w:r>
      <w:r w:rsidR="00B044A9" w:rsidRPr="00B044A9">
        <w:rPr>
          <w:sz w:val="24"/>
          <w:szCs w:val="24"/>
        </w:rPr>
        <w:t>served by UMMHC hospitals is White</w:t>
      </w:r>
      <w:r w:rsidR="00EC0916">
        <w:rPr>
          <w:sz w:val="24"/>
          <w:szCs w:val="24"/>
        </w:rPr>
        <w:t xml:space="preserve"> (approximately 76%)</w:t>
      </w:r>
      <w:r w:rsidR="00B044A9" w:rsidRPr="00B044A9">
        <w:rPr>
          <w:sz w:val="24"/>
          <w:szCs w:val="24"/>
        </w:rPr>
        <w:t xml:space="preserve"> </w:t>
      </w:r>
      <w:r w:rsidR="00EC0916">
        <w:rPr>
          <w:sz w:val="24"/>
          <w:szCs w:val="24"/>
        </w:rPr>
        <w:t>15%</w:t>
      </w:r>
      <w:r>
        <w:rPr>
          <w:sz w:val="24"/>
          <w:szCs w:val="24"/>
        </w:rPr>
        <w:t xml:space="preserve"> </w:t>
      </w:r>
      <w:r w:rsidR="00B044A9" w:rsidRPr="00B044A9">
        <w:rPr>
          <w:sz w:val="24"/>
          <w:szCs w:val="24"/>
        </w:rPr>
        <w:t>identified as Hispanic/Latino</w:t>
      </w:r>
      <w:r w:rsidR="00EC0916">
        <w:rPr>
          <w:sz w:val="24"/>
          <w:szCs w:val="24"/>
        </w:rPr>
        <w:t xml:space="preserve">, 6% as </w:t>
      </w:r>
      <w:r w:rsidR="00B044A9" w:rsidRPr="00B044A9">
        <w:rPr>
          <w:sz w:val="24"/>
          <w:szCs w:val="24"/>
        </w:rPr>
        <w:t xml:space="preserve">Black/African American and </w:t>
      </w:r>
      <w:r w:rsidR="00EC0916">
        <w:rPr>
          <w:sz w:val="24"/>
          <w:szCs w:val="24"/>
        </w:rPr>
        <w:t xml:space="preserve">~4% as </w:t>
      </w:r>
      <w:r w:rsidR="00B044A9" w:rsidRPr="00B044A9">
        <w:rPr>
          <w:sz w:val="24"/>
          <w:szCs w:val="24"/>
        </w:rPr>
        <w:t xml:space="preserve">Asian </w:t>
      </w:r>
      <w:r>
        <w:rPr>
          <w:sz w:val="24"/>
          <w:szCs w:val="24"/>
        </w:rPr>
        <w:t>T</w:t>
      </w:r>
      <w:r w:rsidR="00B044A9" w:rsidRPr="00B044A9">
        <w:rPr>
          <w:sz w:val="24"/>
          <w:szCs w:val="24"/>
        </w:rPr>
        <w:t xml:space="preserve">hese are self-reported figures and accordingly there is a significant percentage </w:t>
      </w:r>
      <w:r w:rsidR="00EC0916" w:rsidRPr="00B044A9">
        <w:rPr>
          <w:sz w:val="24"/>
          <w:szCs w:val="24"/>
        </w:rPr>
        <w:t xml:space="preserve">of patients </w:t>
      </w:r>
      <w:r w:rsidR="00B044A9" w:rsidRPr="00B044A9">
        <w:rPr>
          <w:sz w:val="24"/>
          <w:szCs w:val="24"/>
        </w:rPr>
        <w:t>in FY21</w:t>
      </w:r>
      <w:r w:rsidR="00EC0916">
        <w:rPr>
          <w:sz w:val="24"/>
          <w:szCs w:val="24"/>
        </w:rPr>
        <w:t xml:space="preserve"> (</w:t>
      </w:r>
      <w:r w:rsidR="00EC0916" w:rsidRPr="00B044A9">
        <w:rPr>
          <w:sz w:val="24"/>
          <w:szCs w:val="24"/>
        </w:rPr>
        <w:t>13.5%</w:t>
      </w:r>
      <w:r w:rsidR="00EC0916">
        <w:rPr>
          <w:sz w:val="24"/>
          <w:szCs w:val="24"/>
        </w:rPr>
        <w:t>)</w:t>
      </w:r>
      <w:r w:rsidR="00B044A9" w:rsidRPr="00B044A9">
        <w:rPr>
          <w:sz w:val="24"/>
          <w:szCs w:val="24"/>
        </w:rPr>
        <w:t xml:space="preserve"> that either chose not to report or reported in a category not </w:t>
      </w:r>
      <w:r w:rsidR="00112959">
        <w:rPr>
          <w:sz w:val="24"/>
          <w:szCs w:val="24"/>
        </w:rPr>
        <w:t xml:space="preserve">included by the Applicant </w:t>
      </w:r>
      <w:r w:rsidR="00B044A9" w:rsidRPr="00B044A9">
        <w:rPr>
          <w:sz w:val="24"/>
          <w:szCs w:val="24"/>
        </w:rPr>
        <w:t xml:space="preserve">here. </w:t>
      </w:r>
      <w:r w:rsidR="00A50524">
        <w:rPr>
          <w:sz w:val="24"/>
          <w:szCs w:val="24"/>
        </w:rPr>
        <w:t xml:space="preserve">For UMMMC there is a similar mix </w:t>
      </w:r>
      <w:r w:rsidR="00112959">
        <w:rPr>
          <w:sz w:val="24"/>
          <w:szCs w:val="24"/>
        </w:rPr>
        <w:t xml:space="preserve">though its population includes </w:t>
      </w:r>
      <w:r w:rsidR="00A50524">
        <w:rPr>
          <w:sz w:val="24"/>
          <w:szCs w:val="24"/>
        </w:rPr>
        <w:t xml:space="preserve">0.6% more (6.5%) Black/African Americans being served </w:t>
      </w:r>
      <w:r w:rsidR="00A50524" w:rsidRPr="00A50524">
        <w:rPr>
          <w:sz w:val="24"/>
          <w:szCs w:val="24"/>
        </w:rPr>
        <w:t>than is represented in the overall UMMHC Patient Panel</w:t>
      </w:r>
      <w:r w:rsidR="00A50524">
        <w:rPr>
          <w:sz w:val="24"/>
          <w:szCs w:val="24"/>
        </w:rPr>
        <w:t xml:space="preserve">. </w:t>
      </w:r>
    </w:p>
    <w:p w14:paraId="06EA3021" w14:textId="067C4889" w:rsidR="00B044A9" w:rsidRDefault="0021274A" w:rsidP="00746EE8">
      <w:pPr>
        <w:spacing w:line="240" w:lineRule="auto"/>
        <w:rPr>
          <w:sz w:val="24"/>
          <w:szCs w:val="24"/>
        </w:rPr>
      </w:pPr>
      <w:r w:rsidRPr="0021274A">
        <w:rPr>
          <w:b/>
          <w:sz w:val="24"/>
          <w:szCs w:val="24"/>
        </w:rPr>
        <w:t>Patient Origin:</w:t>
      </w:r>
      <w:r>
        <w:rPr>
          <w:sz w:val="24"/>
          <w:szCs w:val="24"/>
        </w:rPr>
        <w:t xml:space="preserve"> T</w:t>
      </w:r>
      <w:r w:rsidR="00B044A9" w:rsidRPr="00B044A9">
        <w:rPr>
          <w:sz w:val="24"/>
          <w:szCs w:val="24"/>
        </w:rPr>
        <w:t xml:space="preserve">he majority of patients (approximately 90%) reside in Central Massachusetts, </w:t>
      </w:r>
      <w:r>
        <w:rPr>
          <w:sz w:val="24"/>
          <w:szCs w:val="24"/>
        </w:rPr>
        <w:t xml:space="preserve">nearly 5% reside in Eastern Massachusetts, </w:t>
      </w:r>
      <w:r w:rsidR="003C5472">
        <w:rPr>
          <w:sz w:val="24"/>
          <w:szCs w:val="24"/>
        </w:rPr>
        <w:t>and</w:t>
      </w:r>
      <w:r w:rsidR="003C5472" w:rsidRPr="00B044A9">
        <w:rPr>
          <w:sz w:val="24"/>
          <w:szCs w:val="24"/>
        </w:rPr>
        <w:t xml:space="preserve"> </w:t>
      </w:r>
      <w:r w:rsidR="00B044A9" w:rsidRPr="00B044A9">
        <w:rPr>
          <w:sz w:val="24"/>
          <w:szCs w:val="24"/>
        </w:rPr>
        <w:t>less than 4% come from out of state.</w:t>
      </w:r>
      <w:r w:rsidR="00A50524">
        <w:rPr>
          <w:sz w:val="24"/>
          <w:szCs w:val="24"/>
        </w:rPr>
        <w:t xml:space="preserve"> There is a </w:t>
      </w:r>
      <w:r w:rsidR="003C5472">
        <w:rPr>
          <w:sz w:val="24"/>
          <w:szCs w:val="24"/>
        </w:rPr>
        <w:t xml:space="preserve">generally </w:t>
      </w:r>
      <w:r w:rsidR="00A50524">
        <w:rPr>
          <w:sz w:val="24"/>
          <w:szCs w:val="24"/>
        </w:rPr>
        <w:t>similar distribution of geographic origin of patients for UMMMC</w:t>
      </w:r>
      <w:r w:rsidR="003C5472">
        <w:rPr>
          <w:sz w:val="24"/>
          <w:szCs w:val="24"/>
        </w:rPr>
        <w:t>.</w:t>
      </w:r>
    </w:p>
    <w:p w14:paraId="00AB9099" w14:textId="77777777" w:rsidR="00623763" w:rsidRPr="00B044A9" w:rsidRDefault="00623763" w:rsidP="00746EE8">
      <w:pPr>
        <w:spacing w:line="240" w:lineRule="auto"/>
        <w:rPr>
          <w:sz w:val="24"/>
          <w:szCs w:val="24"/>
        </w:rPr>
      </w:pPr>
    </w:p>
    <w:p w14:paraId="093DA728" w14:textId="77777777" w:rsidR="00BE7758" w:rsidRPr="00BE7758" w:rsidRDefault="00BE7758" w:rsidP="0068224A"/>
    <w:p w14:paraId="1D4264F4" w14:textId="589FB0B6" w:rsidR="00BE7758" w:rsidRDefault="00724E33" w:rsidP="009F1A90">
      <w:pPr>
        <w:jc w:val="center"/>
        <w:rPr>
          <w:b/>
          <w:sz w:val="24"/>
          <w:szCs w:val="24"/>
        </w:rPr>
      </w:pPr>
      <w:r w:rsidRPr="00EB2FDA">
        <w:rPr>
          <w:b/>
          <w:sz w:val="24"/>
          <w:szCs w:val="24"/>
          <w:u w:val="single"/>
        </w:rPr>
        <w:t>Table</w:t>
      </w:r>
      <w:r w:rsidRPr="00C12BB4">
        <w:rPr>
          <w:b/>
          <w:sz w:val="24"/>
          <w:szCs w:val="24"/>
          <w:u w:val="single"/>
        </w:rPr>
        <w:t xml:space="preserve"> </w:t>
      </w:r>
      <w:r w:rsidR="00EB2FDA">
        <w:rPr>
          <w:b/>
          <w:sz w:val="24"/>
          <w:szCs w:val="24"/>
          <w:u w:val="single"/>
        </w:rPr>
        <w:t>4:</w:t>
      </w:r>
      <w:r>
        <w:rPr>
          <w:b/>
          <w:sz w:val="24"/>
          <w:szCs w:val="24"/>
        </w:rPr>
        <w:t xml:space="preserve"> </w:t>
      </w:r>
      <w:r w:rsidRPr="00724E33">
        <w:rPr>
          <w:b/>
          <w:sz w:val="24"/>
          <w:szCs w:val="24"/>
        </w:rPr>
        <w:t>Payor Mix</w:t>
      </w:r>
      <w:r>
        <w:rPr>
          <w:b/>
          <w:sz w:val="24"/>
          <w:szCs w:val="24"/>
        </w:rPr>
        <w:t xml:space="preserve"> FY21</w:t>
      </w:r>
    </w:p>
    <w:tbl>
      <w:tblPr>
        <w:tblW w:w="60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847"/>
        <w:gridCol w:w="1058"/>
        <w:gridCol w:w="1114"/>
      </w:tblGrid>
      <w:tr w:rsidR="00724E33" w:rsidRPr="00724E33" w14:paraId="4458AB6A" w14:textId="77777777" w:rsidTr="00207CEB">
        <w:trPr>
          <w:trHeight w:val="300"/>
          <w:jc w:val="center"/>
        </w:trPr>
        <w:tc>
          <w:tcPr>
            <w:tcW w:w="3847" w:type="dxa"/>
            <w:shd w:val="clear" w:color="auto" w:fill="auto"/>
            <w:noWrap/>
            <w:vAlign w:val="bottom"/>
            <w:hideMark/>
          </w:tcPr>
          <w:p w14:paraId="31EA6537" w14:textId="2F8E159F" w:rsidR="00724E33" w:rsidRPr="00724E33" w:rsidRDefault="00724E33" w:rsidP="00724E33">
            <w:pPr>
              <w:spacing w:after="0" w:line="240" w:lineRule="auto"/>
              <w:rPr>
                <w:rFonts w:ascii="Calibri" w:eastAsia="Times New Roman" w:hAnsi="Calibri" w:cs="Times New Roman"/>
                <w:b/>
                <w:color w:val="000000"/>
                <w:sz w:val="24"/>
                <w:szCs w:val="24"/>
              </w:rPr>
            </w:pPr>
            <w:r w:rsidRPr="00724E33">
              <w:rPr>
                <w:rFonts w:ascii="Calibri" w:eastAsia="Times New Roman" w:hAnsi="Calibri" w:cs="Times New Roman"/>
                <w:b/>
                <w:color w:val="000000"/>
                <w:sz w:val="24"/>
                <w:szCs w:val="24"/>
              </w:rPr>
              <w:t>Payor</w:t>
            </w:r>
            <w:r>
              <w:rPr>
                <w:rFonts w:ascii="Calibri" w:eastAsia="Times New Roman" w:hAnsi="Calibri" w:cs="Times New Roman"/>
                <w:b/>
                <w:color w:val="000000"/>
                <w:sz w:val="24"/>
                <w:szCs w:val="24"/>
              </w:rPr>
              <w:t xml:space="preserve"> Type</w:t>
            </w:r>
          </w:p>
        </w:tc>
        <w:tc>
          <w:tcPr>
            <w:tcW w:w="1058" w:type="dxa"/>
            <w:shd w:val="clear" w:color="auto" w:fill="BDDEFF"/>
            <w:noWrap/>
            <w:vAlign w:val="bottom"/>
            <w:hideMark/>
          </w:tcPr>
          <w:p w14:paraId="0839AC47" w14:textId="1FF045F2" w:rsidR="00724E33" w:rsidRPr="00724E33" w:rsidRDefault="00724E33" w:rsidP="00724E33">
            <w:pPr>
              <w:spacing w:after="0" w:line="240" w:lineRule="auto"/>
              <w:jc w:val="center"/>
              <w:rPr>
                <w:rFonts w:ascii="Calibri" w:eastAsia="Times New Roman" w:hAnsi="Calibri" w:cs="Times New Roman"/>
                <w:color w:val="000000"/>
                <w:sz w:val="24"/>
                <w:szCs w:val="24"/>
              </w:rPr>
            </w:pPr>
            <w:r w:rsidRPr="00724E33">
              <w:rPr>
                <w:rFonts w:ascii="Calibri" w:eastAsiaTheme="minorEastAsia" w:hAnsi="Calibri" w:cs="Times New Roman"/>
                <w:color w:val="000000"/>
                <w:sz w:val="24"/>
                <w:szCs w:val="24"/>
              </w:rPr>
              <w:t>UMMHC</w:t>
            </w:r>
            <w:r w:rsidR="00DA50D0">
              <w:rPr>
                <w:rFonts w:ascii="Calibri" w:eastAsiaTheme="minorEastAsia" w:hAnsi="Calibri" w:cs="Times New Roman"/>
                <w:color w:val="000000"/>
                <w:sz w:val="24"/>
                <w:szCs w:val="24"/>
              </w:rPr>
              <w:t xml:space="preserve"> System</w:t>
            </w:r>
          </w:p>
        </w:tc>
        <w:tc>
          <w:tcPr>
            <w:tcW w:w="1114" w:type="dxa"/>
            <w:shd w:val="clear" w:color="auto" w:fill="EAD5FF"/>
            <w:noWrap/>
            <w:vAlign w:val="bottom"/>
            <w:hideMark/>
          </w:tcPr>
          <w:p w14:paraId="2792C33C" w14:textId="7B665752" w:rsidR="00724E33" w:rsidRPr="00724E33" w:rsidRDefault="00724E33" w:rsidP="00724E33">
            <w:pPr>
              <w:spacing w:after="0" w:line="240" w:lineRule="auto"/>
              <w:jc w:val="center"/>
              <w:rPr>
                <w:rFonts w:ascii="Calibri" w:eastAsia="Times New Roman" w:hAnsi="Calibri" w:cs="Times New Roman"/>
                <w:color w:val="000000"/>
                <w:sz w:val="24"/>
                <w:szCs w:val="24"/>
              </w:rPr>
            </w:pPr>
            <w:r w:rsidRPr="00724E33">
              <w:rPr>
                <w:rFonts w:ascii="Calibri" w:eastAsia="Times New Roman" w:hAnsi="Calibri" w:cs="Times New Roman"/>
                <w:color w:val="000000"/>
                <w:sz w:val="24"/>
                <w:szCs w:val="24"/>
              </w:rPr>
              <w:t>UMMMC</w:t>
            </w:r>
            <w:r w:rsidR="00DA50D0">
              <w:rPr>
                <w:rFonts w:ascii="Calibri" w:eastAsia="Times New Roman" w:hAnsi="Calibri" w:cs="Times New Roman"/>
                <w:color w:val="000000"/>
                <w:sz w:val="24"/>
                <w:szCs w:val="24"/>
              </w:rPr>
              <w:t xml:space="preserve"> Hospital</w:t>
            </w:r>
          </w:p>
        </w:tc>
      </w:tr>
      <w:tr w:rsidR="00724E33" w:rsidRPr="00724E33" w14:paraId="6BDA49FA" w14:textId="77777777" w:rsidTr="00207CEB">
        <w:trPr>
          <w:trHeight w:val="300"/>
          <w:jc w:val="center"/>
        </w:trPr>
        <w:tc>
          <w:tcPr>
            <w:tcW w:w="3847" w:type="dxa"/>
            <w:shd w:val="clear" w:color="auto" w:fill="auto"/>
            <w:noWrap/>
            <w:vAlign w:val="bottom"/>
            <w:hideMark/>
          </w:tcPr>
          <w:p w14:paraId="18B4DA73" w14:textId="77777777" w:rsidR="00724E33" w:rsidRPr="00724E33" w:rsidRDefault="00724E33" w:rsidP="00724E33">
            <w:pPr>
              <w:spacing w:after="0" w:line="240" w:lineRule="auto"/>
              <w:rPr>
                <w:rFonts w:ascii="Calibri" w:eastAsia="Times New Roman" w:hAnsi="Calibri" w:cs="Times New Roman"/>
                <w:color w:val="000000"/>
                <w:sz w:val="24"/>
                <w:szCs w:val="24"/>
              </w:rPr>
            </w:pPr>
            <w:r w:rsidRPr="00724E33">
              <w:rPr>
                <w:rFonts w:ascii="Calibri" w:eastAsiaTheme="minorEastAsia" w:hAnsi="Calibri" w:cs="Times New Roman"/>
                <w:color w:val="000000"/>
                <w:sz w:val="24"/>
                <w:szCs w:val="24"/>
              </w:rPr>
              <w:t xml:space="preserve">Commercial PPO/Indemnity </w:t>
            </w:r>
          </w:p>
        </w:tc>
        <w:tc>
          <w:tcPr>
            <w:tcW w:w="1058" w:type="dxa"/>
            <w:shd w:val="clear" w:color="auto" w:fill="auto"/>
            <w:noWrap/>
            <w:vAlign w:val="bottom"/>
            <w:hideMark/>
          </w:tcPr>
          <w:p w14:paraId="6D2D388E" w14:textId="65B561D3" w:rsidR="00724E33" w:rsidRPr="00724E33" w:rsidRDefault="00724E33" w:rsidP="00724E33">
            <w:pPr>
              <w:spacing w:after="0" w:line="240" w:lineRule="auto"/>
              <w:jc w:val="right"/>
              <w:rPr>
                <w:rFonts w:ascii="Calibri" w:eastAsia="Times New Roman" w:hAnsi="Calibri" w:cs="Times New Roman"/>
                <w:color w:val="000000"/>
                <w:sz w:val="24"/>
                <w:szCs w:val="24"/>
              </w:rPr>
            </w:pPr>
            <w:r w:rsidRPr="00724E33">
              <w:rPr>
                <w:rFonts w:ascii="Calibri" w:eastAsiaTheme="minorEastAsia" w:hAnsi="Calibri" w:cs="Times New Roman"/>
                <w:color w:val="000000"/>
                <w:sz w:val="24"/>
                <w:szCs w:val="24"/>
              </w:rPr>
              <w:t>3.0%</w:t>
            </w:r>
          </w:p>
        </w:tc>
        <w:tc>
          <w:tcPr>
            <w:tcW w:w="1114" w:type="dxa"/>
            <w:shd w:val="clear" w:color="auto" w:fill="auto"/>
            <w:noWrap/>
            <w:vAlign w:val="bottom"/>
            <w:hideMark/>
          </w:tcPr>
          <w:p w14:paraId="7ADF8410" w14:textId="7A76BF4E" w:rsidR="00724E33" w:rsidRPr="00724E33" w:rsidRDefault="00724E33" w:rsidP="00724E33">
            <w:pPr>
              <w:spacing w:after="0" w:line="240" w:lineRule="auto"/>
              <w:jc w:val="right"/>
              <w:rPr>
                <w:rFonts w:ascii="Calibri" w:eastAsia="Times New Roman" w:hAnsi="Calibri" w:cs="Times New Roman"/>
                <w:color w:val="000000"/>
                <w:sz w:val="24"/>
                <w:szCs w:val="24"/>
              </w:rPr>
            </w:pPr>
            <w:r w:rsidRPr="00724E33">
              <w:rPr>
                <w:rFonts w:ascii="Calibri" w:eastAsia="Times New Roman" w:hAnsi="Calibri" w:cs="Times New Roman"/>
                <w:color w:val="000000"/>
                <w:sz w:val="24"/>
                <w:szCs w:val="24"/>
              </w:rPr>
              <w:t>3.4%</w:t>
            </w:r>
          </w:p>
        </w:tc>
      </w:tr>
      <w:tr w:rsidR="00724E33" w:rsidRPr="00724E33" w14:paraId="116E1918" w14:textId="77777777" w:rsidTr="00207CEB">
        <w:trPr>
          <w:trHeight w:val="300"/>
          <w:jc w:val="center"/>
        </w:trPr>
        <w:tc>
          <w:tcPr>
            <w:tcW w:w="3847" w:type="dxa"/>
            <w:shd w:val="clear" w:color="auto" w:fill="auto"/>
            <w:noWrap/>
            <w:vAlign w:val="bottom"/>
            <w:hideMark/>
          </w:tcPr>
          <w:p w14:paraId="3054F8E0" w14:textId="77777777" w:rsidR="00724E33" w:rsidRPr="00724E33" w:rsidRDefault="00724E33" w:rsidP="00724E33">
            <w:pPr>
              <w:spacing w:after="0" w:line="240" w:lineRule="auto"/>
              <w:rPr>
                <w:rFonts w:ascii="Calibri" w:eastAsia="Times New Roman" w:hAnsi="Calibri" w:cs="Times New Roman"/>
                <w:color w:val="000000"/>
                <w:sz w:val="24"/>
                <w:szCs w:val="24"/>
              </w:rPr>
            </w:pPr>
            <w:r w:rsidRPr="00724E33">
              <w:rPr>
                <w:rFonts w:ascii="Calibri" w:eastAsiaTheme="minorEastAsia" w:hAnsi="Calibri" w:cs="Times New Roman"/>
                <w:color w:val="000000"/>
                <w:sz w:val="24"/>
                <w:szCs w:val="24"/>
              </w:rPr>
              <w:t xml:space="preserve">Commercial HMO/POS </w:t>
            </w:r>
          </w:p>
        </w:tc>
        <w:tc>
          <w:tcPr>
            <w:tcW w:w="1058" w:type="dxa"/>
            <w:shd w:val="clear" w:color="auto" w:fill="auto"/>
            <w:noWrap/>
            <w:vAlign w:val="bottom"/>
            <w:hideMark/>
          </w:tcPr>
          <w:p w14:paraId="46DC895C" w14:textId="38960381" w:rsidR="00724E33" w:rsidRPr="00724E33" w:rsidRDefault="00724E33" w:rsidP="00724E33">
            <w:pPr>
              <w:spacing w:after="0" w:line="240" w:lineRule="auto"/>
              <w:jc w:val="right"/>
              <w:rPr>
                <w:rFonts w:ascii="Calibri" w:eastAsia="Times New Roman" w:hAnsi="Calibri" w:cs="Times New Roman"/>
                <w:color w:val="000000"/>
                <w:sz w:val="24"/>
                <w:szCs w:val="24"/>
              </w:rPr>
            </w:pPr>
            <w:r w:rsidRPr="00724E33">
              <w:rPr>
                <w:rFonts w:ascii="Calibri" w:eastAsiaTheme="minorEastAsia" w:hAnsi="Calibri" w:cs="Times New Roman"/>
                <w:color w:val="000000"/>
                <w:sz w:val="24"/>
                <w:szCs w:val="24"/>
              </w:rPr>
              <w:t>26.7%</w:t>
            </w:r>
          </w:p>
        </w:tc>
        <w:tc>
          <w:tcPr>
            <w:tcW w:w="1114" w:type="dxa"/>
            <w:shd w:val="clear" w:color="auto" w:fill="auto"/>
            <w:noWrap/>
            <w:vAlign w:val="bottom"/>
            <w:hideMark/>
          </w:tcPr>
          <w:p w14:paraId="158E5C0D" w14:textId="6E11428E" w:rsidR="00724E33" w:rsidRPr="00724E33" w:rsidRDefault="00724E33" w:rsidP="00724E33">
            <w:pPr>
              <w:spacing w:after="0" w:line="240" w:lineRule="auto"/>
              <w:jc w:val="right"/>
              <w:rPr>
                <w:rFonts w:ascii="Calibri" w:eastAsia="Times New Roman" w:hAnsi="Calibri" w:cs="Times New Roman"/>
                <w:color w:val="000000"/>
                <w:sz w:val="24"/>
                <w:szCs w:val="24"/>
              </w:rPr>
            </w:pPr>
            <w:r w:rsidRPr="00724E33">
              <w:rPr>
                <w:rFonts w:ascii="Calibri" w:eastAsia="Times New Roman" w:hAnsi="Calibri" w:cs="Times New Roman"/>
                <w:color w:val="000000"/>
                <w:sz w:val="24"/>
                <w:szCs w:val="24"/>
              </w:rPr>
              <w:t>27.0%</w:t>
            </w:r>
          </w:p>
        </w:tc>
      </w:tr>
      <w:tr w:rsidR="00724E33" w:rsidRPr="00724E33" w14:paraId="2E311549" w14:textId="77777777" w:rsidTr="00207CEB">
        <w:trPr>
          <w:trHeight w:val="300"/>
          <w:jc w:val="center"/>
        </w:trPr>
        <w:tc>
          <w:tcPr>
            <w:tcW w:w="3847" w:type="dxa"/>
            <w:shd w:val="clear" w:color="auto" w:fill="auto"/>
            <w:noWrap/>
            <w:vAlign w:val="bottom"/>
            <w:hideMark/>
          </w:tcPr>
          <w:p w14:paraId="47C5744D" w14:textId="77777777" w:rsidR="00724E33" w:rsidRPr="00724E33" w:rsidRDefault="00724E33" w:rsidP="00724E33">
            <w:pPr>
              <w:spacing w:after="0" w:line="240" w:lineRule="auto"/>
              <w:rPr>
                <w:rFonts w:ascii="Calibri" w:eastAsia="Times New Roman" w:hAnsi="Calibri" w:cs="Times New Roman"/>
                <w:color w:val="000000"/>
                <w:sz w:val="24"/>
                <w:szCs w:val="24"/>
              </w:rPr>
            </w:pPr>
            <w:r w:rsidRPr="00724E33">
              <w:rPr>
                <w:rFonts w:ascii="Calibri" w:eastAsiaTheme="minorEastAsia" w:hAnsi="Calibri" w:cs="Times New Roman"/>
                <w:color w:val="000000"/>
                <w:sz w:val="24"/>
                <w:szCs w:val="24"/>
              </w:rPr>
              <w:t xml:space="preserve">MassHealth </w:t>
            </w:r>
          </w:p>
        </w:tc>
        <w:tc>
          <w:tcPr>
            <w:tcW w:w="1058" w:type="dxa"/>
            <w:shd w:val="clear" w:color="auto" w:fill="auto"/>
            <w:noWrap/>
            <w:vAlign w:val="bottom"/>
            <w:hideMark/>
          </w:tcPr>
          <w:p w14:paraId="7D0B8BDB" w14:textId="2733217F" w:rsidR="00724E33" w:rsidRPr="00724E33" w:rsidRDefault="00724E33" w:rsidP="00724E33">
            <w:pPr>
              <w:spacing w:after="0" w:line="240" w:lineRule="auto"/>
              <w:jc w:val="right"/>
              <w:rPr>
                <w:rFonts w:ascii="Calibri" w:eastAsia="Times New Roman" w:hAnsi="Calibri" w:cs="Times New Roman"/>
                <w:color w:val="000000"/>
                <w:sz w:val="24"/>
                <w:szCs w:val="24"/>
              </w:rPr>
            </w:pPr>
            <w:r w:rsidRPr="00724E33">
              <w:rPr>
                <w:rFonts w:ascii="Calibri" w:eastAsiaTheme="minorEastAsia" w:hAnsi="Calibri" w:cs="Times New Roman"/>
                <w:color w:val="000000"/>
                <w:sz w:val="24"/>
                <w:szCs w:val="24"/>
              </w:rPr>
              <w:t>17.5%</w:t>
            </w:r>
          </w:p>
        </w:tc>
        <w:tc>
          <w:tcPr>
            <w:tcW w:w="1114" w:type="dxa"/>
            <w:shd w:val="clear" w:color="auto" w:fill="auto"/>
            <w:noWrap/>
            <w:vAlign w:val="bottom"/>
            <w:hideMark/>
          </w:tcPr>
          <w:p w14:paraId="3F014140" w14:textId="6F98CBCB" w:rsidR="00724E33" w:rsidRPr="00724E33" w:rsidRDefault="00724E33" w:rsidP="00724E33">
            <w:pPr>
              <w:spacing w:after="0" w:line="240" w:lineRule="auto"/>
              <w:jc w:val="right"/>
              <w:rPr>
                <w:rFonts w:ascii="Calibri" w:eastAsia="Times New Roman" w:hAnsi="Calibri" w:cs="Times New Roman"/>
                <w:color w:val="000000"/>
                <w:sz w:val="24"/>
                <w:szCs w:val="24"/>
              </w:rPr>
            </w:pPr>
            <w:r w:rsidRPr="00724E33">
              <w:rPr>
                <w:rFonts w:ascii="Calibri" w:eastAsia="Times New Roman" w:hAnsi="Calibri" w:cs="Times New Roman"/>
                <w:color w:val="000000"/>
                <w:sz w:val="24"/>
                <w:szCs w:val="24"/>
              </w:rPr>
              <w:t>18.1%</w:t>
            </w:r>
          </w:p>
        </w:tc>
      </w:tr>
      <w:tr w:rsidR="00724E33" w:rsidRPr="00724E33" w14:paraId="05BCD3E7" w14:textId="77777777" w:rsidTr="00207CEB">
        <w:trPr>
          <w:trHeight w:val="300"/>
          <w:jc w:val="center"/>
        </w:trPr>
        <w:tc>
          <w:tcPr>
            <w:tcW w:w="3847" w:type="dxa"/>
            <w:shd w:val="clear" w:color="auto" w:fill="auto"/>
            <w:noWrap/>
            <w:vAlign w:val="bottom"/>
            <w:hideMark/>
          </w:tcPr>
          <w:p w14:paraId="2C0A4D9D" w14:textId="77777777" w:rsidR="00724E33" w:rsidRPr="00724E33" w:rsidRDefault="00724E33" w:rsidP="00724E33">
            <w:pPr>
              <w:spacing w:after="0" w:line="240" w:lineRule="auto"/>
              <w:rPr>
                <w:rFonts w:ascii="Calibri" w:eastAsia="Times New Roman" w:hAnsi="Calibri" w:cs="Times New Roman"/>
                <w:color w:val="000000"/>
                <w:sz w:val="24"/>
                <w:szCs w:val="24"/>
              </w:rPr>
            </w:pPr>
            <w:r w:rsidRPr="00724E33">
              <w:rPr>
                <w:rFonts w:ascii="Calibri" w:eastAsiaTheme="minorEastAsia" w:hAnsi="Calibri" w:cs="Times New Roman"/>
                <w:color w:val="000000"/>
                <w:sz w:val="24"/>
                <w:szCs w:val="24"/>
              </w:rPr>
              <w:t xml:space="preserve">Managed Medicaid </w:t>
            </w:r>
          </w:p>
        </w:tc>
        <w:tc>
          <w:tcPr>
            <w:tcW w:w="1058" w:type="dxa"/>
            <w:shd w:val="clear" w:color="auto" w:fill="auto"/>
            <w:noWrap/>
            <w:vAlign w:val="bottom"/>
            <w:hideMark/>
          </w:tcPr>
          <w:p w14:paraId="22504D70" w14:textId="53CF0F99" w:rsidR="00724E33" w:rsidRPr="00724E33" w:rsidRDefault="00724E33" w:rsidP="00724E33">
            <w:pPr>
              <w:spacing w:after="0" w:line="240" w:lineRule="auto"/>
              <w:jc w:val="right"/>
              <w:rPr>
                <w:rFonts w:ascii="Calibri" w:eastAsia="Times New Roman" w:hAnsi="Calibri" w:cs="Times New Roman"/>
                <w:color w:val="000000"/>
                <w:sz w:val="24"/>
                <w:szCs w:val="24"/>
              </w:rPr>
            </w:pPr>
            <w:r w:rsidRPr="00724E33">
              <w:rPr>
                <w:rFonts w:ascii="Calibri" w:eastAsiaTheme="minorEastAsia" w:hAnsi="Calibri" w:cs="Times New Roman"/>
                <w:color w:val="000000"/>
                <w:sz w:val="24"/>
                <w:szCs w:val="24"/>
              </w:rPr>
              <w:t>6.4%</w:t>
            </w:r>
          </w:p>
        </w:tc>
        <w:tc>
          <w:tcPr>
            <w:tcW w:w="1114" w:type="dxa"/>
            <w:shd w:val="clear" w:color="auto" w:fill="auto"/>
            <w:noWrap/>
            <w:vAlign w:val="bottom"/>
            <w:hideMark/>
          </w:tcPr>
          <w:p w14:paraId="7DB78D83" w14:textId="49964D4D" w:rsidR="00724E33" w:rsidRPr="00724E33" w:rsidRDefault="00724E33" w:rsidP="00724E33">
            <w:pPr>
              <w:spacing w:after="0" w:line="240" w:lineRule="auto"/>
              <w:jc w:val="right"/>
              <w:rPr>
                <w:rFonts w:ascii="Calibri" w:eastAsia="Times New Roman" w:hAnsi="Calibri" w:cs="Times New Roman"/>
                <w:color w:val="000000"/>
                <w:sz w:val="24"/>
                <w:szCs w:val="24"/>
              </w:rPr>
            </w:pPr>
            <w:r w:rsidRPr="00724E33">
              <w:rPr>
                <w:rFonts w:ascii="Calibri" w:eastAsia="Times New Roman" w:hAnsi="Calibri" w:cs="Times New Roman"/>
                <w:color w:val="000000"/>
                <w:sz w:val="24"/>
                <w:szCs w:val="24"/>
              </w:rPr>
              <w:t>6.1%</w:t>
            </w:r>
          </w:p>
        </w:tc>
      </w:tr>
      <w:tr w:rsidR="00724E33" w:rsidRPr="00724E33" w14:paraId="33E985AF" w14:textId="77777777" w:rsidTr="00207CEB">
        <w:trPr>
          <w:trHeight w:val="300"/>
          <w:jc w:val="center"/>
        </w:trPr>
        <w:tc>
          <w:tcPr>
            <w:tcW w:w="3847" w:type="dxa"/>
            <w:shd w:val="clear" w:color="auto" w:fill="auto"/>
            <w:noWrap/>
            <w:vAlign w:val="bottom"/>
            <w:hideMark/>
          </w:tcPr>
          <w:p w14:paraId="3819FB64" w14:textId="77777777" w:rsidR="00724E33" w:rsidRPr="00724E33" w:rsidRDefault="00724E33" w:rsidP="00724E33">
            <w:pPr>
              <w:spacing w:after="0" w:line="240" w:lineRule="auto"/>
              <w:rPr>
                <w:rFonts w:ascii="Calibri" w:eastAsia="Times New Roman" w:hAnsi="Calibri" w:cs="Times New Roman"/>
                <w:color w:val="000000"/>
                <w:sz w:val="24"/>
                <w:szCs w:val="24"/>
              </w:rPr>
            </w:pPr>
            <w:r w:rsidRPr="00724E33">
              <w:rPr>
                <w:rFonts w:ascii="Calibri" w:eastAsiaTheme="minorEastAsia" w:hAnsi="Calibri" w:cs="Times New Roman"/>
                <w:color w:val="000000"/>
                <w:sz w:val="24"/>
                <w:szCs w:val="24"/>
              </w:rPr>
              <w:t xml:space="preserve">Commercial Medicare </w:t>
            </w:r>
          </w:p>
        </w:tc>
        <w:tc>
          <w:tcPr>
            <w:tcW w:w="1058" w:type="dxa"/>
            <w:shd w:val="clear" w:color="auto" w:fill="auto"/>
            <w:noWrap/>
            <w:vAlign w:val="bottom"/>
            <w:hideMark/>
          </w:tcPr>
          <w:p w14:paraId="57CE0730" w14:textId="26207251" w:rsidR="00724E33" w:rsidRPr="00724E33" w:rsidRDefault="00724E33" w:rsidP="00724E33">
            <w:pPr>
              <w:spacing w:after="0" w:line="240" w:lineRule="auto"/>
              <w:jc w:val="right"/>
              <w:rPr>
                <w:rFonts w:ascii="Calibri" w:eastAsia="Times New Roman" w:hAnsi="Calibri" w:cs="Times New Roman"/>
                <w:color w:val="000000"/>
                <w:sz w:val="24"/>
                <w:szCs w:val="24"/>
              </w:rPr>
            </w:pPr>
            <w:r w:rsidRPr="00724E33">
              <w:rPr>
                <w:rFonts w:ascii="Calibri" w:eastAsiaTheme="minorEastAsia" w:hAnsi="Calibri" w:cs="Times New Roman"/>
                <w:color w:val="000000"/>
                <w:sz w:val="24"/>
                <w:szCs w:val="24"/>
              </w:rPr>
              <w:t>14.8%</w:t>
            </w:r>
          </w:p>
        </w:tc>
        <w:tc>
          <w:tcPr>
            <w:tcW w:w="1114" w:type="dxa"/>
            <w:shd w:val="clear" w:color="auto" w:fill="auto"/>
            <w:noWrap/>
            <w:vAlign w:val="bottom"/>
            <w:hideMark/>
          </w:tcPr>
          <w:p w14:paraId="15F6B0CE" w14:textId="45CE641E" w:rsidR="00724E33" w:rsidRPr="00724E33" w:rsidRDefault="00724E33" w:rsidP="00724E33">
            <w:pPr>
              <w:spacing w:after="0" w:line="240" w:lineRule="auto"/>
              <w:jc w:val="right"/>
              <w:rPr>
                <w:rFonts w:ascii="Calibri" w:eastAsia="Times New Roman" w:hAnsi="Calibri" w:cs="Times New Roman"/>
                <w:color w:val="000000"/>
                <w:sz w:val="24"/>
                <w:szCs w:val="24"/>
              </w:rPr>
            </w:pPr>
            <w:r w:rsidRPr="00724E33">
              <w:rPr>
                <w:rFonts w:ascii="Calibri" w:eastAsia="Times New Roman" w:hAnsi="Calibri" w:cs="Times New Roman"/>
                <w:color w:val="000000"/>
                <w:sz w:val="24"/>
                <w:szCs w:val="24"/>
              </w:rPr>
              <w:t>14.1%</w:t>
            </w:r>
          </w:p>
        </w:tc>
      </w:tr>
      <w:tr w:rsidR="00724E33" w:rsidRPr="00724E33" w14:paraId="11ABBD9E" w14:textId="77777777" w:rsidTr="00207CEB">
        <w:trPr>
          <w:trHeight w:val="300"/>
          <w:jc w:val="center"/>
        </w:trPr>
        <w:tc>
          <w:tcPr>
            <w:tcW w:w="3847" w:type="dxa"/>
            <w:shd w:val="clear" w:color="auto" w:fill="auto"/>
            <w:noWrap/>
            <w:vAlign w:val="bottom"/>
            <w:hideMark/>
          </w:tcPr>
          <w:p w14:paraId="20BA62EB" w14:textId="77777777" w:rsidR="00724E33" w:rsidRPr="00724E33" w:rsidRDefault="00724E33" w:rsidP="00724E33">
            <w:pPr>
              <w:spacing w:after="0" w:line="240" w:lineRule="auto"/>
              <w:rPr>
                <w:rFonts w:ascii="Calibri" w:eastAsia="Times New Roman" w:hAnsi="Calibri" w:cs="Times New Roman"/>
                <w:color w:val="000000"/>
                <w:sz w:val="24"/>
                <w:szCs w:val="24"/>
              </w:rPr>
            </w:pPr>
            <w:r w:rsidRPr="00724E33">
              <w:rPr>
                <w:rFonts w:ascii="Calibri" w:eastAsiaTheme="minorEastAsia" w:hAnsi="Calibri" w:cs="Times New Roman"/>
                <w:color w:val="000000"/>
                <w:sz w:val="24"/>
                <w:szCs w:val="24"/>
              </w:rPr>
              <w:t xml:space="preserve">Medicare FFS </w:t>
            </w:r>
          </w:p>
        </w:tc>
        <w:tc>
          <w:tcPr>
            <w:tcW w:w="1058" w:type="dxa"/>
            <w:shd w:val="clear" w:color="auto" w:fill="auto"/>
            <w:noWrap/>
            <w:vAlign w:val="bottom"/>
            <w:hideMark/>
          </w:tcPr>
          <w:p w14:paraId="29718AC5" w14:textId="19E3B2CF" w:rsidR="00724E33" w:rsidRPr="00724E33" w:rsidRDefault="00724E33" w:rsidP="00724E33">
            <w:pPr>
              <w:spacing w:after="0" w:line="240" w:lineRule="auto"/>
              <w:jc w:val="right"/>
              <w:rPr>
                <w:rFonts w:ascii="Calibri" w:eastAsia="Times New Roman" w:hAnsi="Calibri" w:cs="Times New Roman"/>
                <w:color w:val="000000"/>
                <w:sz w:val="24"/>
                <w:szCs w:val="24"/>
              </w:rPr>
            </w:pPr>
            <w:r w:rsidRPr="00724E33">
              <w:rPr>
                <w:rFonts w:ascii="Calibri" w:eastAsiaTheme="minorEastAsia" w:hAnsi="Calibri" w:cs="Times New Roman"/>
                <w:color w:val="000000"/>
                <w:sz w:val="24"/>
                <w:szCs w:val="24"/>
              </w:rPr>
              <w:t>28.4%</w:t>
            </w:r>
          </w:p>
        </w:tc>
        <w:tc>
          <w:tcPr>
            <w:tcW w:w="1114" w:type="dxa"/>
            <w:shd w:val="clear" w:color="auto" w:fill="auto"/>
            <w:noWrap/>
            <w:vAlign w:val="bottom"/>
            <w:hideMark/>
          </w:tcPr>
          <w:p w14:paraId="03E5604B" w14:textId="4F4F75DB" w:rsidR="00724E33" w:rsidRPr="00724E33" w:rsidRDefault="00724E33" w:rsidP="00724E33">
            <w:pPr>
              <w:spacing w:after="0" w:line="240" w:lineRule="auto"/>
              <w:jc w:val="right"/>
              <w:rPr>
                <w:rFonts w:ascii="Calibri" w:eastAsia="Times New Roman" w:hAnsi="Calibri" w:cs="Times New Roman"/>
                <w:color w:val="000000"/>
                <w:sz w:val="24"/>
                <w:szCs w:val="24"/>
              </w:rPr>
            </w:pPr>
            <w:r w:rsidRPr="00724E33">
              <w:rPr>
                <w:rFonts w:ascii="Calibri" w:eastAsia="Times New Roman" w:hAnsi="Calibri" w:cs="Times New Roman"/>
                <w:color w:val="000000"/>
                <w:sz w:val="24"/>
                <w:szCs w:val="24"/>
              </w:rPr>
              <w:t>28.3%</w:t>
            </w:r>
          </w:p>
        </w:tc>
      </w:tr>
      <w:tr w:rsidR="00724E33" w:rsidRPr="00724E33" w14:paraId="5FFD9DA3" w14:textId="77777777" w:rsidTr="00207CEB">
        <w:trPr>
          <w:trHeight w:val="300"/>
          <w:jc w:val="center"/>
        </w:trPr>
        <w:tc>
          <w:tcPr>
            <w:tcW w:w="3847" w:type="dxa"/>
            <w:shd w:val="clear" w:color="auto" w:fill="auto"/>
            <w:noWrap/>
            <w:vAlign w:val="bottom"/>
            <w:hideMark/>
          </w:tcPr>
          <w:p w14:paraId="04961BDC" w14:textId="77777777" w:rsidR="00724E33" w:rsidRPr="00724E33" w:rsidRDefault="00724E33" w:rsidP="00724E33">
            <w:pPr>
              <w:spacing w:after="0" w:line="240" w:lineRule="auto"/>
              <w:rPr>
                <w:rFonts w:ascii="Calibri" w:eastAsia="Times New Roman" w:hAnsi="Calibri" w:cs="Times New Roman"/>
                <w:color w:val="000000"/>
                <w:sz w:val="24"/>
                <w:szCs w:val="24"/>
              </w:rPr>
            </w:pPr>
            <w:r w:rsidRPr="00724E33">
              <w:rPr>
                <w:rFonts w:ascii="Calibri" w:eastAsiaTheme="minorEastAsia" w:hAnsi="Calibri" w:cs="Times New Roman"/>
                <w:color w:val="000000"/>
                <w:sz w:val="24"/>
                <w:szCs w:val="24"/>
              </w:rPr>
              <w:t xml:space="preserve">All other (e.g. HSN, self-pay, TriCare) </w:t>
            </w:r>
          </w:p>
        </w:tc>
        <w:tc>
          <w:tcPr>
            <w:tcW w:w="1058" w:type="dxa"/>
            <w:shd w:val="clear" w:color="auto" w:fill="auto"/>
            <w:noWrap/>
            <w:vAlign w:val="bottom"/>
            <w:hideMark/>
          </w:tcPr>
          <w:p w14:paraId="0DB78903" w14:textId="3669376A" w:rsidR="00724E33" w:rsidRPr="00724E33" w:rsidRDefault="00724E33" w:rsidP="00724E33">
            <w:pPr>
              <w:spacing w:after="0" w:line="240" w:lineRule="auto"/>
              <w:jc w:val="right"/>
              <w:rPr>
                <w:rFonts w:ascii="Calibri" w:eastAsia="Times New Roman" w:hAnsi="Calibri" w:cs="Times New Roman"/>
                <w:color w:val="000000"/>
                <w:sz w:val="24"/>
                <w:szCs w:val="24"/>
              </w:rPr>
            </w:pPr>
            <w:r w:rsidRPr="00724E33">
              <w:rPr>
                <w:rFonts w:ascii="Calibri" w:eastAsiaTheme="minorEastAsia" w:hAnsi="Calibri" w:cs="Times New Roman"/>
                <w:color w:val="000000"/>
                <w:sz w:val="24"/>
                <w:szCs w:val="24"/>
              </w:rPr>
              <w:t>3.2%</w:t>
            </w:r>
          </w:p>
        </w:tc>
        <w:tc>
          <w:tcPr>
            <w:tcW w:w="1114" w:type="dxa"/>
            <w:shd w:val="clear" w:color="auto" w:fill="auto"/>
            <w:noWrap/>
            <w:vAlign w:val="bottom"/>
            <w:hideMark/>
          </w:tcPr>
          <w:p w14:paraId="550FF382" w14:textId="7D7FA3B6" w:rsidR="00724E33" w:rsidRPr="00724E33" w:rsidRDefault="00724E33" w:rsidP="00724E33">
            <w:pPr>
              <w:spacing w:after="0" w:line="240" w:lineRule="auto"/>
              <w:jc w:val="right"/>
              <w:rPr>
                <w:rFonts w:ascii="Calibri" w:eastAsia="Times New Roman" w:hAnsi="Calibri" w:cs="Times New Roman"/>
                <w:color w:val="000000"/>
                <w:sz w:val="24"/>
                <w:szCs w:val="24"/>
              </w:rPr>
            </w:pPr>
            <w:r w:rsidRPr="00724E33">
              <w:rPr>
                <w:rFonts w:ascii="Calibri" w:eastAsia="Times New Roman" w:hAnsi="Calibri" w:cs="Times New Roman"/>
                <w:color w:val="000000"/>
                <w:sz w:val="24"/>
                <w:szCs w:val="24"/>
              </w:rPr>
              <w:t>3.1%</w:t>
            </w:r>
          </w:p>
        </w:tc>
      </w:tr>
      <w:tr w:rsidR="00724E33" w:rsidRPr="00724E33" w14:paraId="35FD3A54" w14:textId="77777777" w:rsidTr="00207CEB">
        <w:trPr>
          <w:trHeight w:val="300"/>
          <w:jc w:val="center"/>
        </w:trPr>
        <w:tc>
          <w:tcPr>
            <w:tcW w:w="3847" w:type="dxa"/>
            <w:shd w:val="clear" w:color="auto" w:fill="auto"/>
            <w:noWrap/>
            <w:vAlign w:val="bottom"/>
            <w:hideMark/>
          </w:tcPr>
          <w:p w14:paraId="1F956722" w14:textId="77777777" w:rsidR="00724E33" w:rsidRPr="00724E33" w:rsidRDefault="00724E33" w:rsidP="00724E33">
            <w:pPr>
              <w:spacing w:after="0" w:line="240" w:lineRule="auto"/>
              <w:rPr>
                <w:rFonts w:ascii="Calibri" w:eastAsia="Times New Roman" w:hAnsi="Calibri" w:cs="Times New Roman"/>
                <w:color w:val="000000"/>
                <w:sz w:val="24"/>
                <w:szCs w:val="24"/>
              </w:rPr>
            </w:pPr>
            <w:r w:rsidRPr="00724E33">
              <w:rPr>
                <w:rFonts w:ascii="Calibri" w:eastAsiaTheme="minorEastAsia" w:hAnsi="Calibri" w:cs="Times New Roman"/>
                <w:color w:val="000000"/>
                <w:sz w:val="24"/>
                <w:szCs w:val="24"/>
              </w:rPr>
              <w:t xml:space="preserve">Total </w:t>
            </w:r>
          </w:p>
        </w:tc>
        <w:tc>
          <w:tcPr>
            <w:tcW w:w="1058" w:type="dxa"/>
            <w:shd w:val="clear" w:color="auto" w:fill="auto"/>
            <w:noWrap/>
            <w:vAlign w:val="bottom"/>
            <w:hideMark/>
          </w:tcPr>
          <w:p w14:paraId="41A252ED" w14:textId="24B884E4" w:rsidR="00724E33" w:rsidRPr="00724E33" w:rsidRDefault="00724E33" w:rsidP="00724E33">
            <w:pPr>
              <w:spacing w:after="0" w:line="240" w:lineRule="auto"/>
              <w:jc w:val="right"/>
              <w:rPr>
                <w:rFonts w:ascii="Calibri" w:eastAsia="Times New Roman" w:hAnsi="Calibri" w:cs="Times New Roman"/>
                <w:color w:val="000000"/>
                <w:sz w:val="24"/>
                <w:szCs w:val="24"/>
              </w:rPr>
            </w:pPr>
            <w:r w:rsidRPr="00724E33">
              <w:rPr>
                <w:rFonts w:ascii="Calibri" w:eastAsiaTheme="minorEastAsia" w:hAnsi="Calibri" w:cs="Times New Roman"/>
                <w:color w:val="000000"/>
                <w:sz w:val="24"/>
                <w:szCs w:val="24"/>
              </w:rPr>
              <w:t>100.0%</w:t>
            </w:r>
          </w:p>
        </w:tc>
        <w:tc>
          <w:tcPr>
            <w:tcW w:w="1114" w:type="dxa"/>
            <w:shd w:val="clear" w:color="auto" w:fill="auto"/>
            <w:noWrap/>
            <w:vAlign w:val="bottom"/>
            <w:hideMark/>
          </w:tcPr>
          <w:p w14:paraId="0B542432" w14:textId="55CED766" w:rsidR="00724E33" w:rsidRPr="00724E33" w:rsidRDefault="00724E33" w:rsidP="00724E33">
            <w:pPr>
              <w:spacing w:after="0" w:line="240" w:lineRule="auto"/>
              <w:jc w:val="right"/>
              <w:rPr>
                <w:rFonts w:ascii="Calibri" w:eastAsia="Times New Roman" w:hAnsi="Calibri" w:cs="Times New Roman"/>
                <w:color w:val="000000"/>
                <w:sz w:val="24"/>
                <w:szCs w:val="24"/>
              </w:rPr>
            </w:pPr>
            <w:r w:rsidRPr="00724E33">
              <w:rPr>
                <w:rFonts w:ascii="Calibri" w:eastAsia="Times New Roman" w:hAnsi="Calibri" w:cs="Times New Roman"/>
                <w:color w:val="000000"/>
                <w:sz w:val="24"/>
                <w:szCs w:val="24"/>
              </w:rPr>
              <w:t>100.0%</w:t>
            </w:r>
          </w:p>
        </w:tc>
      </w:tr>
    </w:tbl>
    <w:p w14:paraId="60CDC505" w14:textId="77777777" w:rsidR="00724E33" w:rsidRDefault="00724E33" w:rsidP="0068224A">
      <w:pPr>
        <w:rPr>
          <w:b/>
          <w:sz w:val="24"/>
          <w:szCs w:val="24"/>
        </w:rPr>
      </w:pPr>
    </w:p>
    <w:p w14:paraId="27775523" w14:textId="4B8352DE" w:rsidR="003541F9" w:rsidRPr="003541F9" w:rsidRDefault="00724E33" w:rsidP="00F62CAE">
      <w:pPr>
        <w:spacing w:after="0" w:line="240" w:lineRule="auto"/>
      </w:pPr>
      <w:r>
        <w:rPr>
          <w:b/>
          <w:sz w:val="24"/>
          <w:szCs w:val="24"/>
        </w:rPr>
        <w:t xml:space="preserve">Payor Mix: </w:t>
      </w:r>
      <w:r w:rsidRPr="00724E33">
        <w:rPr>
          <w:sz w:val="24"/>
          <w:szCs w:val="24"/>
        </w:rPr>
        <w:t>The Applicant provided three years of data demonstrating the payor mix for the Patient Panel and the</w:t>
      </w:r>
      <w:r w:rsidR="00155A5A">
        <w:rPr>
          <w:sz w:val="24"/>
          <w:szCs w:val="24"/>
        </w:rPr>
        <w:t xml:space="preserve"> </w:t>
      </w:r>
      <w:r w:rsidRPr="00724E33">
        <w:rPr>
          <w:sz w:val="24"/>
          <w:szCs w:val="24"/>
        </w:rPr>
        <w:t>UMMMC</w:t>
      </w:r>
      <w:r>
        <w:rPr>
          <w:sz w:val="24"/>
          <w:szCs w:val="24"/>
        </w:rPr>
        <w:t xml:space="preserve"> </w:t>
      </w:r>
      <w:r w:rsidR="00155A5A">
        <w:rPr>
          <w:sz w:val="24"/>
          <w:szCs w:val="24"/>
        </w:rPr>
        <w:t xml:space="preserve">patient population </w:t>
      </w:r>
      <w:r>
        <w:rPr>
          <w:sz w:val="24"/>
          <w:szCs w:val="24"/>
        </w:rPr>
        <w:t xml:space="preserve">which showed little fluctuation over </w:t>
      </w:r>
      <w:r w:rsidR="00F27729">
        <w:rPr>
          <w:sz w:val="24"/>
          <w:szCs w:val="24"/>
        </w:rPr>
        <w:t xml:space="preserve">that </w:t>
      </w:r>
      <w:r>
        <w:rPr>
          <w:sz w:val="24"/>
          <w:szCs w:val="24"/>
        </w:rPr>
        <w:t>time</w:t>
      </w:r>
      <w:r w:rsidR="00820B2C">
        <w:rPr>
          <w:sz w:val="24"/>
          <w:szCs w:val="24"/>
        </w:rPr>
        <w:t xml:space="preserve"> </w:t>
      </w:r>
      <w:r w:rsidR="00F27729">
        <w:rPr>
          <w:sz w:val="24"/>
          <w:szCs w:val="24"/>
        </w:rPr>
        <w:t xml:space="preserve">frame. </w:t>
      </w:r>
      <w:r w:rsidR="00F27729" w:rsidRPr="00207CEB">
        <w:rPr>
          <w:sz w:val="24"/>
          <w:szCs w:val="24"/>
        </w:rPr>
        <w:t>Table</w:t>
      </w:r>
      <w:r w:rsidR="00F27729">
        <w:rPr>
          <w:sz w:val="24"/>
          <w:szCs w:val="24"/>
        </w:rPr>
        <w:t xml:space="preserve"> </w:t>
      </w:r>
      <w:r w:rsidR="00EB2FDA">
        <w:rPr>
          <w:sz w:val="24"/>
          <w:szCs w:val="24"/>
        </w:rPr>
        <w:t xml:space="preserve">4 </w:t>
      </w:r>
      <w:r w:rsidR="00F27729">
        <w:rPr>
          <w:sz w:val="24"/>
          <w:szCs w:val="24"/>
        </w:rPr>
        <w:t xml:space="preserve">shows that </w:t>
      </w:r>
      <w:r w:rsidR="004F79A7">
        <w:rPr>
          <w:sz w:val="24"/>
          <w:szCs w:val="24"/>
        </w:rPr>
        <w:t xml:space="preserve">at UMMMC </w:t>
      </w:r>
      <w:r w:rsidR="00F27729">
        <w:rPr>
          <w:sz w:val="24"/>
          <w:szCs w:val="24"/>
        </w:rPr>
        <w:t>there is a slightly higher percentage of patients using MassHealth</w:t>
      </w:r>
      <w:r w:rsidR="004F79A7">
        <w:rPr>
          <w:sz w:val="24"/>
          <w:szCs w:val="24"/>
        </w:rPr>
        <w:t xml:space="preserve"> or with commercial </w:t>
      </w:r>
      <w:r w:rsidR="001D0E65">
        <w:rPr>
          <w:sz w:val="24"/>
          <w:szCs w:val="24"/>
        </w:rPr>
        <w:t xml:space="preserve">insurance </w:t>
      </w:r>
      <w:r w:rsidR="004F79A7">
        <w:rPr>
          <w:sz w:val="24"/>
          <w:szCs w:val="24"/>
        </w:rPr>
        <w:t>coverage</w:t>
      </w:r>
      <w:r w:rsidR="00F27729">
        <w:rPr>
          <w:sz w:val="24"/>
          <w:szCs w:val="24"/>
        </w:rPr>
        <w:t xml:space="preserve"> than within the system overall</w:t>
      </w:r>
      <w:r w:rsidR="004F79A7">
        <w:rPr>
          <w:sz w:val="24"/>
          <w:szCs w:val="24"/>
        </w:rPr>
        <w:t xml:space="preserve">. UMMHC has slightly </w:t>
      </w:r>
      <w:r w:rsidR="00820B2C">
        <w:rPr>
          <w:sz w:val="24"/>
          <w:szCs w:val="24"/>
        </w:rPr>
        <w:t xml:space="preserve">higher </w:t>
      </w:r>
      <w:r w:rsidR="00F27729">
        <w:rPr>
          <w:sz w:val="24"/>
          <w:szCs w:val="24"/>
        </w:rPr>
        <w:t>percentage</w:t>
      </w:r>
      <w:r w:rsidR="004F79A7">
        <w:rPr>
          <w:sz w:val="24"/>
          <w:szCs w:val="24"/>
        </w:rPr>
        <w:t>s</w:t>
      </w:r>
      <w:r w:rsidR="00F27729">
        <w:rPr>
          <w:sz w:val="24"/>
          <w:szCs w:val="24"/>
        </w:rPr>
        <w:t xml:space="preserve"> of patients </w:t>
      </w:r>
      <w:r w:rsidR="004F79A7">
        <w:rPr>
          <w:sz w:val="24"/>
          <w:szCs w:val="24"/>
        </w:rPr>
        <w:t>with Managed Medicaid</w:t>
      </w:r>
      <w:r w:rsidR="00C758BF">
        <w:rPr>
          <w:sz w:val="24"/>
          <w:szCs w:val="24"/>
        </w:rPr>
        <w:t xml:space="preserve"> and</w:t>
      </w:r>
      <w:r w:rsidR="004F79A7">
        <w:rPr>
          <w:sz w:val="24"/>
          <w:szCs w:val="24"/>
        </w:rPr>
        <w:t xml:space="preserve"> </w:t>
      </w:r>
      <w:r w:rsidR="00F27729">
        <w:rPr>
          <w:sz w:val="24"/>
          <w:szCs w:val="24"/>
        </w:rPr>
        <w:t>Commercial Medicare</w:t>
      </w:r>
      <w:r w:rsidR="00C758BF">
        <w:rPr>
          <w:sz w:val="24"/>
          <w:szCs w:val="24"/>
        </w:rPr>
        <w:t xml:space="preserve"> than</w:t>
      </w:r>
      <w:r w:rsidR="00F27729">
        <w:rPr>
          <w:sz w:val="24"/>
          <w:szCs w:val="24"/>
        </w:rPr>
        <w:t xml:space="preserve"> UMMMC.</w:t>
      </w:r>
      <w:r w:rsidR="003541F9" w:rsidRPr="003541F9">
        <w:t xml:space="preserve"> </w:t>
      </w:r>
    </w:p>
    <w:p w14:paraId="656272AE" w14:textId="50565F3C" w:rsidR="00104CC1" w:rsidRPr="00AB2027" w:rsidRDefault="00104CC1" w:rsidP="00AB2027">
      <w:pPr>
        <w:pStyle w:val="Heading1"/>
        <w:spacing w:after="0" w:line="240" w:lineRule="auto"/>
        <w:ind w:left="0"/>
        <w:rPr>
          <w:b/>
        </w:rPr>
      </w:pPr>
      <w:r w:rsidRPr="00AB2027">
        <w:rPr>
          <w:b/>
        </w:rPr>
        <w:t>F</w:t>
      </w:r>
      <w:r w:rsidR="00575366">
        <w:rPr>
          <w:b/>
        </w:rPr>
        <w:t>actor 1a):</w:t>
      </w:r>
      <w:r w:rsidRPr="00AB2027">
        <w:rPr>
          <w:b/>
        </w:rPr>
        <w:t xml:space="preserve"> Need</w:t>
      </w:r>
    </w:p>
    <w:p w14:paraId="0CD672A1" w14:textId="7B2A4336" w:rsidR="00104CC1" w:rsidRPr="00104CC1" w:rsidRDefault="00104CC1" w:rsidP="00557CC8">
      <w:pPr>
        <w:spacing w:before="240" w:line="240" w:lineRule="auto"/>
        <w:rPr>
          <w:sz w:val="24"/>
          <w:szCs w:val="24"/>
        </w:rPr>
      </w:pPr>
      <w:r w:rsidRPr="00104CC1">
        <w:rPr>
          <w:sz w:val="24"/>
          <w:szCs w:val="24"/>
        </w:rPr>
        <w:t>The Applicant attributes need for the proposed service at the</w:t>
      </w:r>
      <w:r w:rsidR="00C926D7">
        <w:rPr>
          <w:sz w:val="24"/>
          <w:szCs w:val="24"/>
        </w:rPr>
        <w:t xml:space="preserve"> </w:t>
      </w:r>
      <w:r w:rsidR="00373FEA">
        <w:rPr>
          <w:sz w:val="24"/>
          <w:szCs w:val="24"/>
        </w:rPr>
        <w:t xml:space="preserve">University Campus </w:t>
      </w:r>
      <w:r w:rsidRPr="00104CC1">
        <w:rPr>
          <w:sz w:val="24"/>
          <w:szCs w:val="24"/>
        </w:rPr>
        <w:t xml:space="preserve">to the following: </w:t>
      </w:r>
    </w:p>
    <w:p w14:paraId="19F82FCE" w14:textId="11663668" w:rsidR="00104CC1" w:rsidRPr="00104CC1" w:rsidRDefault="00104CC1" w:rsidP="006A1E9B">
      <w:pPr>
        <w:numPr>
          <w:ilvl w:val="0"/>
          <w:numId w:val="3"/>
        </w:numPr>
        <w:spacing w:after="0" w:line="240" w:lineRule="auto"/>
        <w:rPr>
          <w:sz w:val="24"/>
          <w:szCs w:val="24"/>
        </w:rPr>
      </w:pPr>
      <w:r w:rsidRPr="00104CC1">
        <w:rPr>
          <w:sz w:val="24"/>
          <w:szCs w:val="24"/>
        </w:rPr>
        <w:t xml:space="preserve">Need to accommodate existing ED </w:t>
      </w:r>
      <w:r w:rsidR="00F431CC">
        <w:rPr>
          <w:sz w:val="24"/>
          <w:szCs w:val="24"/>
        </w:rPr>
        <w:t xml:space="preserve">and CT scan </w:t>
      </w:r>
      <w:r w:rsidRPr="00104CC1">
        <w:rPr>
          <w:sz w:val="24"/>
          <w:szCs w:val="24"/>
        </w:rPr>
        <w:t>volume</w:t>
      </w:r>
    </w:p>
    <w:p w14:paraId="7FAD3319" w14:textId="77D88E72" w:rsidR="00104CC1" w:rsidRPr="00104CC1" w:rsidRDefault="00F431CC" w:rsidP="006A1E9B">
      <w:pPr>
        <w:numPr>
          <w:ilvl w:val="0"/>
          <w:numId w:val="3"/>
        </w:numPr>
        <w:spacing w:after="0" w:line="240" w:lineRule="auto"/>
        <w:rPr>
          <w:sz w:val="24"/>
          <w:szCs w:val="24"/>
        </w:rPr>
      </w:pPr>
      <w:r>
        <w:rPr>
          <w:sz w:val="24"/>
          <w:szCs w:val="24"/>
        </w:rPr>
        <w:t>G</w:t>
      </w:r>
      <w:r w:rsidR="00104CC1" w:rsidRPr="00104CC1">
        <w:rPr>
          <w:sz w:val="24"/>
          <w:szCs w:val="24"/>
        </w:rPr>
        <w:t>rowth in the Patient Panel and in</w:t>
      </w:r>
      <w:r w:rsidR="001A6448">
        <w:rPr>
          <w:sz w:val="24"/>
          <w:szCs w:val="24"/>
        </w:rPr>
        <w:t xml:space="preserve"> </w:t>
      </w:r>
      <w:r w:rsidR="00032F3E">
        <w:rPr>
          <w:sz w:val="24"/>
          <w:szCs w:val="24"/>
        </w:rPr>
        <w:t>UMMMC</w:t>
      </w:r>
      <w:r w:rsidR="00104CC1" w:rsidRPr="00104CC1">
        <w:rPr>
          <w:sz w:val="24"/>
          <w:szCs w:val="24"/>
        </w:rPr>
        <w:t>’s patient population.</w:t>
      </w:r>
    </w:p>
    <w:p w14:paraId="17115182" w14:textId="77777777" w:rsidR="00104CC1" w:rsidRPr="00104CC1" w:rsidRDefault="00104CC1" w:rsidP="00AB2027">
      <w:pPr>
        <w:spacing w:after="0" w:line="240" w:lineRule="auto"/>
        <w:rPr>
          <w:sz w:val="24"/>
          <w:szCs w:val="24"/>
        </w:rPr>
      </w:pPr>
    </w:p>
    <w:p w14:paraId="0E70A7EB" w14:textId="1B8EC4F2" w:rsidR="00104CC1" w:rsidRPr="00557CC8" w:rsidRDefault="00104CC1" w:rsidP="006A1E9B">
      <w:pPr>
        <w:pStyle w:val="ListParagraph"/>
        <w:numPr>
          <w:ilvl w:val="0"/>
          <w:numId w:val="8"/>
        </w:numPr>
        <w:rPr>
          <w:b/>
          <w:bCs/>
          <w:sz w:val="24"/>
          <w:szCs w:val="24"/>
        </w:rPr>
      </w:pPr>
      <w:r w:rsidRPr="00557CC8">
        <w:rPr>
          <w:b/>
          <w:bCs/>
          <w:sz w:val="24"/>
          <w:szCs w:val="24"/>
        </w:rPr>
        <w:t xml:space="preserve">Need to </w:t>
      </w:r>
      <w:r w:rsidR="00F431CC" w:rsidRPr="00557CC8">
        <w:rPr>
          <w:b/>
          <w:bCs/>
          <w:sz w:val="24"/>
          <w:szCs w:val="24"/>
        </w:rPr>
        <w:t>A</w:t>
      </w:r>
      <w:r w:rsidRPr="00557CC8">
        <w:rPr>
          <w:b/>
          <w:bCs/>
          <w:sz w:val="24"/>
          <w:szCs w:val="24"/>
        </w:rPr>
        <w:t xml:space="preserve">ccommodate </w:t>
      </w:r>
      <w:r w:rsidR="00F431CC" w:rsidRPr="00557CC8">
        <w:rPr>
          <w:b/>
          <w:bCs/>
          <w:sz w:val="24"/>
          <w:szCs w:val="24"/>
        </w:rPr>
        <w:t>E</w:t>
      </w:r>
      <w:r w:rsidRPr="00557CC8">
        <w:rPr>
          <w:b/>
          <w:bCs/>
          <w:sz w:val="24"/>
          <w:szCs w:val="24"/>
        </w:rPr>
        <w:t xml:space="preserve">xisting ED </w:t>
      </w:r>
      <w:r w:rsidR="00F431CC" w:rsidRPr="00557CC8">
        <w:rPr>
          <w:b/>
          <w:bCs/>
          <w:sz w:val="24"/>
          <w:szCs w:val="24"/>
        </w:rPr>
        <w:t>and CT Scan V</w:t>
      </w:r>
      <w:r w:rsidRPr="00557CC8">
        <w:rPr>
          <w:b/>
          <w:bCs/>
          <w:sz w:val="24"/>
          <w:szCs w:val="24"/>
        </w:rPr>
        <w:t>olume</w:t>
      </w:r>
    </w:p>
    <w:p w14:paraId="12E6A4FC" w14:textId="75E396D7" w:rsidR="00104CC1" w:rsidRPr="00104CC1" w:rsidRDefault="00192A45" w:rsidP="00CD0865">
      <w:pPr>
        <w:spacing w:before="240" w:line="240" w:lineRule="auto"/>
        <w:rPr>
          <w:sz w:val="24"/>
          <w:szCs w:val="24"/>
        </w:rPr>
      </w:pPr>
      <w:r w:rsidRPr="00192A45">
        <w:rPr>
          <w:sz w:val="24"/>
          <w:szCs w:val="24"/>
        </w:rPr>
        <w:t xml:space="preserve">The Applicant states that the </w:t>
      </w:r>
      <w:r w:rsidR="00373FEA">
        <w:rPr>
          <w:sz w:val="24"/>
          <w:szCs w:val="24"/>
        </w:rPr>
        <w:t>University Campus</w:t>
      </w:r>
      <w:r w:rsidRPr="00192A45">
        <w:rPr>
          <w:sz w:val="24"/>
          <w:szCs w:val="24"/>
        </w:rPr>
        <w:t xml:space="preserve"> serves over 100,000 patients in its ED annually and with its dual designation as a Level 1 trauma and a stroke center, </w:t>
      </w:r>
      <w:r w:rsidR="0012119A">
        <w:rPr>
          <w:sz w:val="24"/>
          <w:szCs w:val="24"/>
        </w:rPr>
        <w:t xml:space="preserve">the </w:t>
      </w:r>
      <w:r w:rsidR="00373FEA">
        <w:rPr>
          <w:sz w:val="24"/>
          <w:szCs w:val="24"/>
        </w:rPr>
        <w:t xml:space="preserve">ED </w:t>
      </w:r>
      <w:r w:rsidR="0012119A">
        <w:rPr>
          <w:sz w:val="24"/>
          <w:szCs w:val="24"/>
        </w:rPr>
        <w:t xml:space="preserve">must balance </w:t>
      </w:r>
      <w:r w:rsidRPr="00192A45">
        <w:rPr>
          <w:sz w:val="24"/>
          <w:szCs w:val="24"/>
        </w:rPr>
        <w:t xml:space="preserve">competing needs for </w:t>
      </w:r>
      <w:r>
        <w:rPr>
          <w:sz w:val="24"/>
          <w:szCs w:val="24"/>
        </w:rPr>
        <w:t xml:space="preserve">emergent </w:t>
      </w:r>
      <w:r w:rsidRPr="00192A45">
        <w:rPr>
          <w:sz w:val="24"/>
          <w:szCs w:val="24"/>
        </w:rPr>
        <w:t>access to CT</w:t>
      </w:r>
      <w:r w:rsidR="001D0E65">
        <w:rPr>
          <w:sz w:val="24"/>
          <w:szCs w:val="24"/>
        </w:rPr>
        <w:t xml:space="preserve"> </w:t>
      </w:r>
      <w:r w:rsidR="00104CC1" w:rsidRPr="00104CC1">
        <w:rPr>
          <w:sz w:val="24"/>
          <w:szCs w:val="24"/>
        </w:rPr>
        <w:t xml:space="preserve">to ensure </w:t>
      </w:r>
      <w:r w:rsidR="00C926D7">
        <w:rPr>
          <w:sz w:val="24"/>
          <w:szCs w:val="24"/>
        </w:rPr>
        <w:t>timely</w:t>
      </w:r>
      <w:r w:rsidR="004E6C82">
        <w:rPr>
          <w:sz w:val="24"/>
          <w:szCs w:val="24"/>
        </w:rPr>
        <w:t xml:space="preserve"> </w:t>
      </w:r>
      <w:r w:rsidR="00104CC1" w:rsidRPr="00104CC1">
        <w:rPr>
          <w:sz w:val="24"/>
          <w:szCs w:val="24"/>
        </w:rPr>
        <w:t>access to CT imaging for all patients</w:t>
      </w:r>
      <w:r w:rsidR="00E04C40">
        <w:rPr>
          <w:sz w:val="24"/>
          <w:szCs w:val="24"/>
        </w:rPr>
        <w:t xml:space="preserve"> who need it</w:t>
      </w:r>
      <w:r w:rsidR="00104CC1" w:rsidRPr="00104CC1">
        <w:rPr>
          <w:sz w:val="24"/>
          <w:szCs w:val="24"/>
        </w:rPr>
        <w:t>. Clinical guidelines for stroke recommend that patients receive CT imaging within 25 minutes of arrival at the ED.</w:t>
      </w:r>
      <w:r w:rsidR="00104CC1" w:rsidRPr="00104CC1">
        <w:rPr>
          <w:sz w:val="24"/>
          <w:szCs w:val="24"/>
          <w:vertAlign w:val="superscript"/>
        </w:rPr>
        <w:footnoteReference w:id="9"/>
      </w:r>
      <w:r w:rsidR="00104CC1" w:rsidRPr="00104CC1">
        <w:rPr>
          <w:sz w:val="24"/>
          <w:szCs w:val="24"/>
        </w:rPr>
        <w:t xml:space="preserve">  The state</w:t>
      </w:r>
      <w:r w:rsidR="004E6C82">
        <w:rPr>
          <w:sz w:val="24"/>
          <w:szCs w:val="24"/>
        </w:rPr>
        <w:t xml:space="preserve">’s </w:t>
      </w:r>
      <w:r w:rsidR="00104CC1" w:rsidRPr="00104CC1">
        <w:rPr>
          <w:sz w:val="24"/>
          <w:szCs w:val="24"/>
        </w:rPr>
        <w:t>EMS protocols automatically send trauma and stroke patients to the</w:t>
      </w:r>
      <w:r w:rsidR="00373FEA">
        <w:rPr>
          <w:sz w:val="24"/>
          <w:szCs w:val="24"/>
        </w:rPr>
        <w:t xml:space="preserve"> University Campus’</w:t>
      </w:r>
      <w:r w:rsidR="00E04C40">
        <w:rPr>
          <w:sz w:val="24"/>
          <w:szCs w:val="24"/>
        </w:rPr>
        <w:t xml:space="preserve"> </w:t>
      </w:r>
      <w:r w:rsidR="00104CC1" w:rsidRPr="00104CC1">
        <w:rPr>
          <w:sz w:val="24"/>
          <w:szCs w:val="24"/>
        </w:rPr>
        <w:t>ED.</w:t>
      </w:r>
    </w:p>
    <w:p w14:paraId="5BFB9A9A" w14:textId="212E15F6" w:rsidR="00140846" w:rsidRDefault="00192A45" w:rsidP="00104CC1">
      <w:pPr>
        <w:spacing w:line="240" w:lineRule="auto"/>
        <w:rPr>
          <w:sz w:val="24"/>
          <w:szCs w:val="24"/>
        </w:rPr>
      </w:pPr>
      <w:r>
        <w:rPr>
          <w:sz w:val="24"/>
          <w:szCs w:val="24"/>
        </w:rPr>
        <w:t>CT</w:t>
      </w:r>
      <w:r w:rsidR="00104CC1" w:rsidRPr="00104CC1">
        <w:rPr>
          <w:sz w:val="24"/>
          <w:szCs w:val="24"/>
        </w:rPr>
        <w:t xml:space="preserve"> is highly utilized for emergency patients because of its ability to rapidly provide reliable imaging data for many conditions. Among the top reasons for CT imaging at the ED are head </w:t>
      </w:r>
      <w:r w:rsidR="00104CC1" w:rsidRPr="00104CC1">
        <w:rPr>
          <w:sz w:val="24"/>
          <w:szCs w:val="24"/>
        </w:rPr>
        <w:lastRenderedPageBreak/>
        <w:t xml:space="preserve">injury, sepsis, abdominal pain, neurological conditions such as </w:t>
      </w:r>
      <w:r w:rsidR="001A6448">
        <w:rPr>
          <w:sz w:val="24"/>
          <w:szCs w:val="24"/>
        </w:rPr>
        <w:t xml:space="preserve">stroke, </w:t>
      </w:r>
      <w:r w:rsidR="00104CC1" w:rsidRPr="00104CC1">
        <w:rPr>
          <w:sz w:val="24"/>
          <w:szCs w:val="24"/>
        </w:rPr>
        <w:t>syncope and collapse, headache, dizziness and giddiness, and altered mental state, as well as cardiac conditions including chest pain.</w:t>
      </w:r>
      <w:r>
        <w:rPr>
          <w:sz w:val="24"/>
          <w:szCs w:val="24"/>
        </w:rPr>
        <w:t xml:space="preserve"> The Applicant asserts that w</w:t>
      </w:r>
      <w:r w:rsidR="00104CC1" w:rsidRPr="00104CC1">
        <w:rPr>
          <w:sz w:val="24"/>
          <w:szCs w:val="24"/>
        </w:rPr>
        <w:t xml:space="preserve">ith adequate CT capacity, the </w:t>
      </w:r>
      <w:r w:rsidR="00373FEA">
        <w:rPr>
          <w:sz w:val="24"/>
          <w:szCs w:val="24"/>
        </w:rPr>
        <w:t xml:space="preserve">ED </w:t>
      </w:r>
      <w:r w:rsidR="00104CC1" w:rsidRPr="00104CC1">
        <w:rPr>
          <w:sz w:val="24"/>
          <w:szCs w:val="24"/>
        </w:rPr>
        <w:t xml:space="preserve">can reduce ED length of stay and decrease avoidable admissions caused by the deterioration of a patient’s condition while waiting for diagnosis and treatment in the ED. </w:t>
      </w:r>
    </w:p>
    <w:p w14:paraId="76F7F72A" w14:textId="4191BA56" w:rsidR="00104CC1" w:rsidRPr="00104CC1" w:rsidRDefault="00E04C40" w:rsidP="00104CC1">
      <w:pPr>
        <w:spacing w:line="240" w:lineRule="auto"/>
        <w:rPr>
          <w:sz w:val="24"/>
          <w:szCs w:val="24"/>
        </w:rPr>
      </w:pPr>
      <w:r>
        <w:rPr>
          <w:sz w:val="24"/>
          <w:szCs w:val="24"/>
        </w:rPr>
        <w:t>I</w:t>
      </w:r>
      <w:r w:rsidR="00104CC1" w:rsidRPr="00104CC1">
        <w:rPr>
          <w:sz w:val="24"/>
          <w:szCs w:val="24"/>
        </w:rPr>
        <w:t xml:space="preserve">nsufficient CT capacity </w:t>
      </w:r>
      <w:r>
        <w:rPr>
          <w:sz w:val="24"/>
          <w:szCs w:val="24"/>
        </w:rPr>
        <w:t xml:space="preserve">can </w:t>
      </w:r>
      <w:r w:rsidRPr="00104CC1">
        <w:rPr>
          <w:sz w:val="24"/>
          <w:szCs w:val="24"/>
        </w:rPr>
        <w:t xml:space="preserve">hamper the </w:t>
      </w:r>
      <w:r w:rsidR="00032F3E">
        <w:rPr>
          <w:sz w:val="24"/>
          <w:szCs w:val="24"/>
        </w:rPr>
        <w:t xml:space="preserve">University Campus’ </w:t>
      </w:r>
      <w:r w:rsidRPr="00104CC1">
        <w:rPr>
          <w:sz w:val="24"/>
          <w:szCs w:val="24"/>
        </w:rPr>
        <w:t>ability to efficiently operate the ED</w:t>
      </w:r>
      <w:r w:rsidR="00FA6BA8">
        <w:rPr>
          <w:sz w:val="24"/>
          <w:szCs w:val="24"/>
        </w:rPr>
        <w:t xml:space="preserve"> by creating backlo</w:t>
      </w:r>
      <w:r w:rsidR="007B03BC">
        <w:rPr>
          <w:sz w:val="24"/>
          <w:szCs w:val="24"/>
        </w:rPr>
        <w:t>gs in ED patient flow</w:t>
      </w:r>
      <w:r>
        <w:rPr>
          <w:sz w:val="24"/>
          <w:szCs w:val="24"/>
        </w:rPr>
        <w:t xml:space="preserve">. </w:t>
      </w:r>
      <w:r w:rsidR="00307E5B">
        <w:rPr>
          <w:sz w:val="24"/>
          <w:szCs w:val="24"/>
        </w:rPr>
        <w:t>P</w:t>
      </w:r>
      <w:r w:rsidR="00104CC1" w:rsidRPr="00104CC1">
        <w:rPr>
          <w:sz w:val="24"/>
          <w:szCs w:val="24"/>
        </w:rPr>
        <w:t xml:space="preserve">atients </w:t>
      </w:r>
      <w:r w:rsidR="00307E5B">
        <w:rPr>
          <w:sz w:val="24"/>
          <w:szCs w:val="24"/>
        </w:rPr>
        <w:t xml:space="preserve">who </w:t>
      </w:r>
      <w:r w:rsidR="00104CC1" w:rsidRPr="00104CC1">
        <w:rPr>
          <w:sz w:val="24"/>
          <w:szCs w:val="24"/>
        </w:rPr>
        <w:t xml:space="preserve">occupy </w:t>
      </w:r>
      <w:r w:rsidR="00192A45">
        <w:rPr>
          <w:sz w:val="24"/>
          <w:szCs w:val="24"/>
        </w:rPr>
        <w:t xml:space="preserve">ED </w:t>
      </w:r>
      <w:r w:rsidR="00104CC1" w:rsidRPr="00104CC1">
        <w:rPr>
          <w:sz w:val="24"/>
          <w:szCs w:val="24"/>
        </w:rPr>
        <w:t xml:space="preserve">bays while waiting for CT imaging </w:t>
      </w:r>
      <w:r w:rsidR="004841FD">
        <w:rPr>
          <w:sz w:val="24"/>
          <w:szCs w:val="24"/>
        </w:rPr>
        <w:t>experience</w:t>
      </w:r>
      <w:r w:rsidR="00901B3B">
        <w:rPr>
          <w:sz w:val="24"/>
          <w:szCs w:val="24"/>
        </w:rPr>
        <w:t xml:space="preserve"> </w:t>
      </w:r>
      <w:r w:rsidR="00104CC1" w:rsidRPr="00104CC1">
        <w:rPr>
          <w:sz w:val="24"/>
          <w:szCs w:val="24"/>
        </w:rPr>
        <w:t>delay</w:t>
      </w:r>
      <w:r w:rsidR="00901B3B">
        <w:rPr>
          <w:sz w:val="24"/>
          <w:szCs w:val="24"/>
        </w:rPr>
        <w:t>s</w:t>
      </w:r>
      <w:r w:rsidR="00104CC1" w:rsidRPr="00104CC1">
        <w:rPr>
          <w:sz w:val="24"/>
          <w:szCs w:val="24"/>
        </w:rPr>
        <w:t xml:space="preserve"> </w:t>
      </w:r>
      <w:r w:rsidR="00307E5B">
        <w:rPr>
          <w:sz w:val="24"/>
          <w:szCs w:val="24"/>
        </w:rPr>
        <w:t xml:space="preserve">in </w:t>
      </w:r>
      <w:r>
        <w:rPr>
          <w:sz w:val="24"/>
          <w:szCs w:val="24"/>
        </w:rPr>
        <w:t xml:space="preserve">their </w:t>
      </w:r>
      <w:r w:rsidR="00104CC1" w:rsidRPr="00104CC1">
        <w:rPr>
          <w:sz w:val="24"/>
          <w:szCs w:val="24"/>
        </w:rPr>
        <w:t>treatment and discharge from the ED</w:t>
      </w:r>
      <w:r w:rsidR="001A6448">
        <w:rPr>
          <w:sz w:val="24"/>
          <w:szCs w:val="24"/>
        </w:rPr>
        <w:t>.</w:t>
      </w:r>
      <w:r w:rsidR="00104CC1" w:rsidRPr="00104CC1">
        <w:rPr>
          <w:sz w:val="24"/>
          <w:szCs w:val="24"/>
        </w:rPr>
        <w:t xml:space="preserve"> </w:t>
      </w:r>
      <w:r w:rsidR="001A6448">
        <w:rPr>
          <w:sz w:val="24"/>
          <w:szCs w:val="24"/>
        </w:rPr>
        <w:t>A</w:t>
      </w:r>
      <w:r w:rsidR="00307E5B">
        <w:rPr>
          <w:sz w:val="24"/>
          <w:szCs w:val="24"/>
        </w:rPr>
        <w:t xml:space="preserve">lso </w:t>
      </w:r>
      <w:r w:rsidR="00104CC1" w:rsidRPr="00104CC1">
        <w:rPr>
          <w:sz w:val="24"/>
          <w:szCs w:val="24"/>
        </w:rPr>
        <w:t>other ED patients</w:t>
      </w:r>
      <w:r>
        <w:rPr>
          <w:sz w:val="24"/>
          <w:szCs w:val="24"/>
        </w:rPr>
        <w:t xml:space="preserve"> </w:t>
      </w:r>
      <w:r w:rsidR="00307E5B">
        <w:rPr>
          <w:sz w:val="24"/>
          <w:szCs w:val="24"/>
        </w:rPr>
        <w:t xml:space="preserve">who await </w:t>
      </w:r>
      <w:r w:rsidR="007B03BC">
        <w:rPr>
          <w:sz w:val="24"/>
          <w:szCs w:val="24"/>
        </w:rPr>
        <w:t>a</w:t>
      </w:r>
      <w:r w:rsidR="00307E5B">
        <w:rPr>
          <w:sz w:val="24"/>
          <w:szCs w:val="24"/>
        </w:rPr>
        <w:t>n available</w:t>
      </w:r>
      <w:r w:rsidR="007B03BC">
        <w:rPr>
          <w:sz w:val="24"/>
          <w:szCs w:val="24"/>
        </w:rPr>
        <w:t xml:space="preserve"> bay</w:t>
      </w:r>
      <w:r w:rsidR="001A6448" w:rsidRPr="001A6448">
        <w:rPr>
          <w:sz w:val="24"/>
          <w:szCs w:val="24"/>
        </w:rPr>
        <w:t xml:space="preserve"> </w:t>
      </w:r>
      <w:r w:rsidR="001A6448">
        <w:rPr>
          <w:sz w:val="24"/>
          <w:szCs w:val="24"/>
        </w:rPr>
        <w:t>experience delays in diagnosis</w:t>
      </w:r>
      <w:r w:rsidR="001A6448" w:rsidRPr="00104CC1">
        <w:rPr>
          <w:sz w:val="24"/>
          <w:szCs w:val="24"/>
        </w:rPr>
        <w:t xml:space="preserve"> and treatment</w:t>
      </w:r>
      <w:r w:rsidR="001A6448">
        <w:rPr>
          <w:sz w:val="24"/>
          <w:szCs w:val="24"/>
        </w:rPr>
        <w:t>.</w:t>
      </w:r>
      <w:r w:rsidR="00BE56A9">
        <w:rPr>
          <w:sz w:val="24"/>
          <w:szCs w:val="24"/>
        </w:rPr>
        <w:t xml:space="preserve"> For example, </w:t>
      </w:r>
      <w:r w:rsidR="00140846">
        <w:rPr>
          <w:sz w:val="24"/>
          <w:szCs w:val="24"/>
        </w:rPr>
        <w:t>t</w:t>
      </w:r>
      <w:r w:rsidR="00140846" w:rsidRPr="00140846">
        <w:rPr>
          <w:sz w:val="24"/>
          <w:szCs w:val="24"/>
        </w:rPr>
        <w:t xml:space="preserve">he </w:t>
      </w:r>
      <w:r w:rsidR="00373FEA">
        <w:rPr>
          <w:sz w:val="24"/>
          <w:szCs w:val="24"/>
        </w:rPr>
        <w:t xml:space="preserve">University Campus </w:t>
      </w:r>
      <w:r w:rsidR="00140846" w:rsidRPr="00140846">
        <w:rPr>
          <w:sz w:val="24"/>
          <w:szCs w:val="24"/>
        </w:rPr>
        <w:t>performs CT angiography</w:t>
      </w:r>
      <w:r w:rsidR="00901B3B">
        <w:rPr>
          <w:rStyle w:val="FootnoteReference"/>
          <w:sz w:val="24"/>
          <w:szCs w:val="24"/>
        </w:rPr>
        <w:footnoteReference w:id="10"/>
      </w:r>
      <w:r w:rsidR="00140846" w:rsidRPr="00140846">
        <w:rPr>
          <w:sz w:val="24"/>
          <w:szCs w:val="24"/>
        </w:rPr>
        <w:t xml:space="preserve"> (CTA) on ED patients to expedite diagnosis and treatment of coronary disease</w:t>
      </w:r>
      <w:r w:rsidR="000A76F5">
        <w:rPr>
          <w:sz w:val="24"/>
          <w:szCs w:val="24"/>
        </w:rPr>
        <w:t xml:space="preserve">, </w:t>
      </w:r>
      <w:r w:rsidR="00140846" w:rsidRPr="00140846">
        <w:rPr>
          <w:sz w:val="24"/>
          <w:szCs w:val="24"/>
        </w:rPr>
        <w:t>often reduc</w:t>
      </w:r>
      <w:r w:rsidR="000A76F5">
        <w:rPr>
          <w:sz w:val="24"/>
          <w:szCs w:val="24"/>
        </w:rPr>
        <w:t>ing</w:t>
      </w:r>
      <w:r w:rsidR="00140846" w:rsidRPr="00140846">
        <w:rPr>
          <w:sz w:val="24"/>
          <w:szCs w:val="24"/>
        </w:rPr>
        <w:t xml:space="preserve"> the need for cardiac catheterization</w:t>
      </w:r>
      <w:r w:rsidR="001A6448">
        <w:rPr>
          <w:sz w:val="24"/>
          <w:szCs w:val="24"/>
        </w:rPr>
        <w:t xml:space="preserve"> or admission</w:t>
      </w:r>
      <w:r w:rsidR="00BE56A9">
        <w:rPr>
          <w:sz w:val="24"/>
          <w:szCs w:val="24"/>
        </w:rPr>
        <w:t xml:space="preserve">. </w:t>
      </w:r>
      <w:r w:rsidR="000A76F5">
        <w:rPr>
          <w:sz w:val="24"/>
          <w:szCs w:val="24"/>
        </w:rPr>
        <w:t>H</w:t>
      </w:r>
      <w:r w:rsidR="00140846" w:rsidRPr="00140846">
        <w:rPr>
          <w:sz w:val="24"/>
          <w:szCs w:val="24"/>
        </w:rPr>
        <w:t>owever, since the</w:t>
      </w:r>
      <w:r w:rsidR="00901B3B">
        <w:rPr>
          <w:sz w:val="24"/>
          <w:szCs w:val="24"/>
        </w:rPr>
        <w:t xml:space="preserve"> </w:t>
      </w:r>
      <w:r w:rsidR="00307E5B">
        <w:rPr>
          <w:sz w:val="24"/>
          <w:szCs w:val="24"/>
        </w:rPr>
        <w:t xml:space="preserve">CTA </w:t>
      </w:r>
      <w:r w:rsidR="00307E5B" w:rsidRPr="00140846">
        <w:rPr>
          <w:sz w:val="24"/>
          <w:szCs w:val="24"/>
        </w:rPr>
        <w:t>scans</w:t>
      </w:r>
      <w:r w:rsidR="00140846" w:rsidRPr="00140846">
        <w:rPr>
          <w:sz w:val="24"/>
          <w:szCs w:val="24"/>
        </w:rPr>
        <w:t xml:space="preserve"> take longer, </w:t>
      </w:r>
      <w:r w:rsidR="00BE56A9">
        <w:rPr>
          <w:sz w:val="24"/>
          <w:szCs w:val="24"/>
        </w:rPr>
        <w:t xml:space="preserve">they can cause </w:t>
      </w:r>
      <w:r w:rsidR="00140846" w:rsidRPr="00140846">
        <w:rPr>
          <w:sz w:val="24"/>
          <w:szCs w:val="24"/>
        </w:rPr>
        <w:t>delays in CT access for</w:t>
      </w:r>
      <w:r w:rsidR="001A6448">
        <w:rPr>
          <w:sz w:val="24"/>
          <w:szCs w:val="24"/>
        </w:rPr>
        <w:t xml:space="preserve"> other</w:t>
      </w:r>
      <w:r w:rsidR="00140846" w:rsidRPr="00140846">
        <w:rPr>
          <w:sz w:val="24"/>
          <w:szCs w:val="24"/>
        </w:rPr>
        <w:t xml:space="preserve"> ED patients</w:t>
      </w:r>
      <w:r w:rsidR="00CD0865">
        <w:rPr>
          <w:sz w:val="24"/>
          <w:szCs w:val="24"/>
        </w:rPr>
        <w:t xml:space="preserve"> or necessitate the transport of those requiring CTs </w:t>
      </w:r>
      <w:r w:rsidR="001A6448">
        <w:rPr>
          <w:sz w:val="24"/>
          <w:szCs w:val="24"/>
        </w:rPr>
        <w:t>to</w:t>
      </w:r>
      <w:r w:rsidR="00CD0865">
        <w:rPr>
          <w:sz w:val="24"/>
          <w:szCs w:val="24"/>
        </w:rPr>
        <w:t xml:space="preserve"> the radiology department</w:t>
      </w:r>
      <w:r w:rsidR="00BE56A9">
        <w:rPr>
          <w:sz w:val="24"/>
          <w:szCs w:val="24"/>
        </w:rPr>
        <w:t>.</w:t>
      </w:r>
    </w:p>
    <w:p w14:paraId="5570B199" w14:textId="1B8033B8" w:rsidR="00A4281D" w:rsidRDefault="00A127FB" w:rsidP="00104CC1">
      <w:pPr>
        <w:spacing w:line="240" w:lineRule="auto"/>
        <w:rPr>
          <w:sz w:val="24"/>
          <w:szCs w:val="24"/>
        </w:rPr>
      </w:pPr>
      <w:r>
        <w:rPr>
          <w:sz w:val="24"/>
          <w:szCs w:val="24"/>
        </w:rPr>
        <w:t xml:space="preserve">The Applicant notes that </w:t>
      </w:r>
      <w:r w:rsidRPr="00104CC1">
        <w:rPr>
          <w:sz w:val="24"/>
          <w:szCs w:val="24"/>
        </w:rPr>
        <w:t xml:space="preserve">the capacity </w:t>
      </w:r>
      <w:r>
        <w:rPr>
          <w:sz w:val="24"/>
          <w:szCs w:val="24"/>
        </w:rPr>
        <w:t xml:space="preserve">for a CT unit is </w:t>
      </w:r>
      <w:r w:rsidRPr="00104CC1">
        <w:rPr>
          <w:sz w:val="24"/>
          <w:szCs w:val="24"/>
        </w:rPr>
        <w:t>17,520</w:t>
      </w:r>
      <w:r>
        <w:rPr>
          <w:sz w:val="24"/>
          <w:szCs w:val="24"/>
        </w:rPr>
        <w:t xml:space="preserve"> </w:t>
      </w:r>
      <w:r w:rsidRPr="00104CC1">
        <w:rPr>
          <w:sz w:val="24"/>
          <w:szCs w:val="24"/>
        </w:rPr>
        <w:t>(based on an average 30 minute scan time</w:t>
      </w:r>
      <w:r>
        <w:rPr>
          <w:sz w:val="24"/>
          <w:szCs w:val="24"/>
        </w:rPr>
        <w:t xml:space="preserve"> operating </w:t>
      </w:r>
      <w:r w:rsidRPr="004E6C82">
        <w:rPr>
          <w:sz w:val="24"/>
          <w:szCs w:val="24"/>
        </w:rPr>
        <w:t>24/7</w:t>
      </w:r>
      <w:r>
        <w:rPr>
          <w:sz w:val="24"/>
          <w:szCs w:val="24"/>
        </w:rPr>
        <w:t>, 365 days per year</w:t>
      </w:r>
      <w:r w:rsidRPr="00104CC1">
        <w:rPr>
          <w:sz w:val="24"/>
          <w:szCs w:val="24"/>
        </w:rPr>
        <w:t>)</w:t>
      </w:r>
      <w:r w:rsidR="00A4281D">
        <w:rPr>
          <w:sz w:val="24"/>
          <w:szCs w:val="24"/>
        </w:rPr>
        <w:t>.</w:t>
      </w:r>
      <w:r>
        <w:rPr>
          <w:rStyle w:val="FootnoteReference"/>
          <w:sz w:val="24"/>
          <w:szCs w:val="24"/>
        </w:rPr>
        <w:footnoteReference w:id="11"/>
      </w:r>
      <w:r>
        <w:rPr>
          <w:sz w:val="24"/>
          <w:szCs w:val="24"/>
        </w:rPr>
        <w:t xml:space="preserve"> As shown in </w:t>
      </w:r>
      <w:r w:rsidRPr="00207CEB">
        <w:rPr>
          <w:sz w:val="24"/>
          <w:szCs w:val="24"/>
        </w:rPr>
        <w:t xml:space="preserve">Table </w:t>
      </w:r>
      <w:r w:rsidR="00207CEB">
        <w:rPr>
          <w:sz w:val="24"/>
          <w:szCs w:val="24"/>
        </w:rPr>
        <w:t>5</w:t>
      </w:r>
      <w:r>
        <w:rPr>
          <w:sz w:val="24"/>
          <w:szCs w:val="24"/>
        </w:rPr>
        <w:t xml:space="preserve">, </w:t>
      </w:r>
      <w:r w:rsidR="00A4281D">
        <w:rPr>
          <w:sz w:val="24"/>
          <w:szCs w:val="24"/>
        </w:rPr>
        <w:t xml:space="preserve">the University Campus </w:t>
      </w:r>
      <w:r w:rsidR="00A4281D" w:rsidRPr="00A4281D">
        <w:rPr>
          <w:sz w:val="24"/>
          <w:szCs w:val="24"/>
        </w:rPr>
        <w:t xml:space="preserve">had a total of 37,648 emergency scans ordered by </w:t>
      </w:r>
      <w:r w:rsidR="00A4281D">
        <w:rPr>
          <w:sz w:val="24"/>
          <w:szCs w:val="24"/>
        </w:rPr>
        <w:t xml:space="preserve">an </w:t>
      </w:r>
      <w:r w:rsidR="00A4281D" w:rsidRPr="00A4281D">
        <w:rPr>
          <w:sz w:val="24"/>
          <w:szCs w:val="24"/>
        </w:rPr>
        <w:t>ED physician in FY21</w:t>
      </w:r>
      <w:r w:rsidR="00924AF1">
        <w:rPr>
          <w:sz w:val="24"/>
          <w:szCs w:val="24"/>
        </w:rPr>
        <w:t>.</w:t>
      </w:r>
      <w:r w:rsidR="00A4281D" w:rsidRPr="00A4281D">
        <w:rPr>
          <w:sz w:val="24"/>
          <w:szCs w:val="24"/>
        </w:rPr>
        <w:t xml:space="preserve"> </w:t>
      </w:r>
      <w:r w:rsidR="00924AF1">
        <w:rPr>
          <w:sz w:val="24"/>
          <w:szCs w:val="24"/>
        </w:rPr>
        <w:t>A</w:t>
      </w:r>
      <w:r w:rsidR="00A4281D" w:rsidRPr="00A4281D">
        <w:rPr>
          <w:sz w:val="24"/>
          <w:szCs w:val="24"/>
        </w:rPr>
        <w:t xml:space="preserve"> total of 30,728 scan </w:t>
      </w:r>
      <w:r w:rsidR="00924AF1">
        <w:rPr>
          <w:sz w:val="24"/>
          <w:szCs w:val="24"/>
        </w:rPr>
        <w:t>were</w:t>
      </w:r>
      <w:r w:rsidR="00A4281D" w:rsidRPr="00A4281D">
        <w:rPr>
          <w:sz w:val="24"/>
          <w:szCs w:val="24"/>
        </w:rPr>
        <w:t xml:space="preserve"> performed by the </w:t>
      </w:r>
      <w:r w:rsidR="00924AF1">
        <w:rPr>
          <w:sz w:val="24"/>
          <w:szCs w:val="24"/>
        </w:rPr>
        <w:t xml:space="preserve">one </w:t>
      </w:r>
      <w:r w:rsidR="00A4281D" w:rsidRPr="00A4281D">
        <w:rPr>
          <w:sz w:val="24"/>
          <w:szCs w:val="24"/>
        </w:rPr>
        <w:t>dedicated ED CT machine</w:t>
      </w:r>
      <w:r w:rsidR="00924AF1">
        <w:rPr>
          <w:sz w:val="24"/>
          <w:szCs w:val="24"/>
        </w:rPr>
        <w:t xml:space="preserve"> and nearly 7,000 </w:t>
      </w:r>
      <w:r w:rsidR="00A4281D" w:rsidRPr="00A4281D">
        <w:rPr>
          <w:sz w:val="24"/>
          <w:szCs w:val="24"/>
        </w:rPr>
        <w:t xml:space="preserve">emergency </w:t>
      </w:r>
      <w:r w:rsidR="00924AF1">
        <w:rPr>
          <w:sz w:val="24"/>
          <w:szCs w:val="24"/>
        </w:rPr>
        <w:t xml:space="preserve">patients </w:t>
      </w:r>
      <w:r w:rsidR="00A4281D" w:rsidRPr="00A4281D">
        <w:rPr>
          <w:sz w:val="24"/>
          <w:szCs w:val="24"/>
        </w:rPr>
        <w:t>required transport</w:t>
      </w:r>
      <w:r w:rsidR="00924AF1">
        <w:rPr>
          <w:sz w:val="24"/>
          <w:szCs w:val="24"/>
        </w:rPr>
        <w:t xml:space="preserve"> </w:t>
      </w:r>
      <w:r w:rsidR="00A4281D" w:rsidRPr="00A4281D">
        <w:rPr>
          <w:sz w:val="24"/>
          <w:szCs w:val="24"/>
        </w:rPr>
        <w:t xml:space="preserve">to </w:t>
      </w:r>
      <w:r w:rsidR="00924AF1">
        <w:rPr>
          <w:sz w:val="24"/>
          <w:szCs w:val="24"/>
        </w:rPr>
        <w:t xml:space="preserve">the </w:t>
      </w:r>
      <w:r w:rsidR="00A4281D" w:rsidRPr="00A4281D">
        <w:rPr>
          <w:sz w:val="24"/>
          <w:szCs w:val="24"/>
        </w:rPr>
        <w:t xml:space="preserve">radiology </w:t>
      </w:r>
      <w:r w:rsidR="00924AF1">
        <w:rPr>
          <w:sz w:val="24"/>
          <w:szCs w:val="24"/>
        </w:rPr>
        <w:t>department</w:t>
      </w:r>
      <w:r w:rsidR="00A4281D" w:rsidRPr="00A4281D">
        <w:rPr>
          <w:sz w:val="24"/>
          <w:szCs w:val="24"/>
        </w:rPr>
        <w:t>.</w:t>
      </w:r>
      <w:r w:rsidR="00924AF1">
        <w:rPr>
          <w:sz w:val="24"/>
          <w:szCs w:val="24"/>
        </w:rPr>
        <w:t xml:space="preserve"> </w:t>
      </w:r>
    </w:p>
    <w:p w14:paraId="1EC16D6C" w14:textId="55D2189F" w:rsidR="00104CC1" w:rsidRPr="00104CC1" w:rsidRDefault="00924AF1" w:rsidP="00104CC1">
      <w:pPr>
        <w:spacing w:line="240" w:lineRule="auto"/>
        <w:rPr>
          <w:sz w:val="24"/>
          <w:szCs w:val="24"/>
        </w:rPr>
      </w:pPr>
      <w:r>
        <w:rPr>
          <w:sz w:val="24"/>
          <w:szCs w:val="24"/>
        </w:rPr>
        <w:t>O</w:t>
      </w:r>
      <w:r w:rsidR="00A127FB">
        <w:rPr>
          <w:sz w:val="24"/>
          <w:szCs w:val="24"/>
        </w:rPr>
        <w:t xml:space="preserve">ver the past three years, more than 60% of CT scans have been emergent scans and the </w:t>
      </w:r>
      <w:r w:rsidR="00A13936">
        <w:rPr>
          <w:sz w:val="24"/>
          <w:szCs w:val="24"/>
        </w:rPr>
        <w:t xml:space="preserve">sole </w:t>
      </w:r>
      <w:r w:rsidR="00A127FB">
        <w:rPr>
          <w:sz w:val="24"/>
          <w:szCs w:val="24"/>
        </w:rPr>
        <w:t>CT</w:t>
      </w:r>
      <w:r w:rsidR="00A13936">
        <w:rPr>
          <w:sz w:val="24"/>
          <w:szCs w:val="24"/>
        </w:rPr>
        <w:t xml:space="preserve"> unit</w:t>
      </w:r>
      <w:r w:rsidR="00A127FB">
        <w:rPr>
          <w:sz w:val="24"/>
          <w:szCs w:val="24"/>
        </w:rPr>
        <w:t xml:space="preserve"> in</w:t>
      </w:r>
      <w:r w:rsidR="00A13936">
        <w:rPr>
          <w:sz w:val="24"/>
          <w:szCs w:val="24"/>
        </w:rPr>
        <w:t xml:space="preserve"> ED cannot meet the demand. In addition, while e</w:t>
      </w:r>
      <w:r w:rsidR="00A13936" w:rsidRPr="00104CC1">
        <w:rPr>
          <w:sz w:val="24"/>
          <w:szCs w:val="24"/>
        </w:rPr>
        <w:t xml:space="preserve">mergent CT volume experienced an increase of </w:t>
      </w:r>
      <w:r w:rsidR="00A13936">
        <w:rPr>
          <w:sz w:val="24"/>
          <w:szCs w:val="24"/>
        </w:rPr>
        <w:t>2.7%</w:t>
      </w:r>
      <w:r w:rsidR="00A13936" w:rsidRPr="00104CC1">
        <w:rPr>
          <w:sz w:val="24"/>
          <w:szCs w:val="24"/>
        </w:rPr>
        <w:t xml:space="preserve"> between FY19 and FY21 </w:t>
      </w:r>
      <w:r w:rsidR="00A13936">
        <w:rPr>
          <w:sz w:val="24"/>
          <w:szCs w:val="24"/>
        </w:rPr>
        <w:t>the</w:t>
      </w:r>
      <w:r w:rsidR="00A13936" w:rsidRPr="00104CC1">
        <w:rPr>
          <w:sz w:val="24"/>
          <w:szCs w:val="24"/>
        </w:rPr>
        <w:t xml:space="preserve"> </w:t>
      </w:r>
      <w:r w:rsidR="00623763">
        <w:rPr>
          <w:sz w:val="24"/>
          <w:szCs w:val="24"/>
        </w:rPr>
        <w:t>non-emergent</w:t>
      </w:r>
      <w:r w:rsidR="002D05A9">
        <w:rPr>
          <w:sz w:val="24"/>
          <w:szCs w:val="24"/>
        </w:rPr>
        <w:t xml:space="preserve"> </w:t>
      </w:r>
      <w:r w:rsidR="00A13936" w:rsidRPr="00104CC1">
        <w:rPr>
          <w:sz w:val="24"/>
          <w:szCs w:val="24"/>
        </w:rPr>
        <w:t xml:space="preserve">CT demand </w:t>
      </w:r>
      <w:r w:rsidR="002D05A9">
        <w:rPr>
          <w:sz w:val="24"/>
          <w:szCs w:val="24"/>
        </w:rPr>
        <w:t>has</w:t>
      </w:r>
      <w:r w:rsidR="00A13936" w:rsidRPr="00104CC1">
        <w:rPr>
          <w:sz w:val="24"/>
          <w:szCs w:val="24"/>
        </w:rPr>
        <w:t xml:space="preserve"> increased </w:t>
      </w:r>
      <w:r w:rsidR="002D05A9">
        <w:rPr>
          <w:sz w:val="24"/>
          <w:szCs w:val="24"/>
        </w:rPr>
        <w:t>1</w:t>
      </w:r>
      <w:r w:rsidR="00A13936" w:rsidRPr="00104CC1">
        <w:rPr>
          <w:sz w:val="24"/>
          <w:szCs w:val="24"/>
        </w:rPr>
        <w:t>7</w:t>
      </w:r>
      <w:r w:rsidR="002D05A9">
        <w:rPr>
          <w:sz w:val="24"/>
          <w:szCs w:val="24"/>
        </w:rPr>
        <w:t>.0%</w:t>
      </w:r>
      <w:r w:rsidR="00A13936" w:rsidRPr="00104CC1">
        <w:rPr>
          <w:sz w:val="24"/>
          <w:szCs w:val="24"/>
        </w:rPr>
        <w:t xml:space="preserve"> from FY19 to FY21.</w:t>
      </w:r>
      <w:r w:rsidR="002D05A9">
        <w:rPr>
          <w:rStyle w:val="FootnoteReference"/>
          <w:sz w:val="24"/>
          <w:szCs w:val="24"/>
        </w:rPr>
        <w:footnoteReference w:id="12"/>
      </w:r>
      <w:r w:rsidR="002D05A9">
        <w:rPr>
          <w:sz w:val="24"/>
          <w:szCs w:val="24"/>
        </w:rPr>
        <w:t xml:space="preserve"> Thus, in addition to the </w:t>
      </w:r>
      <w:r w:rsidR="00B9353B">
        <w:rPr>
          <w:sz w:val="24"/>
          <w:szCs w:val="24"/>
        </w:rPr>
        <w:t>delay</w:t>
      </w:r>
      <w:r>
        <w:rPr>
          <w:sz w:val="24"/>
          <w:szCs w:val="24"/>
        </w:rPr>
        <w:t>s</w:t>
      </w:r>
      <w:r w:rsidR="00B9353B">
        <w:rPr>
          <w:sz w:val="24"/>
          <w:szCs w:val="24"/>
        </w:rPr>
        <w:t xml:space="preserve"> </w:t>
      </w:r>
      <w:r w:rsidR="002D05A9">
        <w:rPr>
          <w:sz w:val="24"/>
          <w:szCs w:val="24"/>
        </w:rPr>
        <w:t>of trans</w:t>
      </w:r>
      <w:r w:rsidR="004859BA">
        <w:rPr>
          <w:sz w:val="24"/>
          <w:szCs w:val="24"/>
        </w:rPr>
        <w:t>porting</w:t>
      </w:r>
      <w:r w:rsidR="002D05A9">
        <w:rPr>
          <w:sz w:val="24"/>
          <w:szCs w:val="24"/>
        </w:rPr>
        <w:t xml:space="preserve"> ED patients to radiology for a scan, </w:t>
      </w:r>
      <w:r>
        <w:rPr>
          <w:sz w:val="24"/>
          <w:szCs w:val="24"/>
        </w:rPr>
        <w:t xml:space="preserve">scheduled </w:t>
      </w:r>
      <w:r w:rsidR="002D05A9">
        <w:rPr>
          <w:sz w:val="24"/>
          <w:szCs w:val="24"/>
        </w:rPr>
        <w:t>scans have experienc</w:t>
      </w:r>
      <w:r>
        <w:rPr>
          <w:sz w:val="24"/>
          <w:szCs w:val="24"/>
        </w:rPr>
        <w:t>ed</w:t>
      </w:r>
      <w:r w:rsidR="002D05A9">
        <w:rPr>
          <w:sz w:val="24"/>
          <w:szCs w:val="24"/>
        </w:rPr>
        <w:t xml:space="preserve"> </w:t>
      </w:r>
      <w:r>
        <w:rPr>
          <w:sz w:val="24"/>
          <w:szCs w:val="24"/>
        </w:rPr>
        <w:t xml:space="preserve">growth </w:t>
      </w:r>
      <w:r w:rsidR="002D05A9">
        <w:rPr>
          <w:sz w:val="24"/>
          <w:szCs w:val="24"/>
        </w:rPr>
        <w:t>in demand</w:t>
      </w:r>
      <w:r w:rsidR="004859BA">
        <w:rPr>
          <w:sz w:val="24"/>
          <w:szCs w:val="24"/>
        </w:rPr>
        <w:t xml:space="preserve"> </w:t>
      </w:r>
      <w:r>
        <w:rPr>
          <w:sz w:val="24"/>
          <w:szCs w:val="24"/>
        </w:rPr>
        <w:t xml:space="preserve">which </w:t>
      </w:r>
      <w:r w:rsidR="004859BA">
        <w:rPr>
          <w:sz w:val="24"/>
          <w:szCs w:val="24"/>
        </w:rPr>
        <w:t>is expected to continue (see discussion of population growth below).</w:t>
      </w:r>
    </w:p>
    <w:p w14:paraId="7D8F8213" w14:textId="659A6389" w:rsidR="00104CC1" w:rsidRPr="00104CC1" w:rsidRDefault="00104CC1" w:rsidP="006D6A7F">
      <w:pPr>
        <w:spacing w:line="240" w:lineRule="auto"/>
        <w:jc w:val="center"/>
        <w:rPr>
          <w:b/>
          <w:sz w:val="24"/>
          <w:szCs w:val="24"/>
        </w:rPr>
      </w:pPr>
      <w:r w:rsidRPr="00207CEB">
        <w:rPr>
          <w:b/>
          <w:sz w:val="24"/>
          <w:szCs w:val="24"/>
          <w:u w:val="single"/>
        </w:rPr>
        <w:t>Table</w:t>
      </w:r>
      <w:r w:rsidR="00207CEB">
        <w:rPr>
          <w:b/>
          <w:sz w:val="24"/>
          <w:szCs w:val="24"/>
          <w:u w:val="single"/>
        </w:rPr>
        <w:t xml:space="preserve"> 5</w:t>
      </w:r>
      <w:r w:rsidRPr="00104CC1">
        <w:rPr>
          <w:b/>
          <w:sz w:val="24"/>
          <w:szCs w:val="24"/>
        </w:rPr>
        <w:t xml:space="preserve">: Historical </w:t>
      </w:r>
      <w:r w:rsidR="001D0E65">
        <w:rPr>
          <w:b/>
          <w:sz w:val="24"/>
          <w:szCs w:val="24"/>
        </w:rPr>
        <w:t xml:space="preserve">University Hospital </w:t>
      </w:r>
      <w:r w:rsidRPr="00104CC1">
        <w:rPr>
          <w:b/>
          <w:sz w:val="24"/>
          <w:szCs w:val="24"/>
        </w:rPr>
        <w:t>CT Volume</w:t>
      </w:r>
    </w:p>
    <w:tbl>
      <w:tblPr>
        <w:tblW w:w="6239" w:type="dxa"/>
        <w:jc w:val="center"/>
        <w:tblBorders>
          <w:top w:val="single" w:sz="8" w:space="0" w:color="000000"/>
          <w:left w:val="single" w:sz="6" w:space="0" w:color="000000"/>
          <w:bottom w:val="single" w:sz="8" w:space="0" w:color="000000"/>
          <w:right w:val="single" w:sz="6" w:space="0" w:color="000000"/>
          <w:insideH w:val="single" w:sz="6" w:space="0" w:color="000000"/>
          <w:insideV w:val="single" w:sz="6" w:space="0" w:color="000000"/>
        </w:tblBorders>
        <w:tblCellMar>
          <w:top w:w="18" w:type="dxa"/>
          <w:left w:w="115" w:type="dxa"/>
          <w:right w:w="115" w:type="dxa"/>
        </w:tblCellMar>
        <w:tblLook w:val="04A0" w:firstRow="1" w:lastRow="0" w:firstColumn="1" w:lastColumn="0" w:noHBand="0" w:noVBand="1"/>
      </w:tblPr>
      <w:tblGrid>
        <w:gridCol w:w="3282"/>
        <w:gridCol w:w="1067"/>
        <w:gridCol w:w="900"/>
        <w:gridCol w:w="990"/>
      </w:tblGrid>
      <w:tr w:rsidR="00104CC1" w:rsidRPr="00104CC1" w14:paraId="52FFABD2" w14:textId="77777777" w:rsidTr="00207CEB">
        <w:trPr>
          <w:trHeight w:val="366"/>
          <w:jc w:val="center"/>
        </w:trPr>
        <w:tc>
          <w:tcPr>
            <w:tcW w:w="3282" w:type="dxa"/>
            <w:shd w:val="clear" w:color="auto" w:fill="DEEAF6" w:themeFill="accent5" w:themeFillTint="33"/>
            <w:vAlign w:val="center"/>
          </w:tcPr>
          <w:p w14:paraId="057E1BCD" w14:textId="28771412" w:rsidR="00104CC1" w:rsidRPr="00AB2027" w:rsidRDefault="00AB2027" w:rsidP="00BC015F">
            <w:pPr>
              <w:spacing w:after="0" w:line="240" w:lineRule="auto"/>
              <w:rPr>
                <w:b/>
                <w:sz w:val="24"/>
                <w:szCs w:val="24"/>
              </w:rPr>
            </w:pPr>
            <w:r w:rsidRPr="00AB2027">
              <w:rPr>
                <w:b/>
                <w:sz w:val="24"/>
                <w:szCs w:val="24"/>
              </w:rPr>
              <w:t>Scans</w:t>
            </w:r>
          </w:p>
        </w:tc>
        <w:tc>
          <w:tcPr>
            <w:tcW w:w="1067" w:type="dxa"/>
            <w:shd w:val="clear" w:color="auto" w:fill="DEEAF6" w:themeFill="accent5" w:themeFillTint="33"/>
            <w:vAlign w:val="center"/>
          </w:tcPr>
          <w:p w14:paraId="51FD358E" w14:textId="7B49B999" w:rsidR="00104CC1" w:rsidRPr="00104CC1" w:rsidRDefault="00104CC1" w:rsidP="006D6A7F">
            <w:pPr>
              <w:spacing w:after="0" w:line="240" w:lineRule="auto"/>
              <w:jc w:val="center"/>
              <w:rPr>
                <w:sz w:val="24"/>
                <w:szCs w:val="24"/>
              </w:rPr>
            </w:pPr>
            <w:r w:rsidRPr="00104CC1">
              <w:rPr>
                <w:b/>
                <w:sz w:val="24"/>
                <w:szCs w:val="24"/>
              </w:rPr>
              <w:t>FY19</w:t>
            </w:r>
          </w:p>
        </w:tc>
        <w:tc>
          <w:tcPr>
            <w:tcW w:w="900" w:type="dxa"/>
            <w:shd w:val="clear" w:color="auto" w:fill="DEEAF6" w:themeFill="accent5" w:themeFillTint="33"/>
            <w:vAlign w:val="center"/>
          </w:tcPr>
          <w:p w14:paraId="79FC5742" w14:textId="56621239" w:rsidR="00104CC1" w:rsidRPr="00104CC1" w:rsidRDefault="00104CC1" w:rsidP="006D6A7F">
            <w:pPr>
              <w:spacing w:after="0" w:line="240" w:lineRule="auto"/>
              <w:jc w:val="center"/>
              <w:rPr>
                <w:sz w:val="24"/>
                <w:szCs w:val="24"/>
              </w:rPr>
            </w:pPr>
            <w:r w:rsidRPr="00104CC1">
              <w:rPr>
                <w:b/>
                <w:sz w:val="24"/>
                <w:szCs w:val="24"/>
              </w:rPr>
              <w:t>FY20</w:t>
            </w:r>
          </w:p>
        </w:tc>
        <w:tc>
          <w:tcPr>
            <w:tcW w:w="990" w:type="dxa"/>
            <w:shd w:val="clear" w:color="auto" w:fill="DEEAF6" w:themeFill="accent5" w:themeFillTint="33"/>
            <w:vAlign w:val="center"/>
          </w:tcPr>
          <w:p w14:paraId="60AC748A" w14:textId="0B620747" w:rsidR="00104CC1" w:rsidRPr="00104CC1" w:rsidRDefault="00104CC1" w:rsidP="006D6A7F">
            <w:pPr>
              <w:spacing w:after="0" w:line="240" w:lineRule="auto"/>
              <w:jc w:val="center"/>
              <w:rPr>
                <w:sz w:val="24"/>
                <w:szCs w:val="24"/>
              </w:rPr>
            </w:pPr>
            <w:r w:rsidRPr="00104CC1">
              <w:rPr>
                <w:b/>
                <w:sz w:val="24"/>
                <w:szCs w:val="24"/>
              </w:rPr>
              <w:t>FY21</w:t>
            </w:r>
          </w:p>
        </w:tc>
      </w:tr>
      <w:tr w:rsidR="00104CC1" w:rsidRPr="00104CC1" w14:paraId="01CA80B7" w14:textId="77777777" w:rsidTr="00207CEB">
        <w:trPr>
          <w:trHeight w:val="350"/>
          <w:jc w:val="center"/>
        </w:trPr>
        <w:tc>
          <w:tcPr>
            <w:tcW w:w="3282" w:type="dxa"/>
            <w:shd w:val="clear" w:color="auto" w:fill="DEEAF6" w:themeFill="accent5" w:themeFillTint="33"/>
            <w:vAlign w:val="center"/>
          </w:tcPr>
          <w:p w14:paraId="356F8163" w14:textId="6D48B809" w:rsidR="00104CC1" w:rsidRPr="00104CC1" w:rsidRDefault="009E21C6" w:rsidP="00BC015F">
            <w:pPr>
              <w:spacing w:after="0" w:line="240" w:lineRule="auto"/>
              <w:rPr>
                <w:sz w:val="24"/>
                <w:szCs w:val="24"/>
              </w:rPr>
            </w:pPr>
            <w:r>
              <w:rPr>
                <w:b/>
                <w:sz w:val="24"/>
                <w:szCs w:val="24"/>
              </w:rPr>
              <w:t>CT</w:t>
            </w:r>
            <w:r w:rsidR="00F36FF7">
              <w:rPr>
                <w:b/>
                <w:sz w:val="24"/>
                <w:szCs w:val="24"/>
              </w:rPr>
              <w:t>’s Ordered by ED Physicians</w:t>
            </w:r>
          </w:p>
        </w:tc>
        <w:tc>
          <w:tcPr>
            <w:tcW w:w="1067" w:type="dxa"/>
            <w:vAlign w:val="center"/>
          </w:tcPr>
          <w:p w14:paraId="11C39499" w14:textId="700EB4B6" w:rsidR="00104CC1" w:rsidRPr="00104CC1" w:rsidRDefault="00104CC1" w:rsidP="006D6A7F">
            <w:pPr>
              <w:spacing w:after="0" w:line="240" w:lineRule="auto"/>
              <w:jc w:val="center"/>
              <w:rPr>
                <w:sz w:val="24"/>
                <w:szCs w:val="24"/>
              </w:rPr>
            </w:pPr>
            <w:r w:rsidRPr="00104CC1">
              <w:rPr>
                <w:sz w:val="24"/>
                <w:szCs w:val="24"/>
              </w:rPr>
              <w:t>36,628</w:t>
            </w:r>
          </w:p>
        </w:tc>
        <w:tc>
          <w:tcPr>
            <w:tcW w:w="900" w:type="dxa"/>
            <w:vAlign w:val="center"/>
          </w:tcPr>
          <w:p w14:paraId="17287F10" w14:textId="7F37A73E" w:rsidR="00104CC1" w:rsidRPr="00104CC1" w:rsidRDefault="00104CC1" w:rsidP="006D6A7F">
            <w:pPr>
              <w:spacing w:after="0" w:line="240" w:lineRule="auto"/>
              <w:jc w:val="center"/>
              <w:rPr>
                <w:sz w:val="24"/>
                <w:szCs w:val="24"/>
              </w:rPr>
            </w:pPr>
            <w:r w:rsidRPr="00104CC1">
              <w:rPr>
                <w:sz w:val="24"/>
                <w:szCs w:val="24"/>
              </w:rPr>
              <w:t>37,172</w:t>
            </w:r>
          </w:p>
        </w:tc>
        <w:tc>
          <w:tcPr>
            <w:tcW w:w="990" w:type="dxa"/>
            <w:vAlign w:val="center"/>
          </w:tcPr>
          <w:p w14:paraId="079F3540" w14:textId="151802C4" w:rsidR="00104CC1" w:rsidRPr="00104CC1" w:rsidRDefault="00104CC1" w:rsidP="006D6A7F">
            <w:pPr>
              <w:spacing w:after="0" w:line="240" w:lineRule="auto"/>
              <w:jc w:val="center"/>
              <w:rPr>
                <w:sz w:val="24"/>
                <w:szCs w:val="24"/>
              </w:rPr>
            </w:pPr>
            <w:r w:rsidRPr="00104CC1">
              <w:rPr>
                <w:sz w:val="24"/>
                <w:szCs w:val="24"/>
              </w:rPr>
              <w:t>37,648</w:t>
            </w:r>
          </w:p>
        </w:tc>
      </w:tr>
      <w:tr w:rsidR="00F06382" w:rsidRPr="00104CC1" w14:paraId="03F7BA8D" w14:textId="77777777" w:rsidTr="00207CEB">
        <w:trPr>
          <w:trHeight w:val="350"/>
          <w:jc w:val="center"/>
        </w:trPr>
        <w:tc>
          <w:tcPr>
            <w:tcW w:w="3282" w:type="dxa"/>
            <w:shd w:val="clear" w:color="auto" w:fill="DEEAF6" w:themeFill="accent5" w:themeFillTint="33"/>
            <w:vAlign w:val="center"/>
          </w:tcPr>
          <w:p w14:paraId="08B81E84" w14:textId="6D00C6DB" w:rsidR="00F06382" w:rsidRPr="00F06382" w:rsidRDefault="00F06382" w:rsidP="00F06382">
            <w:pPr>
              <w:spacing w:after="0" w:line="240" w:lineRule="auto"/>
              <w:rPr>
                <w:b/>
                <w:bCs/>
                <w:sz w:val="24"/>
                <w:szCs w:val="24"/>
              </w:rPr>
            </w:pPr>
            <w:r w:rsidRPr="00F06382">
              <w:rPr>
                <w:b/>
                <w:bCs/>
                <w:sz w:val="24"/>
                <w:szCs w:val="24"/>
              </w:rPr>
              <w:t>Total CT Service Volume</w:t>
            </w:r>
          </w:p>
        </w:tc>
        <w:tc>
          <w:tcPr>
            <w:tcW w:w="1067" w:type="dxa"/>
            <w:vAlign w:val="center"/>
          </w:tcPr>
          <w:p w14:paraId="1A775285" w14:textId="29313281" w:rsidR="00F06382" w:rsidRPr="00104CC1" w:rsidRDefault="00F06382" w:rsidP="00F06382">
            <w:pPr>
              <w:spacing w:after="0" w:line="240" w:lineRule="auto"/>
              <w:jc w:val="center"/>
              <w:rPr>
                <w:sz w:val="24"/>
                <w:szCs w:val="24"/>
              </w:rPr>
            </w:pPr>
            <w:r w:rsidRPr="00104CC1">
              <w:rPr>
                <w:sz w:val="24"/>
                <w:szCs w:val="24"/>
              </w:rPr>
              <w:t>54,020</w:t>
            </w:r>
          </w:p>
        </w:tc>
        <w:tc>
          <w:tcPr>
            <w:tcW w:w="900" w:type="dxa"/>
            <w:vAlign w:val="center"/>
          </w:tcPr>
          <w:p w14:paraId="6EA5845E" w14:textId="2FE9D498" w:rsidR="00F06382" w:rsidRPr="00104CC1" w:rsidRDefault="00F06382" w:rsidP="00F06382">
            <w:pPr>
              <w:spacing w:after="0" w:line="240" w:lineRule="auto"/>
              <w:jc w:val="center"/>
              <w:rPr>
                <w:sz w:val="24"/>
                <w:szCs w:val="24"/>
              </w:rPr>
            </w:pPr>
            <w:r w:rsidRPr="00104CC1">
              <w:rPr>
                <w:sz w:val="24"/>
                <w:szCs w:val="24"/>
              </w:rPr>
              <w:t>55,246</w:t>
            </w:r>
          </w:p>
        </w:tc>
        <w:tc>
          <w:tcPr>
            <w:tcW w:w="990" w:type="dxa"/>
            <w:vAlign w:val="center"/>
          </w:tcPr>
          <w:p w14:paraId="5ED3F1FF" w14:textId="2DC29975" w:rsidR="00F06382" w:rsidRPr="00104CC1" w:rsidRDefault="00F06382" w:rsidP="00F06382">
            <w:pPr>
              <w:spacing w:after="0" w:line="240" w:lineRule="auto"/>
              <w:jc w:val="center"/>
              <w:rPr>
                <w:sz w:val="24"/>
                <w:szCs w:val="24"/>
              </w:rPr>
            </w:pPr>
            <w:r w:rsidRPr="00104CC1">
              <w:rPr>
                <w:sz w:val="24"/>
                <w:szCs w:val="24"/>
              </w:rPr>
              <w:t>58,002</w:t>
            </w:r>
          </w:p>
        </w:tc>
      </w:tr>
      <w:tr w:rsidR="00104CC1" w:rsidRPr="00104CC1" w14:paraId="22A07964" w14:textId="77777777" w:rsidTr="00207CEB">
        <w:trPr>
          <w:trHeight w:val="376"/>
          <w:jc w:val="center"/>
        </w:trPr>
        <w:tc>
          <w:tcPr>
            <w:tcW w:w="3282" w:type="dxa"/>
            <w:shd w:val="clear" w:color="auto" w:fill="DEEAF6" w:themeFill="accent5" w:themeFillTint="33"/>
            <w:vAlign w:val="center"/>
          </w:tcPr>
          <w:p w14:paraId="50B8A341" w14:textId="69D7A4B2" w:rsidR="00104CC1" w:rsidRPr="00F06382" w:rsidRDefault="00F06382" w:rsidP="00BC015F">
            <w:pPr>
              <w:spacing w:after="0" w:line="240" w:lineRule="auto"/>
              <w:rPr>
                <w:b/>
                <w:bCs/>
                <w:sz w:val="24"/>
                <w:szCs w:val="24"/>
              </w:rPr>
            </w:pPr>
            <w:r w:rsidRPr="00F06382">
              <w:rPr>
                <w:b/>
                <w:bCs/>
                <w:sz w:val="24"/>
                <w:szCs w:val="24"/>
              </w:rPr>
              <w:t>%</w:t>
            </w:r>
            <w:r w:rsidR="00924AF1">
              <w:rPr>
                <w:b/>
                <w:bCs/>
                <w:sz w:val="24"/>
                <w:szCs w:val="24"/>
              </w:rPr>
              <w:t xml:space="preserve"> of </w:t>
            </w:r>
            <w:r w:rsidRPr="00F06382">
              <w:rPr>
                <w:b/>
                <w:bCs/>
                <w:sz w:val="24"/>
                <w:szCs w:val="24"/>
              </w:rPr>
              <w:t xml:space="preserve">Total CT Volume </w:t>
            </w:r>
            <w:r w:rsidR="00924AF1">
              <w:rPr>
                <w:b/>
                <w:bCs/>
                <w:sz w:val="24"/>
                <w:szCs w:val="24"/>
              </w:rPr>
              <w:t xml:space="preserve">for </w:t>
            </w:r>
            <w:r w:rsidRPr="00F06382">
              <w:rPr>
                <w:b/>
                <w:bCs/>
                <w:sz w:val="24"/>
                <w:szCs w:val="24"/>
              </w:rPr>
              <w:t>ED Use</w:t>
            </w:r>
          </w:p>
        </w:tc>
        <w:tc>
          <w:tcPr>
            <w:tcW w:w="1067" w:type="dxa"/>
            <w:vAlign w:val="center"/>
          </w:tcPr>
          <w:p w14:paraId="565BC5FD" w14:textId="314C018C" w:rsidR="00104CC1" w:rsidRPr="00104CC1" w:rsidRDefault="00F06382" w:rsidP="006D6A7F">
            <w:pPr>
              <w:spacing w:after="0" w:line="240" w:lineRule="auto"/>
              <w:jc w:val="center"/>
              <w:rPr>
                <w:sz w:val="24"/>
                <w:szCs w:val="24"/>
              </w:rPr>
            </w:pPr>
            <w:r>
              <w:rPr>
                <w:sz w:val="24"/>
                <w:szCs w:val="24"/>
              </w:rPr>
              <w:t>67.8%</w:t>
            </w:r>
          </w:p>
        </w:tc>
        <w:tc>
          <w:tcPr>
            <w:tcW w:w="900" w:type="dxa"/>
            <w:vAlign w:val="center"/>
          </w:tcPr>
          <w:p w14:paraId="19C74F6F" w14:textId="6DF5CE67" w:rsidR="00104CC1" w:rsidRPr="00104CC1" w:rsidRDefault="00F06382" w:rsidP="006D6A7F">
            <w:pPr>
              <w:spacing w:after="0" w:line="240" w:lineRule="auto"/>
              <w:jc w:val="center"/>
              <w:rPr>
                <w:sz w:val="24"/>
                <w:szCs w:val="24"/>
              </w:rPr>
            </w:pPr>
            <w:r>
              <w:rPr>
                <w:sz w:val="24"/>
                <w:szCs w:val="24"/>
              </w:rPr>
              <w:t>62.3%</w:t>
            </w:r>
          </w:p>
        </w:tc>
        <w:tc>
          <w:tcPr>
            <w:tcW w:w="990" w:type="dxa"/>
            <w:vAlign w:val="center"/>
          </w:tcPr>
          <w:p w14:paraId="0E3F049B" w14:textId="5648EBDA" w:rsidR="00104CC1" w:rsidRPr="00104CC1" w:rsidRDefault="00F06382" w:rsidP="006D6A7F">
            <w:pPr>
              <w:spacing w:after="0" w:line="240" w:lineRule="auto"/>
              <w:jc w:val="center"/>
              <w:rPr>
                <w:sz w:val="24"/>
                <w:szCs w:val="24"/>
              </w:rPr>
            </w:pPr>
            <w:r>
              <w:rPr>
                <w:sz w:val="24"/>
                <w:szCs w:val="24"/>
              </w:rPr>
              <w:t>64.9%</w:t>
            </w:r>
          </w:p>
        </w:tc>
      </w:tr>
    </w:tbl>
    <w:p w14:paraId="1EE67475" w14:textId="77777777" w:rsidR="00765B9C" w:rsidRDefault="00765B9C" w:rsidP="00104CC1">
      <w:pPr>
        <w:spacing w:line="240" w:lineRule="auto"/>
        <w:rPr>
          <w:sz w:val="24"/>
          <w:szCs w:val="24"/>
        </w:rPr>
      </w:pPr>
    </w:p>
    <w:p w14:paraId="008E0441" w14:textId="67083C1D" w:rsidR="00104CC1" w:rsidRDefault="00104CC1" w:rsidP="00104CC1">
      <w:pPr>
        <w:spacing w:line="240" w:lineRule="auto"/>
        <w:rPr>
          <w:sz w:val="24"/>
          <w:szCs w:val="24"/>
        </w:rPr>
      </w:pPr>
    </w:p>
    <w:p w14:paraId="7054A7AD" w14:textId="6DEF2335" w:rsidR="004859BA" w:rsidRDefault="004859BA" w:rsidP="004859BA">
      <w:pPr>
        <w:spacing w:line="240" w:lineRule="auto"/>
        <w:rPr>
          <w:sz w:val="24"/>
          <w:szCs w:val="24"/>
        </w:rPr>
      </w:pPr>
      <w:r w:rsidRPr="00104CC1">
        <w:rPr>
          <w:sz w:val="24"/>
          <w:szCs w:val="24"/>
        </w:rPr>
        <w:lastRenderedPageBreak/>
        <w:t>Another effect of the limited CT capacity is</w:t>
      </w:r>
      <w:r>
        <w:rPr>
          <w:sz w:val="24"/>
          <w:szCs w:val="24"/>
        </w:rPr>
        <w:t xml:space="preserve"> that overutilization of the CT unit can lead to </w:t>
      </w:r>
      <w:r w:rsidRPr="00104CC1">
        <w:rPr>
          <w:sz w:val="24"/>
          <w:szCs w:val="24"/>
        </w:rPr>
        <w:t xml:space="preserve">more frequent </w:t>
      </w:r>
      <w:r>
        <w:rPr>
          <w:sz w:val="24"/>
          <w:szCs w:val="24"/>
        </w:rPr>
        <w:t xml:space="preserve">and </w:t>
      </w:r>
      <w:r w:rsidRPr="00104CC1">
        <w:rPr>
          <w:sz w:val="24"/>
          <w:szCs w:val="24"/>
        </w:rPr>
        <w:t>unplanned repairs. When this occurs, emergency patients are transported out of the ED to the radiology department</w:t>
      </w:r>
      <w:r w:rsidR="008E7C43">
        <w:rPr>
          <w:sz w:val="24"/>
          <w:szCs w:val="24"/>
        </w:rPr>
        <w:t>,</w:t>
      </w:r>
      <w:r w:rsidRPr="00104CC1">
        <w:rPr>
          <w:sz w:val="24"/>
          <w:szCs w:val="24"/>
        </w:rPr>
        <w:t xml:space="preserve"> causing delays that can adversely impact the patient experience and care delivery. Consequently, </w:t>
      </w:r>
      <w:r>
        <w:rPr>
          <w:sz w:val="24"/>
          <w:szCs w:val="24"/>
        </w:rPr>
        <w:t xml:space="preserve">other </w:t>
      </w:r>
      <w:r w:rsidRPr="00104CC1">
        <w:rPr>
          <w:sz w:val="24"/>
          <w:szCs w:val="24"/>
        </w:rPr>
        <w:t>patients</w:t>
      </w:r>
      <w:r>
        <w:rPr>
          <w:rStyle w:val="FootnoteReference"/>
          <w:sz w:val="24"/>
          <w:szCs w:val="24"/>
        </w:rPr>
        <w:footnoteReference w:id="13"/>
      </w:r>
      <w:r w:rsidRPr="00104CC1">
        <w:rPr>
          <w:sz w:val="24"/>
          <w:szCs w:val="24"/>
        </w:rPr>
        <w:t xml:space="preserve"> who have scheduled CT scans are </w:t>
      </w:r>
      <w:r>
        <w:rPr>
          <w:sz w:val="24"/>
          <w:szCs w:val="24"/>
        </w:rPr>
        <w:t xml:space="preserve">also </w:t>
      </w:r>
      <w:r w:rsidRPr="00104CC1">
        <w:rPr>
          <w:sz w:val="24"/>
          <w:szCs w:val="24"/>
        </w:rPr>
        <w:t>delayed or rescheduled which can cause a negative experience, discomfort</w:t>
      </w:r>
      <w:r>
        <w:rPr>
          <w:sz w:val="24"/>
          <w:szCs w:val="24"/>
        </w:rPr>
        <w:t>,</w:t>
      </w:r>
      <w:r w:rsidRPr="00104CC1">
        <w:rPr>
          <w:sz w:val="24"/>
          <w:szCs w:val="24"/>
        </w:rPr>
        <w:t xml:space="preserve"> </w:t>
      </w:r>
      <w:r>
        <w:rPr>
          <w:sz w:val="24"/>
          <w:szCs w:val="24"/>
        </w:rPr>
        <w:t xml:space="preserve">and </w:t>
      </w:r>
      <w:r w:rsidRPr="00104CC1">
        <w:rPr>
          <w:sz w:val="24"/>
          <w:szCs w:val="24"/>
        </w:rPr>
        <w:t>deferred care.</w:t>
      </w:r>
    </w:p>
    <w:p w14:paraId="7AB1817E" w14:textId="6ACFA7F9" w:rsidR="004859BA" w:rsidRDefault="004859BA" w:rsidP="004859BA">
      <w:pPr>
        <w:spacing w:line="240" w:lineRule="auto"/>
        <w:rPr>
          <w:sz w:val="24"/>
          <w:szCs w:val="24"/>
        </w:rPr>
      </w:pPr>
      <w:r>
        <w:rPr>
          <w:sz w:val="24"/>
          <w:szCs w:val="24"/>
        </w:rPr>
        <w:t xml:space="preserve">The Applicant </w:t>
      </w:r>
      <w:r w:rsidR="008E7C43">
        <w:rPr>
          <w:sz w:val="24"/>
          <w:szCs w:val="24"/>
        </w:rPr>
        <w:t xml:space="preserve">found that </w:t>
      </w:r>
      <w:r>
        <w:rPr>
          <w:sz w:val="24"/>
          <w:szCs w:val="24"/>
        </w:rPr>
        <w:t xml:space="preserve">wait-times associated with increased volume that </w:t>
      </w:r>
      <w:r w:rsidR="008E7C43">
        <w:rPr>
          <w:sz w:val="24"/>
          <w:szCs w:val="24"/>
        </w:rPr>
        <w:t>have</w:t>
      </w:r>
      <w:r w:rsidR="0022101B">
        <w:rPr>
          <w:sz w:val="24"/>
          <w:szCs w:val="24"/>
        </w:rPr>
        <w:t xml:space="preserve"> has </w:t>
      </w:r>
      <w:r>
        <w:rPr>
          <w:sz w:val="24"/>
          <w:szCs w:val="24"/>
        </w:rPr>
        <w:t xml:space="preserve">been </w:t>
      </w:r>
      <w:r w:rsidRPr="00104CC1">
        <w:rPr>
          <w:sz w:val="24"/>
          <w:szCs w:val="24"/>
        </w:rPr>
        <w:t xml:space="preserve">growing, </w:t>
      </w:r>
      <w:r>
        <w:rPr>
          <w:sz w:val="24"/>
          <w:szCs w:val="24"/>
        </w:rPr>
        <w:t xml:space="preserve">thereby </w:t>
      </w:r>
      <w:r w:rsidRPr="00104CC1">
        <w:rPr>
          <w:sz w:val="24"/>
          <w:szCs w:val="24"/>
        </w:rPr>
        <w:t>affecting all emergency patients, regardless of acuity</w:t>
      </w:r>
      <w:r w:rsidR="008E7C43">
        <w:rPr>
          <w:sz w:val="24"/>
          <w:szCs w:val="24"/>
        </w:rPr>
        <w:t>,</w:t>
      </w:r>
      <w:r w:rsidRPr="00104CC1">
        <w:rPr>
          <w:sz w:val="24"/>
          <w:szCs w:val="24"/>
        </w:rPr>
        <w:t xml:space="preserve"> and leading to delays in diagnosis and treatment</w:t>
      </w:r>
      <w:r>
        <w:rPr>
          <w:sz w:val="24"/>
          <w:szCs w:val="24"/>
        </w:rPr>
        <w:t xml:space="preserve">. </w:t>
      </w:r>
      <w:r w:rsidRPr="00104CC1">
        <w:rPr>
          <w:sz w:val="24"/>
          <w:szCs w:val="24"/>
        </w:rPr>
        <w:t>The average time from the physician order to beginning to scan (</w:t>
      </w:r>
      <w:r w:rsidR="0022101B">
        <w:rPr>
          <w:sz w:val="24"/>
          <w:szCs w:val="24"/>
        </w:rPr>
        <w:t>“</w:t>
      </w:r>
      <w:r w:rsidRPr="00104CC1">
        <w:rPr>
          <w:sz w:val="24"/>
          <w:szCs w:val="24"/>
        </w:rPr>
        <w:t>order to begin time</w:t>
      </w:r>
      <w:r w:rsidR="0022101B">
        <w:rPr>
          <w:sz w:val="24"/>
          <w:szCs w:val="24"/>
        </w:rPr>
        <w:t>”</w:t>
      </w:r>
      <w:r w:rsidRPr="00104CC1">
        <w:rPr>
          <w:sz w:val="24"/>
          <w:szCs w:val="24"/>
        </w:rPr>
        <w:t>) has increased 41% from FY 19</w:t>
      </w:r>
      <w:r>
        <w:rPr>
          <w:sz w:val="24"/>
          <w:szCs w:val="24"/>
        </w:rPr>
        <w:t xml:space="preserve"> </w:t>
      </w:r>
      <w:r w:rsidRPr="00104CC1">
        <w:rPr>
          <w:sz w:val="24"/>
          <w:szCs w:val="24"/>
        </w:rPr>
        <w:t>- FY 21</w:t>
      </w:r>
      <w:r>
        <w:rPr>
          <w:sz w:val="24"/>
          <w:szCs w:val="24"/>
        </w:rPr>
        <w:t xml:space="preserve"> from 114 to 161 minutes over the three years. </w:t>
      </w:r>
    </w:p>
    <w:p w14:paraId="06C1C37A" w14:textId="77777777" w:rsidR="004859BA" w:rsidRPr="00D601EE" w:rsidRDefault="004859BA" w:rsidP="006A1E9B">
      <w:pPr>
        <w:pStyle w:val="ListParagraph"/>
        <w:numPr>
          <w:ilvl w:val="0"/>
          <w:numId w:val="9"/>
        </w:numPr>
        <w:rPr>
          <w:sz w:val="24"/>
          <w:szCs w:val="24"/>
        </w:rPr>
      </w:pPr>
      <w:r w:rsidRPr="00D601EE">
        <w:rPr>
          <w:sz w:val="24"/>
          <w:szCs w:val="24"/>
        </w:rPr>
        <w:t xml:space="preserve">in FY19 it was 114 minutes, </w:t>
      </w:r>
    </w:p>
    <w:p w14:paraId="5B5CE470" w14:textId="41F71A06" w:rsidR="004859BA" w:rsidRPr="00D601EE" w:rsidRDefault="004859BA" w:rsidP="006A1E9B">
      <w:pPr>
        <w:pStyle w:val="ListParagraph"/>
        <w:numPr>
          <w:ilvl w:val="0"/>
          <w:numId w:val="9"/>
        </w:numPr>
        <w:rPr>
          <w:sz w:val="24"/>
          <w:szCs w:val="24"/>
        </w:rPr>
      </w:pPr>
      <w:r w:rsidRPr="00D601EE">
        <w:rPr>
          <w:sz w:val="24"/>
          <w:szCs w:val="24"/>
        </w:rPr>
        <w:t xml:space="preserve">in FY20 it was 121 minutes, and </w:t>
      </w:r>
    </w:p>
    <w:p w14:paraId="59ECE687" w14:textId="64FBC279" w:rsidR="004859BA" w:rsidRPr="004859BA" w:rsidRDefault="004859BA" w:rsidP="006A1E9B">
      <w:pPr>
        <w:pStyle w:val="ListParagraph"/>
        <w:numPr>
          <w:ilvl w:val="0"/>
          <w:numId w:val="9"/>
        </w:numPr>
        <w:rPr>
          <w:sz w:val="24"/>
          <w:szCs w:val="24"/>
        </w:rPr>
      </w:pPr>
      <w:r w:rsidRPr="004859BA">
        <w:rPr>
          <w:sz w:val="24"/>
          <w:szCs w:val="24"/>
        </w:rPr>
        <w:t>in FY21 it was 161 minutes. (2 hours and 41 minutes)</w:t>
      </w:r>
    </w:p>
    <w:p w14:paraId="32152381" w14:textId="77777777" w:rsidR="002815B9" w:rsidRDefault="002815B9" w:rsidP="002815B9">
      <w:pPr>
        <w:spacing w:after="0" w:line="240" w:lineRule="auto"/>
        <w:ind w:left="1080"/>
        <w:rPr>
          <w:sz w:val="24"/>
          <w:szCs w:val="24"/>
        </w:rPr>
      </w:pPr>
    </w:p>
    <w:p w14:paraId="074CF9D8" w14:textId="79DCECBF" w:rsidR="004E6C82" w:rsidRDefault="006568B4" w:rsidP="006568B4">
      <w:pPr>
        <w:spacing w:after="0" w:line="240" w:lineRule="auto"/>
        <w:rPr>
          <w:sz w:val="24"/>
          <w:szCs w:val="24"/>
        </w:rPr>
      </w:pPr>
      <w:r w:rsidRPr="006568B4">
        <w:rPr>
          <w:sz w:val="24"/>
          <w:szCs w:val="24"/>
        </w:rPr>
        <w:t xml:space="preserve">To resolve the adverse impacts of the high </w:t>
      </w:r>
      <w:r w:rsidR="005E0FB4">
        <w:rPr>
          <w:sz w:val="24"/>
          <w:szCs w:val="24"/>
        </w:rPr>
        <w:t xml:space="preserve">CT </w:t>
      </w:r>
      <w:r w:rsidRPr="006568B4">
        <w:rPr>
          <w:sz w:val="24"/>
          <w:szCs w:val="24"/>
        </w:rPr>
        <w:t xml:space="preserve">utilization, the </w:t>
      </w:r>
      <w:r w:rsidR="00A718E9">
        <w:rPr>
          <w:sz w:val="24"/>
          <w:szCs w:val="24"/>
        </w:rPr>
        <w:t>University Campus</w:t>
      </w:r>
      <w:r w:rsidRPr="006568B4">
        <w:rPr>
          <w:sz w:val="24"/>
          <w:szCs w:val="24"/>
        </w:rPr>
        <w:t xml:space="preserve"> determined that adding a second CT unit in the ED would have the greatest </w:t>
      </w:r>
      <w:r>
        <w:rPr>
          <w:sz w:val="24"/>
          <w:szCs w:val="24"/>
        </w:rPr>
        <w:t xml:space="preserve">benefit </w:t>
      </w:r>
      <w:r w:rsidRPr="006568B4">
        <w:rPr>
          <w:sz w:val="24"/>
          <w:szCs w:val="24"/>
        </w:rPr>
        <w:t>for all patients</w:t>
      </w:r>
      <w:r w:rsidR="00B035F6">
        <w:rPr>
          <w:sz w:val="24"/>
          <w:szCs w:val="24"/>
        </w:rPr>
        <w:t>. T</w:t>
      </w:r>
      <w:r>
        <w:rPr>
          <w:sz w:val="24"/>
          <w:szCs w:val="24"/>
        </w:rPr>
        <w:t xml:space="preserve">his would </w:t>
      </w:r>
      <w:r w:rsidR="004E6C82" w:rsidRPr="004E6C82">
        <w:rPr>
          <w:sz w:val="24"/>
          <w:szCs w:val="24"/>
        </w:rPr>
        <w:t>a</w:t>
      </w:r>
      <w:r>
        <w:rPr>
          <w:sz w:val="24"/>
          <w:szCs w:val="24"/>
        </w:rPr>
        <w:t>ddress the continued increase in</w:t>
      </w:r>
      <w:r w:rsidR="004E6C82" w:rsidRPr="004E6C82">
        <w:rPr>
          <w:sz w:val="24"/>
          <w:szCs w:val="24"/>
        </w:rPr>
        <w:t xml:space="preserve"> CT scan demand</w:t>
      </w:r>
      <w:r w:rsidR="005E0FB4">
        <w:rPr>
          <w:sz w:val="24"/>
          <w:szCs w:val="24"/>
        </w:rPr>
        <w:t>,</w:t>
      </w:r>
      <w:r w:rsidR="00B035F6">
        <w:rPr>
          <w:sz w:val="24"/>
          <w:szCs w:val="24"/>
        </w:rPr>
        <w:t xml:space="preserve"> </w:t>
      </w:r>
      <w:r>
        <w:rPr>
          <w:sz w:val="24"/>
          <w:szCs w:val="24"/>
        </w:rPr>
        <w:t>the increasing wait times</w:t>
      </w:r>
      <w:r w:rsidR="00B035F6">
        <w:rPr>
          <w:sz w:val="24"/>
          <w:szCs w:val="24"/>
        </w:rPr>
        <w:t>,</w:t>
      </w:r>
      <w:r w:rsidR="005E0FB4">
        <w:rPr>
          <w:sz w:val="24"/>
          <w:szCs w:val="24"/>
        </w:rPr>
        <w:t xml:space="preserve"> and the backlog in the ED, thereby</w:t>
      </w:r>
      <w:r>
        <w:rPr>
          <w:sz w:val="24"/>
          <w:szCs w:val="24"/>
        </w:rPr>
        <w:t xml:space="preserve"> improving overall ED patient flow and reducing </w:t>
      </w:r>
      <w:r w:rsidR="004E6C82" w:rsidRPr="004E6C82">
        <w:rPr>
          <w:sz w:val="24"/>
          <w:szCs w:val="24"/>
        </w:rPr>
        <w:t xml:space="preserve">the </w:t>
      </w:r>
      <w:r>
        <w:rPr>
          <w:sz w:val="24"/>
          <w:szCs w:val="24"/>
        </w:rPr>
        <w:t xml:space="preserve">number </w:t>
      </w:r>
      <w:r w:rsidR="004E6C82" w:rsidRPr="004E6C82">
        <w:rPr>
          <w:sz w:val="24"/>
          <w:szCs w:val="24"/>
        </w:rPr>
        <w:t xml:space="preserve">of patients </w:t>
      </w:r>
      <w:r>
        <w:rPr>
          <w:sz w:val="24"/>
          <w:szCs w:val="24"/>
        </w:rPr>
        <w:t xml:space="preserve">who are </w:t>
      </w:r>
      <w:r w:rsidR="004E6C82" w:rsidRPr="004E6C82">
        <w:rPr>
          <w:sz w:val="24"/>
          <w:szCs w:val="24"/>
        </w:rPr>
        <w:t>transported out of the ED area to the main radiology department for their CT scans</w:t>
      </w:r>
      <w:r>
        <w:rPr>
          <w:sz w:val="24"/>
          <w:szCs w:val="24"/>
        </w:rPr>
        <w:t>.</w:t>
      </w:r>
    </w:p>
    <w:p w14:paraId="61D07113" w14:textId="77777777" w:rsidR="004E6C82" w:rsidRPr="00104CC1" w:rsidRDefault="004E6C82" w:rsidP="002815B9">
      <w:pPr>
        <w:spacing w:after="0" w:line="240" w:lineRule="auto"/>
        <w:ind w:left="1080"/>
        <w:rPr>
          <w:sz w:val="24"/>
          <w:szCs w:val="24"/>
        </w:rPr>
      </w:pPr>
    </w:p>
    <w:p w14:paraId="1E2CBB25" w14:textId="0D85E5A2" w:rsidR="00104CC1" w:rsidRPr="00104CC1" w:rsidRDefault="00104CC1" w:rsidP="00104CC1">
      <w:pPr>
        <w:spacing w:line="240" w:lineRule="auto"/>
        <w:rPr>
          <w:sz w:val="24"/>
          <w:szCs w:val="24"/>
        </w:rPr>
      </w:pPr>
      <w:r w:rsidRPr="00104CC1">
        <w:rPr>
          <w:sz w:val="24"/>
          <w:szCs w:val="24"/>
        </w:rPr>
        <w:t xml:space="preserve">2. </w:t>
      </w:r>
      <w:r w:rsidR="00B035F6">
        <w:rPr>
          <w:b/>
          <w:bCs/>
          <w:sz w:val="24"/>
          <w:szCs w:val="24"/>
        </w:rPr>
        <w:t>G</w:t>
      </w:r>
      <w:r w:rsidRPr="001D0E65">
        <w:rPr>
          <w:b/>
          <w:bCs/>
          <w:sz w:val="24"/>
          <w:szCs w:val="24"/>
        </w:rPr>
        <w:t xml:space="preserve">rowth in the Patient Panel and the </w:t>
      </w:r>
      <w:r w:rsidR="00A718E9">
        <w:rPr>
          <w:b/>
          <w:bCs/>
          <w:sz w:val="24"/>
          <w:szCs w:val="24"/>
        </w:rPr>
        <w:t xml:space="preserve">UMMMC </w:t>
      </w:r>
      <w:r w:rsidRPr="001D0E65">
        <w:rPr>
          <w:b/>
          <w:bCs/>
          <w:sz w:val="24"/>
          <w:szCs w:val="24"/>
        </w:rPr>
        <w:t xml:space="preserve">Hospital’s </w:t>
      </w:r>
      <w:r w:rsidR="00B035F6">
        <w:rPr>
          <w:b/>
          <w:bCs/>
          <w:sz w:val="24"/>
          <w:szCs w:val="24"/>
        </w:rPr>
        <w:t>P</w:t>
      </w:r>
      <w:r w:rsidRPr="001D0E65">
        <w:rPr>
          <w:b/>
          <w:bCs/>
          <w:sz w:val="24"/>
          <w:szCs w:val="24"/>
        </w:rPr>
        <w:t xml:space="preserve">atient </w:t>
      </w:r>
      <w:r w:rsidR="00B035F6">
        <w:rPr>
          <w:b/>
          <w:bCs/>
          <w:sz w:val="24"/>
          <w:szCs w:val="24"/>
        </w:rPr>
        <w:t>P</w:t>
      </w:r>
      <w:r w:rsidRPr="001D0E65">
        <w:rPr>
          <w:b/>
          <w:bCs/>
          <w:sz w:val="24"/>
          <w:szCs w:val="24"/>
        </w:rPr>
        <w:t>opulation</w:t>
      </w:r>
    </w:p>
    <w:p w14:paraId="7616C709" w14:textId="4FA64D0C" w:rsidR="00560EB1" w:rsidRPr="00560EB1" w:rsidRDefault="00104CC1" w:rsidP="00560EB1">
      <w:pPr>
        <w:spacing w:line="240" w:lineRule="auto"/>
        <w:rPr>
          <w:sz w:val="24"/>
          <w:szCs w:val="24"/>
        </w:rPr>
      </w:pPr>
      <w:r w:rsidRPr="00104CC1">
        <w:rPr>
          <w:sz w:val="24"/>
          <w:szCs w:val="24"/>
        </w:rPr>
        <w:t xml:space="preserve">From FY19 to FY21, number of patients served </w:t>
      </w:r>
      <w:r w:rsidR="00B035F6">
        <w:rPr>
          <w:sz w:val="24"/>
          <w:szCs w:val="24"/>
        </w:rPr>
        <w:t xml:space="preserve">by both </w:t>
      </w:r>
      <w:r w:rsidR="00B035F6" w:rsidRPr="00104CC1">
        <w:rPr>
          <w:sz w:val="24"/>
          <w:szCs w:val="24"/>
        </w:rPr>
        <w:t>the Applicant and</w:t>
      </w:r>
      <w:r w:rsidR="00A718E9" w:rsidRPr="00104CC1">
        <w:rPr>
          <w:sz w:val="24"/>
          <w:szCs w:val="24"/>
        </w:rPr>
        <w:t xml:space="preserve"> </w:t>
      </w:r>
      <w:r w:rsidR="00A718E9">
        <w:rPr>
          <w:sz w:val="24"/>
          <w:szCs w:val="24"/>
        </w:rPr>
        <w:t xml:space="preserve">UMMMC </w:t>
      </w:r>
      <w:r w:rsidRPr="00104CC1">
        <w:rPr>
          <w:sz w:val="24"/>
          <w:szCs w:val="24"/>
        </w:rPr>
        <w:t xml:space="preserve">increased by </w:t>
      </w:r>
      <w:r w:rsidR="00693C64">
        <w:rPr>
          <w:sz w:val="24"/>
          <w:szCs w:val="24"/>
        </w:rPr>
        <w:t xml:space="preserve">about </w:t>
      </w:r>
      <w:r w:rsidRPr="00104CC1">
        <w:rPr>
          <w:sz w:val="24"/>
          <w:szCs w:val="24"/>
        </w:rPr>
        <w:t xml:space="preserve">6%. This is in part attributable to the population </w:t>
      </w:r>
      <w:r w:rsidR="00693C64">
        <w:rPr>
          <w:sz w:val="24"/>
          <w:szCs w:val="24"/>
        </w:rPr>
        <w:t>g</w:t>
      </w:r>
      <w:r w:rsidRPr="00104CC1">
        <w:rPr>
          <w:sz w:val="24"/>
          <w:szCs w:val="24"/>
        </w:rPr>
        <w:t xml:space="preserve">rowth </w:t>
      </w:r>
      <w:r w:rsidR="00693C64">
        <w:rPr>
          <w:sz w:val="24"/>
          <w:szCs w:val="24"/>
        </w:rPr>
        <w:t>experienced in</w:t>
      </w:r>
      <w:r w:rsidR="00693C64" w:rsidRPr="00104CC1">
        <w:rPr>
          <w:sz w:val="24"/>
          <w:szCs w:val="24"/>
        </w:rPr>
        <w:t xml:space="preserve"> </w:t>
      </w:r>
      <w:r w:rsidRPr="00104CC1">
        <w:rPr>
          <w:sz w:val="24"/>
          <w:szCs w:val="24"/>
        </w:rPr>
        <w:t xml:space="preserve">Central Massachusetts. </w:t>
      </w:r>
      <w:r w:rsidR="00560EB1" w:rsidRPr="00104CC1">
        <w:rPr>
          <w:sz w:val="24"/>
          <w:szCs w:val="24"/>
        </w:rPr>
        <w:t>The UMass Donohue Institute projects that the population of Central Massachusetts will grow by 2.3% between 2020 and 2025 and another 2.0% between 2025 and 2030.</w:t>
      </w:r>
    </w:p>
    <w:p w14:paraId="6645D318" w14:textId="67AE4095" w:rsidR="00104CC1" w:rsidRDefault="00693C64" w:rsidP="00104CC1">
      <w:pPr>
        <w:spacing w:line="240" w:lineRule="auto"/>
        <w:rPr>
          <w:sz w:val="24"/>
          <w:szCs w:val="24"/>
        </w:rPr>
      </w:pPr>
      <w:r>
        <w:rPr>
          <w:sz w:val="24"/>
          <w:szCs w:val="24"/>
        </w:rPr>
        <w:t>T</w:t>
      </w:r>
      <w:r w:rsidRPr="00104CC1">
        <w:rPr>
          <w:sz w:val="24"/>
          <w:szCs w:val="24"/>
        </w:rPr>
        <w:t xml:space="preserve">he </w:t>
      </w:r>
      <w:r w:rsidR="00373FEA">
        <w:rPr>
          <w:sz w:val="24"/>
          <w:szCs w:val="24"/>
        </w:rPr>
        <w:t xml:space="preserve">Applicant </w:t>
      </w:r>
      <w:r w:rsidRPr="00104CC1">
        <w:rPr>
          <w:sz w:val="24"/>
          <w:szCs w:val="24"/>
        </w:rPr>
        <w:t>anticipa</w:t>
      </w:r>
      <w:r>
        <w:rPr>
          <w:sz w:val="24"/>
          <w:szCs w:val="24"/>
        </w:rPr>
        <w:t>t</w:t>
      </w:r>
      <w:r w:rsidRPr="00104CC1">
        <w:rPr>
          <w:sz w:val="24"/>
          <w:szCs w:val="24"/>
        </w:rPr>
        <w:t xml:space="preserve">es </w:t>
      </w:r>
      <w:r w:rsidR="00104CC1" w:rsidRPr="00104CC1">
        <w:rPr>
          <w:sz w:val="24"/>
          <w:szCs w:val="24"/>
        </w:rPr>
        <w:t xml:space="preserve">long-term </w:t>
      </w:r>
      <w:r>
        <w:rPr>
          <w:sz w:val="24"/>
          <w:szCs w:val="24"/>
        </w:rPr>
        <w:t xml:space="preserve">population growth in central </w:t>
      </w:r>
      <w:r w:rsidR="00CF0522">
        <w:rPr>
          <w:sz w:val="24"/>
          <w:szCs w:val="24"/>
        </w:rPr>
        <w:t>Massachusetts</w:t>
      </w:r>
      <w:r w:rsidR="00CF0522" w:rsidRPr="00104CC1">
        <w:rPr>
          <w:sz w:val="24"/>
          <w:szCs w:val="24"/>
        </w:rPr>
        <w:t xml:space="preserve"> to</w:t>
      </w:r>
      <w:r w:rsidR="00104CC1" w:rsidRPr="00104CC1">
        <w:rPr>
          <w:sz w:val="24"/>
          <w:szCs w:val="24"/>
        </w:rPr>
        <w:t xml:space="preserve"> continue to place demands on the </w:t>
      </w:r>
      <w:r w:rsidR="00A718E9">
        <w:rPr>
          <w:sz w:val="24"/>
          <w:szCs w:val="24"/>
        </w:rPr>
        <w:t>University Campu</w:t>
      </w:r>
      <w:r w:rsidR="00104CC1" w:rsidRPr="00104CC1">
        <w:rPr>
          <w:sz w:val="24"/>
          <w:szCs w:val="24"/>
        </w:rPr>
        <w:t>s</w:t>
      </w:r>
      <w:r w:rsidR="00A718E9">
        <w:rPr>
          <w:sz w:val="24"/>
          <w:szCs w:val="24"/>
        </w:rPr>
        <w:t>’</w:t>
      </w:r>
      <w:r w:rsidR="00104CC1" w:rsidRPr="00104CC1">
        <w:rPr>
          <w:sz w:val="24"/>
          <w:szCs w:val="24"/>
        </w:rPr>
        <w:t xml:space="preserve"> overall and CT capacity.</w:t>
      </w:r>
      <w:r w:rsidR="00CB44B9">
        <w:rPr>
          <w:sz w:val="24"/>
          <w:szCs w:val="24"/>
        </w:rPr>
        <w:t xml:space="preserve"> </w:t>
      </w:r>
      <w:r w:rsidR="0054564C" w:rsidRPr="00A62216">
        <w:rPr>
          <w:sz w:val="24"/>
          <w:szCs w:val="24"/>
        </w:rPr>
        <w:t>Sg2</w:t>
      </w:r>
      <w:r w:rsidR="0054564C">
        <w:rPr>
          <w:sz w:val="24"/>
          <w:szCs w:val="24"/>
        </w:rPr>
        <w:t>, a</w:t>
      </w:r>
      <w:r w:rsidR="00CF0522" w:rsidRPr="00A62216">
        <w:rPr>
          <w:sz w:val="24"/>
          <w:szCs w:val="24"/>
        </w:rPr>
        <w:t xml:space="preserve"> proprietary market demand tool used by the Applicant,</w:t>
      </w:r>
      <w:r w:rsidR="00CF0522" w:rsidRPr="00A62216">
        <w:rPr>
          <w:rStyle w:val="FootnoteReference"/>
          <w:sz w:val="24"/>
          <w:szCs w:val="24"/>
        </w:rPr>
        <w:footnoteReference w:id="14"/>
      </w:r>
      <w:r w:rsidR="00CF0522" w:rsidRPr="00A62216">
        <w:rPr>
          <w:sz w:val="24"/>
          <w:szCs w:val="24"/>
        </w:rPr>
        <w:t xml:space="preserve"> projects overall outpatient CT growth in the Medical Center’s service area of about 1.2% per year over the next 5 to 10 years</w:t>
      </w:r>
      <w:r w:rsidR="00A62216">
        <w:rPr>
          <w:sz w:val="24"/>
          <w:szCs w:val="24"/>
        </w:rPr>
        <w:t xml:space="preserve">. The Applicant states it bases need </w:t>
      </w:r>
      <w:r w:rsidR="00AC10E5">
        <w:rPr>
          <w:sz w:val="24"/>
          <w:szCs w:val="24"/>
        </w:rPr>
        <w:t xml:space="preserve">for the </w:t>
      </w:r>
      <w:r w:rsidR="00D66883">
        <w:rPr>
          <w:sz w:val="24"/>
          <w:szCs w:val="24"/>
        </w:rPr>
        <w:t xml:space="preserve">ED </w:t>
      </w:r>
      <w:r w:rsidR="00AC10E5">
        <w:rPr>
          <w:sz w:val="24"/>
          <w:szCs w:val="24"/>
        </w:rPr>
        <w:t xml:space="preserve">CT unit </w:t>
      </w:r>
      <w:r w:rsidR="00A62216">
        <w:rPr>
          <w:sz w:val="24"/>
          <w:szCs w:val="24"/>
        </w:rPr>
        <w:t xml:space="preserve">on the </w:t>
      </w:r>
      <w:r w:rsidR="00AC10E5">
        <w:rPr>
          <w:sz w:val="24"/>
          <w:szCs w:val="24"/>
        </w:rPr>
        <w:t xml:space="preserve">current </w:t>
      </w:r>
      <w:r w:rsidR="00981EA4">
        <w:rPr>
          <w:sz w:val="24"/>
          <w:szCs w:val="24"/>
        </w:rPr>
        <w:t xml:space="preserve">emergent </w:t>
      </w:r>
      <w:r w:rsidR="00AC10E5">
        <w:rPr>
          <w:sz w:val="24"/>
          <w:szCs w:val="24"/>
        </w:rPr>
        <w:t>excess</w:t>
      </w:r>
      <w:r w:rsidR="00A62216">
        <w:rPr>
          <w:sz w:val="24"/>
          <w:szCs w:val="24"/>
        </w:rPr>
        <w:t xml:space="preserve"> demand for CT in the ED which</w:t>
      </w:r>
      <w:r w:rsidR="00981EA4">
        <w:rPr>
          <w:sz w:val="24"/>
          <w:szCs w:val="24"/>
        </w:rPr>
        <w:t>,</w:t>
      </w:r>
      <w:r w:rsidR="00AC10E5">
        <w:rPr>
          <w:sz w:val="24"/>
          <w:szCs w:val="24"/>
        </w:rPr>
        <w:t xml:space="preserve"> as described above</w:t>
      </w:r>
      <w:r w:rsidR="00981EA4">
        <w:rPr>
          <w:sz w:val="24"/>
          <w:szCs w:val="24"/>
        </w:rPr>
        <w:t>,</w:t>
      </w:r>
      <w:r w:rsidR="00A62216">
        <w:rPr>
          <w:sz w:val="24"/>
          <w:szCs w:val="24"/>
        </w:rPr>
        <w:t xml:space="preserve"> well exceeds </w:t>
      </w:r>
      <w:r w:rsidR="00D66883">
        <w:rPr>
          <w:sz w:val="24"/>
          <w:szCs w:val="24"/>
        </w:rPr>
        <w:t xml:space="preserve">current </w:t>
      </w:r>
      <w:r w:rsidR="00A62216">
        <w:rPr>
          <w:sz w:val="24"/>
          <w:szCs w:val="24"/>
        </w:rPr>
        <w:t>capacity</w:t>
      </w:r>
      <w:r w:rsidR="00AC10E5">
        <w:rPr>
          <w:sz w:val="24"/>
          <w:szCs w:val="24"/>
        </w:rPr>
        <w:t>.</w:t>
      </w:r>
      <w:r w:rsidR="00A62216">
        <w:rPr>
          <w:sz w:val="24"/>
          <w:szCs w:val="24"/>
        </w:rPr>
        <w:t xml:space="preserve"> </w:t>
      </w:r>
    </w:p>
    <w:p w14:paraId="01081519" w14:textId="5FAFB69C" w:rsidR="00104CC1" w:rsidRPr="00104CC1" w:rsidRDefault="00104CC1" w:rsidP="00104CC1">
      <w:pPr>
        <w:spacing w:line="240" w:lineRule="auto"/>
        <w:rPr>
          <w:sz w:val="24"/>
          <w:szCs w:val="24"/>
        </w:rPr>
      </w:pPr>
      <w:r w:rsidRPr="00104CC1">
        <w:rPr>
          <w:sz w:val="24"/>
          <w:szCs w:val="24"/>
        </w:rPr>
        <w:t xml:space="preserve">In Summary, </w:t>
      </w:r>
      <w:r w:rsidR="004731AA">
        <w:rPr>
          <w:sz w:val="24"/>
          <w:szCs w:val="24"/>
        </w:rPr>
        <w:t xml:space="preserve">the Applicant asserts that </w:t>
      </w:r>
      <w:r w:rsidRPr="00104CC1">
        <w:rPr>
          <w:sz w:val="24"/>
          <w:szCs w:val="24"/>
        </w:rPr>
        <w:t xml:space="preserve">with the existing units operating </w:t>
      </w:r>
      <w:r w:rsidR="008F60DA">
        <w:rPr>
          <w:sz w:val="24"/>
          <w:szCs w:val="24"/>
        </w:rPr>
        <w:t>above</w:t>
      </w:r>
      <w:r w:rsidRPr="00104CC1">
        <w:rPr>
          <w:sz w:val="24"/>
          <w:szCs w:val="24"/>
        </w:rPr>
        <w:t xml:space="preserve"> capacity, the University Campus requires an additional CT to provide redundancy in its ED and ensure timely access for stroke and trauma patients and reduce wait times for all ED patients. This access will improve care delivery for all ED patients and allow the </w:t>
      </w:r>
      <w:r w:rsidR="00373FEA">
        <w:rPr>
          <w:sz w:val="24"/>
          <w:szCs w:val="24"/>
        </w:rPr>
        <w:t xml:space="preserve">University Campus </w:t>
      </w:r>
      <w:r w:rsidRPr="00104CC1">
        <w:rPr>
          <w:sz w:val="24"/>
          <w:szCs w:val="24"/>
        </w:rPr>
        <w:t xml:space="preserve">to avoid unnecessary </w:t>
      </w:r>
      <w:r w:rsidRPr="00104CC1">
        <w:rPr>
          <w:sz w:val="24"/>
          <w:szCs w:val="24"/>
        </w:rPr>
        <w:lastRenderedPageBreak/>
        <w:t>disruption for scheduled out</w:t>
      </w:r>
      <w:r w:rsidR="004731AA">
        <w:rPr>
          <w:sz w:val="24"/>
          <w:szCs w:val="24"/>
        </w:rPr>
        <w:t xml:space="preserve">- </w:t>
      </w:r>
      <w:r w:rsidRPr="00104CC1">
        <w:rPr>
          <w:sz w:val="24"/>
          <w:szCs w:val="24"/>
        </w:rPr>
        <w:t xml:space="preserve">and inpatients requiring CT. Overall access to diagnosis and treatment and health outcomes will be improved by adding a unit in the ED. Without an additional unit, the </w:t>
      </w:r>
      <w:r w:rsidR="00A718E9">
        <w:rPr>
          <w:sz w:val="24"/>
          <w:szCs w:val="24"/>
        </w:rPr>
        <w:t>University Campus</w:t>
      </w:r>
      <w:r w:rsidRPr="00104CC1">
        <w:rPr>
          <w:sz w:val="24"/>
          <w:szCs w:val="24"/>
        </w:rPr>
        <w:t xml:space="preserve"> will not be able to meet </w:t>
      </w:r>
      <w:r w:rsidR="004731AA">
        <w:rPr>
          <w:sz w:val="24"/>
          <w:szCs w:val="24"/>
        </w:rPr>
        <w:t xml:space="preserve">future </w:t>
      </w:r>
      <w:r w:rsidRPr="00104CC1">
        <w:rPr>
          <w:sz w:val="24"/>
          <w:szCs w:val="24"/>
        </w:rPr>
        <w:t>projected CT demand.</w:t>
      </w:r>
    </w:p>
    <w:p w14:paraId="2E1E0AF1" w14:textId="77777777" w:rsidR="00104CC1" w:rsidRPr="00104CC1" w:rsidRDefault="00104CC1" w:rsidP="00104CC1">
      <w:pPr>
        <w:spacing w:line="240" w:lineRule="auto"/>
        <w:rPr>
          <w:sz w:val="24"/>
          <w:szCs w:val="24"/>
        </w:rPr>
      </w:pPr>
      <w:r w:rsidRPr="00104CC1">
        <w:rPr>
          <w:b/>
          <w:i/>
          <w:sz w:val="24"/>
          <w:szCs w:val="24"/>
        </w:rPr>
        <w:t>Analysis</w:t>
      </w:r>
    </w:p>
    <w:p w14:paraId="5196957E" w14:textId="7679F0F7" w:rsidR="00104CC1" w:rsidRPr="00104CC1" w:rsidRDefault="00104CC1" w:rsidP="00104CC1">
      <w:pPr>
        <w:spacing w:line="240" w:lineRule="auto"/>
        <w:rPr>
          <w:sz w:val="24"/>
          <w:szCs w:val="24"/>
        </w:rPr>
      </w:pPr>
      <w:r w:rsidRPr="00104CC1">
        <w:rPr>
          <w:sz w:val="24"/>
          <w:szCs w:val="24"/>
        </w:rPr>
        <w:t xml:space="preserve">Staff has reviewed the Applicant’s explanations for the need for an additional CT for the ED. The </w:t>
      </w:r>
      <w:r w:rsidR="00A718E9">
        <w:rPr>
          <w:sz w:val="24"/>
          <w:szCs w:val="24"/>
        </w:rPr>
        <w:t>University Campu</w:t>
      </w:r>
      <w:r w:rsidR="00CB67B9">
        <w:rPr>
          <w:sz w:val="24"/>
          <w:szCs w:val="24"/>
        </w:rPr>
        <w:t>s</w:t>
      </w:r>
      <w:r w:rsidR="00A718E9">
        <w:rPr>
          <w:sz w:val="24"/>
          <w:szCs w:val="24"/>
        </w:rPr>
        <w:t>’</w:t>
      </w:r>
      <w:r w:rsidR="00CB67B9">
        <w:rPr>
          <w:sz w:val="24"/>
          <w:szCs w:val="24"/>
        </w:rPr>
        <w:t xml:space="preserve"> </w:t>
      </w:r>
      <w:r w:rsidRPr="00104CC1">
        <w:rPr>
          <w:sz w:val="24"/>
          <w:szCs w:val="24"/>
        </w:rPr>
        <w:t>designat</w:t>
      </w:r>
      <w:r w:rsidR="00CB67B9">
        <w:rPr>
          <w:sz w:val="24"/>
          <w:szCs w:val="24"/>
        </w:rPr>
        <w:t>ion</w:t>
      </w:r>
      <w:r w:rsidRPr="00104CC1">
        <w:rPr>
          <w:sz w:val="24"/>
          <w:szCs w:val="24"/>
        </w:rPr>
        <w:t xml:space="preserve"> a</w:t>
      </w:r>
      <w:r w:rsidR="008E6B1B">
        <w:rPr>
          <w:sz w:val="24"/>
          <w:szCs w:val="24"/>
        </w:rPr>
        <w:t>s</w:t>
      </w:r>
      <w:r w:rsidRPr="00104CC1">
        <w:rPr>
          <w:sz w:val="24"/>
          <w:szCs w:val="24"/>
        </w:rPr>
        <w:t xml:space="preserve"> a Stroke center and Level I trauma center for both Adults and Pediatric patients underscores the necessity for one additional CT dedicated to ED patients. </w:t>
      </w:r>
      <w:r w:rsidR="0054564C">
        <w:rPr>
          <w:sz w:val="24"/>
          <w:szCs w:val="24"/>
        </w:rPr>
        <w:t>Based on its current volume, the second unit is justified as it would be utilized at capacity within the first year.</w:t>
      </w:r>
      <w:r w:rsidR="0054564C">
        <w:rPr>
          <w:rStyle w:val="FootnoteReference"/>
          <w:sz w:val="24"/>
          <w:szCs w:val="24"/>
        </w:rPr>
        <w:footnoteReference w:id="15"/>
      </w:r>
      <w:r w:rsidR="0054564C">
        <w:rPr>
          <w:sz w:val="24"/>
          <w:szCs w:val="24"/>
        </w:rPr>
        <w:t xml:space="preserve">  </w:t>
      </w:r>
      <w:bookmarkStart w:id="1" w:name="_Hlk98831669"/>
      <w:r w:rsidR="00577910">
        <w:rPr>
          <w:sz w:val="24"/>
          <w:szCs w:val="24"/>
        </w:rPr>
        <w:t xml:space="preserve">Staff notes that the </w:t>
      </w:r>
      <w:r w:rsidR="00A718E9">
        <w:rPr>
          <w:sz w:val="24"/>
          <w:szCs w:val="24"/>
        </w:rPr>
        <w:t>existing</w:t>
      </w:r>
      <w:r w:rsidR="008E6B1B">
        <w:rPr>
          <w:sz w:val="24"/>
          <w:szCs w:val="24"/>
        </w:rPr>
        <w:t xml:space="preserve"> </w:t>
      </w:r>
      <w:r w:rsidR="00577910">
        <w:rPr>
          <w:sz w:val="24"/>
          <w:szCs w:val="24"/>
        </w:rPr>
        <w:t>units have been operating over capacity</w:t>
      </w:r>
      <w:r w:rsidR="004F2E15">
        <w:rPr>
          <w:sz w:val="24"/>
          <w:szCs w:val="24"/>
        </w:rPr>
        <w:t xml:space="preserve">. Of the emergency scans conducted in FY21, </w:t>
      </w:r>
      <w:r w:rsidR="00EF63DF">
        <w:rPr>
          <w:sz w:val="24"/>
          <w:szCs w:val="24"/>
        </w:rPr>
        <w:t xml:space="preserve">6,920 (18.4%) </w:t>
      </w:r>
      <w:r w:rsidR="003C1543">
        <w:rPr>
          <w:sz w:val="24"/>
          <w:szCs w:val="24"/>
        </w:rPr>
        <w:t xml:space="preserve">required </w:t>
      </w:r>
      <w:r w:rsidR="00EF63DF">
        <w:rPr>
          <w:sz w:val="24"/>
          <w:szCs w:val="24"/>
        </w:rPr>
        <w:t>transport</w:t>
      </w:r>
      <w:r w:rsidR="000E268A">
        <w:rPr>
          <w:sz w:val="24"/>
          <w:szCs w:val="24"/>
        </w:rPr>
        <w:t>ing the patient</w:t>
      </w:r>
      <w:r w:rsidR="00EF63DF">
        <w:rPr>
          <w:sz w:val="24"/>
          <w:szCs w:val="24"/>
        </w:rPr>
        <w:t xml:space="preserve"> to </w:t>
      </w:r>
      <w:r w:rsidR="000E268A">
        <w:rPr>
          <w:sz w:val="24"/>
          <w:szCs w:val="24"/>
        </w:rPr>
        <w:t>one of the other Hospital Units; the majority being performed on the inpatient unit to reduce the downstream impact of having to reschedule outpatients</w:t>
      </w:r>
      <w:r w:rsidR="004731AA">
        <w:rPr>
          <w:sz w:val="24"/>
          <w:szCs w:val="24"/>
        </w:rPr>
        <w:t xml:space="preserve">. </w:t>
      </w:r>
      <w:bookmarkEnd w:id="1"/>
      <w:r w:rsidR="00EF63DF">
        <w:rPr>
          <w:sz w:val="24"/>
          <w:szCs w:val="24"/>
        </w:rPr>
        <w:t>Additionally,</w:t>
      </w:r>
      <w:r w:rsidR="00577910">
        <w:rPr>
          <w:sz w:val="24"/>
          <w:szCs w:val="24"/>
        </w:rPr>
        <w:t xml:space="preserve"> </w:t>
      </w:r>
      <w:r w:rsidR="00EF63DF">
        <w:rPr>
          <w:sz w:val="24"/>
          <w:szCs w:val="24"/>
        </w:rPr>
        <w:t>h</w:t>
      </w:r>
      <w:r w:rsidR="004731AA">
        <w:rPr>
          <w:sz w:val="24"/>
          <w:szCs w:val="24"/>
        </w:rPr>
        <w:t>istoric</w:t>
      </w:r>
      <w:r w:rsidRPr="00104CC1">
        <w:rPr>
          <w:sz w:val="24"/>
          <w:szCs w:val="24"/>
        </w:rPr>
        <w:t xml:space="preserve"> </w:t>
      </w:r>
      <w:r w:rsidR="00EF63DF">
        <w:rPr>
          <w:sz w:val="24"/>
          <w:szCs w:val="24"/>
        </w:rPr>
        <w:t>wait times have increase</w:t>
      </w:r>
      <w:r w:rsidR="00CB59D0">
        <w:rPr>
          <w:sz w:val="24"/>
          <w:szCs w:val="24"/>
        </w:rPr>
        <w:t>d</w:t>
      </w:r>
      <w:r w:rsidR="00EF63DF">
        <w:rPr>
          <w:sz w:val="24"/>
          <w:szCs w:val="24"/>
        </w:rPr>
        <w:t xml:space="preserve"> 41% over </w:t>
      </w:r>
      <w:r w:rsidR="0084248F" w:rsidRPr="00104CC1">
        <w:rPr>
          <w:sz w:val="24"/>
          <w:szCs w:val="24"/>
        </w:rPr>
        <w:t>three</w:t>
      </w:r>
      <w:r w:rsidR="00EF63DF">
        <w:rPr>
          <w:sz w:val="24"/>
          <w:szCs w:val="24"/>
        </w:rPr>
        <w:t xml:space="preserve"> </w:t>
      </w:r>
      <w:r w:rsidR="0084248F" w:rsidRPr="00104CC1">
        <w:rPr>
          <w:sz w:val="24"/>
          <w:szCs w:val="24"/>
        </w:rPr>
        <w:t>year</w:t>
      </w:r>
      <w:r w:rsidR="00EF63DF">
        <w:rPr>
          <w:sz w:val="24"/>
          <w:szCs w:val="24"/>
        </w:rPr>
        <w:t>s</w:t>
      </w:r>
      <w:r w:rsidR="00CB59D0">
        <w:rPr>
          <w:sz w:val="24"/>
          <w:szCs w:val="24"/>
        </w:rPr>
        <w:t>,</w:t>
      </w:r>
      <w:r w:rsidRPr="00104CC1">
        <w:rPr>
          <w:sz w:val="24"/>
          <w:szCs w:val="24"/>
        </w:rPr>
        <w:t xml:space="preserve"> </w:t>
      </w:r>
      <w:r w:rsidR="00577910">
        <w:rPr>
          <w:sz w:val="24"/>
          <w:szCs w:val="24"/>
        </w:rPr>
        <w:t>which</w:t>
      </w:r>
      <w:r w:rsidRPr="00104CC1">
        <w:rPr>
          <w:sz w:val="24"/>
          <w:szCs w:val="24"/>
        </w:rPr>
        <w:t xml:space="preserve"> has potential adverse </w:t>
      </w:r>
      <w:r w:rsidR="00CB59D0">
        <w:rPr>
          <w:sz w:val="24"/>
          <w:szCs w:val="24"/>
        </w:rPr>
        <w:t>im</w:t>
      </w:r>
      <w:r w:rsidRPr="00104CC1">
        <w:rPr>
          <w:sz w:val="24"/>
          <w:szCs w:val="24"/>
        </w:rPr>
        <w:t xml:space="preserve">pact on patients who </w:t>
      </w:r>
      <w:r w:rsidR="002E19F0">
        <w:rPr>
          <w:sz w:val="24"/>
          <w:szCs w:val="24"/>
        </w:rPr>
        <w:t xml:space="preserve">require </w:t>
      </w:r>
      <w:r w:rsidRPr="00104CC1">
        <w:rPr>
          <w:sz w:val="24"/>
          <w:szCs w:val="24"/>
        </w:rPr>
        <w:t>emergent scans.</w:t>
      </w:r>
      <w:r w:rsidR="002E19F0">
        <w:rPr>
          <w:sz w:val="24"/>
          <w:szCs w:val="24"/>
        </w:rPr>
        <w:t xml:space="preserve"> Moreover</w:t>
      </w:r>
      <w:r w:rsidR="004731AA">
        <w:rPr>
          <w:sz w:val="24"/>
          <w:szCs w:val="24"/>
        </w:rPr>
        <w:t>, o</w:t>
      </w:r>
      <w:r w:rsidRPr="00104CC1">
        <w:rPr>
          <w:sz w:val="24"/>
          <w:szCs w:val="24"/>
        </w:rPr>
        <w:t xml:space="preserve">veruse of the existing unit leads to more downtime and repairs, resulting in backlogs, </w:t>
      </w:r>
      <w:r w:rsidR="008E6B1B">
        <w:rPr>
          <w:sz w:val="24"/>
          <w:szCs w:val="24"/>
        </w:rPr>
        <w:t>further</w:t>
      </w:r>
      <w:r w:rsidR="008E6B1B" w:rsidRPr="00104CC1">
        <w:rPr>
          <w:sz w:val="24"/>
          <w:szCs w:val="24"/>
        </w:rPr>
        <w:t xml:space="preserve"> </w:t>
      </w:r>
      <w:r w:rsidRPr="00104CC1">
        <w:rPr>
          <w:sz w:val="24"/>
          <w:szCs w:val="24"/>
        </w:rPr>
        <w:t>exacerbating an already problematic shortage of capacity, and potentially shortening the l</w:t>
      </w:r>
      <w:r w:rsidR="004731AA">
        <w:rPr>
          <w:sz w:val="24"/>
          <w:szCs w:val="24"/>
        </w:rPr>
        <w:t xml:space="preserve">ifespan of the existing unit. </w:t>
      </w:r>
      <w:r w:rsidRPr="00104CC1">
        <w:rPr>
          <w:sz w:val="24"/>
          <w:szCs w:val="24"/>
        </w:rPr>
        <w:t>Upon review of the Applicant</w:t>
      </w:r>
      <w:r w:rsidR="00CB59D0">
        <w:rPr>
          <w:sz w:val="24"/>
          <w:szCs w:val="24"/>
        </w:rPr>
        <w:t>’</w:t>
      </w:r>
      <w:r w:rsidRPr="00104CC1">
        <w:rPr>
          <w:sz w:val="24"/>
          <w:szCs w:val="24"/>
        </w:rPr>
        <w:t xml:space="preserve">s historical </w:t>
      </w:r>
      <w:r w:rsidR="00EF63DF" w:rsidRPr="00104CC1">
        <w:rPr>
          <w:sz w:val="24"/>
          <w:szCs w:val="24"/>
        </w:rPr>
        <w:t>volume</w:t>
      </w:r>
      <w:r w:rsidR="00EF63DF">
        <w:rPr>
          <w:sz w:val="24"/>
          <w:szCs w:val="24"/>
        </w:rPr>
        <w:t xml:space="preserve"> and</w:t>
      </w:r>
      <w:r w:rsidRPr="00104CC1">
        <w:rPr>
          <w:sz w:val="24"/>
          <w:szCs w:val="24"/>
        </w:rPr>
        <w:t xml:space="preserve"> using that as the basis for the need for a second </w:t>
      </w:r>
      <w:r w:rsidR="002E19F0">
        <w:rPr>
          <w:sz w:val="24"/>
          <w:szCs w:val="24"/>
        </w:rPr>
        <w:t xml:space="preserve">dedicated </w:t>
      </w:r>
      <w:r w:rsidRPr="00104CC1">
        <w:rPr>
          <w:sz w:val="24"/>
          <w:szCs w:val="24"/>
        </w:rPr>
        <w:t xml:space="preserve">CT </w:t>
      </w:r>
      <w:r w:rsidR="002E19F0">
        <w:rPr>
          <w:sz w:val="24"/>
          <w:szCs w:val="24"/>
        </w:rPr>
        <w:t>in</w:t>
      </w:r>
      <w:r w:rsidRPr="00104CC1">
        <w:rPr>
          <w:sz w:val="24"/>
          <w:szCs w:val="24"/>
        </w:rPr>
        <w:t xml:space="preserve"> the ED, Staff finds that the Applicant has made a </w:t>
      </w:r>
      <w:r w:rsidR="004731AA">
        <w:rPr>
          <w:sz w:val="24"/>
          <w:szCs w:val="24"/>
        </w:rPr>
        <w:t xml:space="preserve">credible </w:t>
      </w:r>
      <w:r w:rsidRPr="00104CC1">
        <w:rPr>
          <w:sz w:val="24"/>
          <w:szCs w:val="24"/>
        </w:rPr>
        <w:t>argument for the need for an additional CT</w:t>
      </w:r>
      <w:r w:rsidR="004731AA">
        <w:rPr>
          <w:sz w:val="24"/>
          <w:szCs w:val="24"/>
        </w:rPr>
        <w:t>, and has met the standards of Factor 1</w:t>
      </w:r>
      <w:r w:rsidR="00394940">
        <w:rPr>
          <w:sz w:val="24"/>
          <w:szCs w:val="24"/>
        </w:rPr>
        <w:t>(</w:t>
      </w:r>
      <w:r w:rsidR="004731AA">
        <w:rPr>
          <w:sz w:val="24"/>
          <w:szCs w:val="24"/>
        </w:rPr>
        <w:t>a</w:t>
      </w:r>
      <w:r w:rsidR="00394940">
        <w:rPr>
          <w:sz w:val="24"/>
          <w:szCs w:val="24"/>
        </w:rPr>
        <w:t>)</w:t>
      </w:r>
      <w:r w:rsidR="004731AA">
        <w:rPr>
          <w:sz w:val="24"/>
          <w:szCs w:val="24"/>
        </w:rPr>
        <w:t>.</w:t>
      </w:r>
      <w:r w:rsidR="002E19F0">
        <w:rPr>
          <w:sz w:val="24"/>
          <w:szCs w:val="24"/>
        </w:rPr>
        <w:t xml:space="preserve"> </w:t>
      </w:r>
    </w:p>
    <w:p w14:paraId="66AEBF24" w14:textId="2BFD1081" w:rsidR="002051F6" w:rsidRPr="002051F6" w:rsidRDefault="002051F6" w:rsidP="002051F6">
      <w:pPr>
        <w:pStyle w:val="Heading2"/>
        <w:ind w:left="0"/>
        <w:rPr>
          <w:b/>
        </w:rPr>
      </w:pPr>
      <w:r w:rsidRPr="002051F6">
        <w:rPr>
          <w:b/>
        </w:rPr>
        <w:t>F</w:t>
      </w:r>
      <w:r w:rsidR="008A0CB0">
        <w:rPr>
          <w:b/>
        </w:rPr>
        <w:t>a</w:t>
      </w:r>
      <w:r w:rsidRPr="002051F6">
        <w:rPr>
          <w:b/>
        </w:rPr>
        <w:t>ctor 1: b) Public Health Value</w:t>
      </w:r>
      <w:r w:rsidR="00577910">
        <w:rPr>
          <w:b/>
        </w:rPr>
        <w:t xml:space="preserve">, Improved Quality </w:t>
      </w:r>
      <w:r w:rsidR="00CD0865">
        <w:rPr>
          <w:b/>
        </w:rPr>
        <w:t>o</w:t>
      </w:r>
      <w:r w:rsidR="00577910">
        <w:rPr>
          <w:b/>
        </w:rPr>
        <w:t xml:space="preserve">f Life and </w:t>
      </w:r>
      <w:r w:rsidRPr="002051F6">
        <w:rPr>
          <w:b/>
        </w:rPr>
        <w:t xml:space="preserve">Health Outcomes, Assurances </w:t>
      </w:r>
      <w:r w:rsidR="00623763">
        <w:rPr>
          <w:b/>
        </w:rPr>
        <w:t>o</w:t>
      </w:r>
      <w:r w:rsidRPr="002051F6">
        <w:rPr>
          <w:b/>
        </w:rPr>
        <w:t xml:space="preserve">f Health Equity </w:t>
      </w:r>
    </w:p>
    <w:p w14:paraId="2BB47EC5" w14:textId="77777777" w:rsidR="002051F6" w:rsidRDefault="002051F6" w:rsidP="002051F6">
      <w:pPr>
        <w:spacing w:after="0" w:line="240" w:lineRule="auto"/>
        <w:rPr>
          <w:sz w:val="24"/>
          <w:szCs w:val="24"/>
        </w:rPr>
      </w:pPr>
    </w:p>
    <w:p w14:paraId="592F80EE" w14:textId="6F107593" w:rsidR="002815B9" w:rsidRDefault="002815B9" w:rsidP="002815B9">
      <w:pPr>
        <w:spacing w:after="0" w:line="240" w:lineRule="auto"/>
        <w:rPr>
          <w:sz w:val="24"/>
          <w:szCs w:val="24"/>
        </w:rPr>
      </w:pPr>
      <w:r w:rsidRPr="002815B9">
        <w:rPr>
          <w:sz w:val="24"/>
          <w:szCs w:val="24"/>
        </w:rPr>
        <w:t>The Applicant asserts that the Proposed Project aims to improve health outcomes and quality of life through the provision of timely CT imaging</w:t>
      </w:r>
      <w:r w:rsidR="00E65F6E">
        <w:rPr>
          <w:sz w:val="24"/>
          <w:szCs w:val="24"/>
        </w:rPr>
        <w:t>,</w:t>
      </w:r>
      <w:r w:rsidRPr="002815B9">
        <w:rPr>
          <w:sz w:val="24"/>
          <w:szCs w:val="24"/>
        </w:rPr>
        <w:t xml:space="preserve"> which will reduce length of stay in the ED and lead to earlier diagnosis and treatment</w:t>
      </w:r>
      <w:r w:rsidR="00E65F6E">
        <w:rPr>
          <w:sz w:val="24"/>
          <w:szCs w:val="24"/>
        </w:rPr>
        <w:t>,</w:t>
      </w:r>
      <w:r w:rsidRPr="002815B9">
        <w:rPr>
          <w:sz w:val="24"/>
          <w:szCs w:val="24"/>
        </w:rPr>
        <w:t xml:space="preserve"> thereby improving</w:t>
      </w:r>
      <w:r w:rsidR="00A62216">
        <w:rPr>
          <w:sz w:val="24"/>
          <w:szCs w:val="24"/>
        </w:rPr>
        <w:t xml:space="preserve"> </w:t>
      </w:r>
      <w:r w:rsidRPr="002815B9">
        <w:rPr>
          <w:sz w:val="24"/>
          <w:szCs w:val="24"/>
        </w:rPr>
        <w:t xml:space="preserve">quality of life. To demonstrate improved public health value and quality of life, the Applicant provided a brief description of well documented clinical utility of CT technology overall, </w:t>
      </w:r>
      <w:r w:rsidR="00AC10E5" w:rsidRPr="002815B9">
        <w:rPr>
          <w:sz w:val="24"/>
          <w:szCs w:val="24"/>
        </w:rPr>
        <w:t>and</w:t>
      </w:r>
      <w:r w:rsidRPr="002815B9">
        <w:rPr>
          <w:sz w:val="24"/>
          <w:szCs w:val="24"/>
        </w:rPr>
        <w:t xml:space="preserve"> why it is the preferred imaging modality in the ED as summarized below.</w:t>
      </w:r>
    </w:p>
    <w:p w14:paraId="7F140A36" w14:textId="77777777" w:rsidR="00577910" w:rsidRPr="002815B9" w:rsidRDefault="00577910" w:rsidP="002815B9">
      <w:pPr>
        <w:spacing w:after="0" w:line="240" w:lineRule="auto"/>
        <w:rPr>
          <w:sz w:val="24"/>
          <w:szCs w:val="24"/>
        </w:rPr>
      </w:pPr>
    </w:p>
    <w:p w14:paraId="46B4544D" w14:textId="49529A1A" w:rsidR="002815B9" w:rsidRPr="002815B9" w:rsidRDefault="002815B9" w:rsidP="002815B9">
      <w:pPr>
        <w:spacing w:after="0" w:line="240" w:lineRule="auto"/>
        <w:rPr>
          <w:sz w:val="24"/>
          <w:szCs w:val="24"/>
        </w:rPr>
      </w:pPr>
      <w:r w:rsidRPr="002815B9">
        <w:rPr>
          <w:sz w:val="24"/>
          <w:szCs w:val="24"/>
        </w:rPr>
        <w:t xml:space="preserve">CT is a form of x-ray that creates a series images in “slices” </w:t>
      </w:r>
      <w:r w:rsidR="008E6B1B">
        <w:rPr>
          <w:sz w:val="24"/>
          <w:szCs w:val="24"/>
        </w:rPr>
        <w:t xml:space="preserve">from which </w:t>
      </w:r>
      <w:r w:rsidRPr="002815B9">
        <w:rPr>
          <w:sz w:val="24"/>
          <w:szCs w:val="24"/>
        </w:rPr>
        <w:t>detailed 3D internal images</w:t>
      </w:r>
      <w:r w:rsidRPr="002815B9">
        <w:rPr>
          <w:sz w:val="24"/>
          <w:szCs w:val="24"/>
          <w:vertAlign w:val="superscript"/>
        </w:rPr>
        <w:endnoteReference w:id="1"/>
      </w:r>
      <w:r w:rsidRPr="002815B9">
        <w:rPr>
          <w:sz w:val="24"/>
          <w:szCs w:val="24"/>
        </w:rPr>
        <w:t xml:space="preserve"> of soft tissue and blood vessels, internal organs, and bone</w:t>
      </w:r>
      <w:r w:rsidR="008E6B1B">
        <w:rPr>
          <w:sz w:val="24"/>
          <w:szCs w:val="24"/>
        </w:rPr>
        <w:t xml:space="preserve"> are developed</w:t>
      </w:r>
      <w:r w:rsidRPr="002815B9">
        <w:rPr>
          <w:sz w:val="24"/>
          <w:szCs w:val="24"/>
        </w:rPr>
        <w:t>.</w:t>
      </w:r>
      <w:r w:rsidRPr="002815B9">
        <w:rPr>
          <w:sz w:val="24"/>
          <w:szCs w:val="24"/>
          <w:vertAlign w:val="superscript"/>
        </w:rPr>
        <w:endnoteReference w:id="2"/>
      </w:r>
      <w:r w:rsidRPr="002815B9">
        <w:rPr>
          <w:sz w:val="24"/>
          <w:szCs w:val="24"/>
        </w:rPr>
        <w:t xml:space="preserve"> The 3-dimensional image can be rotated and the slices viewed in succession in order to precisely pinpoint the location of an abnormality.</w:t>
      </w:r>
      <w:r w:rsidRPr="002815B9">
        <w:rPr>
          <w:sz w:val="24"/>
          <w:szCs w:val="24"/>
          <w:vertAlign w:val="superscript"/>
        </w:rPr>
        <w:endnoteReference w:id="3"/>
      </w:r>
      <w:r w:rsidRPr="002815B9">
        <w:rPr>
          <w:sz w:val="24"/>
          <w:szCs w:val="24"/>
        </w:rPr>
        <w:t xml:space="preserve"> CT is used to diagnose such abnormalities as cancerous tumors or the type of stroke a patient is experiencing.</w:t>
      </w:r>
      <w:r w:rsidRPr="002815B9">
        <w:rPr>
          <w:sz w:val="24"/>
          <w:szCs w:val="24"/>
          <w:vertAlign w:val="superscript"/>
        </w:rPr>
        <w:endnoteReference w:id="4"/>
      </w:r>
      <w:r w:rsidRPr="002815B9">
        <w:rPr>
          <w:sz w:val="24"/>
          <w:szCs w:val="24"/>
        </w:rPr>
        <w:t xml:space="preserve"> The level of detail provided in a CT image and the speed at which the scan can be completed, has made CT integral to </w:t>
      </w:r>
      <w:r w:rsidR="0013588C">
        <w:rPr>
          <w:sz w:val="24"/>
          <w:szCs w:val="24"/>
        </w:rPr>
        <w:t xml:space="preserve">both </w:t>
      </w:r>
      <w:r w:rsidRPr="002815B9">
        <w:rPr>
          <w:sz w:val="24"/>
          <w:szCs w:val="24"/>
        </w:rPr>
        <w:t>in- and outpatient care.</w:t>
      </w:r>
      <w:r w:rsidRPr="002815B9">
        <w:rPr>
          <w:sz w:val="24"/>
          <w:szCs w:val="24"/>
          <w:vertAlign w:val="superscript"/>
        </w:rPr>
        <w:t>9</w:t>
      </w:r>
      <w:r w:rsidRPr="002815B9">
        <w:rPr>
          <w:sz w:val="24"/>
          <w:szCs w:val="24"/>
        </w:rPr>
        <w:t xml:space="preserve"> </w:t>
      </w:r>
    </w:p>
    <w:p w14:paraId="0F12E245" w14:textId="77777777" w:rsidR="002815B9" w:rsidRPr="002815B9" w:rsidRDefault="002815B9" w:rsidP="002815B9">
      <w:pPr>
        <w:spacing w:after="0" w:line="240" w:lineRule="auto"/>
        <w:rPr>
          <w:sz w:val="24"/>
          <w:szCs w:val="24"/>
        </w:rPr>
      </w:pPr>
    </w:p>
    <w:p w14:paraId="430713A8" w14:textId="72FD78BA" w:rsidR="002815B9" w:rsidRPr="002815B9" w:rsidRDefault="002815B9" w:rsidP="002815B9">
      <w:pPr>
        <w:spacing w:after="0" w:line="240" w:lineRule="auto"/>
        <w:rPr>
          <w:sz w:val="24"/>
          <w:szCs w:val="24"/>
        </w:rPr>
      </w:pPr>
      <w:r w:rsidRPr="002815B9">
        <w:rPr>
          <w:sz w:val="24"/>
          <w:szCs w:val="24"/>
        </w:rPr>
        <w:t>Since CT imaging is an important diagnostic tool because of its speed, accuracy,</w:t>
      </w:r>
      <w:r w:rsidRPr="002815B9">
        <w:rPr>
          <w:sz w:val="24"/>
          <w:szCs w:val="24"/>
          <w:vertAlign w:val="superscript"/>
        </w:rPr>
        <w:endnoteReference w:id="5"/>
      </w:r>
      <w:r w:rsidRPr="002815B9">
        <w:rPr>
          <w:sz w:val="24"/>
          <w:szCs w:val="24"/>
        </w:rPr>
        <w:t xml:space="preserve"> </w:t>
      </w:r>
      <w:r w:rsidR="0013588C">
        <w:rPr>
          <w:sz w:val="24"/>
          <w:szCs w:val="24"/>
        </w:rPr>
        <w:t xml:space="preserve">and </w:t>
      </w:r>
      <w:r w:rsidRPr="002815B9">
        <w:rPr>
          <w:sz w:val="24"/>
          <w:szCs w:val="24"/>
        </w:rPr>
        <w:t>high diagnostic confidence within a short period of time,</w:t>
      </w:r>
      <w:r w:rsidR="00EF63DF" w:rsidRPr="002815B9">
        <w:rPr>
          <w:sz w:val="24"/>
          <w:szCs w:val="24"/>
          <w:vertAlign w:val="superscript"/>
        </w:rPr>
        <w:t xml:space="preserve">11 </w:t>
      </w:r>
      <w:r w:rsidR="00EF63DF" w:rsidRPr="002815B9">
        <w:rPr>
          <w:sz w:val="24"/>
          <w:szCs w:val="24"/>
        </w:rPr>
        <w:t>it</w:t>
      </w:r>
      <w:r w:rsidRPr="002815B9">
        <w:rPr>
          <w:sz w:val="24"/>
          <w:szCs w:val="24"/>
        </w:rPr>
        <w:t xml:space="preserve"> is the </w:t>
      </w:r>
      <w:r w:rsidR="0013588C">
        <w:rPr>
          <w:sz w:val="24"/>
          <w:szCs w:val="24"/>
        </w:rPr>
        <w:t xml:space="preserve">ED’s </w:t>
      </w:r>
      <w:r w:rsidRPr="002815B9">
        <w:rPr>
          <w:sz w:val="24"/>
          <w:szCs w:val="24"/>
        </w:rPr>
        <w:t xml:space="preserve">preferred diagnostic modality. Because of CTs ability to expedite intervention and treatment, it is the essential </w:t>
      </w:r>
      <w:r w:rsidRPr="002815B9">
        <w:rPr>
          <w:sz w:val="24"/>
          <w:szCs w:val="24"/>
        </w:rPr>
        <w:lastRenderedPageBreak/>
        <w:t>imaging modality for diagnosing trauma and stroke in the ED. Additionally, to detect blockages in the coronary arteries, a coronary CTA can be performed much faster</w:t>
      </w:r>
      <w:r w:rsidR="00E65F6E">
        <w:rPr>
          <w:sz w:val="24"/>
          <w:szCs w:val="24"/>
        </w:rPr>
        <w:t xml:space="preserve"> than a cardiac catheterization</w:t>
      </w:r>
      <w:r w:rsidRPr="002815B9">
        <w:rPr>
          <w:sz w:val="24"/>
          <w:szCs w:val="24"/>
        </w:rPr>
        <w:t xml:space="preserve">, </w:t>
      </w:r>
      <w:r w:rsidR="0013588C">
        <w:rPr>
          <w:sz w:val="24"/>
          <w:szCs w:val="24"/>
        </w:rPr>
        <w:t xml:space="preserve"> </w:t>
      </w:r>
      <w:r w:rsidRPr="002815B9">
        <w:rPr>
          <w:sz w:val="24"/>
          <w:szCs w:val="24"/>
        </w:rPr>
        <w:t xml:space="preserve">potentially </w:t>
      </w:r>
      <w:r w:rsidR="0013588C">
        <w:rPr>
          <w:sz w:val="24"/>
          <w:szCs w:val="24"/>
        </w:rPr>
        <w:t xml:space="preserve">with </w:t>
      </w:r>
      <w:r w:rsidRPr="002815B9">
        <w:rPr>
          <w:sz w:val="24"/>
          <w:szCs w:val="24"/>
        </w:rPr>
        <w:t>less risk and discomfort, and may require less recovery time.</w:t>
      </w:r>
      <w:r w:rsidRPr="002815B9">
        <w:rPr>
          <w:sz w:val="24"/>
          <w:szCs w:val="24"/>
          <w:vertAlign w:val="superscript"/>
        </w:rPr>
        <w:endnoteReference w:id="6"/>
      </w:r>
      <w:r w:rsidRPr="002815B9">
        <w:rPr>
          <w:sz w:val="24"/>
          <w:szCs w:val="24"/>
        </w:rPr>
        <w:t xml:space="preserve"> Since CT imaging can improve patient outcomes,</w:t>
      </w:r>
      <w:r w:rsidRPr="002815B9">
        <w:rPr>
          <w:sz w:val="24"/>
          <w:szCs w:val="24"/>
          <w:vertAlign w:val="superscript"/>
        </w:rPr>
        <w:endnoteReference w:id="7"/>
      </w:r>
      <w:r w:rsidRPr="002815B9">
        <w:rPr>
          <w:sz w:val="24"/>
          <w:szCs w:val="24"/>
        </w:rPr>
        <w:t xml:space="preserve"> the Applicant asserts that in order to ensure timely diagnosis, treatment and improved public health outcomes, the </w:t>
      </w:r>
      <w:r w:rsidR="00A718E9">
        <w:rPr>
          <w:sz w:val="24"/>
          <w:szCs w:val="24"/>
        </w:rPr>
        <w:t>University Campus</w:t>
      </w:r>
      <w:r w:rsidRPr="002815B9">
        <w:rPr>
          <w:sz w:val="24"/>
          <w:szCs w:val="24"/>
        </w:rPr>
        <w:t>, as a Level I trauma center, needs to have adequate CT capacity in the ED setting by adding an additional CT unit.</w:t>
      </w:r>
    </w:p>
    <w:p w14:paraId="0189FE35" w14:textId="77777777" w:rsidR="002815B9" w:rsidRPr="002815B9" w:rsidRDefault="002815B9" w:rsidP="002815B9">
      <w:pPr>
        <w:spacing w:after="0" w:line="240" w:lineRule="auto"/>
        <w:rPr>
          <w:sz w:val="24"/>
          <w:szCs w:val="24"/>
        </w:rPr>
      </w:pPr>
    </w:p>
    <w:p w14:paraId="25E9F97E" w14:textId="7C1A9FB6" w:rsidR="002815B9" w:rsidRPr="002815B9" w:rsidRDefault="002815B9" w:rsidP="002815B9">
      <w:pPr>
        <w:spacing w:after="0" w:line="240" w:lineRule="auto"/>
        <w:rPr>
          <w:sz w:val="24"/>
          <w:szCs w:val="24"/>
        </w:rPr>
      </w:pPr>
      <w:r w:rsidRPr="002815B9">
        <w:rPr>
          <w:sz w:val="24"/>
          <w:szCs w:val="24"/>
        </w:rPr>
        <w:t>To assess the impact of the proposed Project, the Applicant developed quality metrics and a reporting schematic, as well as metric projections for quality indicators that will measure patient satisfaction and quality of care. The measures are presented in Appendix I and will be reported to DPH on an annual basis following implementation of the Proposed Project.</w:t>
      </w:r>
    </w:p>
    <w:p w14:paraId="1C152022" w14:textId="77777777" w:rsidR="002815B9" w:rsidRPr="002815B9" w:rsidRDefault="002815B9" w:rsidP="002815B9">
      <w:pPr>
        <w:spacing w:after="0" w:line="240" w:lineRule="auto"/>
        <w:rPr>
          <w:sz w:val="24"/>
          <w:szCs w:val="24"/>
        </w:rPr>
      </w:pPr>
      <w:r w:rsidRPr="002815B9">
        <w:rPr>
          <w:b/>
          <w:sz w:val="24"/>
          <w:szCs w:val="24"/>
        </w:rPr>
        <w:t xml:space="preserve"> </w:t>
      </w:r>
    </w:p>
    <w:p w14:paraId="717E70A8" w14:textId="77777777" w:rsidR="002815B9" w:rsidRPr="002815B9" w:rsidRDefault="002815B9" w:rsidP="002815B9">
      <w:pPr>
        <w:spacing w:after="0" w:line="240" w:lineRule="auto"/>
        <w:rPr>
          <w:sz w:val="24"/>
          <w:szCs w:val="24"/>
        </w:rPr>
      </w:pPr>
      <w:r w:rsidRPr="002815B9">
        <w:rPr>
          <w:b/>
          <w:sz w:val="24"/>
          <w:szCs w:val="24"/>
          <w:u w:val="single"/>
        </w:rPr>
        <w:t>Public Health Value /Health Equity-Focused:</w:t>
      </w:r>
      <w:r w:rsidRPr="002815B9">
        <w:rPr>
          <w:b/>
          <w:sz w:val="24"/>
          <w:szCs w:val="24"/>
        </w:rPr>
        <w:t xml:space="preserve"> </w:t>
      </w:r>
    </w:p>
    <w:p w14:paraId="1AB4DD59" w14:textId="77777777" w:rsidR="002815B9" w:rsidRPr="002815B9" w:rsidRDefault="002815B9" w:rsidP="002815B9">
      <w:pPr>
        <w:spacing w:after="0" w:line="240" w:lineRule="auto"/>
        <w:rPr>
          <w:sz w:val="24"/>
          <w:szCs w:val="24"/>
        </w:rPr>
      </w:pPr>
    </w:p>
    <w:p w14:paraId="365D7BA0" w14:textId="62602861" w:rsidR="002815B9" w:rsidRPr="002815B9" w:rsidRDefault="002815B9" w:rsidP="00F62CAE">
      <w:pPr>
        <w:spacing w:after="0" w:line="240" w:lineRule="auto"/>
        <w:rPr>
          <w:sz w:val="24"/>
          <w:szCs w:val="24"/>
        </w:rPr>
      </w:pPr>
      <w:r w:rsidRPr="002815B9">
        <w:rPr>
          <w:sz w:val="24"/>
          <w:szCs w:val="24"/>
        </w:rPr>
        <w:t xml:space="preserve">The Applicant states that </w:t>
      </w:r>
      <w:r w:rsidR="00D66D7C">
        <w:rPr>
          <w:sz w:val="24"/>
          <w:szCs w:val="24"/>
        </w:rPr>
        <w:t xml:space="preserve">the </w:t>
      </w:r>
      <w:r w:rsidRPr="002815B9">
        <w:rPr>
          <w:sz w:val="24"/>
          <w:szCs w:val="24"/>
        </w:rPr>
        <w:t>ED frequently serve</w:t>
      </w:r>
      <w:r w:rsidR="0013588C">
        <w:rPr>
          <w:sz w:val="24"/>
          <w:szCs w:val="24"/>
        </w:rPr>
        <w:t>s</w:t>
      </w:r>
      <w:r w:rsidRPr="002815B9">
        <w:rPr>
          <w:sz w:val="24"/>
          <w:szCs w:val="24"/>
        </w:rPr>
        <w:t xml:space="preserve"> as the entry point to health care in the US. Utilization of the ED for primary care services is often higher among Limited English Proficiency (LEP) and non-English speakers as well as publicly insured patients. As a result, providing improved, timely access to CT in the ED will improve health outcomes as well as the patient experience for underserved patient populations </w:t>
      </w:r>
      <w:r w:rsidR="0013588C">
        <w:rPr>
          <w:sz w:val="24"/>
          <w:szCs w:val="24"/>
        </w:rPr>
        <w:t>within</w:t>
      </w:r>
      <w:r w:rsidRPr="002815B9">
        <w:rPr>
          <w:sz w:val="24"/>
          <w:szCs w:val="24"/>
        </w:rPr>
        <w:t xml:space="preserve"> </w:t>
      </w:r>
      <w:r w:rsidR="0042373C">
        <w:rPr>
          <w:sz w:val="24"/>
          <w:szCs w:val="24"/>
        </w:rPr>
        <w:t>the Applicant’s</w:t>
      </w:r>
      <w:r w:rsidR="0042373C" w:rsidRPr="002815B9">
        <w:rPr>
          <w:sz w:val="24"/>
          <w:szCs w:val="24"/>
        </w:rPr>
        <w:t xml:space="preserve"> </w:t>
      </w:r>
      <w:r w:rsidR="0042373C">
        <w:rPr>
          <w:sz w:val="24"/>
          <w:szCs w:val="24"/>
        </w:rPr>
        <w:t>P</w:t>
      </w:r>
      <w:r w:rsidRPr="002815B9">
        <w:rPr>
          <w:sz w:val="24"/>
          <w:szCs w:val="24"/>
        </w:rPr>
        <w:t xml:space="preserve">atient </w:t>
      </w:r>
      <w:r w:rsidR="0042373C">
        <w:rPr>
          <w:sz w:val="24"/>
          <w:szCs w:val="24"/>
        </w:rPr>
        <w:t>P</w:t>
      </w:r>
      <w:r w:rsidRPr="002815B9">
        <w:rPr>
          <w:sz w:val="24"/>
          <w:szCs w:val="24"/>
        </w:rPr>
        <w:t>anel and the community at large. Therefore, the Applicant anticipates that the Proposed Project will result in improved patient care experiences and quality outcomes while promoting health</w:t>
      </w:r>
      <w:r w:rsidR="00AD5242">
        <w:rPr>
          <w:sz w:val="24"/>
          <w:szCs w:val="24"/>
        </w:rPr>
        <w:t xml:space="preserve"> </w:t>
      </w:r>
      <w:r w:rsidRPr="002815B9">
        <w:rPr>
          <w:sz w:val="24"/>
          <w:szCs w:val="24"/>
        </w:rPr>
        <w:t xml:space="preserve">equity. </w:t>
      </w:r>
    </w:p>
    <w:p w14:paraId="1326CEF8" w14:textId="20F56E65" w:rsidR="0030411A" w:rsidRDefault="002815B9" w:rsidP="002815B9">
      <w:pPr>
        <w:spacing w:after="0" w:line="240" w:lineRule="auto"/>
        <w:rPr>
          <w:sz w:val="24"/>
          <w:szCs w:val="24"/>
        </w:rPr>
      </w:pPr>
      <w:r w:rsidRPr="002815B9">
        <w:rPr>
          <w:sz w:val="24"/>
          <w:szCs w:val="24"/>
        </w:rPr>
        <w:t>A large part of a patient’s experience is influenced by the ability to communicate with and understand their providers. Currently UMMMC provides qualified medical interpreters, 24 hours a day, seven days a week, to patients and families</w:t>
      </w:r>
      <w:r w:rsidR="0030411A">
        <w:rPr>
          <w:sz w:val="24"/>
          <w:szCs w:val="24"/>
        </w:rPr>
        <w:t xml:space="preserve"> </w:t>
      </w:r>
      <w:r w:rsidRPr="002815B9">
        <w:rPr>
          <w:sz w:val="24"/>
          <w:szCs w:val="24"/>
        </w:rPr>
        <w:t xml:space="preserve">free of charge in person, over the phone </w:t>
      </w:r>
      <w:r w:rsidR="0030411A">
        <w:rPr>
          <w:sz w:val="24"/>
          <w:szCs w:val="24"/>
        </w:rPr>
        <w:t>or</w:t>
      </w:r>
      <w:r w:rsidRPr="002815B9">
        <w:rPr>
          <w:sz w:val="24"/>
          <w:szCs w:val="24"/>
        </w:rPr>
        <w:t xml:space="preserve"> via remote video interpretation to ensure support for over 100 languages spoken by </w:t>
      </w:r>
      <w:r w:rsidR="0030411A">
        <w:rPr>
          <w:sz w:val="24"/>
          <w:szCs w:val="24"/>
        </w:rPr>
        <w:t xml:space="preserve">its </w:t>
      </w:r>
      <w:r w:rsidRPr="002815B9">
        <w:rPr>
          <w:sz w:val="24"/>
          <w:szCs w:val="24"/>
        </w:rPr>
        <w:t>patient population. For patients who are deaf or hard of hearing, UMMMC ensures the availability of ASL interpreters 24/7 for all services. Video Remote Interpreter (VRI) Solution, which consists of a mobile device (e.g., iPad) secured to a cart with a speaker</w:t>
      </w:r>
      <w:r w:rsidR="0042373C">
        <w:rPr>
          <w:sz w:val="24"/>
          <w:szCs w:val="24"/>
        </w:rPr>
        <w:t xml:space="preserve"> is used to</w:t>
      </w:r>
      <w:r w:rsidR="0022101B">
        <w:rPr>
          <w:sz w:val="24"/>
          <w:szCs w:val="24"/>
        </w:rPr>
        <w:t xml:space="preserve"> </w:t>
      </w:r>
      <w:r w:rsidRPr="002815B9">
        <w:rPr>
          <w:sz w:val="24"/>
          <w:szCs w:val="24"/>
        </w:rPr>
        <w:t>enable LEP patient and family users to connect to readily available, qualified medical interpreters enabl</w:t>
      </w:r>
      <w:r w:rsidR="00622542">
        <w:rPr>
          <w:sz w:val="24"/>
          <w:szCs w:val="24"/>
        </w:rPr>
        <w:t>ing</w:t>
      </w:r>
      <w:r w:rsidRPr="002815B9">
        <w:rPr>
          <w:sz w:val="24"/>
          <w:szCs w:val="24"/>
        </w:rPr>
        <w:t xml:space="preserve"> language access. The VRI Solution offers 34 video language interpreters on demand, and 250 telephonic-only relay interpreters. VRI is available across the ED, ambulatory clinics, inpatient areas, as well as patient service areas, </w:t>
      </w:r>
      <w:r w:rsidR="00622542" w:rsidRPr="002815B9">
        <w:rPr>
          <w:sz w:val="24"/>
          <w:szCs w:val="24"/>
        </w:rPr>
        <w:t>radiology,</w:t>
      </w:r>
      <w:r w:rsidRPr="002815B9">
        <w:rPr>
          <w:sz w:val="24"/>
          <w:szCs w:val="24"/>
        </w:rPr>
        <w:t xml:space="preserve"> and procedure areas. In addition to on-site capabilities, the Interpreter Services can help respond to calls from patients for both medical and nonmedical issues (e.g., medication refills, urgent visits, billing, financial services, appointment scheduling, etc.). The Applicant asserts this existing comprehensive language access will contribute to </w:t>
      </w:r>
      <w:r w:rsidR="0030411A">
        <w:rPr>
          <w:sz w:val="24"/>
          <w:szCs w:val="24"/>
        </w:rPr>
        <w:t xml:space="preserve">the ability of the Proposed Project to </w:t>
      </w:r>
      <w:r w:rsidRPr="002815B9">
        <w:rPr>
          <w:sz w:val="24"/>
          <w:szCs w:val="24"/>
        </w:rPr>
        <w:t>improve health outcomes and patient experience through access to timely CT.</w:t>
      </w:r>
      <w:r w:rsidR="00F62CAE">
        <w:rPr>
          <w:sz w:val="24"/>
          <w:szCs w:val="24"/>
        </w:rPr>
        <w:t xml:space="preserve"> </w:t>
      </w:r>
    </w:p>
    <w:p w14:paraId="7A977CF6" w14:textId="39ABE96D" w:rsidR="002815B9" w:rsidRDefault="002815B9" w:rsidP="002815B9">
      <w:pPr>
        <w:spacing w:after="0" w:line="240" w:lineRule="auto"/>
        <w:rPr>
          <w:sz w:val="24"/>
          <w:szCs w:val="24"/>
        </w:rPr>
      </w:pPr>
      <w:r w:rsidRPr="002815B9">
        <w:rPr>
          <w:sz w:val="24"/>
          <w:szCs w:val="24"/>
        </w:rPr>
        <w:t xml:space="preserve">The Applicant has demonstrated its ongoing commitment to actively addressing the social determinants of health as part of its mission of improving health and promoting comprehensive patient education. UMMHC and its hospitals demonstrate their commitment to further health and social equity through </w:t>
      </w:r>
      <w:r w:rsidR="00577910">
        <w:rPr>
          <w:sz w:val="24"/>
          <w:szCs w:val="24"/>
        </w:rPr>
        <w:t>many initiatives including those outlined below.</w:t>
      </w:r>
      <w:r w:rsidRPr="002815B9">
        <w:rPr>
          <w:sz w:val="24"/>
          <w:szCs w:val="24"/>
        </w:rPr>
        <w:t xml:space="preserve"> </w:t>
      </w:r>
    </w:p>
    <w:p w14:paraId="26C88A19" w14:textId="77777777" w:rsidR="00577910" w:rsidRPr="002815B9" w:rsidRDefault="00577910" w:rsidP="002815B9">
      <w:pPr>
        <w:spacing w:after="0" w:line="240" w:lineRule="auto"/>
        <w:rPr>
          <w:sz w:val="24"/>
          <w:szCs w:val="24"/>
        </w:rPr>
      </w:pPr>
    </w:p>
    <w:p w14:paraId="7E427B17" w14:textId="12EE2535" w:rsidR="002815B9" w:rsidRPr="002815B9" w:rsidRDefault="002815B9" w:rsidP="00F62CAE">
      <w:pPr>
        <w:spacing w:after="0" w:line="240" w:lineRule="auto"/>
        <w:rPr>
          <w:sz w:val="24"/>
          <w:szCs w:val="24"/>
        </w:rPr>
      </w:pPr>
      <w:r w:rsidRPr="002815B9">
        <w:rPr>
          <w:sz w:val="24"/>
          <w:szCs w:val="24"/>
        </w:rPr>
        <w:lastRenderedPageBreak/>
        <w:t>The Applicant’s hospitals have a track record of treating all patients, regardless of ability to pay and</w:t>
      </w:r>
      <w:r w:rsidR="00622542">
        <w:rPr>
          <w:sz w:val="24"/>
          <w:szCs w:val="24"/>
        </w:rPr>
        <w:t xml:space="preserve"> they are</w:t>
      </w:r>
      <w:r w:rsidRPr="002815B9">
        <w:rPr>
          <w:sz w:val="24"/>
          <w:szCs w:val="24"/>
        </w:rPr>
        <w:t xml:space="preserve"> experienced in providing access and high-quality care to vulnerable populations. </w:t>
      </w:r>
      <w:r w:rsidR="00622542">
        <w:rPr>
          <w:sz w:val="24"/>
          <w:szCs w:val="24"/>
        </w:rPr>
        <w:t>The Applicant</w:t>
      </w:r>
      <w:r w:rsidRPr="002815B9">
        <w:rPr>
          <w:sz w:val="24"/>
          <w:szCs w:val="24"/>
        </w:rPr>
        <w:t xml:space="preserve"> asserts that, through the Proposed Project, it will continue to support at</w:t>
      </w:r>
      <w:r w:rsidR="0030411A">
        <w:rPr>
          <w:sz w:val="24"/>
          <w:szCs w:val="24"/>
        </w:rPr>
        <w:t xml:space="preserve"> </w:t>
      </w:r>
      <w:r w:rsidRPr="002815B9">
        <w:rPr>
          <w:sz w:val="24"/>
          <w:szCs w:val="24"/>
        </w:rPr>
        <w:t xml:space="preserve">risk members of </w:t>
      </w:r>
      <w:r w:rsidR="00622542">
        <w:rPr>
          <w:sz w:val="24"/>
          <w:szCs w:val="24"/>
        </w:rPr>
        <w:t>the</w:t>
      </w:r>
      <w:r w:rsidRPr="002815B9">
        <w:rPr>
          <w:sz w:val="24"/>
          <w:szCs w:val="24"/>
        </w:rPr>
        <w:t xml:space="preserve"> community. As previously discussed under </w:t>
      </w:r>
      <w:r w:rsidRPr="002815B9">
        <w:rPr>
          <w:i/>
          <w:sz w:val="24"/>
          <w:szCs w:val="24"/>
        </w:rPr>
        <w:t>Applicant Background and Application Overview</w:t>
      </w:r>
      <w:r w:rsidRPr="002815B9">
        <w:rPr>
          <w:sz w:val="24"/>
          <w:szCs w:val="24"/>
        </w:rPr>
        <w:t>, the Applicant’s hospitals are consistently on CHIAs’ list of high public paying hospitals.</w:t>
      </w:r>
      <w:r w:rsidR="009645E2">
        <w:rPr>
          <w:sz w:val="24"/>
          <w:szCs w:val="24"/>
        </w:rPr>
        <w:t xml:space="preserve"> </w:t>
      </w:r>
      <w:r w:rsidRPr="002815B9">
        <w:rPr>
          <w:sz w:val="24"/>
          <w:szCs w:val="24"/>
        </w:rPr>
        <w:t xml:space="preserve">UMMMC public payments account for over 66.5% </w:t>
      </w:r>
      <w:r w:rsidR="00622542">
        <w:rPr>
          <w:sz w:val="24"/>
          <w:szCs w:val="24"/>
        </w:rPr>
        <w:t>of its</w:t>
      </w:r>
      <w:r w:rsidR="00A718E9">
        <w:rPr>
          <w:sz w:val="24"/>
          <w:szCs w:val="24"/>
        </w:rPr>
        <w:t xml:space="preserve"> </w:t>
      </w:r>
      <w:r w:rsidR="0042373C">
        <w:rPr>
          <w:sz w:val="24"/>
          <w:szCs w:val="24"/>
        </w:rPr>
        <w:t xml:space="preserve">payer mix, </w:t>
      </w:r>
      <w:r w:rsidR="00722F4D">
        <w:rPr>
          <w:sz w:val="24"/>
          <w:szCs w:val="24"/>
        </w:rPr>
        <w:t xml:space="preserve">which </w:t>
      </w:r>
      <w:r w:rsidRPr="002815B9">
        <w:rPr>
          <w:sz w:val="24"/>
          <w:szCs w:val="24"/>
        </w:rPr>
        <w:t xml:space="preserve">includes a Medicaid payor rate of ~25%. It is also a disproportionate share hospital and part of the health care safety net for the most vulnerable populations in the state. </w:t>
      </w:r>
    </w:p>
    <w:p w14:paraId="5D3FDA50" w14:textId="7D235D2F" w:rsidR="002815B9" w:rsidRPr="002815B9" w:rsidRDefault="002815B9" w:rsidP="00F62CAE">
      <w:pPr>
        <w:spacing w:after="0" w:line="240" w:lineRule="auto"/>
        <w:rPr>
          <w:sz w:val="24"/>
          <w:szCs w:val="24"/>
        </w:rPr>
      </w:pPr>
      <w:r w:rsidRPr="002815B9">
        <w:rPr>
          <w:sz w:val="24"/>
          <w:szCs w:val="24"/>
        </w:rPr>
        <w:t xml:space="preserve">As part of its commitment to health equity, UMMHC has been an early participant in the Healthcare Anchor Network of the Democracy Collaborative, </w:t>
      </w:r>
      <w:r w:rsidR="00030DA1">
        <w:rPr>
          <w:sz w:val="24"/>
          <w:szCs w:val="24"/>
        </w:rPr>
        <w:t>in which</w:t>
      </w:r>
      <w:r w:rsidR="00030DA1" w:rsidRPr="002815B9">
        <w:rPr>
          <w:sz w:val="24"/>
          <w:szCs w:val="24"/>
        </w:rPr>
        <w:t xml:space="preserve"> </w:t>
      </w:r>
      <w:r w:rsidRPr="002815B9">
        <w:rPr>
          <w:sz w:val="24"/>
          <w:szCs w:val="24"/>
        </w:rPr>
        <w:t xml:space="preserve">it looks at the socio-economic determinants of health and incorporates these into patients’ medical records to gain greater understanding of the needs of its patients and its approaches to health care delivery. UMMHC believes that it can work toward improvements in the socio-economic factors of the community through its “Purchasing Pillar, Investment Pillar, and Hiring Pillar” committees that are addressing the needs of its communities in creative ways, by emphasizing local purchasing, investing, and hiring. </w:t>
      </w:r>
    </w:p>
    <w:p w14:paraId="32760127" w14:textId="2593141D" w:rsidR="002815B9" w:rsidRPr="002815B9" w:rsidRDefault="002815B9" w:rsidP="002815B9">
      <w:pPr>
        <w:spacing w:after="0" w:line="240" w:lineRule="auto"/>
        <w:rPr>
          <w:sz w:val="24"/>
          <w:szCs w:val="24"/>
        </w:rPr>
      </w:pPr>
      <w:r w:rsidRPr="002815B9">
        <w:rPr>
          <w:sz w:val="24"/>
          <w:szCs w:val="24"/>
        </w:rPr>
        <w:t>UMMHC is in the process of implementing a PCP Fast Track program</w:t>
      </w:r>
      <w:r w:rsidR="00030DA1">
        <w:rPr>
          <w:sz w:val="24"/>
          <w:szCs w:val="24"/>
        </w:rPr>
        <w:t xml:space="preserve"> t</w:t>
      </w:r>
      <w:r w:rsidR="00030DA1" w:rsidRPr="002815B9">
        <w:rPr>
          <w:sz w:val="24"/>
          <w:szCs w:val="24"/>
        </w:rPr>
        <w:t>o facilitate expedited CT scanning outside of the ED</w:t>
      </w:r>
      <w:r w:rsidRPr="002815B9">
        <w:rPr>
          <w:sz w:val="24"/>
          <w:szCs w:val="24"/>
        </w:rPr>
        <w:t>.</w:t>
      </w:r>
      <w:r w:rsidR="00090BC7">
        <w:rPr>
          <w:sz w:val="24"/>
          <w:szCs w:val="24"/>
        </w:rPr>
        <w:t xml:space="preserve"> </w:t>
      </w:r>
      <w:r w:rsidRPr="002815B9">
        <w:rPr>
          <w:sz w:val="24"/>
          <w:szCs w:val="24"/>
        </w:rPr>
        <w:t>This program seeks to reduce ED utilization while also ensuring patients receive medically appropriate CT imaging. The program will afford patients with same day access to CT to ensure they receive the imaging studies they need to assist with accurate and timely diagnosis and treatment.</w:t>
      </w:r>
      <w:r w:rsidR="00F62CAE" w:rsidRPr="002815B9">
        <w:rPr>
          <w:sz w:val="24"/>
          <w:szCs w:val="24"/>
        </w:rPr>
        <w:t xml:space="preserve"> </w:t>
      </w:r>
    </w:p>
    <w:p w14:paraId="25D66307" w14:textId="77777777" w:rsidR="002815B9" w:rsidRDefault="002815B9" w:rsidP="002815B9">
      <w:pPr>
        <w:spacing w:after="0" w:line="240" w:lineRule="auto"/>
        <w:rPr>
          <w:b/>
          <w:i/>
          <w:sz w:val="24"/>
          <w:szCs w:val="24"/>
        </w:rPr>
      </w:pPr>
      <w:r w:rsidRPr="002815B9">
        <w:rPr>
          <w:b/>
          <w:i/>
          <w:sz w:val="24"/>
          <w:szCs w:val="24"/>
        </w:rPr>
        <w:t>Analysis</w:t>
      </w:r>
    </w:p>
    <w:p w14:paraId="3ED121EC" w14:textId="77777777" w:rsidR="0047332F" w:rsidRPr="00577910" w:rsidRDefault="0047332F" w:rsidP="00577910">
      <w:pPr>
        <w:spacing w:after="0" w:line="240" w:lineRule="auto"/>
        <w:rPr>
          <w:b/>
          <w:sz w:val="24"/>
          <w:szCs w:val="24"/>
        </w:rPr>
      </w:pPr>
    </w:p>
    <w:p w14:paraId="5106298C" w14:textId="62496EDF" w:rsidR="00577910" w:rsidRPr="00577910" w:rsidRDefault="00577910" w:rsidP="00577910">
      <w:pPr>
        <w:spacing w:after="0" w:line="240" w:lineRule="auto"/>
        <w:rPr>
          <w:sz w:val="24"/>
          <w:szCs w:val="24"/>
        </w:rPr>
      </w:pPr>
      <w:r w:rsidRPr="00577910">
        <w:rPr>
          <w:sz w:val="24"/>
          <w:szCs w:val="24"/>
        </w:rPr>
        <w:t>The Applicant anticipates</w:t>
      </w:r>
      <w:r>
        <w:rPr>
          <w:sz w:val="24"/>
          <w:szCs w:val="24"/>
        </w:rPr>
        <w:t xml:space="preserve"> that the addition of one CT at the University Hospital </w:t>
      </w:r>
      <w:r w:rsidRPr="00577910">
        <w:rPr>
          <w:sz w:val="24"/>
          <w:szCs w:val="24"/>
        </w:rPr>
        <w:t xml:space="preserve">site will provide its patients with </w:t>
      </w:r>
      <w:r w:rsidR="00394940">
        <w:rPr>
          <w:sz w:val="24"/>
          <w:szCs w:val="24"/>
        </w:rPr>
        <w:t xml:space="preserve">easier </w:t>
      </w:r>
      <w:r w:rsidRPr="00577910">
        <w:rPr>
          <w:sz w:val="24"/>
          <w:szCs w:val="24"/>
        </w:rPr>
        <w:t xml:space="preserve">access to high quality CT services, which will improve health outcomes and quality of life. Research indicates that delayed access to quality health care negatively affects patient satisfaction as well as health outcomes due to delays in diagnosis and treatment. </w:t>
      </w:r>
      <w:r w:rsidR="004F3173">
        <w:rPr>
          <w:sz w:val="24"/>
          <w:szCs w:val="24"/>
        </w:rPr>
        <w:t>Accordingly,</w:t>
      </w:r>
      <w:r w:rsidRPr="00577910">
        <w:rPr>
          <w:sz w:val="24"/>
          <w:szCs w:val="24"/>
        </w:rPr>
        <w:t xml:space="preserve"> staff finds that through the Proposed Project, </w:t>
      </w:r>
      <w:r w:rsidR="0047332F">
        <w:rPr>
          <w:sz w:val="24"/>
          <w:szCs w:val="24"/>
        </w:rPr>
        <w:t xml:space="preserve">the Applicant </w:t>
      </w:r>
      <w:r w:rsidRPr="00577910">
        <w:rPr>
          <w:sz w:val="24"/>
          <w:szCs w:val="24"/>
        </w:rPr>
        <w:t>is likely to improve access to</w:t>
      </w:r>
      <w:r w:rsidR="0047332F">
        <w:rPr>
          <w:sz w:val="24"/>
          <w:szCs w:val="24"/>
        </w:rPr>
        <w:t xml:space="preserve"> timely,</w:t>
      </w:r>
      <w:r w:rsidRPr="00577910">
        <w:rPr>
          <w:sz w:val="24"/>
          <w:szCs w:val="24"/>
        </w:rPr>
        <w:t xml:space="preserve"> effective, high-quality imaging services, and thereby enhance patient satisfaction, health outcomes and quality of life for </w:t>
      </w:r>
      <w:r w:rsidR="0047332F">
        <w:rPr>
          <w:sz w:val="24"/>
          <w:szCs w:val="24"/>
        </w:rPr>
        <w:t>all ED patients in the region</w:t>
      </w:r>
      <w:r w:rsidRPr="00577910">
        <w:rPr>
          <w:sz w:val="24"/>
          <w:szCs w:val="24"/>
        </w:rPr>
        <w:t xml:space="preserve">. </w:t>
      </w:r>
    </w:p>
    <w:p w14:paraId="70102391" w14:textId="77777777" w:rsidR="0047332F" w:rsidRPr="00577910" w:rsidRDefault="0047332F" w:rsidP="00577910">
      <w:pPr>
        <w:spacing w:after="0" w:line="240" w:lineRule="auto"/>
        <w:rPr>
          <w:sz w:val="24"/>
          <w:szCs w:val="24"/>
        </w:rPr>
      </w:pPr>
    </w:p>
    <w:p w14:paraId="3C022557" w14:textId="22E79EBB" w:rsidR="00577910" w:rsidRDefault="00577910" w:rsidP="00577910">
      <w:pPr>
        <w:spacing w:after="0" w:line="240" w:lineRule="auto"/>
        <w:rPr>
          <w:sz w:val="24"/>
          <w:szCs w:val="24"/>
        </w:rPr>
      </w:pPr>
      <w:r w:rsidRPr="00577910">
        <w:rPr>
          <w:sz w:val="24"/>
          <w:szCs w:val="24"/>
        </w:rPr>
        <w:t>Staff finds that the Applicant has described a case for improved health outcomes</w:t>
      </w:r>
      <w:r w:rsidR="0047332F" w:rsidRPr="0047332F">
        <w:rPr>
          <w:sz w:val="24"/>
          <w:szCs w:val="24"/>
        </w:rPr>
        <w:t xml:space="preserve"> and has provided reasonable assurances of health equity through its LEP program</w:t>
      </w:r>
      <w:r w:rsidR="0047332F">
        <w:rPr>
          <w:sz w:val="24"/>
          <w:szCs w:val="24"/>
        </w:rPr>
        <w:t xml:space="preserve"> and through its longstanding designation as a HPP Hospital and its</w:t>
      </w:r>
      <w:r w:rsidR="00C76434">
        <w:rPr>
          <w:sz w:val="24"/>
          <w:szCs w:val="24"/>
        </w:rPr>
        <w:t xml:space="preserve"> desire to serve more patients by reducing</w:t>
      </w:r>
      <w:r w:rsidR="0047332F">
        <w:rPr>
          <w:sz w:val="24"/>
          <w:szCs w:val="24"/>
        </w:rPr>
        <w:t xml:space="preserve"> wait times for that </w:t>
      </w:r>
      <w:r w:rsidR="004F3173">
        <w:rPr>
          <w:sz w:val="24"/>
          <w:szCs w:val="24"/>
        </w:rPr>
        <w:t>population.</w:t>
      </w:r>
      <w:r w:rsidRPr="00577910">
        <w:rPr>
          <w:sz w:val="24"/>
          <w:szCs w:val="24"/>
        </w:rPr>
        <w:t xml:space="preserve"> Staff notes that through standard conditions</w:t>
      </w:r>
      <w:r w:rsidR="00C76434">
        <w:rPr>
          <w:sz w:val="24"/>
          <w:szCs w:val="24"/>
        </w:rPr>
        <w:t xml:space="preserve"> related to language access</w:t>
      </w:r>
      <w:r w:rsidRPr="00577910">
        <w:rPr>
          <w:sz w:val="24"/>
          <w:szCs w:val="24"/>
        </w:rPr>
        <w:t>, the Applicant meets the requirements of the Department’s Health Equity Program.</w:t>
      </w:r>
    </w:p>
    <w:p w14:paraId="07613996" w14:textId="77777777" w:rsidR="0047332F" w:rsidRPr="00577910" w:rsidRDefault="0047332F" w:rsidP="00577910">
      <w:pPr>
        <w:spacing w:after="0" w:line="240" w:lineRule="auto"/>
        <w:rPr>
          <w:sz w:val="24"/>
          <w:szCs w:val="24"/>
        </w:rPr>
      </w:pPr>
    </w:p>
    <w:p w14:paraId="395F4742" w14:textId="77777777" w:rsidR="00577910" w:rsidRPr="00577910" w:rsidRDefault="00577910" w:rsidP="00577910">
      <w:pPr>
        <w:spacing w:after="0" w:line="240" w:lineRule="auto"/>
        <w:rPr>
          <w:sz w:val="24"/>
          <w:szCs w:val="24"/>
        </w:rPr>
      </w:pPr>
      <w:r w:rsidRPr="00577910">
        <w:rPr>
          <w:sz w:val="24"/>
          <w:szCs w:val="24"/>
        </w:rPr>
        <w:t>As a result of the above analysis, Staff finds that the Applicant has met the provisions Factor 1(b).</w:t>
      </w:r>
    </w:p>
    <w:p w14:paraId="3BDD8010" w14:textId="362F4E42" w:rsidR="002815B9" w:rsidRDefault="002815B9" w:rsidP="002051F6">
      <w:pPr>
        <w:spacing w:after="0" w:line="240" w:lineRule="auto"/>
        <w:rPr>
          <w:sz w:val="24"/>
          <w:szCs w:val="24"/>
        </w:rPr>
      </w:pPr>
    </w:p>
    <w:p w14:paraId="62FA28C5" w14:textId="77777777" w:rsidR="002051F6" w:rsidRPr="002051F6" w:rsidRDefault="002051F6" w:rsidP="002051F6">
      <w:pPr>
        <w:pStyle w:val="Heading2"/>
        <w:ind w:left="0"/>
        <w:rPr>
          <w:b/>
        </w:rPr>
      </w:pPr>
      <w:r w:rsidRPr="002051F6">
        <w:rPr>
          <w:b/>
        </w:rPr>
        <w:t>Factor 1: c) Efficiency, Continuity of Care, Coordination of Care</w:t>
      </w:r>
    </w:p>
    <w:p w14:paraId="07649D3D" w14:textId="3F76E9F6" w:rsidR="00F74E91" w:rsidRPr="00F74E91" w:rsidRDefault="00F74E91" w:rsidP="00F74E91">
      <w:pPr>
        <w:spacing w:before="240" w:line="240" w:lineRule="auto"/>
        <w:rPr>
          <w:sz w:val="24"/>
          <w:szCs w:val="24"/>
        </w:rPr>
      </w:pPr>
      <w:r w:rsidRPr="00F74E91">
        <w:rPr>
          <w:sz w:val="24"/>
          <w:szCs w:val="24"/>
          <w:u w:val="single"/>
        </w:rPr>
        <w:t xml:space="preserve">Efficiency and Coordination of Care </w:t>
      </w:r>
    </w:p>
    <w:p w14:paraId="39F0E056" w14:textId="33F0DB87" w:rsidR="00F62CAE" w:rsidRPr="00F74E91" w:rsidRDefault="00F74E91" w:rsidP="00F62CAE">
      <w:pPr>
        <w:spacing w:line="240" w:lineRule="auto"/>
        <w:rPr>
          <w:sz w:val="24"/>
          <w:szCs w:val="24"/>
        </w:rPr>
      </w:pPr>
      <w:r w:rsidRPr="00F74E91">
        <w:rPr>
          <w:sz w:val="24"/>
          <w:szCs w:val="24"/>
        </w:rPr>
        <w:lastRenderedPageBreak/>
        <w:t>The Applicant described programs it has in place to facilitate care coordination that includes having developed a significant infrastructure to support a patient-centric approach to care. Coordination across the continuum of care is the key to successfully impacting the health of patients. To that end, all UMMHC hospitals and campuses utilize an electronic health record (EHR) which enables continuity and coordination of care through shared documentation</w:t>
      </w:r>
      <w:r w:rsidR="004F3173">
        <w:rPr>
          <w:sz w:val="24"/>
          <w:szCs w:val="24"/>
        </w:rPr>
        <w:t xml:space="preserve"> and</w:t>
      </w:r>
      <w:r w:rsidRPr="00F74E91">
        <w:rPr>
          <w:sz w:val="24"/>
          <w:szCs w:val="24"/>
        </w:rPr>
        <w:t xml:space="preserve"> shared learning and protocols, </w:t>
      </w:r>
      <w:r w:rsidR="004F3173">
        <w:rPr>
          <w:sz w:val="24"/>
          <w:szCs w:val="24"/>
        </w:rPr>
        <w:t>which</w:t>
      </w:r>
      <w:r w:rsidRPr="00F74E91">
        <w:rPr>
          <w:sz w:val="24"/>
          <w:szCs w:val="24"/>
        </w:rPr>
        <w:t xml:space="preserve"> ensur</w:t>
      </w:r>
      <w:r w:rsidR="004F3173">
        <w:rPr>
          <w:sz w:val="24"/>
          <w:szCs w:val="24"/>
        </w:rPr>
        <w:t>es</w:t>
      </w:r>
      <w:r w:rsidRPr="00F74E91">
        <w:rPr>
          <w:sz w:val="24"/>
          <w:szCs w:val="24"/>
        </w:rPr>
        <w:t xml:space="preserve"> efficiencies, economies of scale, and consistency. Additionally, UMMHC has developed and implemented clinical pathways, collaborative initiatives, and coordinated car</w:t>
      </w:r>
      <w:r w:rsidR="004F3173">
        <w:rPr>
          <w:sz w:val="24"/>
          <w:szCs w:val="24"/>
        </w:rPr>
        <w:t>e</w:t>
      </w:r>
      <w:r w:rsidRPr="00F74E91">
        <w:rPr>
          <w:sz w:val="24"/>
          <w:szCs w:val="24"/>
        </w:rPr>
        <w:t xml:space="preserve"> which it calls the longitudinal care approach</w:t>
      </w:r>
      <w:r w:rsidR="004F3173">
        <w:rPr>
          <w:sz w:val="24"/>
          <w:szCs w:val="24"/>
        </w:rPr>
        <w:t>.</w:t>
      </w:r>
      <w:r w:rsidRPr="00F74E91">
        <w:rPr>
          <w:sz w:val="24"/>
          <w:szCs w:val="24"/>
        </w:rPr>
        <w:t xml:space="preserve"> </w:t>
      </w:r>
      <w:r w:rsidR="004F3173">
        <w:rPr>
          <w:sz w:val="24"/>
          <w:szCs w:val="24"/>
        </w:rPr>
        <w:t xml:space="preserve">The Applicant recognizes that </w:t>
      </w:r>
      <w:r w:rsidRPr="00F74E91">
        <w:rPr>
          <w:sz w:val="24"/>
          <w:szCs w:val="24"/>
        </w:rPr>
        <w:t xml:space="preserve">to significantly impact the quality, utilization, and patient experience, </w:t>
      </w:r>
      <w:r w:rsidR="005D2204">
        <w:rPr>
          <w:sz w:val="24"/>
          <w:szCs w:val="24"/>
        </w:rPr>
        <w:t>it</w:t>
      </w:r>
      <w:r w:rsidR="005D2204" w:rsidRPr="00F74E91">
        <w:rPr>
          <w:sz w:val="24"/>
          <w:szCs w:val="24"/>
        </w:rPr>
        <w:t xml:space="preserve"> </w:t>
      </w:r>
      <w:r w:rsidRPr="00F74E91">
        <w:rPr>
          <w:sz w:val="24"/>
          <w:szCs w:val="24"/>
        </w:rPr>
        <w:t>must view population health beyond the spectrum of the of UMMHC continuum of care, to include the entirety of the community reaching across the post-acute care settings. Consequently, UMMHC’s infrastructure is well-positioned to support care coordination between UMMMC’s ED and the entirely of a patient’s care team.</w:t>
      </w:r>
    </w:p>
    <w:p w14:paraId="68DB1F67" w14:textId="7912737F" w:rsidR="00F74E91" w:rsidRPr="00F74E91" w:rsidRDefault="00F74E91" w:rsidP="00F74E91">
      <w:pPr>
        <w:spacing w:line="240" w:lineRule="auto"/>
        <w:rPr>
          <w:sz w:val="24"/>
          <w:szCs w:val="24"/>
        </w:rPr>
      </w:pPr>
      <w:r w:rsidRPr="00F74E91">
        <w:rPr>
          <w:sz w:val="24"/>
          <w:szCs w:val="24"/>
        </w:rPr>
        <w:t xml:space="preserve"> </w:t>
      </w:r>
      <w:r w:rsidRPr="00F74E91">
        <w:rPr>
          <w:sz w:val="24"/>
          <w:szCs w:val="24"/>
          <w:u w:val="single"/>
        </w:rPr>
        <w:t>Community-Based Care Linkages</w:t>
      </w:r>
      <w:r w:rsidRPr="00F74E91">
        <w:rPr>
          <w:sz w:val="24"/>
          <w:szCs w:val="24"/>
        </w:rPr>
        <w:t xml:space="preserve">  </w:t>
      </w:r>
    </w:p>
    <w:p w14:paraId="39509C4B" w14:textId="519BC9FE" w:rsidR="00F74E91" w:rsidRPr="00F74E91" w:rsidRDefault="00F74E91" w:rsidP="00F74E91">
      <w:pPr>
        <w:spacing w:line="240" w:lineRule="auto"/>
        <w:rPr>
          <w:sz w:val="24"/>
          <w:szCs w:val="24"/>
        </w:rPr>
      </w:pPr>
      <w:r w:rsidRPr="00F74E91">
        <w:rPr>
          <w:sz w:val="24"/>
          <w:szCs w:val="24"/>
        </w:rPr>
        <w:t xml:space="preserve">The Applicant states </w:t>
      </w:r>
      <w:r w:rsidR="005D2204">
        <w:rPr>
          <w:sz w:val="24"/>
          <w:szCs w:val="24"/>
        </w:rPr>
        <w:t xml:space="preserve">it </w:t>
      </w:r>
      <w:r w:rsidR="005D2204" w:rsidRPr="00F74E91">
        <w:rPr>
          <w:sz w:val="24"/>
          <w:szCs w:val="24"/>
        </w:rPr>
        <w:t>understand</w:t>
      </w:r>
      <w:r w:rsidR="005D2204">
        <w:rPr>
          <w:sz w:val="24"/>
          <w:szCs w:val="24"/>
        </w:rPr>
        <w:t>s</w:t>
      </w:r>
      <w:r w:rsidR="005D2204" w:rsidRPr="00F74E91">
        <w:rPr>
          <w:sz w:val="24"/>
          <w:szCs w:val="24"/>
        </w:rPr>
        <w:t xml:space="preserve"> </w:t>
      </w:r>
      <w:r w:rsidRPr="00F74E91">
        <w:rPr>
          <w:sz w:val="24"/>
          <w:szCs w:val="24"/>
        </w:rPr>
        <w:t>that health care alone cannot conquer chronic disease and poor health</w:t>
      </w:r>
      <w:r w:rsidR="005D2204">
        <w:rPr>
          <w:sz w:val="24"/>
          <w:szCs w:val="24"/>
        </w:rPr>
        <w:t>,</w:t>
      </w:r>
      <w:r w:rsidRPr="00F74E91">
        <w:rPr>
          <w:sz w:val="24"/>
          <w:szCs w:val="24"/>
        </w:rPr>
        <w:t xml:space="preserve"> and therefor</w:t>
      </w:r>
      <w:r w:rsidR="005D2204">
        <w:rPr>
          <w:sz w:val="24"/>
          <w:szCs w:val="24"/>
        </w:rPr>
        <w:t>e</w:t>
      </w:r>
      <w:r w:rsidRPr="00F74E91">
        <w:rPr>
          <w:sz w:val="24"/>
          <w:szCs w:val="24"/>
        </w:rPr>
        <w:t xml:space="preserve"> states UMMHC has developed many tools to address its patients’ needs. Its commitment to ensuring that care extends beyond its campuses and providers is exemplified in longstanding relationships it has cultivated with community-based organizations (CBOs) that provide excellent resources for its patients that has culminated in the development of a web-based platform (search engine). Called CommunityHELP,</w:t>
      </w:r>
      <w:r w:rsidRPr="00F74E91">
        <w:rPr>
          <w:sz w:val="24"/>
          <w:szCs w:val="24"/>
          <w:vertAlign w:val="superscript"/>
        </w:rPr>
        <w:footnoteReference w:id="16"/>
      </w:r>
      <w:r w:rsidRPr="00F74E91">
        <w:rPr>
          <w:sz w:val="24"/>
          <w:szCs w:val="24"/>
        </w:rPr>
        <w:t xml:space="preserve">  </w:t>
      </w:r>
      <w:r w:rsidR="005D2204">
        <w:rPr>
          <w:sz w:val="24"/>
          <w:szCs w:val="24"/>
        </w:rPr>
        <w:t xml:space="preserve">the platform </w:t>
      </w:r>
      <w:r w:rsidRPr="00F74E91">
        <w:rPr>
          <w:sz w:val="24"/>
          <w:szCs w:val="24"/>
        </w:rPr>
        <w:t>provides caregivers, individuals, care managers, and health care teams with resources across the entire spectrum of needs and it enables electronic referrals to the CBOs and can provide immediate translation into over 100 languages. With respect to the Proposed Project, ED case managers and social workers are embedded within the ED to meet with patients and families and connect them with the appropriate services using the aforementioned resources.</w:t>
      </w:r>
    </w:p>
    <w:p w14:paraId="6488B5F9" w14:textId="1C467793" w:rsidR="00F74E91" w:rsidRPr="00F74E91" w:rsidRDefault="00F74E91" w:rsidP="00F74E91">
      <w:pPr>
        <w:spacing w:line="240" w:lineRule="auto"/>
        <w:rPr>
          <w:sz w:val="24"/>
          <w:szCs w:val="24"/>
        </w:rPr>
      </w:pPr>
      <w:r w:rsidRPr="00F74E91">
        <w:rPr>
          <w:sz w:val="24"/>
          <w:szCs w:val="24"/>
        </w:rPr>
        <w:t>Locally, food insecurity, access to dental care, and housing have emerged as consistent stressors. By enhancing CBO collaboration and directly targeting areas such as food pharmacies</w:t>
      </w:r>
      <w:r w:rsidR="005D2204">
        <w:rPr>
          <w:sz w:val="24"/>
          <w:szCs w:val="24"/>
        </w:rPr>
        <w:t>,</w:t>
      </w:r>
      <w:r w:rsidRPr="00F74E91">
        <w:rPr>
          <w:sz w:val="24"/>
          <w:szCs w:val="24"/>
        </w:rPr>
        <w:t xml:space="preserve"> free clinics for the population threatened by housing issues, and identifying free dental care are a few examples of how UMMHC has responded to community needs.  </w:t>
      </w:r>
    </w:p>
    <w:p w14:paraId="6BB9EB4B" w14:textId="77777777" w:rsidR="00F74E91" w:rsidRPr="00F74E91" w:rsidRDefault="00F74E91" w:rsidP="00F74E91">
      <w:pPr>
        <w:spacing w:line="240" w:lineRule="auto"/>
        <w:rPr>
          <w:b/>
          <w:i/>
          <w:sz w:val="24"/>
          <w:szCs w:val="24"/>
        </w:rPr>
      </w:pPr>
      <w:r w:rsidRPr="00F74E91">
        <w:rPr>
          <w:b/>
          <w:i/>
          <w:sz w:val="24"/>
          <w:szCs w:val="24"/>
        </w:rPr>
        <w:t>Analysis</w:t>
      </w:r>
    </w:p>
    <w:p w14:paraId="09471D01" w14:textId="3673FDB3" w:rsidR="00C76434" w:rsidRPr="00C76434" w:rsidRDefault="00C76434" w:rsidP="00C76434">
      <w:pPr>
        <w:spacing w:line="240" w:lineRule="auto"/>
        <w:rPr>
          <w:bCs/>
          <w:sz w:val="24"/>
          <w:szCs w:val="24"/>
        </w:rPr>
      </w:pPr>
      <w:r w:rsidRPr="00C76434">
        <w:rPr>
          <w:bCs/>
          <w:sz w:val="24"/>
          <w:szCs w:val="24"/>
        </w:rPr>
        <w:t>Staff concurs that with increased CT capacity</w:t>
      </w:r>
      <w:r>
        <w:rPr>
          <w:bCs/>
          <w:sz w:val="24"/>
          <w:szCs w:val="24"/>
        </w:rPr>
        <w:t xml:space="preserve"> in the ED</w:t>
      </w:r>
      <w:r w:rsidRPr="00C76434">
        <w:rPr>
          <w:bCs/>
          <w:sz w:val="24"/>
          <w:szCs w:val="24"/>
        </w:rPr>
        <w:t xml:space="preserve">, the provision of CT services is more efficient, and delays in diagnosis and </w:t>
      </w:r>
      <w:r>
        <w:rPr>
          <w:bCs/>
          <w:sz w:val="24"/>
          <w:szCs w:val="24"/>
        </w:rPr>
        <w:t xml:space="preserve">initiating </w:t>
      </w:r>
      <w:r w:rsidRPr="00C76434">
        <w:rPr>
          <w:bCs/>
          <w:sz w:val="24"/>
          <w:szCs w:val="24"/>
        </w:rPr>
        <w:t xml:space="preserve">treatment can be reduced. We note that as a level 1 trauma center, it is essential to have adequate capacity to attend to patients who have experienced such events as accidents, and strokes that require timely and efficient access to CT services while not delaying care to </w:t>
      </w:r>
      <w:r>
        <w:rPr>
          <w:bCs/>
          <w:sz w:val="24"/>
          <w:szCs w:val="24"/>
        </w:rPr>
        <w:t xml:space="preserve">in- and out- </w:t>
      </w:r>
      <w:r w:rsidRPr="00C76434">
        <w:rPr>
          <w:bCs/>
          <w:sz w:val="24"/>
          <w:szCs w:val="24"/>
        </w:rPr>
        <w:t xml:space="preserve">patients </w:t>
      </w:r>
      <w:r>
        <w:rPr>
          <w:bCs/>
          <w:sz w:val="24"/>
          <w:szCs w:val="24"/>
        </w:rPr>
        <w:t>who have</w:t>
      </w:r>
      <w:r w:rsidRPr="00C76434">
        <w:rPr>
          <w:bCs/>
          <w:sz w:val="24"/>
          <w:szCs w:val="24"/>
        </w:rPr>
        <w:t xml:space="preserve"> scheduled</w:t>
      </w:r>
      <w:r>
        <w:rPr>
          <w:bCs/>
          <w:sz w:val="24"/>
          <w:szCs w:val="24"/>
        </w:rPr>
        <w:t xml:space="preserve"> scans</w:t>
      </w:r>
      <w:r w:rsidRPr="00C76434">
        <w:rPr>
          <w:bCs/>
          <w:sz w:val="24"/>
          <w:szCs w:val="24"/>
        </w:rPr>
        <w:t xml:space="preserve">. </w:t>
      </w:r>
    </w:p>
    <w:p w14:paraId="08306FCE" w14:textId="4B2F5467" w:rsidR="00C76434" w:rsidRPr="00C76434" w:rsidRDefault="00C76434" w:rsidP="00C76434">
      <w:pPr>
        <w:spacing w:line="240" w:lineRule="auto"/>
        <w:rPr>
          <w:bCs/>
          <w:sz w:val="24"/>
          <w:szCs w:val="24"/>
        </w:rPr>
      </w:pPr>
      <w:r w:rsidRPr="00C76434">
        <w:rPr>
          <w:bCs/>
          <w:sz w:val="24"/>
          <w:szCs w:val="24"/>
        </w:rPr>
        <w:t xml:space="preserve">Integration of care through electronic </w:t>
      </w:r>
      <w:r w:rsidR="00C47ADA">
        <w:rPr>
          <w:bCs/>
          <w:sz w:val="24"/>
          <w:szCs w:val="24"/>
        </w:rPr>
        <w:t xml:space="preserve">health </w:t>
      </w:r>
      <w:r w:rsidRPr="00C76434">
        <w:rPr>
          <w:bCs/>
          <w:sz w:val="24"/>
          <w:szCs w:val="24"/>
        </w:rPr>
        <w:t>records (E</w:t>
      </w:r>
      <w:r w:rsidR="00C47ADA">
        <w:rPr>
          <w:bCs/>
          <w:sz w:val="24"/>
          <w:szCs w:val="24"/>
        </w:rPr>
        <w:t>H</w:t>
      </w:r>
      <w:r w:rsidRPr="00C76434">
        <w:rPr>
          <w:bCs/>
          <w:sz w:val="24"/>
          <w:szCs w:val="24"/>
        </w:rPr>
        <w:t xml:space="preserve">R) systems provide primary care and specialty clinicians across a health system timely access to clinical test results, including imaging. Integration of these tools </w:t>
      </w:r>
      <w:r>
        <w:rPr>
          <w:bCs/>
          <w:sz w:val="24"/>
          <w:szCs w:val="24"/>
        </w:rPr>
        <w:t xml:space="preserve">along </w:t>
      </w:r>
      <w:r w:rsidRPr="00C76434">
        <w:rPr>
          <w:bCs/>
          <w:sz w:val="24"/>
          <w:szCs w:val="24"/>
        </w:rPr>
        <w:t xml:space="preserve">with the </w:t>
      </w:r>
      <w:r>
        <w:rPr>
          <w:bCs/>
          <w:sz w:val="24"/>
          <w:szCs w:val="24"/>
        </w:rPr>
        <w:t xml:space="preserve">ED embedded social workers and the CBO’s </w:t>
      </w:r>
      <w:r>
        <w:rPr>
          <w:bCs/>
          <w:sz w:val="24"/>
          <w:szCs w:val="24"/>
        </w:rPr>
        <w:lastRenderedPageBreak/>
        <w:t xml:space="preserve">through CommunityHELP </w:t>
      </w:r>
      <w:r w:rsidRPr="00C76434">
        <w:rPr>
          <w:bCs/>
          <w:sz w:val="24"/>
          <w:szCs w:val="24"/>
        </w:rPr>
        <w:t>can improve efficiency of care delivery for the neediest patients within the population served</w:t>
      </w:r>
      <w:r>
        <w:rPr>
          <w:bCs/>
          <w:sz w:val="24"/>
          <w:szCs w:val="24"/>
        </w:rPr>
        <w:t xml:space="preserve"> whil</w:t>
      </w:r>
      <w:r w:rsidR="005D2204">
        <w:rPr>
          <w:bCs/>
          <w:sz w:val="24"/>
          <w:szCs w:val="24"/>
        </w:rPr>
        <w:t>e</w:t>
      </w:r>
      <w:r>
        <w:rPr>
          <w:bCs/>
          <w:sz w:val="24"/>
          <w:szCs w:val="24"/>
        </w:rPr>
        <w:t xml:space="preserve"> </w:t>
      </w:r>
      <w:r w:rsidRPr="00C76434">
        <w:rPr>
          <w:bCs/>
          <w:sz w:val="24"/>
          <w:szCs w:val="24"/>
        </w:rPr>
        <w:t>ensur</w:t>
      </w:r>
      <w:r>
        <w:rPr>
          <w:bCs/>
          <w:sz w:val="24"/>
          <w:szCs w:val="24"/>
        </w:rPr>
        <w:t>ing</w:t>
      </w:r>
      <w:r w:rsidRPr="00C76434">
        <w:rPr>
          <w:bCs/>
          <w:sz w:val="24"/>
          <w:szCs w:val="24"/>
        </w:rPr>
        <w:t xml:space="preserve"> that patients benefit from care coordination, better outcomes, and improved quality of life.</w:t>
      </w:r>
    </w:p>
    <w:p w14:paraId="709CEC85" w14:textId="71C5CCCE" w:rsidR="00C76434" w:rsidRDefault="00C76434" w:rsidP="00C76434">
      <w:pPr>
        <w:spacing w:line="240" w:lineRule="auto"/>
        <w:rPr>
          <w:sz w:val="24"/>
          <w:szCs w:val="24"/>
        </w:rPr>
      </w:pPr>
      <w:r w:rsidRPr="00C76434">
        <w:rPr>
          <w:bCs/>
          <w:sz w:val="24"/>
          <w:szCs w:val="24"/>
        </w:rPr>
        <w:t xml:space="preserve">To assess the impact of the Proposed Project, the Applicant has provided </w:t>
      </w:r>
      <w:r w:rsidR="00506408">
        <w:rPr>
          <w:bCs/>
          <w:sz w:val="24"/>
          <w:szCs w:val="24"/>
        </w:rPr>
        <w:t xml:space="preserve">evaluation </w:t>
      </w:r>
      <w:r w:rsidRPr="00C76434">
        <w:rPr>
          <w:bCs/>
          <w:sz w:val="24"/>
          <w:szCs w:val="24"/>
        </w:rPr>
        <w:t xml:space="preserve">measures, </w:t>
      </w:r>
      <w:r w:rsidR="00506408">
        <w:rPr>
          <w:bCs/>
          <w:sz w:val="24"/>
          <w:szCs w:val="24"/>
        </w:rPr>
        <w:t>i</w:t>
      </w:r>
      <w:r w:rsidR="00506408" w:rsidRPr="00506408">
        <w:rPr>
          <w:bCs/>
          <w:sz w:val="24"/>
          <w:szCs w:val="24"/>
        </w:rPr>
        <w:t>ncluding</w:t>
      </w:r>
      <w:r w:rsidR="00506408">
        <w:rPr>
          <w:bCs/>
          <w:sz w:val="24"/>
          <w:szCs w:val="24"/>
        </w:rPr>
        <w:t xml:space="preserve"> </w:t>
      </w:r>
      <w:r w:rsidR="00506408" w:rsidRPr="00506408">
        <w:rPr>
          <w:bCs/>
          <w:sz w:val="24"/>
          <w:szCs w:val="24"/>
        </w:rPr>
        <w:t xml:space="preserve">average time </w:t>
      </w:r>
      <w:r w:rsidR="005D2204" w:rsidRPr="00506408">
        <w:rPr>
          <w:bCs/>
          <w:sz w:val="24"/>
          <w:szCs w:val="24"/>
        </w:rPr>
        <w:t xml:space="preserve">for ED patients requiring CT </w:t>
      </w:r>
      <w:r w:rsidR="00506408" w:rsidRPr="00506408">
        <w:rPr>
          <w:bCs/>
          <w:sz w:val="24"/>
          <w:szCs w:val="24"/>
        </w:rPr>
        <w:t xml:space="preserve">from order placement to begin time </w:t>
      </w:r>
      <w:r w:rsidRPr="00C76434">
        <w:rPr>
          <w:bCs/>
          <w:sz w:val="24"/>
          <w:szCs w:val="24"/>
        </w:rPr>
        <w:t>and quality of care, which may indicate improved outcomes. Staff reviewed the suggested measures that will become part of the annual reporting to DPH. The measures are described in Appendix 1 below.</w:t>
      </w:r>
    </w:p>
    <w:p w14:paraId="5799AED7" w14:textId="6DA3DF5E" w:rsidR="007607A8" w:rsidRPr="00F74E91" w:rsidRDefault="00F74E91" w:rsidP="00F74E91">
      <w:pPr>
        <w:spacing w:line="240" w:lineRule="auto"/>
        <w:rPr>
          <w:sz w:val="24"/>
          <w:szCs w:val="24"/>
        </w:rPr>
      </w:pPr>
      <w:r w:rsidRPr="00F74E91">
        <w:rPr>
          <w:sz w:val="24"/>
          <w:szCs w:val="24"/>
        </w:rPr>
        <w:t>Staff finds that through these initiatives that directly impact patients in the ED, the Applicant has met Factor 1</w:t>
      </w:r>
      <w:r w:rsidR="008A0CB0">
        <w:rPr>
          <w:sz w:val="24"/>
          <w:szCs w:val="24"/>
        </w:rPr>
        <w:t>(</w:t>
      </w:r>
      <w:r w:rsidRPr="00F74E91">
        <w:rPr>
          <w:sz w:val="24"/>
          <w:szCs w:val="24"/>
        </w:rPr>
        <w:t>c).</w:t>
      </w:r>
      <w:r w:rsidR="007607A8" w:rsidRPr="007607A8">
        <w:t xml:space="preserve"> </w:t>
      </w:r>
    </w:p>
    <w:p w14:paraId="5C1C9533" w14:textId="77777777" w:rsidR="002051F6" w:rsidRPr="002051F6" w:rsidRDefault="002051F6" w:rsidP="002051F6">
      <w:pPr>
        <w:pStyle w:val="Heading2"/>
        <w:ind w:left="0"/>
        <w:rPr>
          <w:b/>
          <w:szCs w:val="28"/>
        </w:rPr>
      </w:pPr>
      <w:r w:rsidRPr="002051F6">
        <w:rPr>
          <w:b/>
          <w:szCs w:val="28"/>
        </w:rPr>
        <w:t>Factor 1: d) Consultation</w:t>
      </w:r>
    </w:p>
    <w:p w14:paraId="4F94A3DD" w14:textId="77777777" w:rsidR="002051F6" w:rsidRPr="002051F6" w:rsidRDefault="002051F6" w:rsidP="002051F6">
      <w:pPr>
        <w:keepNext/>
        <w:keepLines/>
        <w:spacing w:after="0" w:line="276" w:lineRule="auto"/>
        <w:outlineLvl w:val="1"/>
        <w:rPr>
          <w:rFonts w:ascii="Calibri" w:eastAsia="Times New Roman" w:hAnsi="Calibri" w:cs="Times New Roman"/>
          <w:b/>
          <w:bCs/>
          <w:color w:val="4F81BD"/>
          <w:sz w:val="26"/>
          <w:szCs w:val="26"/>
        </w:rPr>
      </w:pPr>
      <w:r w:rsidRPr="002051F6">
        <w:rPr>
          <w:rFonts w:ascii="Calibri" w:eastAsia="Times New Roman" w:hAnsi="Calibri" w:cs="Times New Roman"/>
          <w:b/>
          <w:bCs/>
          <w:color w:val="4F81BD"/>
          <w:sz w:val="26"/>
          <w:szCs w:val="26"/>
        </w:rPr>
        <w:t xml:space="preserve"> </w:t>
      </w:r>
    </w:p>
    <w:p w14:paraId="3DD55F06" w14:textId="059CF01E" w:rsidR="007607A8" w:rsidRDefault="002051F6" w:rsidP="00E9726D">
      <w:pPr>
        <w:spacing w:after="0" w:line="240" w:lineRule="auto"/>
      </w:pPr>
      <w:r w:rsidRPr="002051F6">
        <w:rPr>
          <w:rFonts w:ascii="Calibri" w:eastAsia="Calibri" w:hAnsi="Calibri" w:cs="Times New Roman"/>
          <w:sz w:val="24"/>
          <w:szCs w:val="24"/>
        </w:rPr>
        <w:t>The Applicant has provided evidence of consultation, with all government agencies that have licensure, certification, or other regulatory oversight, which has been done and will not be addressed further in this report.</w:t>
      </w:r>
      <w:r w:rsidR="007607A8" w:rsidRPr="007607A8">
        <w:t xml:space="preserve"> </w:t>
      </w:r>
    </w:p>
    <w:p w14:paraId="2C4266C7" w14:textId="77777777" w:rsidR="00E9726D" w:rsidRPr="007607A8" w:rsidRDefault="00E9726D" w:rsidP="00E9726D">
      <w:pPr>
        <w:spacing w:after="0" w:line="240" w:lineRule="auto"/>
      </w:pPr>
    </w:p>
    <w:p w14:paraId="0B277A7C" w14:textId="634E7EE7" w:rsidR="009F2000" w:rsidRPr="002254BE" w:rsidRDefault="009F2000" w:rsidP="002254BE">
      <w:pPr>
        <w:pStyle w:val="Heading2"/>
        <w:ind w:left="0"/>
        <w:rPr>
          <w:b/>
        </w:rPr>
      </w:pPr>
      <w:r w:rsidRPr="002254BE">
        <w:rPr>
          <w:b/>
        </w:rPr>
        <w:t xml:space="preserve">Factor 1: e) Evidence of Sound Community Engagement </w:t>
      </w:r>
    </w:p>
    <w:p w14:paraId="0492AA69" w14:textId="77777777" w:rsidR="009F2000" w:rsidRPr="009F2000" w:rsidRDefault="009F2000" w:rsidP="009F2000">
      <w:pPr>
        <w:spacing w:after="0" w:line="240" w:lineRule="auto"/>
        <w:rPr>
          <w:rFonts w:ascii="Calibri" w:eastAsia="Calibri" w:hAnsi="Calibri" w:cs="Times New Roman"/>
          <w:sz w:val="24"/>
          <w:szCs w:val="24"/>
        </w:rPr>
      </w:pPr>
    </w:p>
    <w:p w14:paraId="09A03CF0" w14:textId="566611D3" w:rsidR="009F2000" w:rsidRDefault="009F2000" w:rsidP="009F2000">
      <w:pPr>
        <w:spacing w:after="0" w:line="240" w:lineRule="auto"/>
        <w:rPr>
          <w:rFonts w:ascii="Calibri" w:eastAsia="Calibri" w:hAnsi="Calibri" w:cs="Calibri"/>
          <w:sz w:val="24"/>
          <w:szCs w:val="24"/>
        </w:rPr>
      </w:pPr>
      <w:r w:rsidRPr="009F2000">
        <w:rPr>
          <w:rFonts w:ascii="Calibri" w:eastAsia="Calibri" w:hAnsi="Calibri" w:cs="Calibri"/>
          <w:sz w:val="24"/>
          <w:szCs w:val="24"/>
        </w:rPr>
        <w:t xml:space="preserve">The Department’s Guideline for community engagement defines “community” as the Patient Panel and requires that, at minimum; the Applicant must “consult” with groups representative of the Applicant’s Patient Panel. Regulations state that efforts in such consultation should consist of engaging community coalitions statistically representative of the Patient Panel. The Applicant community and Patient Panel focus broadly across neighborhood and community stakeholders of the proposed catchment areas. </w:t>
      </w:r>
    </w:p>
    <w:p w14:paraId="4C86C140" w14:textId="77777777" w:rsidR="00E847F1" w:rsidRPr="009F2000" w:rsidRDefault="00E847F1" w:rsidP="009F2000">
      <w:pPr>
        <w:spacing w:after="0" w:line="240" w:lineRule="auto"/>
        <w:rPr>
          <w:rFonts w:ascii="Calibri" w:eastAsia="Calibri" w:hAnsi="Calibri" w:cs="Calibri"/>
          <w:sz w:val="24"/>
          <w:szCs w:val="24"/>
        </w:rPr>
      </w:pPr>
    </w:p>
    <w:p w14:paraId="51E558D6" w14:textId="5C7C51F5" w:rsidR="00622542" w:rsidRDefault="007607A8" w:rsidP="007607A8">
      <w:pPr>
        <w:rPr>
          <w:sz w:val="24"/>
          <w:szCs w:val="24"/>
        </w:rPr>
      </w:pPr>
      <w:r w:rsidRPr="00E847F1">
        <w:rPr>
          <w:sz w:val="24"/>
          <w:szCs w:val="24"/>
        </w:rPr>
        <w:t xml:space="preserve">To </w:t>
      </w:r>
      <w:r w:rsidR="004F3E82" w:rsidRPr="00E847F1">
        <w:rPr>
          <w:sz w:val="24"/>
          <w:szCs w:val="24"/>
        </w:rPr>
        <w:t>involve patients and families more fully</w:t>
      </w:r>
      <w:r w:rsidRPr="00E847F1">
        <w:rPr>
          <w:sz w:val="24"/>
          <w:szCs w:val="24"/>
        </w:rPr>
        <w:t xml:space="preserve"> in the Proposed Project, the Applicant engaged the community presenting to Proposed Project and soliciting feedback. First, the Proposed Project was presented t</w:t>
      </w:r>
      <w:r w:rsidR="00622542">
        <w:rPr>
          <w:sz w:val="24"/>
          <w:szCs w:val="24"/>
        </w:rPr>
        <w:t xml:space="preserve">o </w:t>
      </w:r>
      <w:r w:rsidR="00A718E9">
        <w:rPr>
          <w:sz w:val="24"/>
          <w:szCs w:val="24"/>
        </w:rPr>
        <w:t>UMMMC</w:t>
      </w:r>
      <w:r w:rsidRPr="00E847F1">
        <w:rPr>
          <w:sz w:val="24"/>
          <w:szCs w:val="24"/>
        </w:rPr>
        <w:t xml:space="preserve">’s Community Benefits Advisory Committee (CBAC) on December 7, </w:t>
      </w:r>
      <w:r w:rsidR="004140F5" w:rsidRPr="00E847F1">
        <w:rPr>
          <w:sz w:val="24"/>
          <w:szCs w:val="24"/>
        </w:rPr>
        <w:t>2021,</w:t>
      </w:r>
      <w:r w:rsidRPr="00E847F1">
        <w:rPr>
          <w:sz w:val="24"/>
          <w:szCs w:val="24"/>
        </w:rPr>
        <w:t xml:space="preserve"> with seven (7) individuals in attendance, including four (4) members of the community and three (3) representatives from UMMMC. Hospital representatives spoke about the need for the Proposed Project and how it will positively impact the</w:t>
      </w:r>
      <w:r w:rsidR="00622542">
        <w:rPr>
          <w:sz w:val="24"/>
          <w:szCs w:val="24"/>
        </w:rPr>
        <w:t xml:space="preserve"> </w:t>
      </w:r>
      <w:r w:rsidR="00A718E9">
        <w:rPr>
          <w:sz w:val="24"/>
          <w:szCs w:val="24"/>
        </w:rPr>
        <w:t>University Hospital</w:t>
      </w:r>
      <w:r w:rsidRPr="00E847F1">
        <w:rPr>
          <w:sz w:val="24"/>
          <w:szCs w:val="24"/>
        </w:rPr>
        <w:t>’s patient</w:t>
      </w:r>
      <w:r w:rsidR="00A718E9">
        <w:rPr>
          <w:sz w:val="24"/>
          <w:szCs w:val="24"/>
        </w:rPr>
        <w:t>s</w:t>
      </w:r>
      <w:r w:rsidRPr="00E847F1">
        <w:rPr>
          <w:sz w:val="24"/>
          <w:szCs w:val="24"/>
        </w:rPr>
        <w:t>.</w:t>
      </w:r>
    </w:p>
    <w:p w14:paraId="3F1DF3AC" w14:textId="2D9AF801" w:rsidR="00F74E91" w:rsidRPr="00C47ADA" w:rsidRDefault="00F74E91" w:rsidP="007607A8">
      <w:pPr>
        <w:rPr>
          <w:b/>
          <w:i/>
          <w:sz w:val="24"/>
          <w:szCs w:val="24"/>
        </w:rPr>
      </w:pPr>
      <w:r w:rsidRPr="00C47ADA">
        <w:rPr>
          <w:b/>
          <w:i/>
          <w:sz w:val="24"/>
          <w:szCs w:val="24"/>
        </w:rPr>
        <w:t>Analysis</w:t>
      </w:r>
    </w:p>
    <w:p w14:paraId="73A7A9B3" w14:textId="3602287D" w:rsidR="00E847F1" w:rsidRDefault="00F74E91" w:rsidP="00E847F1">
      <w:pPr>
        <w:spacing w:after="0"/>
        <w:rPr>
          <w:sz w:val="24"/>
          <w:szCs w:val="24"/>
        </w:rPr>
      </w:pPr>
      <w:r w:rsidRPr="00F74E91">
        <w:rPr>
          <w:sz w:val="24"/>
          <w:szCs w:val="24"/>
        </w:rPr>
        <w:t>Staff finds that through these initiatives that directly impact patients i</w:t>
      </w:r>
      <w:r w:rsidR="00A46BD1">
        <w:rPr>
          <w:sz w:val="24"/>
          <w:szCs w:val="24"/>
        </w:rPr>
        <w:t>n the ED, the Applicant has met</w:t>
      </w:r>
      <w:r w:rsidRPr="00F74E91">
        <w:rPr>
          <w:sz w:val="24"/>
          <w:szCs w:val="24"/>
        </w:rPr>
        <w:t xml:space="preserve"> Factor 1</w:t>
      </w:r>
      <w:r w:rsidR="004140F5">
        <w:rPr>
          <w:sz w:val="24"/>
          <w:szCs w:val="24"/>
        </w:rPr>
        <w:t>(</w:t>
      </w:r>
      <w:r>
        <w:rPr>
          <w:sz w:val="24"/>
          <w:szCs w:val="24"/>
        </w:rPr>
        <w:t>e)</w:t>
      </w:r>
      <w:r w:rsidR="004140F5">
        <w:rPr>
          <w:sz w:val="24"/>
          <w:szCs w:val="24"/>
        </w:rPr>
        <w:t>.</w:t>
      </w:r>
    </w:p>
    <w:p w14:paraId="6C0E5E05" w14:textId="77777777" w:rsidR="00F74E91" w:rsidRPr="00E847F1" w:rsidRDefault="00F74E91" w:rsidP="00E847F1">
      <w:pPr>
        <w:spacing w:after="0"/>
        <w:rPr>
          <w:sz w:val="24"/>
          <w:szCs w:val="24"/>
        </w:rPr>
      </w:pPr>
    </w:p>
    <w:p w14:paraId="41CE1627" w14:textId="68B08A57" w:rsidR="007607A8" w:rsidRDefault="007607A8" w:rsidP="007607A8">
      <w:pPr>
        <w:pStyle w:val="Heading2"/>
        <w:ind w:left="0"/>
        <w:rPr>
          <w:b/>
        </w:rPr>
      </w:pPr>
      <w:r w:rsidRPr="007607A8">
        <w:rPr>
          <w:b/>
        </w:rPr>
        <w:t>Factor 1: f) Competition</w:t>
      </w:r>
    </w:p>
    <w:p w14:paraId="1C657004" w14:textId="06990032" w:rsidR="007607A8" w:rsidRPr="005D2204" w:rsidRDefault="007607A8" w:rsidP="00622542">
      <w:pPr>
        <w:spacing w:before="240" w:line="240" w:lineRule="auto"/>
        <w:rPr>
          <w:sz w:val="24"/>
          <w:szCs w:val="24"/>
        </w:rPr>
      </w:pPr>
      <w:r w:rsidRPr="005D2204">
        <w:rPr>
          <w:sz w:val="24"/>
          <w:szCs w:val="24"/>
        </w:rPr>
        <w:t xml:space="preserve">The Proposed Project will compete on the basis of price, total medical expenses, provider costs, and other recognized measures of health care spending because it will enable the </w:t>
      </w:r>
      <w:r w:rsidR="00A718E9">
        <w:rPr>
          <w:sz w:val="24"/>
          <w:szCs w:val="24"/>
        </w:rPr>
        <w:t xml:space="preserve">University </w:t>
      </w:r>
      <w:r w:rsidR="00A718E9">
        <w:rPr>
          <w:sz w:val="24"/>
          <w:szCs w:val="24"/>
        </w:rPr>
        <w:lastRenderedPageBreak/>
        <w:t>Campus</w:t>
      </w:r>
      <w:r w:rsidRPr="005D2204">
        <w:rPr>
          <w:sz w:val="24"/>
          <w:szCs w:val="24"/>
        </w:rPr>
        <w:t xml:space="preserve"> to provide more timely access to emergency CT imaging, in turn improving health outcomes, reducing ED </w:t>
      </w:r>
      <w:r w:rsidR="00CF725A">
        <w:rPr>
          <w:sz w:val="24"/>
          <w:szCs w:val="24"/>
        </w:rPr>
        <w:t xml:space="preserve">backlogs </w:t>
      </w:r>
      <w:r w:rsidRPr="005D2204">
        <w:rPr>
          <w:sz w:val="24"/>
          <w:szCs w:val="24"/>
        </w:rPr>
        <w:t xml:space="preserve">and maximizing overall hospital efficiency. As the only Level 1 Trauma Center in Central Massachusetts, the </w:t>
      </w:r>
      <w:r w:rsidR="00A718E9">
        <w:rPr>
          <w:sz w:val="24"/>
          <w:szCs w:val="24"/>
        </w:rPr>
        <w:t xml:space="preserve">ED </w:t>
      </w:r>
      <w:r w:rsidRPr="005D2204">
        <w:rPr>
          <w:sz w:val="24"/>
          <w:szCs w:val="24"/>
        </w:rPr>
        <w:t xml:space="preserve">must have sufficient capacity to provide urgent and immediate diagnosis and treatment. Through the Proposed Project, the </w:t>
      </w:r>
      <w:r w:rsidR="00A47F78">
        <w:rPr>
          <w:sz w:val="24"/>
          <w:szCs w:val="24"/>
        </w:rPr>
        <w:t>Applicant</w:t>
      </w:r>
      <w:r w:rsidRPr="005D2204">
        <w:rPr>
          <w:sz w:val="24"/>
          <w:szCs w:val="24"/>
        </w:rPr>
        <w:t xml:space="preserve"> seeks to ensure timely access to an emergency service without negatively impacting overall health care costs. </w:t>
      </w:r>
    </w:p>
    <w:p w14:paraId="7A86F9EE" w14:textId="36E4295F" w:rsidR="007607A8" w:rsidRPr="005D2204" w:rsidRDefault="007607A8" w:rsidP="00622542">
      <w:pPr>
        <w:spacing w:line="240" w:lineRule="auto"/>
        <w:rPr>
          <w:sz w:val="24"/>
          <w:szCs w:val="24"/>
        </w:rPr>
      </w:pPr>
      <w:r w:rsidRPr="005D2204">
        <w:rPr>
          <w:sz w:val="24"/>
          <w:szCs w:val="24"/>
        </w:rPr>
        <w:t xml:space="preserve">First, </w:t>
      </w:r>
      <w:r w:rsidR="00C47ADA" w:rsidRPr="005D2204">
        <w:rPr>
          <w:sz w:val="24"/>
          <w:szCs w:val="24"/>
        </w:rPr>
        <w:t xml:space="preserve">the Applicant stresses that </w:t>
      </w:r>
      <w:r w:rsidRPr="005D2204">
        <w:rPr>
          <w:sz w:val="24"/>
          <w:szCs w:val="24"/>
        </w:rPr>
        <w:t xml:space="preserve">it is imperative </w:t>
      </w:r>
      <w:r w:rsidR="00C47ADA" w:rsidRPr="005D2204">
        <w:rPr>
          <w:sz w:val="24"/>
          <w:szCs w:val="24"/>
        </w:rPr>
        <w:t xml:space="preserve">for Level </w:t>
      </w:r>
      <w:r w:rsidR="000B2468" w:rsidRPr="005D2204">
        <w:rPr>
          <w:sz w:val="24"/>
          <w:szCs w:val="24"/>
        </w:rPr>
        <w:t>I trauma</w:t>
      </w:r>
      <w:r w:rsidRPr="005D2204">
        <w:rPr>
          <w:sz w:val="24"/>
          <w:szCs w:val="24"/>
        </w:rPr>
        <w:t xml:space="preserve"> centers</w:t>
      </w:r>
      <w:r w:rsidR="00C47ADA" w:rsidRPr="005D2204">
        <w:rPr>
          <w:sz w:val="24"/>
          <w:szCs w:val="24"/>
        </w:rPr>
        <w:t xml:space="preserve"> to</w:t>
      </w:r>
      <w:r w:rsidRPr="005D2204">
        <w:rPr>
          <w:sz w:val="24"/>
          <w:szCs w:val="24"/>
        </w:rPr>
        <w:t xml:space="preserve"> be equipped with the</w:t>
      </w:r>
      <w:r w:rsidR="00C47ADA" w:rsidRPr="005D2204">
        <w:rPr>
          <w:sz w:val="24"/>
          <w:szCs w:val="24"/>
        </w:rPr>
        <w:t xml:space="preserve"> appropriate</w:t>
      </w:r>
      <w:r w:rsidRPr="005D2204">
        <w:rPr>
          <w:sz w:val="24"/>
          <w:szCs w:val="24"/>
        </w:rPr>
        <w:t xml:space="preserve"> diagnostic </w:t>
      </w:r>
      <w:r w:rsidR="00C47ADA" w:rsidRPr="005D2204">
        <w:rPr>
          <w:sz w:val="24"/>
          <w:szCs w:val="24"/>
        </w:rPr>
        <w:t xml:space="preserve">tools </w:t>
      </w:r>
      <w:r w:rsidRPr="005D2204">
        <w:rPr>
          <w:sz w:val="24"/>
          <w:szCs w:val="24"/>
        </w:rPr>
        <w:t xml:space="preserve">to </w:t>
      </w:r>
      <w:r w:rsidR="00C47ADA" w:rsidRPr="005D2204">
        <w:rPr>
          <w:sz w:val="24"/>
          <w:szCs w:val="24"/>
        </w:rPr>
        <w:t xml:space="preserve">diagnose and treat </w:t>
      </w:r>
      <w:r w:rsidRPr="005D2204">
        <w:rPr>
          <w:sz w:val="24"/>
          <w:szCs w:val="24"/>
        </w:rPr>
        <w:t>their community</w:t>
      </w:r>
      <w:r w:rsidR="00C47ADA" w:rsidRPr="005D2204">
        <w:rPr>
          <w:sz w:val="24"/>
          <w:szCs w:val="24"/>
        </w:rPr>
        <w:t xml:space="preserve"> in a timely manner</w:t>
      </w:r>
      <w:r w:rsidR="0064684F" w:rsidRPr="005D2204">
        <w:rPr>
          <w:sz w:val="24"/>
          <w:szCs w:val="24"/>
        </w:rPr>
        <w:t>, when treatment is the most likely to be successful</w:t>
      </w:r>
      <w:r w:rsidRPr="005D2204">
        <w:rPr>
          <w:sz w:val="24"/>
          <w:szCs w:val="24"/>
        </w:rPr>
        <w:t>.</w:t>
      </w:r>
      <w:r w:rsidR="0064684F" w:rsidRPr="005D2204">
        <w:rPr>
          <w:sz w:val="24"/>
          <w:szCs w:val="24"/>
        </w:rPr>
        <w:t xml:space="preserve"> D</w:t>
      </w:r>
      <w:r w:rsidR="00C47ADA" w:rsidRPr="005D2204">
        <w:rPr>
          <w:sz w:val="24"/>
          <w:szCs w:val="24"/>
        </w:rPr>
        <w:t xml:space="preserve">elayed diagnosis and treatment </w:t>
      </w:r>
      <w:r w:rsidR="004140F5" w:rsidRPr="005D2204">
        <w:rPr>
          <w:sz w:val="24"/>
          <w:szCs w:val="24"/>
        </w:rPr>
        <w:t>lead</w:t>
      </w:r>
      <w:r w:rsidR="00C47ADA" w:rsidRPr="005D2204">
        <w:rPr>
          <w:sz w:val="24"/>
          <w:szCs w:val="24"/>
        </w:rPr>
        <w:t xml:space="preserve"> to </w:t>
      </w:r>
      <w:r w:rsidRPr="005D2204">
        <w:rPr>
          <w:sz w:val="24"/>
          <w:szCs w:val="24"/>
        </w:rPr>
        <w:t xml:space="preserve">longer lengths of stay, and poor patient experience. Improving access to CT imaging in the ED will reduce ED overcrowding and improve hospital throughput which is necessary for reducing overall hospital costs.  </w:t>
      </w:r>
    </w:p>
    <w:p w14:paraId="272F0D4F" w14:textId="11FF47FB" w:rsidR="007607A8" w:rsidRPr="005D2204" w:rsidRDefault="0064684F" w:rsidP="00622542">
      <w:pPr>
        <w:spacing w:line="240" w:lineRule="auto"/>
        <w:rPr>
          <w:sz w:val="24"/>
          <w:szCs w:val="24"/>
        </w:rPr>
      </w:pPr>
      <w:r w:rsidRPr="005D2204">
        <w:rPr>
          <w:sz w:val="24"/>
          <w:szCs w:val="24"/>
        </w:rPr>
        <w:t>T</w:t>
      </w:r>
      <w:r w:rsidR="007607A8" w:rsidRPr="005D2204">
        <w:rPr>
          <w:sz w:val="24"/>
          <w:szCs w:val="24"/>
        </w:rPr>
        <w:t>he colocation of imaging in the emergency department</w:t>
      </w:r>
      <w:r w:rsidR="00CF725A">
        <w:rPr>
          <w:sz w:val="24"/>
          <w:szCs w:val="24"/>
        </w:rPr>
        <w:t>s</w:t>
      </w:r>
      <w:r w:rsidR="007607A8" w:rsidRPr="005D2204">
        <w:rPr>
          <w:sz w:val="24"/>
          <w:szCs w:val="24"/>
        </w:rPr>
        <w:t xml:space="preserve"> </w:t>
      </w:r>
      <w:r w:rsidR="004140F5">
        <w:rPr>
          <w:sz w:val="24"/>
          <w:szCs w:val="24"/>
        </w:rPr>
        <w:t xml:space="preserve">is key to </w:t>
      </w:r>
      <w:r w:rsidR="007607A8" w:rsidRPr="005D2204">
        <w:rPr>
          <w:sz w:val="24"/>
          <w:szCs w:val="24"/>
        </w:rPr>
        <w:t>workflow efficiency</w:t>
      </w:r>
      <w:r w:rsidR="000D09E6">
        <w:rPr>
          <w:sz w:val="24"/>
          <w:szCs w:val="24"/>
        </w:rPr>
        <w:t>.</w:t>
      </w:r>
      <w:r w:rsidR="00CF725A">
        <w:rPr>
          <w:sz w:val="24"/>
          <w:szCs w:val="24"/>
        </w:rPr>
        <w:t xml:space="preserve"> </w:t>
      </w:r>
      <w:r w:rsidR="000D09E6">
        <w:rPr>
          <w:sz w:val="24"/>
          <w:szCs w:val="24"/>
        </w:rPr>
        <w:t>By adding a secon</w:t>
      </w:r>
      <w:r w:rsidR="00CF725A">
        <w:rPr>
          <w:sz w:val="24"/>
          <w:szCs w:val="24"/>
        </w:rPr>
        <w:t>d</w:t>
      </w:r>
      <w:r w:rsidR="007607A8" w:rsidRPr="005D2204">
        <w:rPr>
          <w:sz w:val="24"/>
          <w:szCs w:val="24"/>
        </w:rPr>
        <w:t xml:space="preserve"> </w:t>
      </w:r>
      <w:r w:rsidRPr="005D2204">
        <w:rPr>
          <w:sz w:val="24"/>
          <w:szCs w:val="24"/>
        </w:rPr>
        <w:t>unit</w:t>
      </w:r>
      <w:r w:rsidR="007607A8" w:rsidRPr="005D2204">
        <w:rPr>
          <w:sz w:val="24"/>
          <w:szCs w:val="24"/>
        </w:rPr>
        <w:t xml:space="preserve">, the </w:t>
      </w:r>
      <w:r w:rsidR="00A47F78">
        <w:rPr>
          <w:sz w:val="24"/>
          <w:szCs w:val="24"/>
        </w:rPr>
        <w:t>University Campus</w:t>
      </w:r>
      <w:r w:rsidR="007607A8" w:rsidRPr="005D2204">
        <w:rPr>
          <w:sz w:val="24"/>
          <w:szCs w:val="24"/>
        </w:rPr>
        <w:t xml:space="preserve"> will further maximize </w:t>
      </w:r>
      <w:r w:rsidRPr="005D2204">
        <w:rPr>
          <w:sz w:val="24"/>
          <w:szCs w:val="24"/>
        </w:rPr>
        <w:t xml:space="preserve">costs through </w:t>
      </w:r>
      <w:r w:rsidR="007607A8" w:rsidRPr="005D2204">
        <w:rPr>
          <w:sz w:val="24"/>
          <w:szCs w:val="24"/>
        </w:rPr>
        <w:t>operational efficienc</w:t>
      </w:r>
      <w:r w:rsidRPr="005D2204">
        <w:rPr>
          <w:sz w:val="24"/>
          <w:szCs w:val="24"/>
        </w:rPr>
        <w:t>ies</w:t>
      </w:r>
      <w:r w:rsidR="007607A8" w:rsidRPr="005D2204">
        <w:rPr>
          <w:sz w:val="24"/>
          <w:szCs w:val="24"/>
        </w:rPr>
        <w:t xml:space="preserve">. </w:t>
      </w:r>
      <w:r w:rsidR="000D09E6">
        <w:rPr>
          <w:sz w:val="24"/>
          <w:szCs w:val="24"/>
        </w:rPr>
        <w:t>T</w:t>
      </w:r>
      <w:r w:rsidR="007607A8" w:rsidRPr="005D2204">
        <w:rPr>
          <w:sz w:val="24"/>
          <w:szCs w:val="24"/>
        </w:rPr>
        <w:t xml:space="preserve">he additional unit will be reimbursed at the same rate as the existing CT units </w:t>
      </w:r>
      <w:r w:rsidR="000D09E6">
        <w:rPr>
          <w:sz w:val="24"/>
          <w:szCs w:val="24"/>
        </w:rPr>
        <w:t xml:space="preserve">so there will be no </w:t>
      </w:r>
      <w:r w:rsidRPr="005D2204">
        <w:rPr>
          <w:sz w:val="24"/>
          <w:szCs w:val="24"/>
        </w:rPr>
        <w:t xml:space="preserve">increase </w:t>
      </w:r>
      <w:r w:rsidR="007607A8" w:rsidRPr="005D2204">
        <w:rPr>
          <w:sz w:val="24"/>
          <w:szCs w:val="24"/>
        </w:rPr>
        <w:t xml:space="preserve">in </w:t>
      </w:r>
      <w:r w:rsidRPr="005D2204">
        <w:rPr>
          <w:sz w:val="24"/>
          <w:szCs w:val="24"/>
        </w:rPr>
        <w:t xml:space="preserve">TME </w:t>
      </w:r>
      <w:r w:rsidR="007607A8" w:rsidRPr="005D2204">
        <w:rPr>
          <w:sz w:val="24"/>
          <w:szCs w:val="24"/>
        </w:rPr>
        <w:t xml:space="preserve">to insurers or patients who receive imaging through the Proposed Project.  </w:t>
      </w:r>
    </w:p>
    <w:p w14:paraId="2A791792" w14:textId="028A0326" w:rsidR="0064684F" w:rsidRPr="005D2204" w:rsidRDefault="0064684F" w:rsidP="00622542">
      <w:pPr>
        <w:spacing w:line="240" w:lineRule="auto"/>
        <w:rPr>
          <w:b/>
          <w:i/>
          <w:sz w:val="24"/>
          <w:szCs w:val="24"/>
        </w:rPr>
      </w:pPr>
      <w:r w:rsidRPr="005D2204">
        <w:rPr>
          <w:b/>
          <w:i/>
          <w:sz w:val="24"/>
          <w:szCs w:val="24"/>
        </w:rPr>
        <w:t>Analysis</w:t>
      </w:r>
    </w:p>
    <w:p w14:paraId="58F86944" w14:textId="0CAB6FC7" w:rsidR="003541F9" w:rsidRPr="00626EE1" w:rsidRDefault="0064684F" w:rsidP="002E19F0">
      <w:pPr>
        <w:spacing w:line="240" w:lineRule="auto"/>
        <w:rPr>
          <w:sz w:val="24"/>
          <w:szCs w:val="24"/>
        </w:rPr>
      </w:pPr>
      <w:r w:rsidRPr="005D2204">
        <w:rPr>
          <w:sz w:val="24"/>
          <w:szCs w:val="24"/>
        </w:rPr>
        <w:t xml:space="preserve">Staff concurs with </w:t>
      </w:r>
      <w:r w:rsidR="007607A8" w:rsidRPr="005D2204">
        <w:rPr>
          <w:sz w:val="24"/>
          <w:szCs w:val="24"/>
        </w:rPr>
        <w:t>the Applicant assert</w:t>
      </w:r>
      <w:r w:rsidRPr="005D2204">
        <w:rPr>
          <w:sz w:val="24"/>
          <w:szCs w:val="24"/>
        </w:rPr>
        <w:t xml:space="preserve">ions </w:t>
      </w:r>
      <w:r w:rsidR="000D09E6" w:rsidRPr="005D2204">
        <w:rPr>
          <w:sz w:val="24"/>
          <w:szCs w:val="24"/>
        </w:rPr>
        <w:t>regarding the</w:t>
      </w:r>
      <w:r w:rsidR="002F29D8" w:rsidRPr="005D2204">
        <w:rPr>
          <w:sz w:val="24"/>
          <w:szCs w:val="24"/>
        </w:rPr>
        <w:t xml:space="preserve"> cost containment impact of improved emergency access to CT through the proposed project. Specifically, </w:t>
      </w:r>
      <w:r w:rsidRPr="005D2204">
        <w:rPr>
          <w:sz w:val="24"/>
          <w:szCs w:val="24"/>
        </w:rPr>
        <w:t>reduced wait times</w:t>
      </w:r>
      <w:r w:rsidR="00A46BD1" w:rsidRPr="005D2204">
        <w:rPr>
          <w:sz w:val="24"/>
          <w:szCs w:val="24"/>
        </w:rPr>
        <w:t xml:space="preserve"> can</w:t>
      </w:r>
      <w:r w:rsidR="007607A8" w:rsidRPr="005D2204">
        <w:rPr>
          <w:sz w:val="24"/>
          <w:szCs w:val="24"/>
        </w:rPr>
        <w:t xml:space="preserve"> maximize hospital workflow</w:t>
      </w:r>
      <w:r w:rsidR="002F29D8" w:rsidRPr="005D2204">
        <w:rPr>
          <w:sz w:val="24"/>
          <w:szCs w:val="24"/>
        </w:rPr>
        <w:t>,</w:t>
      </w:r>
      <w:r w:rsidR="007607A8" w:rsidRPr="005D2204">
        <w:rPr>
          <w:sz w:val="24"/>
          <w:szCs w:val="24"/>
        </w:rPr>
        <w:t xml:space="preserve"> </w:t>
      </w:r>
      <w:r w:rsidR="002F29D8" w:rsidRPr="005D2204">
        <w:rPr>
          <w:sz w:val="24"/>
          <w:szCs w:val="24"/>
        </w:rPr>
        <w:t xml:space="preserve">improve </w:t>
      </w:r>
      <w:r w:rsidR="00CF725A" w:rsidRPr="005D2204">
        <w:rPr>
          <w:sz w:val="24"/>
          <w:szCs w:val="24"/>
        </w:rPr>
        <w:t>efficiencies,</w:t>
      </w:r>
      <w:r w:rsidR="000D09E6" w:rsidRPr="005D2204">
        <w:rPr>
          <w:sz w:val="24"/>
          <w:szCs w:val="24"/>
        </w:rPr>
        <w:t xml:space="preserve"> and</w:t>
      </w:r>
      <w:r w:rsidR="002F29D8" w:rsidRPr="005D2204">
        <w:rPr>
          <w:sz w:val="24"/>
          <w:szCs w:val="24"/>
        </w:rPr>
        <w:t xml:space="preserve"> reduce lengths of stay</w:t>
      </w:r>
      <w:r w:rsidR="000D09E6">
        <w:rPr>
          <w:sz w:val="24"/>
          <w:szCs w:val="24"/>
        </w:rPr>
        <w:t>,</w:t>
      </w:r>
      <w:r w:rsidR="002F29D8" w:rsidRPr="005D2204">
        <w:rPr>
          <w:sz w:val="24"/>
          <w:szCs w:val="24"/>
        </w:rPr>
        <w:t xml:space="preserve"> thereby contributing to containment of </w:t>
      </w:r>
      <w:r w:rsidR="007607A8" w:rsidRPr="005D2204">
        <w:rPr>
          <w:sz w:val="24"/>
          <w:szCs w:val="24"/>
        </w:rPr>
        <w:t xml:space="preserve">health care costs through timely diagnosis and care. </w:t>
      </w:r>
      <w:r w:rsidR="002F29D8" w:rsidRPr="005D2204">
        <w:rPr>
          <w:sz w:val="24"/>
          <w:szCs w:val="24"/>
        </w:rPr>
        <w:t>Staff further notes that the UMMMC’s costs have historically been lower than most in its peer group of</w:t>
      </w:r>
      <w:r w:rsidR="009022CC" w:rsidRPr="005D2204">
        <w:rPr>
          <w:sz w:val="24"/>
          <w:szCs w:val="24"/>
        </w:rPr>
        <w:t xml:space="preserve"> six </w:t>
      </w:r>
      <w:r w:rsidR="002F29D8" w:rsidRPr="005D2204">
        <w:rPr>
          <w:sz w:val="24"/>
          <w:szCs w:val="24"/>
        </w:rPr>
        <w:t>Aca</w:t>
      </w:r>
      <w:r w:rsidR="00191E93" w:rsidRPr="005D2204">
        <w:rPr>
          <w:sz w:val="24"/>
          <w:szCs w:val="24"/>
        </w:rPr>
        <w:t xml:space="preserve">demic Medical Centers with a Statewide Relative Price of 1.09 </w:t>
      </w:r>
      <w:r w:rsidR="009022CC" w:rsidRPr="005D2204">
        <w:rPr>
          <w:sz w:val="24"/>
          <w:szCs w:val="24"/>
        </w:rPr>
        <w:t>(range</w:t>
      </w:r>
      <w:r w:rsidR="00F467E2" w:rsidRPr="005D2204">
        <w:rPr>
          <w:sz w:val="24"/>
          <w:szCs w:val="24"/>
        </w:rPr>
        <w:t>:</w:t>
      </w:r>
      <w:r w:rsidR="009022CC" w:rsidRPr="005D2204">
        <w:rPr>
          <w:sz w:val="24"/>
          <w:szCs w:val="24"/>
        </w:rPr>
        <w:t xml:space="preserve"> </w:t>
      </w:r>
      <w:r w:rsidR="003541F9" w:rsidRPr="005D2204">
        <w:rPr>
          <w:sz w:val="24"/>
          <w:szCs w:val="24"/>
        </w:rPr>
        <w:t xml:space="preserve"> </w:t>
      </w:r>
      <w:r w:rsidR="009022CC" w:rsidRPr="005D2204">
        <w:rPr>
          <w:sz w:val="24"/>
          <w:szCs w:val="24"/>
        </w:rPr>
        <w:t>1.07-1.43).</w:t>
      </w:r>
      <w:r w:rsidR="009022CC" w:rsidRPr="00626EE1">
        <w:rPr>
          <w:rStyle w:val="FootnoteReference"/>
          <w:sz w:val="24"/>
          <w:szCs w:val="24"/>
        </w:rPr>
        <w:footnoteReference w:id="17"/>
      </w:r>
      <w:r w:rsidR="00A46BD1" w:rsidRPr="00626EE1">
        <w:rPr>
          <w:sz w:val="24"/>
          <w:szCs w:val="24"/>
        </w:rPr>
        <w:t xml:space="preserve"> As a result, the Proposed Project will not negatively impact overall health care costs. </w:t>
      </w:r>
    </w:p>
    <w:p w14:paraId="5FBA5144" w14:textId="6F856040" w:rsidR="00A46BD1" w:rsidRPr="00626EE1" w:rsidRDefault="00A46BD1" w:rsidP="002E19F0">
      <w:pPr>
        <w:spacing w:line="240" w:lineRule="auto"/>
        <w:rPr>
          <w:sz w:val="24"/>
          <w:szCs w:val="24"/>
        </w:rPr>
      </w:pPr>
      <w:r w:rsidRPr="00626EE1">
        <w:rPr>
          <w:sz w:val="24"/>
          <w:szCs w:val="24"/>
        </w:rPr>
        <w:t>As a result of information provided by the Applicant and additional analysis, staff finds that the Applicant has demonstrated that the Proposed Project has met Factor 1</w:t>
      </w:r>
      <w:r w:rsidR="004140F5">
        <w:rPr>
          <w:sz w:val="24"/>
          <w:szCs w:val="24"/>
        </w:rPr>
        <w:t>(</w:t>
      </w:r>
      <w:r w:rsidRPr="00626EE1">
        <w:rPr>
          <w:sz w:val="24"/>
          <w:szCs w:val="24"/>
        </w:rPr>
        <w:t>f).</w:t>
      </w:r>
    </w:p>
    <w:p w14:paraId="4187BC05" w14:textId="77777777" w:rsidR="003F60C0" w:rsidRPr="008A0CB0" w:rsidRDefault="003F60C0" w:rsidP="008A0CB0">
      <w:pPr>
        <w:pStyle w:val="Heading1"/>
        <w:ind w:left="10"/>
        <w:rPr>
          <w:b/>
          <w:bCs/>
        </w:rPr>
      </w:pPr>
      <w:r w:rsidRPr="008A0CB0">
        <w:rPr>
          <w:b/>
          <w:bCs/>
        </w:rPr>
        <w:t>Factor 2: Health Priorities</w:t>
      </w:r>
    </w:p>
    <w:p w14:paraId="608FF6AF" w14:textId="77777777" w:rsidR="003F60C0" w:rsidRPr="00626EE1" w:rsidRDefault="003F60C0" w:rsidP="004F3E82">
      <w:pPr>
        <w:spacing w:before="240" w:line="240" w:lineRule="auto"/>
        <w:rPr>
          <w:sz w:val="24"/>
          <w:szCs w:val="24"/>
        </w:rPr>
      </w:pPr>
      <w:r w:rsidRPr="00626EE1">
        <w:rPr>
          <w:sz w:val="24"/>
          <w:szCs w:val="24"/>
        </w:rPr>
        <w:t>For Factor 2 the Applicant must demonstrate that the Proposed Project will meaningfully contribute to the Commonwealth’s goals for cost containment, improved public health outcomes, and delivery system transformation beyond the Patient Panel.</w:t>
      </w:r>
    </w:p>
    <w:p w14:paraId="6D500CEE" w14:textId="77777777" w:rsidR="003F60C0" w:rsidRPr="00626EE1" w:rsidRDefault="003F60C0" w:rsidP="003F60C0">
      <w:pPr>
        <w:rPr>
          <w:sz w:val="24"/>
          <w:szCs w:val="24"/>
        </w:rPr>
      </w:pPr>
      <w:r w:rsidRPr="00626EE1">
        <w:rPr>
          <w:b/>
          <w:sz w:val="24"/>
          <w:szCs w:val="24"/>
          <w:u w:val="single"/>
        </w:rPr>
        <w:t>Cost Containment:</w:t>
      </w:r>
      <w:r w:rsidRPr="00626EE1">
        <w:rPr>
          <w:b/>
          <w:sz w:val="24"/>
          <w:szCs w:val="24"/>
        </w:rPr>
        <w:t xml:space="preserve">  </w:t>
      </w:r>
    </w:p>
    <w:p w14:paraId="330CF6EE" w14:textId="15CC2439" w:rsidR="00F62CAE" w:rsidRPr="006A7A56" w:rsidRDefault="003F60C0" w:rsidP="00F62CAE">
      <w:pPr>
        <w:spacing w:line="240" w:lineRule="auto"/>
        <w:rPr>
          <w:sz w:val="24"/>
          <w:szCs w:val="24"/>
        </w:rPr>
      </w:pPr>
      <w:r w:rsidRPr="00626EE1">
        <w:rPr>
          <w:sz w:val="24"/>
          <w:szCs w:val="24"/>
        </w:rPr>
        <w:t>The</w:t>
      </w:r>
      <w:r w:rsidR="008149C3" w:rsidRPr="00626EE1">
        <w:rPr>
          <w:sz w:val="24"/>
          <w:szCs w:val="24"/>
        </w:rPr>
        <w:t xml:space="preserve"> Applicant asserts the </w:t>
      </w:r>
      <w:r w:rsidRPr="00626EE1">
        <w:rPr>
          <w:sz w:val="24"/>
          <w:szCs w:val="24"/>
        </w:rPr>
        <w:t>Proposed Project will meaningfully contribute to</w:t>
      </w:r>
      <w:r w:rsidR="004140F5">
        <w:rPr>
          <w:sz w:val="24"/>
          <w:szCs w:val="24"/>
        </w:rPr>
        <w:t>,</w:t>
      </w:r>
      <w:r w:rsidRPr="00626EE1">
        <w:rPr>
          <w:sz w:val="24"/>
          <w:szCs w:val="24"/>
        </w:rPr>
        <w:t xml:space="preserve"> and further the Commonwealth’s goals for</w:t>
      </w:r>
      <w:r w:rsidR="00B45D84">
        <w:rPr>
          <w:sz w:val="24"/>
          <w:szCs w:val="24"/>
        </w:rPr>
        <w:t>,</w:t>
      </w:r>
      <w:r w:rsidRPr="00626EE1">
        <w:rPr>
          <w:sz w:val="24"/>
          <w:szCs w:val="24"/>
        </w:rPr>
        <w:t xml:space="preserve"> cost containment</w:t>
      </w:r>
      <w:r w:rsidR="004140F5">
        <w:rPr>
          <w:sz w:val="24"/>
          <w:szCs w:val="24"/>
        </w:rPr>
        <w:t xml:space="preserve">. Expected benefits are </w:t>
      </w:r>
      <w:r w:rsidRPr="00626EE1">
        <w:rPr>
          <w:sz w:val="24"/>
          <w:szCs w:val="24"/>
        </w:rPr>
        <w:t>timely and equitable access to high-quality imaging services</w:t>
      </w:r>
      <w:r w:rsidR="004140F5">
        <w:rPr>
          <w:sz w:val="24"/>
          <w:szCs w:val="24"/>
        </w:rPr>
        <w:t>,</w:t>
      </w:r>
      <w:r w:rsidR="00A71D10" w:rsidRPr="00626EE1">
        <w:rPr>
          <w:sz w:val="24"/>
          <w:szCs w:val="24"/>
        </w:rPr>
        <w:t xml:space="preserve"> reduc</w:t>
      </w:r>
      <w:r w:rsidR="00E432A5">
        <w:rPr>
          <w:sz w:val="24"/>
          <w:szCs w:val="24"/>
        </w:rPr>
        <w:t>ed</w:t>
      </w:r>
      <w:r w:rsidR="00A71D10" w:rsidRPr="00626EE1">
        <w:rPr>
          <w:sz w:val="24"/>
          <w:szCs w:val="24"/>
        </w:rPr>
        <w:t xml:space="preserve"> wait-times for CT leading to earlier diagnosis </w:t>
      </w:r>
      <w:r w:rsidR="00A71D10" w:rsidRPr="00626EE1">
        <w:rPr>
          <w:sz w:val="24"/>
          <w:szCs w:val="24"/>
        </w:rPr>
        <w:lastRenderedPageBreak/>
        <w:t xml:space="preserve">and treatment which </w:t>
      </w:r>
      <w:r w:rsidR="00E432A5">
        <w:rPr>
          <w:sz w:val="24"/>
          <w:szCs w:val="24"/>
        </w:rPr>
        <w:t xml:space="preserve">in turn </w:t>
      </w:r>
      <w:r w:rsidR="00A71D10" w:rsidRPr="00626EE1">
        <w:rPr>
          <w:sz w:val="24"/>
          <w:szCs w:val="24"/>
        </w:rPr>
        <w:t xml:space="preserve">can save costs through gained efficiencies, and </w:t>
      </w:r>
      <w:r w:rsidR="00626EE1" w:rsidRPr="00626EE1">
        <w:rPr>
          <w:sz w:val="24"/>
          <w:szCs w:val="24"/>
        </w:rPr>
        <w:t>reduced length</w:t>
      </w:r>
      <w:r w:rsidR="00A71D10" w:rsidRPr="00626EE1">
        <w:rPr>
          <w:sz w:val="24"/>
          <w:szCs w:val="24"/>
        </w:rPr>
        <w:t xml:space="preserve"> of stay in the ED. </w:t>
      </w:r>
      <w:r w:rsidRPr="00626EE1">
        <w:rPr>
          <w:sz w:val="24"/>
          <w:szCs w:val="24"/>
        </w:rPr>
        <w:t>As a result</w:t>
      </w:r>
      <w:r w:rsidR="008149C3" w:rsidRPr="00626EE1">
        <w:rPr>
          <w:sz w:val="24"/>
          <w:szCs w:val="24"/>
        </w:rPr>
        <w:t>,</w:t>
      </w:r>
      <w:r w:rsidRPr="00626EE1">
        <w:rPr>
          <w:sz w:val="24"/>
          <w:szCs w:val="24"/>
        </w:rPr>
        <w:t xml:space="preserve"> the Proposed Project will meaningfully contribute to the Commonwealth’s goals of cost </w:t>
      </w:r>
      <w:r w:rsidRPr="00E432A5">
        <w:rPr>
          <w:sz w:val="24"/>
          <w:szCs w:val="24"/>
        </w:rPr>
        <w:t>containment by having a neutral impact on overall TME.</w:t>
      </w:r>
    </w:p>
    <w:p w14:paraId="5E104D2E" w14:textId="36DEFF4F" w:rsidR="003F60C0" w:rsidRPr="006A7A56" w:rsidRDefault="003F60C0" w:rsidP="003F60C0">
      <w:pPr>
        <w:rPr>
          <w:sz w:val="24"/>
          <w:szCs w:val="24"/>
        </w:rPr>
      </w:pPr>
      <w:r w:rsidRPr="006A7A56">
        <w:rPr>
          <w:sz w:val="24"/>
          <w:szCs w:val="24"/>
        </w:rPr>
        <w:t xml:space="preserve"> </w:t>
      </w:r>
      <w:r w:rsidRPr="006A7A56">
        <w:rPr>
          <w:b/>
          <w:sz w:val="24"/>
          <w:szCs w:val="24"/>
        </w:rPr>
        <w:t xml:space="preserve">Public Health Outcomes  </w:t>
      </w:r>
    </w:p>
    <w:p w14:paraId="326DCC3B" w14:textId="568B2CC7" w:rsidR="003F60C0" w:rsidRPr="006A7A56" w:rsidRDefault="003F60C0" w:rsidP="004F3E82">
      <w:pPr>
        <w:spacing w:line="240" w:lineRule="auto"/>
        <w:rPr>
          <w:sz w:val="24"/>
          <w:szCs w:val="24"/>
        </w:rPr>
      </w:pPr>
      <w:r w:rsidRPr="006A7A56">
        <w:rPr>
          <w:sz w:val="24"/>
          <w:szCs w:val="24"/>
        </w:rPr>
        <w:t>The</w:t>
      </w:r>
      <w:r w:rsidR="004D68AA" w:rsidRPr="006A7A56">
        <w:rPr>
          <w:sz w:val="24"/>
          <w:szCs w:val="24"/>
        </w:rPr>
        <w:t xml:space="preserve"> Applicant </w:t>
      </w:r>
      <w:r w:rsidR="008149C3" w:rsidRPr="006A7A56">
        <w:rPr>
          <w:sz w:val="24"/>
          <w:szCs w:val="24"/>
        </w:rPr>
        <w:t xml:space="preserve">anticipates the </w:t>
      </w:r>
      <w:r w:rsidRPr="006A7A56">
        <w:rPr>
          <w:sz w:val="24"/>
          <w:szCs w:val="24"/>
        </w:rPr>
        <w:t xml:space="preserve">Proposed Project will improve public health outcomes by ensuring </w:t>
      </w:r>
      <w:r w:rsidR="004D68AA" w:rsidRPr="006A7A56">
        <w:rPr>
          <w:sz w:val="24"/>
          <w:szCs w:val="24"/>
        </w:rPr>
        <w:t xml:space="preserve">timely </w:t>
      </w:r>
      <w:r w:rsidRPr="006A7A56">
        <w:rPr>
          <w:sz w:val="24"/>
          <w:szCs w:val="24"/>
        </w:rPr>
        <w:t xml:space="preserve">emergency access to CT imaging. </w:t>
      </w:r>
      <w:r w:rsidR="004D68AA" w:rsidRPr="006A7A56">
        <w:rPr>
          <w:sz w:val="24"/>
          <w:szCs w:val="24"/>
        </w:rPr>
        <w:t xml:space="preserve">As noted </w:t>
      </w:r>
      <w:r w:rsidR="00E432A5">
        <w:rPr>
          <w:sz w:val="24"/>
          <w:szCs w:val="24"/>
        </w:rPr>
        <w:t>above</w:t>
      </w:r>
      <w:r w:rsidR="004D68AA" w:rsidRPr="006A7A56">
        <w:rPr>
          <w:sz w:val="24"/>
          <w:szCs w:val="24"/>
        </w:rPr>
        <w:t xml:space="preserve">, </w:t>
      </w:r>
      <w:r w:rsidRPr="006A7A56">
        <w:rPr>
          <w:sz w:val="24"/>
          <w:szCs w:val="24"/>
        </w:rPr>
        <w:t xml:space="preserve">UMMMC operates the second largest ED in the </w:t>
      </w:r>
      <w:r w:rsidR="00626EE1" w:rsidRPr="00626EE1">
        <w:rPr>
          <w:sz w:val="24"/>
          <w:szCs w:val="24"/>
        </w:rPr>
        <w:t>Commonwealth, is</w:t>
      </w:r>
      <w:r w:rsidRPr="006A7A56">
        <w:rPr>
          <w:sz w:val="24"/>
          <w:szCs w:val="24"/>
        </w:rPr>
        <w:t xml:space="preserve"> the only Level 1 Trauma C</w:t>
      </w:r>
      <w:r w:rsidR="004D68AA" w:rsidRPr="006A7A56">
        <w:rPr>
          <w:sz w:val="24"/>
          <w:szCs w:val="24"/>
        </w:rPr>
        <w:t xml:space="preserve">enter in Central </w:t>
      </w:r>
      <w:r w:rsidR="004F3E82" w:rsidRPr="006A7A56">
        <w:rPr>
          <w:sz w:val="24"/>
          <w:szCs w:val="24"/>
        </w:rPr>
        <w:t>Massachusetts and</w:t>
      </w:r>
      <w:r w:rsidR="004D68AA" w:rsidRPr="006A7A56">
        <w:rPr>
          <w:sz w:val="24"/>
          <w:szCs w:val="24"/>
        </w:rPr>
        <w:t xml:space="preserve"> </w:t>
      </w:r>
      <w:r w:rsidRPr="006A7A56">
        <w:rPr>
          <w:sz w:val="24"/>
          <w:szCs w:val="24"/>
        </w:rPr>
        <w:t>is designated by DPH as a Primary Stroke Service. Given the importance of early</w:t>
      </w:r>
      <w:r w:rsidR="004D68AA" w:rsidRPr="006A7A56">
        <w:rPr>
          <w:sz w:val="24"/>
          <w:szCs w:val="24"/>
        </w:rPr>
        <w:t xml:space="preserve"> intervention, </w:t>
      </w:r>
      <w:r w:rsidRPr="006A7A56">
        <w:rPr>
          <w:sz w:val="24"/>
          <w:szCs w:val="24"/>
        </w:rPr>
        <w:t xml:space="preserve">CT imaging for trauma, stroke, cardiac and other emergency patients, the </w:t>
      </w:r>
      <w:r w:rsidR="00A47F78">
        <w:rPr>
          <w:sz w:val="24"/>
          <w:szCs w:val="24"/>
        </w:rPr>
        <w:t>University Campus</w:t>
      </w:r>
      <w:r w:rsidRPr="006A7A56">
        <w:rPr>
          <w:sz w:val="24"/>
          <w:szCs w:val="24"/>
        </w:rPr>
        <w:t xml:space="preserve"> must have adequate capacity to provide timely CT imaging through its ED. In addition to reducing poor health outcomes due to delayed diagnosis and intervention</w:t>
      </w:r>
      <w:r w:rsidR="004D68AA" w:rsidRPr="006A7A56">
        <w:rPr>
          <w:sz w:val="24"/>
          <w:szCs w:val="24"/>
        </w:rPr>
        <w:t xml:space="preserve"> for those requiring CT</w:t>
      </w:r>
      <w:r w:rsidRPr="006A7A56">
        <w:rPr>
          <w:sz w:val="24"/>
          <w:szCs w:val="24"/>
        </w:rPr>
        <w:t xml:space="preserve">, the </w:t>
      </w:r>
      <w:r w:rsidR="00A47F78">
        <w:rPr>
          <w:sz w:val="24"/>
          <w:szCs w:val="24"/>
        </w:rPr>
        <w:t xml:space="preserve">Applicant </w:t>
      </w:r>
      <w:r w:rsidRPr="006A7A56">
        <w:rPr>
          <w:sz w:val="24"/>
          <w:szCs w:val="24"/>
        </w:rPr>
        <w:t xml:space="preserve">anticipates that the Proposed Project will further improve health </w:t>
      </w:r>
      <w:r w:rsidR="00626EE1" w:rsidRPr="00626EE1">
        <w:rPr>
          <w:sz w:val="24"/>
          <w:szCs w:val="24"/>
        </w:rPr>
        <w:t>outcomes for</w:t>
      </w:r>
      <w:r w:rsidR="004D68AA" w:rsidRPr="006A7A56">
        <w:rPr>
          <w:sz w:val="24"/>
          <w:szCs w:val="24"/>
        </w:rPr>
        <w:t xml:space="preserve"> all ED </w:t>
      </w:r>
      <w:r w:rsidRPr="006A7A56">
        <w:rPr>
          <w:sz w:val="24"/>
          <w:szCs w:val="24"/>
        </w:rPr>
        <w:t xml:space="preserve">patients </w:t>
      </w:r>
      <w:r w:rsidR="004D68AA" w:rsidRPr="006A7A56">
        <w:rPr>
          <w:sz w:val="24"/>
          <w:szCs w:val="24"/>
        </w:rPr>
        <w:t>by reducing wait times.</w:t>
      </w:r>
    </w:p>
    <w:p w14:paraId="0599ED68" w14:textId="273476E9" w:rsidR="003F60C0" w:rsidRPr="006A7A56" w:rsidRDefault="003F60C0" w:rsidP="003F60C0">
      <w:pPr>
        <w:rPr>
          <w:sz w:val="24"/>
          <w:szCs w:val="24"/>
        </w:rPr>
      </w:pPr>
      <w:r w:rsidRPr="006A7A56">
        <w:rPr>
          <w:sz w:val="24"/>
          <w:szCs w:val="24"/>
        </w:rPr>
        <w:t xml:space="preserve"> </w:t>
      </w:r>
      <w:r w:rsidR="004D68AA" w:rsidRPr="006A7A56">
        <w:rPr>
          <w:b/>
          <w:sz w:val="24"/>
          <w:szCs w:val="24"/>
        </w:rPr>
        <w:t>Delivery System Transformation</w:t>
      </w:r>
      <w:r w:rsidRPr="006A7A56">
        <w:rPr>
          <w:b/>
          <w:sz w:val="24"/>
          <w:szCs w:val="24"/>
        </w:rPr>
        <w:t xml:space="preserve"> </w:t>
      </w:r>
    </w:p>
    <w:p w14:paraId="7D357150" w14:textId="6E902DDE" w:rsidR="003F60C0" w:rsidRPr="006A7A56" w:rsidRDefault="004D68AA" w:rsidP="004F3E82">
      <w:pPr>
        <w:spacing w:line="240" w:lineRule="auto"/>
        <w:rPr>
          <w:sz w:val="24"/>
          <w:szCs w:val="24"/>
        </w:rPr>
      </w:pPr>
      <w:r w:rsidRPr="006A7A56">
        <w:rPr>
          <w:sz w:val="24"/>
          <w:szCs w:val="24"/>
        </w:rPr>
        <w:t xml:space="preserve">The Applicant notes that generally </w:t>
      </w:r>
      <w:r w:rsidR="003F60C0" w:rsidRPr="006A7A56">
        <w:rPr>
          <w:sz w:val="24"/>
          <w:szCs w:val="24"/>
        </w:rPr>
        <w:t>SDOH</w:t>
      </w:r>
      <w:r w:rsidRPr="006A7A56">
        <w:rPr>
          <w:sz w:val="24"/>
          <w:szCs w:val="24"/>
        </w:rPr>
        <w:t xml:space="preserve"> </w:t>
      </w:r>
      <w:r w:rsidR="003F60C0" w:rsidRPr="006A7A56">
        <w:rPr>
          <w:sz w:val="24"/>
          <w:szCs w:val="24"/>
        </w:rPr>
        <w:t xml:space="preserve">screening </w:t>
      </w:r>
      <w:r w:rsidRPr="006A7A56">
        <w:rPr>
          <w:sz w:val="24"/>
          <w:szCs w:val="24"/>
        </w:rPr>
        <w:t xml:space="preserve">occurs in </w:t>
      </w:r>
      <w:r w:rsidR="003F60C0" w:rsidRPr="006A7A56">
        <w:rPr>
          <w:sz w:val="24"/>
          <w:szCs w:val="24"/>
        </w:rPr>
        <w:t>the primary c</w:t>
      </w:r>
      <w:r w:rsidRPr="006A7A56">
        <w:rPr>
          <w:sz w:val="24"/>
          <w:szCs w:val="24"/>
        </w:rPr>
        <w:t xml:space="preserve">are setting and </w:t>
      </w:r>
      <w:r w:rsidR="003F60C0" w:rsidRPr="006A7A56">
        <w:rPr>
          <w:sz w:val="24"/>
          <w:szCs w:val="24"/>
        </w:rPr>
        <w:t>referrals to appropriate community resources</w:t>
      </w:r>
      <w:r w:rsidRPr="006A7A56">
        <w:rPr>
          <w:sz w:val="24"/>
          <w:szCs w:val="24"/>
        </w:rPr>
        <w:t xml:space="preserve"> are provided</w:t>
      </w:r>
      <w:r w:rsidR="008149C3" w:rsidRPr="006A7A56">
        <w:rPr>
          <w:sz w:val="24"/>
          <w:szCs w:val="24"/>
        </w:rPr>
        <w:t>. As described in Factor 1</w:t>
      </w:r>
      <w:r w:rsidR="00E432A5">
        <w:rPr>
          <w:sz w:val="24"/>
          <w:szCs w:val="24"/>
        </w:rPr>
        <w:t>(</w:t>
      </w:r>
      <w:r w:rsidR="008149C3" w:rsidRPr="006A7A56">
        <w:rPr>
          <w:sz w:val="24"/>
          <w:szCs w:val="24"/>
        </w:rPr>
        <w:t>e</w:t>
      </w:r>
      <w:r w:rsidR="00E432A5">
        <w:rPr>
          <w:sz w:val="24"/>
          <w:szCs w:val="24"/>
        </w:rPr>
        <w:t>)</w:t>
      </w:r>
      <w:r w:rsidR="008149C3" w:rsidRPr="006A7A56">
        <w:rPr>
          <w:sz w:val="24"/>
          <w:szCs w:val="24"/>
        </w:rPr>
        <w:t xml:space="preserve">, case managers </w:t>
      </w:r>
      <w:r w:rsidR="003F60C0" w:rsidRPr="006A7A56">
        <w:rPr>
          <w:sz w:val="24"/>
          <w:szCs w:val="24"/>
        </w:rPr>
        <w:t xml:space="preserve">embedded within the emergency department </w:t>
      </w:r>
      <w:r w:rsidR="008149C3" w:rsidRPr="006A7A56">
        <w:rPr>
          <w:sz w:val="24"/>
          <w:szCs w:val="24"/>
        </w:rPr>
        <w:t xml:space="preserve">to </w:t>
      </w:r>
      <w:r w:rsidR="003F60C0" w:rsidRPr="006A7A56">
        <w:rPr>
          <w:sz w:val="24"/>
          <w:szCs w:val="24"/>
        </w:rPr>
        <w:t>perform a screen</w:t>
      </w:r>
      <w:r w:rsidR="008149C3" w:rsidRPr="006A7A56">
        <w:rPr>
          <w:sz w:val="24"/>
          <w:szCs w:val="24"/>
        </w:rPr>
        <w:t xml:space="preserve">ing and referrals </w:t>
      </w:r>
      <w:r w:rsidR="003F60C0" w:rsidRPr="006A7A56">
        <w:rPr>
          <w:sz w:val="24"/>
          <w:szCs w:val="24"/>
        </w:rPr>
        <w:t>to community services. The Applicant continue</w:t>
      </w:r>
      <w:r w:rsidR="008149C3" w:rsidRPr="006A7A56">
        <w:rPr>
          <w:sz w:val="24"/>
          <w:szCs w:val="24"/>
        </w:rPr>
        <w:t>s</w:t>
      </w:r>
      <w:r w:rsidR="003F60C0" w:rsidRPr="006A7A56">
        <w:rPr>
          <w:sz w:val="24"/>
          <w:szCs w:val="24"/>
        </w:rPr>
        <w:t xml:space="preserve"> to work with patients and primary care providers to ensure patients are connected to services as needed.  </w:t>
      </w:r>
    </w:p>
    <w:p w14:paraId="604C2F4B" w14:textId="450FEC23" w:rsidR="003F60C0" w:rsidRPr="006A7A56" w:rsidRDefault="003F60C0" w:rsidP="003541F9">
      <w:pPr>
        <w:rPr>
          <w:sz w:val="24"/>
          <w:szCs w:val="24"/>
        </w:rPr>
      </w:pPr>
      <w:r w:rsidRPr="006A7A56">
        <w:rPr>
          <w:b/>
          <w:i/>
          <w:sz w:val="24"/>
          <w:szCs w:val="24"/>
        </w:rPr>
        <w:t>ANALYSIS</w:t>
      </w:r>
    </w:p>
    <w:p w14:paraId="78999B02" w14:textId="484BD031" w:rsidR="00F856DD" w:rsidRPr="00626EE1" w:rsidRDefault="00F856DD" w:rsidP="004F3E82">
      <w:pPr>
        <w:spacing w:line="240" w:lineRule="auto"/>
        <w:rPr>
          <w:sz w:val="24"/>
          <w:szCs w:val="24"/>
        </w:rPr>
      </w:pPr>
      <w:r w:rsidRPr="006A7A56">
        <w:rPr>
          <w:sz w:val="24"/>
          <w:szCs w:val="24"/>
        </w:rPr>
        <w:t>Throughout the Application the Applicant has emphasized the burden</w:t>
      </w:r>
      <w:r w:rsidR="00626EE1">
        <w:rPr>
          <w:sz w:val="24"/>
          <w:szCs w:val="24"/>
        </w:rPr>
        <w:t xml:space="preserve"> the </w:t>
      </w:r>
      <w:r w:rsidR="00626EE1" w:rsidRPr="005073E2">
        <w:rPr>
          <w:sz w:val="24"/>
          <w:szCs w:val="24"/>
        </w:rPr>
        <w:t>lack of adequate CT resources</w:t>
      </w:r>
      <w:r w:rsidRPr="00626EE1">
        <w:rPr>
          <w:sz w:val="24"/>
          <w:szCs w:val="24"/>
        </w:rPr>
        <w:t xml:space="preserve"> </w:t>
      </w:r>
      <w:r w:rsidR="00626EE1">
        <w:rPr>
          <w:sz w:val="24"/>
          <w:szCs w:val="24"/>
        </w:rPr>
        <w:t xml:space="preserve">has </w:t>
      </w:r>
      <w:r w:rsidRPr="00626EE1">
        <w:rPr>
          <w:sz w:val="24"/>
          <w:szCs w:val="24"/>
        </w:rPr>
        <w:t>on the patients and on the ED</w:t>
      </w:r>
      <w:r w:rsidR="00626EE1">
        <w:rPr>
          <w:sz w:val="24"/>
          <w:szCs w:val="24"/>
        </w:rPr>
        <w:t xml:space="preserve">. These issues </w:t>
      </w:r>
      <w:r w:rsidRPr="00626EE1">
        <w:rPr>
          <w:sz w:val="24"/>
          <w:szCs w:val="24"/>
        </w:rPr>
        <w:t xml:space="preserve">stem from long wait times, the need to transport patients to the radiology department or at times reschedule patients. Having sufficient capacity for a Level I trauma center </w:t>
      </w:r>
      <w:r w:rsidR="00626EE1" w:rsidRPr="00626EE1">
        <w:rPr>
          <w:sz w:val="24"/>
          <w:szCs w:val="24"/>
        </w:rPr>
        <w:t>at an</w:t>
      </w:r>
      <w:r w:rsidRPr="00626EE1">
        <w:rPr>
          <w:sz w:val="24"/>
          <w:szCs w:val="24"/>
        </w:rPr>
        <w:t xml:space="preserve"> Academic Medical Center to treat high acuity patients with the most appropriate resources is paramount to their ability to provide the most effective, timely care and to continue to compete at the AMC level. </w:t>
      </w:r>
    </w:p>
    <w:p w14:paraId="770FE804" w14:textId="36A11895" w:rsidR="00F856DD" w:rsidRPr="006A7A56" w:rsidRDefault="00F856DD" w:rsidP="004F3E82">
      <w:pPr>
        <w:spacing w:line="240" w:lineRule="auto"/>
        <w:rPr>
          <w:sz w:val="24"/>
          <w:szCs w:val="24"/>
        </w:rPr>
      </w:pPr>
      <w:r w:rsidRPr="00626EE1">
        <w:rPr>
          <w:sz w:val="24"/>
          <w:szCs w:val="24"/>
        </w:rPr>
        <w:t xml:space="preserve">Staff concurs with the Applicants assertion that it is imperative that as the </w:t>
      </w:r>
      <w:r w:rsidR="00626EE1" w:rsidRPr="00626EE1">
        <w:rPr>
          <w:sz w:val="24"/>
          <w:szCs w:val="24"/>
        </w:rPr>
        <w:t>only Level</w:t>
      </w:r>
      <w:r w:rsidRPr="00626EE1">
        <w:rPr>
          <w:sz w:val="24"/>
          <w:szCs w:val="24"/>
        </w:rPr>
        <w:t xml:space="preserve"> I trauma center in central Massachusetts, it must have sufficient capacity to initiate diagnosis and treatment in an expeditious manner</w:t>
      </w:r>
      <w:r w:rsidR="00626EE1">
        <w:rPr>
          <w:sz w:val="24"/>
          <w:szCs w:val="24"/>
        </w:rPr>
        <w:t xml:space="preserve">. Additionally, </w:t>
      </w:r>
      <w:r w:rsidRPr="006A7A56">
        <w:rPr>
          <w:sz w:val="24"/>
          <w:szCs w:val="24"/>
        </w:rPr>
        <w:t xml:space="preserve">as the second largest ED in Massachusetts, the Applicant only </w:t>
      </w:r>
      <w:r w:rsidR="00626EE1" w:rsidRPr="00626EE1">
        <w:rPr>
          <w:sz w:val="24"/>
          <w:szCs w:val="24"/>
        </w:rPr>
        <w:t xml:space="preserve">operates </w:t>
      </w:r>
      <w:r w:rsidR="00626EE1">
        <w:rPr>
          <w:sz w:val="24"/>
          <w:szCs w:val="24"/>
        </w:rPr>
        <w:t>one (1)</w:t>
      </w:r>
      <w:r w:rsidRPr="006A7A56">
        <w:rPr>
          <w:sz w:val="24"/>
          <w:szCs w:val="24"/>
        </w:rPr>
        <w:t xml:space="preserve"> CT in the ED at its University campus which means that there is no proximate back-up in the event of a large traumatic </w:t>
      </w:r>
      <w:r w:rsidR="00B6204D" w:rsidRPr="006A7A56">
        <w:rPr>
          <w:sz w:val="24"/>
          <w:szCs w:val="24"/>
        </w:rPr>
        <w:t xml:space="preserve">regional </w:t>
      </w:r>
      <w:r w:rsidRPr="006A7A56">
        <w:rPr>
          <w:sz w:val="24"/>
          <w:szCs w:val="24"/>
        </w:rPr>
        <w:t xml:space="preserve">event.  </w:t>
      </w:r>
    </w:p>
    <w:p w14:paraId="21F701BB" w14:textId="034E8253" w:rsidR="00B6204D" w:rsidRPr="00626EE1" w:rsidRDefault="00F856DD" w:rsidP="004F3E82">
      <w:pPr>
        <w:spacing w:line="240" w:lineRule="auto"/>
        <w:rPr>
          <w:sz w:val="24"/>
          <w:szCs w:val="24"/>
        </w:rPr>
      </w:pPr>
      <w:r w:rsidRPr="006A7A56">
        <w:rPr>
          <w:sz w:val="24"/>
          <w:szCs w:val="24"/>
        </w:rPr>
        <w:t>Ultimately, cost savings are achieved through efficient</w:t>
      </w:r>
      <w:r w:rsidR="00626EE1">
        <w:rPr>
          <w:sz w:val="24"/>
          <w:szCs w:val="24"/>
        </w:rPr>
        <w:t>,</w:t>
      </w:r>
      <w:r w:rsidRPr="00626EE1">
        <w:rPr>
          <w:sz w:val="24"/>
          <w:szCs w:val="24"/>
        </w:rPr>
        <w:t xml:space="preserve"> timely access to those in the ED needing immediate exams for traumatic events</w:t>
      </w:r>
      <w:r w:rsidR="00B6204D" w:rsidRPr="00626EE1">
        <w:rPr>
          <w:sz w:val="24"/>
          <w:szCs w:val="24"/>
        </w:rPr>
        <w:t>.</w:t>
      </w:r>
      <w:r w:rsidRPr="00626EE1">
        <w:rPr>
          <w:sz w:val="24"/>
          <w:szCs w:val="24"/>
          <w:vertAlign w:val="superscript"/>
        </w:rPr>
        <w:footnoteReference w:id="18"/>
      </w:r>
      <w:r w:rsidR="00B6204D" w:rsidRPr="00626EE1">
        <w:rPr>
          <w:sz w:val="24"/>
          <w:szCs w:val="24"/>
        </w:rPr>
        <w:t xml:space="preserve"> Staff affirms that it is unlikely that the proposed project will raise costs to the health care system when balanced against increased costs associated with potential delayed treatments for trauma patients and backlogs for other less emergent cases in the ED. As noted in Factor 1, all of UMMC’s hospitals are HPP hospitals such that any increased costs associated with delays in treatment are transferred to the public.  </w:t>
      </w:r>
    </w:p>
    <w:p w14:paraId="750AC138" w14:textId="749951D3" w:rsidR="00F856DD" w:rsidRPr="00626EE1" w:rsidRDefault="00F856DD" w:rsidP="004F3E82">
      <w:pPr>
        <w:spacing w:line="240" w:lineRule="auto"/>
        <w:rPr>
          <w:sz w:val="24"/>
          <w:szCs w:val="24"/>
        </w:rPr>
      </w:pPr>
      <w:r w:rsidRPr="00626EE1">
        <w:rPr>
          <w:sz w:val="24"/>
          <w:szCs w:val="24"/>
        </w:rPr>
        <w:lastRenderedPageBreak/>
        <w:t>As a result of information provided by the Applicant and additional analysis, staff finds that the Applicant has demonstrated that the Proposed Project has met Factor</w:t>
      </w:r>
      <w:r w:rsidR="00A46BD1" w:rsidRPr="00626EE1">
        <w:rPr>
          <w:sz w:val="24"/>
          <w:szCs w:val="24"/>
        </w:rPr>
        <w:t xml:space="preserve"> </w:t>
      </w:r>
      <w:r w:rsidRPr="00626EE1">
        <w:rPr>
          <w:sz w:val="24"/>
          <w:szCs w:val="24"/>
        </w:rPr>
        <w:t>2.</w:t>
      </w:r>
    </w:p>
    <w:p w14:paraId="17B26133" w14:textId="33CD02B1" w:rsidR="00DF3A58" w:rsidRPr="008A0CB0" w:rsidRDefault="00DF3A58" w:rsidP="008A0CB0">
      <w:pPr>
        <w:pStyle w:val="Heading1"/>
        <w:ind w:left="10"/>
        <w:rPr>
          <w:b/>
          <w:bCs/>
        </w:rPr>
      </w:pPr>
      <w:bookmarkStart w:id="2" w:name="_Toc66868813"/>
      <w:r w:rsidRPr="008A0CB0">
        <w:rPr>
          <w:b/>
          <w:bCs/>
        </w:rPr>
        <w:t>Factor 3: Relevant Licensure/Oversight Compliance</w:t>
      </w:r>
      <w:bookmarkEnd w:id="2"/>
    </w:p>
    <w:p w14:paraId="795A2D53" w14:textId="244E4077" w:rsidR="003541F9" w:rsidRPr="00626EE1" w:rsidRDefault="00DF3A58" w:rsidP="008D7B65">
      <w:pPr>
        <w:spacing w:before="240"/>
        <w:rPr>
          <w:sz w:val="24"/>
          <w:szCs w:val="24"/>
        </w:rPr>
      </w:pPr>
      <w:r w:rsidRPr="005D2204">
        <w:rPr>
          <w:rFonts w:ascii="Calibri" w:eastAsia="Calibri" w:hAnsi="Calibri" w:cs="Calibri"/>
          <w:sz w:val="24"/>
          <w:szCs w:val="24"/>
        </w:rPr>
        <w:t>The Applicant has provided evidence of compliance and good standing with federal, state, and local laws and regulations and will not be addressed further in this report.</w:t>
      </w:r>
    </w:p>
    <w:p w14:paraId="62B639C6" w14:textId="67DABEE1" w:rsidR="00DF3A58" w:rsidRPr="008A0CB0" w:rsidRDefault="00DF3A58" w:rsidP="008A0CB0">
      <w:pPr>
        <w:pStyle w:val="Heading1"/>
        <w:ind w:left="10"/>
        <w:rPr>
          <w:b/>
          <w:bCs/>
        </w:rPr>
      </w:pPr>
      <w:r w:rsidRPr="008A0CB0">
        <w:rPr>
          <w:b/>
          <w:bCs/>
        </w:rPr>
        <w:t>Factor 4: Demonstration of Sufficient Funds as Supported by an Independent CPA Analysis</w:t>
      </w:r>
    </w:p>
    <w:p w14:paraId="5D92FA6C" w14:textId="77777777" w:rsidR="00DF3A58" w:rsidRPr="005D2204" w:rsidRDefault="00DF3A58" w:rsidP="00787C1A">
      <w:pPr>
        <w:spacing w:before="240" w:line="240" w:lineRule="auto"/>
        <w:rPr>
          <w:sz w:val="24"/>
          <w:szCs w:val="24"/>
        </w:rPr>
      </w:pPr>
      <w:r w:rsidRPr="005D2204">
        <w:rPr>
          <w:sz w:val="24"/>
          <w:szCs w:val="24"/>
        </w:rPr>
        <w:t>Under factor 4, the Applicant must demonstrate that it has sufficient funds available for capital and operating costs necessary to support the Proposed Project without negative effects or consequences to the existing patient panel. Documentation sufficient to make such finding must be supported by an analysis by an independent CPA.</w:t>
      </w:r>
    </w:p>
    <w:p w14:paraId="6EFA180B" w14:textId="77777777" w:rsidR="00D04718" w:rsidRPr="005D2204" w:rsidRDefault="00D04718" w:rsidP="008D7B65">
      <w:pPr>
        <w:spacing w:line="240" w:lineRule="auto"/>
        <w:rPr>
          <w:sz w:val="24"/>
          <w:szCs w:val="24"/>
        </w:rPr>
      </w:pPr>
      <w:r w:rsidRPr="005D2204">
        <w:rPr>
          <w:sz w:val="24"/>
          <w:szCs w:val="24"/>
        </w:rPr>
        <w:t>The CPA report is an analysis of the Applicant’s six-year projections and the following supporting documentation:</w:t>
      </w:r>
    </w:p>
    <w:p w14:paraId="4A369B3D" w14:textId="2AEB3841" w:rsidR="00D04718" w:rsidRPr="005D2204" w:rsidRDefault="00D04718" w:rsidP="006A1E9B">
      <w:pPr>
        <w:numPr>
          <w:ilvl w:val="1"/>
          <w:numId w:val="4"/>
        </w:numPr>
        <w:spacing w:after="0" w:line="240" w:lineRule="auto"/>
        <w:rPr>
          <w:sz w:val="24"/>
          <w:szCs w:val="24"/>
        </w:rPr>
      </w:pPr>
      <w:r w:rsidRPr="005D2204">
        <w:rPr>
          <w:sz w:val="24"/>
          <w:szCs w:val="24"/>
        </w:rPr>
        <w:t xml:space="preserve">The Applicant’s Financial Model for the FY 2022, through FY </w:t>
      </w:r>
      <w:r w:rsidR="00E432A5" w:rsidRPr="005D2204">
        <w:rPr>
          <w:sz w:val="24"/>
          <w:szCs w:val="24"/>
        </w:rPr>
        <w:t>2027.</w:t>
      </w:r>
    </w:p>
    <w:p w14:paraId="2BEE58EA" w14:textId="6CE1480C" w:rsidR="00D04718" w:rsidRPr="005D2204" w:rsidRDefault="00D04718" w:rsidP="006A1E9B">
      <w:pPr>
        <w:numPr>
          <w:ilvl w:val="1"/>
          <w:numId w:val="4"/>
        </w:numPr>
        <w:spacing w:after="0" w:line="240" w:lineRule="auto"/>
        <w:rPr>
          <w:sz w:val="24"/>
          <w:szCs w:val="24"/>
        </w:rPr>
      </w:pPr>
      <w:r w:rsidRPr="005D2204">
        <w:rPr>
          <w:sz w:val="24"/>
          <w:szCs w:val="24"/>
        </w:rPr>
        <w:t>Finance Committee proposed FY 2022 the budget presentation, September 21, 2021</w:t>
      </w:r>
      <w:r w:rsidR="00E432A5">
        <w:rPr>
          <w:sz w:val="24"/>
          <w:szCs w:val="24"/>
        </w:rPr>
        <w:t>.</w:t>
      </w:r>
    </w:p>
    <w:p w14:paraId="71D5D61B" w14:textId="268104C2" w:rsidR="00D04718" w:rsidRPr="005D2204" w:rsidRDefault="00D04718" w:rsidP="006A1E9B">
      <w:pPr>
        <w:numPr>
          <w:ilvl w:val="1"/>
          <w:numId w:val="4"/>
        </w:numPr>
        <w:spacing w:after="0" w:line="240" w:lineRule="auto"/>
        <w:rPr>
          <w:sz w:val="24"/>
          <w:szCs w:val="24"/>
        </w:rPr>
      </w:pPr>
      <w:r w:rsidRPr="005D2204">
        <w:rPr>
          <w:sz w:val="24"/>
          <w:szCs w:val="24"/>
        </w:rPr>
        <w:t>Draft DoN Application Form</w:t>
      </w:r>
      <w:r w:rsidR="00E432A5">
        <w:rPr>
          <w:sz w:val="24"/>
          <w:szCs w:val="24"/>
        </w:rPr>
        <w:t>.</w:t>
      </w:r>
    </w:p>
    <w:p w14:paraId="3383C67E" w14:textId="2526A871" w:rsidR="00D04718" w:rsidRPr="005D2204" w:rsidRDefault="00D04718" w:rsidP="006A1E9B">
      <w:pPr>
        <w:numPr>
          <w:ilvl w:val="1"/>
          <w:numId w:val="4"/>
        </w:numPr>
        <w:spacing w:after="0" w:line="240" w:lineRule="auto"/>
        <w:rPr>
          <w:sz w:val="24"/>
          <w:szCs w:val="24"/>
        </w:rPr>
      </w:pPr>
      <w:r w:rsidRPr="005D2204">
        <w:rPr>
          <w:sz w:val="24"/>
          <w:szCs w:val="24"/>
        </w:rPr>
        <w:t>Audited Financial Statements: UMass Memorial Healthcare, Inc.: FY 2021, 2020, and 2019</w:t>
      </w:r>
      <w:r w:rsidR="00E432A5">
        <w:rPr>
          <w:sz w:val="24"/>
          <w:szCs w:val="24"/>
        </w:rPr>
        <w:t>.</w:t>
      </w:r>
    </w:p>
    <w:p w14:paraId="61628CD7" w14:textId="4B358A56" w:rsidR="00D04718" w:rsidRPr="005D2204" w:rsidRDefault="00D04718" w:rsidP="006A1E9B">
      <w:pPr>
        <w:numPr>
          <w:ilvl w:val="1"/>
          <w:numId w:val="4"/>
        </w:numPr>
        <w:spacing w:after="0" w:line="240" w:lineRule="auto"/>
        <w:rPr>
          <w:sz w:val="24"/>
          <w:szCs w:val="24"/>
        </w:rPr>
      </w:pPr>
      <w:r w:rsidRPr="005D2204">
        <w:rPr>
          <w:sz w:val="24"/>
          <w:szCs w:val="24"/>
        </w:rPr>
        <w:t>IBIS World and Definitive Healthcare data</w:t>
      </w:r>
      <w:r w:rsidR="00E432A5">
        <w:rPr>
          <w:sz w:val="24"/>
          <w:szCs w:val="24"/>
        </w:rPr>
        <w:t>.</w:t>
      </w:r>
    </w:p>
    <w:p w14:paraId="70AF3DA4" w14:textId="77777777" w:rsidR="008D7B65" w:rsidRPr="005D2204" w:rsidRDefault="008D7B65" w:rsidP="008D7B65">
      <w:pPr>
        <w:spacing w:after="0" w:line="240" w:lineRule="auto"/>
        <w:ind w:left="1196"/>
        <w:rPr>
          <w:sz w:val="24"/>
          <w:szCs w:val="24"/>
        </w:rPr>
      </w:pPr>
    </w:p>
    <w:p w14:paraId="5708CC21" w14:textId="01514176" w:rsidR="00D04718" w:rsidRPr="005D2204" w:rsidRDefault="00D04718" w:rsidP="004F3E82">
      <w:pPr>
        <w:spacing w:line="240" w:lineRule="auto"/>
        <w:rPr>
          <w:sz w:val="24"/>
          <w:szCs w:val="24"/>
        </w:rPr>
      </w:pPr>
      <w:r w:rsidRPr="005D2204">
        <w:rPr>
          <w:sz w:val="24"/>
          <w:szCs w:val="24"/>
        </w:rPr>
        <w:t>The Projections consider the impact of volume on both projected revenue (i.e., patient days, discharges, cases/procedures, WRVUs, etc.) and operating expenses (i.e., the number of case/procedures, FTEs, etc.) for the projected period (FY 202</w:t>
      </w:r>
      <w:r w:rsidR="00FA6BA8">
        <w:rPr>
          <w:sz w:val="24"/>
          <w:szCs w:val="24"/>
        </w:rPr>
        <w:t>2</w:t>
      </w:r>
      <w:r w:rsidRPr="005D2204">
        <w:rPr>
          <w:sz w:val="24"/>
          <w:szCs w:val="24"/>
        </w:rPr>
        <w:t xml:space="preserve"> through FY 2027).</w:t>
      </w:r>
      <w:r w:rsidRPr="005D2204">
        <w:rPr>
          <w:sz w:val="24"/>
          <w:szCs w:val="24"/>
          <w:vertAlign w:val="superscript"/>
        </w:rPr>
        <w:footnoteReference w:id="19"/>
      </w:r>
      <w:r w:rsidRPr="005D2204">
        <w:rPr>
          <w:sz w:val="24"/>
          <w:szCs w:val="24"/>
        </w:rPr>
        <w:t xml:space="preserve"> </w:t>
      </w:r>
    </w:p>
    <w:p w14:paraId="1CFBE52F" w14:textId="77777777" w:rsidR="00D04718" w:rsidRPr="008D7B65" w:rsidRDefault="00D04718" w:rsidP="004F3E82">
      <w:pPr>
        <w:spacing w:line="240" w:lineRule="auto"/>
        <w:rPr>
          <w:sz w:val="24"/>
          <w:szCs w:val="24"/>
        </w:rPr>
      </w:pPr>
      <w:r w:rsidRPr="005D2204">
        <w:rPr>
          <w:sz w:val="24"/>
          <w:szCs w:val="24"/>
        </w:rPr>
        <w:t>The CPA evaluated key metrics, reflecting profitability, liquidity</w:t>
      </w:r>
      <w:r w:rsidRPr="008D7B65">
        <w:rPr>
          <w:sz w:val="24"/>
          <w:szCs w:val="24"/>
        </w:rPr>
        <w:t xml:space="preserve">, and solvency which compare the forecasted operating results of the performance of UMMH after the affiliation to market information from IBISWorld and Definitive Healthcare to assess the reasonableness of the Projections. </w:t>
      </w:r>
    </w:p>
    <w:p w14:paraId="255C27D1" w14:textId="43C59150" w:rsidR="00D04718" w:rsidRPr="008D7B65" w:rsidRDefault="00D04718" w:rsidP="004F3E82">
      <w:pPr>
        <w:spacing w:line="240" w:lineRule="auto"/>
        <w:rPr>
          <w:sz w:val="24"/>
          <w:szCs w:val="24"/>
        </w:rPr>
      </w:pPr>
      <w:r w:rsidRPr="008D7B65">
        <w:rPr>
          <w:sz w:val="24"/>
          <w:szCs w:val="24"/>
        </w:rPr>
        <w:t>Revenue includes Net Patient Service Revenue (NPSR) which comprises 90.1% of the cumulative total net revenue from FY 2022</w:t>
      </w:r>
      <w:r w:rsidRPr="008D7B65">
        <w:rPr>
          <w:sz w:val="24"/>
          <w:szCs w:val="24"/>
          <w:vertAlign w:val="superscript"/>
        </w:rPr>
        <w:footnoteReference w:id="20"/>
      </w:r>
      <w:r w:rsidRPr="008D7B65">
        <w:rPr>
          <w:sz w:val="24"/>
          <w:szCs w:val="24"/>
        </w:rPr>
        <w:t xml:space="preserve"> through FY 2027. Following a projected 10.6% increase in total NPSR in FY 2022 over FY 2021, no revenue growth is projected. NPSR growth in FY 2022 is due to Management’s expectation that operations will return to normal following the COVID-19 pandemic, and to several new initiatives, such as shifting to appropriate site of care according </w:t>
      </w:r>
      <w:r w:rsidRPr="008D7B65">
        <w:rPr>
          <w:sz w:val="24"/>
          <w:szCs w:val="24"/>
        </w:rPr>
        <w:lastRenderedPageBreak/>
        <w:t>to acuity levels,</w:t>
      </w:r>
      <w:r w:rsidRPr="008D7B65">
        <w:rPr>
          <w:sz w:val="24"/>
          <w:szCs w:val="24"/>
          <w:vertAlign w:val="superscript"/>
        </w:rPr>
        <w:footnoteReference w:id="21"/>
      </w:r>
      <w:r w:rsidRPr="008D7B65">
        <w:rPr>
          <w:sz w:val="24"/>
          <w:szCs w:val="24"/>
        </w:rPr>
        <w:t xml:space="preserve"> and telemedicine, that UMMH is implementing. Growth before COVID-19 was between 2.0 to 5.9 percent in FY 2018 and FY 2019</w:t>
      </w:r>
      <w:r w:rsidR="003D6E11">
        <w:rPr>
          <w:sz w:val="24"/>
          <w:szCs w:val="24"/>
        </w:rPr>
        <w:t>,</w:t>
      </w:r>
      <w:r w:rsidRPr="008D7B65">
        <w:rPr>
          <w:sz w:val="24"/>
          <w:szCs w:val="24"/>
        </w:rPr>
        <w:t xml:space="preserve"> respectively while it increased to 7.9 and 11.1% growth in FYs 2020 and 2021, respectively, which the </w:t>
      </w:r>
      <w:r w:rsidR="002E19F0">
        <w:rPr>
          <w:sz w:val="24"/>
          <w:szCs w:val="24"/>
        </w:rPr>
        <w:t xml:space="preserve">Applicant </w:t>
      </w:r>
      <w:r w:rsidR="002E19F0" w:rsidRPr="008D7B65">
        <w:rPr>
          <w:sz w:val="24"/>
          <w:szCs w:val="24"/>
        </w:rPr>
        <w:t>attributes</w:t>
      </w:r>
      <w:r w:rsidRPr="008D7B65">
        <w:rPr>
          <w:sz w:val="24"/>
          <w:szCs w:val="24"/>
        </w:rPr>
        <w:t xml:space="preserve"> to high acuity. </w:t>
      </w:r>
      <w:r w:rsidR="008D7B65">
        <w:rPr>
          <w:sz w:val="24"/>
          <w:szCs w:val="24"/>
        </w:rPr>
        <w:t>As a result, it is the CPA’s</w:t>
      </w:r>
      <w:r w:rsidRPr="008D7B65">
        <w:rPr>
          <w:sz w:val="24"/>
          <w:szCs w:val="24"/>
        </w:rPr>
        <w:t xml:space="preserve"> opinion that the revenue projections are a reasonable estimation of future revenue of UMMH. </w:t>
      </w:r>
    </w:p>
    <w:p w14:paraId="6B8A3449" w14:textId="6699FE4B" w:rsidR="00D04718" w:rsidRPr="008D7B65" w:rsidRDefault="00D04718" w:rsidP="004F3E82">
      <w:pPr>
        <w:spacing w:line="240" w:lineRule="auto"/>
        <w:rPr>
          <w:sz w:val="24"/>
          <w:szCs w:val="24"/>
        </w:rPr>
      </w:pPr>
      <w:r w:rsidRPr="008D7B65">
        <w:rPr>
          <w:sz w:val="24"/>
          <w:szCs w:val="24"/>
        </w:rPr>
        <w:t>Operating expenses include salaries and wages, employee benefits, professional fees, purchased services, pharmacy, medical supplies, non-medical supplies, utilities, insurance, rental leases, other direct expenses, system al</w:t>
      </w:r>
      <w:r w:rsidR="008D7B65">
        <w:rPr>
          <w:sz w:val="24"/>
          <w:szCs w:val="24"/>
        </w:rPr>
        <w:t xml:space="preserve">location expenses, depreciation, </w:t>
      </w:r>
      <w:r w:rsidRPr="008D7B65">
        <w:rPr>
          <w:sz w:val="24"/>
          <w:szCs w:val="24"/>
        </w:rPr>
        <w:t>amortization, and interest expenses. The Projections estimated total expenses will grow 6.6% in FY 2022 compared to the 9.4 percent in FY 2021 with the main drivers being increased pressures on labor expenses due to labor shortages, and supplies due to inflation, supply constraints, similar to but not as high as in 2021. Excepting interest expense,</w:t>
      </w:r>
      <w:r w:rsidRPr="008D7B65">
        <w:rPr>
          <w:sz w:val="24"/>
          <w:szCs w:val="24"/>
          <w:vertAlign w:val="superscript"/>
        </w:rPr>
        <w:footnoteReference w:id="22"/>
      </w:r>
      <w:r w:rsidRPr="008D7B65">
        <w:rPr>
          <w:sz w:val="24"/>
          <w:szCs w:val="24"/>
        </w:rPr>
        <w:t xml:space="preserve"> and similar to revenues, operating expenses are expected to remain constant, at 0.0% growth for FY 2023 through FY 2027. As a result</w:t>
      </w:r>
      <w:r w:rsidR="003D6E11">
        <w:rPr>
          <w:sz w:val="24"/>
          <w:szCs w:val="24"/>
        </w:rPr>
        <w:t>,</w:t>
      </w:r>
      <w:r w:rsidRPr="008D7B65">
        <w:rPr>
          <w:sz w:val="24"/>
          <w:szCs w:val="24"/>
        </w:rPr>
        <w:t xml:space="preserve"> it is the CPA’s opinion that the projected operating expenses reflect reasonable estimation of the Applicant’s future expenses. The projected total </w:t>
      </w:r>
      <w:r w:rsidR="008D7B65" w:rsidRPr="008D7B65">
        <w:rPr>
          <w:sz w:val="24"/>
          <w:szCs w:val="24"/>
        </w:rPr>
        <w:t>expense as a percentage of total revenue range is</w:t>
      </w:r>
      <w:r w:rsidRPr="008D7B65">
        <w:rPr>
          <w:sz w:val="24"/>
          <w:szCs w:val="24"/>
        </w:rPr>
        <w:t xml:space="preserve"> consistent with the historical performance.</w:t>
      </w:r>
    </w:p>
    <w:p w14:paraId="3FCFA384" w14:textId="77777777" w:rsidR="00D04718" w:rsidRPr="008D7B65" w:rsidRDefault="00D04718" w:rsidP="004F3E82">
      <w:pPr>
        <w:spacing w:line="240" w:lineRule="auto"/>
        <w:rPr>
          <w:sz w:val="24"/>
          <w:szCs w:val="24"/>
        </w:rPr>
      </w:pPr>
      <w:r w:rsidRPr="008D7B65">
        <w:rPr>
          <w:sz w:val="24"/>
          <w:szCs w:val="24"/>
        </w:rPr>
        <w:t>The expenditures related to the Proposed Project (representing ~0.3% of total) will be funded with cash reserves while allowing for a consistent level of the total cash balance throughout the projection period, according to the Applicant’s model. As a result, the CPA concludes that there appears to be sufficient internal resources to finance the Proposed Project without debt financing.</w:t>
      </w:r>
    </w:p>
    <w:p w14:paraId="4E9D68B0" w14:textId="77777777" w:rsidR="00D04718" w:rsidRPr="008D7B65" w:rsidRDefault="00D04718" w:rsidP="004F3E82">
      <w:pPr>
        <w:spacing w:line="240" w:lineRule="auto"/>
        <w:rPr>
          <w:sz w:val="24"/>
          <w:szCs w:val="24"/>
        </w:rPr>
      </w:pPr>
      <w:bookmarkStart w:id="3" w:name="_TOC_250000"/>
      <w:bookmarkEnd w:id="3"/>
      <w:r w:rsidRPr="008D7B65">
        <w:rPr>
          <w:sz w:val="24"/>
          <w:szCs w:val="24"/>
        </w:rPr>
        <w:t xml:space="preserve">The CPA concludes that following its review of the relevant documents and analysis of the projections, it determined that the anticipated operating EBITDA surplus of ~ 5.2% of cumulative projected revenue is a reasonable expectation that is based upon feasible financial assumptions. It determined that the Projections are reasonable and feasible, and not likely to have a negative impact on the Applicant’s patient panel or result in a liquidation of the Applicant’s assets. </w:t>
      </w:r>
    </w:p>
    <w:p w14:paraId="0D5ABCA7" w14:textId="3CCFB06F" w:rsidR="003541F9" w:rsidRPr="008D7B65" w:rsidRDefault="00D04718" w:rsidP="004F3E82">
      <w:pPr>
        <w:spacing w:line="240" w:lineRule="auto"/>
        <w:rPr>
          <w:i/>
          <w:sz w:val="24"/>
          <w:szCs w:val="24"/>
        </w:rPr>
      </w:pPr>
      <w:r w:rsidRPr="008D7B65">
        <w:rPr>
          <w:b/>
          <w:i/>
          <w:sz w:val="24"/>
          <w:szCs w:val="24"/>
        </w:rPr>
        <w:t>Analysis</w:t>
      </w:r>
    </w:p>
    <w:p w14:paraId="06B05E01" w14:textId="730EADAC" w:rsidR="00D04718" w:rsidRPr="008D7B65" w:rsidRDefault="00B6204D" w:rsidP="004F3E82">
      <w:pPr>
        <w:spacing w:line="240" w:lineRule="auto"/>
        <w:rPr>
          <w:sz w:val="24"/>
          <w:szCs w:val="24"/>
        </w:rPr>
      </w:pPr>
      <w:r w:rsidRPr="00B6204D">
        <w:rPr>
          <w:sz w:val="24"/>
          <w:szCs w:val="24"/>
        </w:rPr>
        <w:t xml:space="preserve">As a result of information provided by the Applicant and additional analysis, staff finds that the Applicant has demonstrated that the Proposed Project has met Factor </w:t>
      </w:r>
      <w:r w:rsidR="00D04718" w:rsidRPr="008D7B65">
        <w:rPr>
          <w:sz w:val="24"/>
          <w:szCs w:val="24"/>
        </w:rPr>
        <w:t>4.</w:t>
      </w:r>
    </w:p>
    <w:p w14:paraId="0BFF2AE3" w14:textId="77777777" w:rsidR="007A6DB7" w:rsidRPr="008D7B65" w:rsidRDefault="007A6DB7" w:rsidP="004F3E82">
      <w:pPr>
        <w:pStyle w:val="Heading1"/>
        <w:spacing w:line="240" w:lineRule="auto"/>
        <w:ind w:left="0"/>
        <w:rPr>
          <w:b/>
        </w:rPr>
      </w:pPr>
      <w:bookmarkStart w:id="4" w:name="_Toc66868815"/>
      <w:r w:rsidRPr="008D7B65">
        <w:rPr>
          <w:b/>
        </w:rPr>
        <w:t>Factor 5: Assessment of the Proposed Project’s Relative Merit</w:t>
      </w:r>
      <w:bookmarkEnd w:id="4"/>
    </w:p>
    <w:p w14:paraId="571CFEA9" w14:textId="77777777" w:rsidR="007A6DB7" w:rsidRPr="007A6DB7" w:rsidRDefault="007A6DB7" w:rsidP="004F3E82">
      <w:pPr>
        <w:spacing w:after="0" w:line="240" w:lineRule="auto"/>
        <w:rPr>
          <w:rFonts w:ascii="Calibri" w:eastAsia="Calibri" w:hAnsi="Calibri" w:cs="Times New Roman"/>
          <w:sz w:val="24"/>
          <w:szCs w:val="24"/>
        </w:rPr>
      </w:pPr>
    </w:p>
    <w:p w14:paraId="2BF098A0" w14:textId="122804B0" w:rsidR="00C73AB1" w:rsidRPr="003D6E11" w:rsidRDefault="007A6DB7" w:rsidP="004F3E82">
      <w:pPr>
        <w:autoSpaceDE w:val="0"/>
        <w:autoSpaceDN w:val="0"/>
        <w:adjustRightInd w:val="0"/>
        <w:spacing w:after="0" w:line="240" w:lineRule="auto"/>
        <w:rPr>
          <w:rFonts w:ascii="Calibri" w:eastAsia="Calibri" w:hAnsi="Calibri" w:cs="Calibri"/>
          <w:color w:val="000000"/>
          <w:sz w:val="24"/>
          <w:szCs w:val="24"/>
        </w:rPr>
      </w:pPr>
      <w:r w:rsidRPr="003D6E11">
        <w:rPr>
          <w:rFonts w:ascii="Calibri" w:eastAsia="Calibri" w:hAnsi="Calibri" w:cs="Calibri"/>
          <w:color w:val="000000"/>
          <w:sz w:val="24"/>
          <w:szCs w:val="24"/>
        </w:rPr>
        <w:t>The Applicant considered and rejected one alternative to the Proposed Project</w:t>
      </w:r>
      <w:r w:rsidR="003D6E11">
        <w:rPr>
          <w:rFonts w:ascii="Calibri" w:eastAsia="Calibri" w:hAnsi="Calibri" w:cs="Calibri"/>
          <w:color w:val="000000"/>
          <w:sz w:val="24"/>
          <w:szCs w:val="24"/>
        </w:rPr>
        <w:t xml:space="preserve"> which was to </w:t>
      </w:r>
      <w:r w:rsidR="00C73AB1" w:rsidRPr="003D6E11">
        <w:rPr>
          <w:rFonts w:ascii="Calibri" w:eastAsia="Calibri" w:hAnsi="Calibri" w:cs="Calibri"/>
          <w:color w:val="000000"/>
          <w:sz w:val="24"/>
          <w:szCs w:val="24"/>
        </w:rPr>
        <w:t>not acquire a CT unit</w:t>
      </w:r>
      <w:r w:rsidR="003D6E11">
        <w:rPr>
          <w:rFonts w:ascii="Calibri" w:eastAsia="Calibri" w:hAnsi="Calibri" w:cs="Calibri"/>
          <w:color w:val="000000"/>
          <w:sz w:val="24"/>
          <w:szCs w:val="24"/>
        </w:rPr>
        <w:t xml:space="preserve"> and to</w:t>
      </w:r>
      <w:r w:rsidR="008D7B65" w:rsidRPr="003D6E11">
        <w:rPr>
          <w:rFonts w:ascii="Calibri" w:eastAsia="Calibri" w:hAnsi="Calibri" w:cs="Calibri"/>
          <w:color w:val="000000"/>
          <w:sz w:val="24"/>
          <w:szCs w:val="24"/>
        </w:rPr>
        <w:t xml:space="preserve"> </w:t>
      </w:r>
      <w:r w:rsidR="00C73AB1" w:rsidRPr="003D6E11">
        <w:rPr>
          <w:rFonts w:ascii="Calibri" w:eastAsia="Calibri" w:hAnsi="Calibri" w:cs="Calibri"/>
          <w:color w:val="000000"/>
          <w:sz w:val="24"/>
          <w:szCs w:val="24"/>
        </w:rPr>
        <w:t xml:space="preserve">continue to serve patients through the existing units on campus. This alternative does not address the need of UMMMC’s patient population to have timely access to CT imaging in the ED. This option would further exacerbate wait times for emergency patients, in turn delaying diagnosis and treatment. These consequences will negatively impact </w:t>
      </w:r>
      <w:r w:rsidR="00C73AB1" w:rsidRPr="003D6E11">
        <w:rPr>
          <w:rFonts w:ascii="Calibri" w:eastAsia="Calibri" w:hAnsi="Calibri" w:cs="Calibri"/>
          <w:color w:val="000000"/>
          <w:sz w:val="24"/>
          <w:szCs w:val="24"/>
        </w:rPr>
        <w:lastRenderedPageBreak/>
        <w:t xml:space="preserve">health outcomes as well as patient experience. The </w:t>
      </w:r>
      <w:r w:rsidR="00A47F78">
        <w:rPr>
          <w:rFonts w:ascii="Calibri" w:eastAsia="Calibri" w:hAnsi="Calibri" w:cs="Calibri"/>
          <w:color w:val="000000"/>
          <w:sz w:val="24"/>
          <w:szCs w:val="24"/>
        </w:rPr>
        <w:t>University Campu</w:t>
      </w:r>
      <w:r w:rsidR="00C73AB1" w:rsidRPr="003D6E11">
        <w:rPr>
          <w:rFonts w:ascii="Calibri" w:eastAsia="Calibri" w:hAnsi="Calibri" w:cs="Calibri"/>
          <w:color w:val="000000"/>
          <w:sz w:val="24"/>
          <w:szCs w:val="24"/>
        </w:rPr>
        <w:t>s</w:t>
      </w:r>
      <w:r w:rsidR="00A47F78">
        <w:rPr>
          <w:rFonts w:ascii="Calibri" w:eastAsia="Calibri" w:hAnsi="Calibri" w:cs="Calibri"/>
          <w:color w:val="000000"/>
          <w:sz w:val="24"/>
          <w:szCs w:val="24"/>
        </w:rPr>
        <w:t>’</w:t>
      </w:r>
      <w:r w:rsidR="00C73AB1" w:rsidRPr="003D6E11">
        <w:rPr>
          <w:rFonts w:ascii="Calibri" w:eastAsia="Calibri" w:hAnsi="Calibri" w:cs="Calibri"/>
          <w:color w:val="000000"/>
          <w:sz w:val="24"/>
          <w:szCs w:val="24"/>
        </w:rPr>
        <w:t xml:space="preserve"> resources will continue to be strained under this alternative, further contributing to diversions and overcrowding. </w:t>
      </w:r>
      <w:r w:rsidR="0093187A" w:rsidRPr="0093187A">
        <w:rPr>
          <w:rFonts w:ascii="Calibri" w:eastAsia="Calibri" w:hAnsi="Calibri" w:cs="Calibri"/>
          <w:bCs/>
          <w:color w:val="000000"/>
          <w:sz w:val="24"/>
          <w:szCs w:val="24"/>
        </w:rPr>
        <w:t>T</w:t>
      </w:r>
      <w:r w:rsidR="002E19F0">
        <w:rPr>
          <w:rFonts w:ascii="Calibri" w:eastAsia="Calibri" w:hAnsi="Calibri" w:cs="Calibri"/>
          <w:bCs/>
          <w:color w:val="000000"/>
          <w:sz w:val="24"/>
          <w:szCs w:val="24"/>
        </w:rPr>
        <w:t>h</w:t>
      </w:r>
      <w:r w:rsidR="0093187A" w:rsidRPr="0093187A">
        <w:rPr>
          <w:rFonts w:ascii="Calibri" w:eastAsia="Calibri" w:hAnsi="Calibri" w:cs="Calibri"/>
          <w:bCs/>
          <w:color w:val="000000"/>
          <w:sz w:val="24"/>
          <w:szCs w:val="24"/>
        </w:rPr>
        <w:t>ere would be</w:t>
      </w:r>
      <w:r w:rsidR="0093187A">
        <w:rPr>
          <w:rFonts w:ascii="Calibri" w:eastAsia="Calibri" w:hAnsi="Calibri" w:cs="Calibri"/>
          <w:b/>
          <w:color w:val="000000"/>
          <w:sz w:val="24"/>
          <w:szCs w:val="24"/>
        </w:rPr>
        <w:t xml:space="preserve"> </w:t>
      </w:r>
      <w:r w:rsidR="00C73AB1" w:rsidRPr="003D6E11">
        <w:rPr>
          <w:rFonts w:ascii="Calibri" w:eastAsia="Calibri" w:hAnsi="Calibri" w:cs="Calibri"/>
          <w:color w:val="000000"/>
          <w:sz w:val="24"/>
          <w:szCs w:val="24"/>
        </w:rPr>
        <w:t xml:space="preserve">no capital expenses under this alternative. The Applicant asserts operating expenses will increase over time under this alternative </w:t>
      </w:r>
      <w:r w:rsidR="00E8368A" w:rsidRPr="003D6E11">
        <w:rPr>
          <w:rFonts w:ascii="Calibri" w:eastAsia="Calibri" w:hAnsi="Calibri" w:cs="Calibri"/>
          <w:color w:val="000000"/>
          <w:sz w:val="24"/>
          <w:szCs w:val="24"/>
        </w:rPr>
        <w:t xml:space="preserve">attributable </w:t>
      </w:r>
      <w:r w:rsidR="00C73AB1" w:rsidRPr="003D6E11">
        <w:rPr>
          <w:rFonts w:ascii="Calibri" w:eastAsia="Calibri" w:hAnsi="Calibri" w:cs="Calibri"/>
          <w:color w:val="000000"/>
          <w:sz w:val="24"/>
          <w:szCs w:val="24"/>
        </w:rPr>
        <w:t>to ED diversions, ED overcrowding and backlogs, and delayed diagnosis and treatment.</w:t>
      </w:r>
    </w:p>
    <w:p w14:paraId="733EC735" w14:textId="77777777" w:rsidR="007A6DB7" w:rsidRPr="003D6E11" w:rsidRDefault="007A6DB7" w:rsidP="004F3E82">
      <w:pPr>
        <w:autoSpaceDE w:val="0"/>
        <w:autoSpaceDN w:val="0"/>
        <w:adjustRightInd w:val="0"/>
        <w:spacing w:after="0" w:line="240" w:lineRule="auto"/>
        <w:rPr>
          <w:rFonts w:ascii="Calibri" w:eastAsia="Calibri" w:hAnsi="Calibri" w:cs="Calibri"/>
          <w:color w:val="000000"/>
          <w:sz w:val="24"/>
          <w:szCs w:val="24"/>
        </w:rPr>
      </w:pPr>
    </w:p>
    <w:p w14:paraId="367D752E" w14:textId="11CE5C9F" w:rsidR="00E8368A" w:rsidRPr="003D6E11" w:rsidRDefault="00E8368A" w:rsidP="004F3E82">
      <w:pPr>
        <w:spacing w:line="240" w:lineRule="auto"/>
        <w:rPr>
          <w:b/>
          <w:i/>
          <w:sz w:val="24"/>
          <w:szCs w:val="24"/>
        </w:rPr>
      </w:pPr>
      <w:r w:rsidRPr="003D6E11">
        <w:rPr>
          <w:b/>
          <w:i/>
          <w:sz w:val="24"/>
          <w:szCs w:val="24"/>
        </w:rPr>
        <w:t>Analysis:</w:t>
      </w:r>
    </w:p>
    <w:p w14:paraId="0AA59D1E" w14:textId="30B70270" w:rsidR="006D6A7F" w:rsidRPr="003D6E11" w:rsidRDefault="00B6204D" w:rsidP="004F3E82">
      <w:pPr>
        <w:spacing w:line="240" w:lineRule="auto"/>
        <w:rPr>
          <w:sz w:val="24"/>
          <w:szCs w:val="24"/>
        </w:rPr>
      </w:pPr>
      <w:r w:rsidRPr="003D6E11">
        <w:rPr>
          <w:sz w:val="24"/>
          <w:szCs w:val="24"/>
        </w:rPr>
        <w:t xml:space="preserve">For </w:t>
      </w:r>
      <w:r w:rsidR="004F3E82" w:rsidRPr="003D6E11">
        <w:rPr>
          <w:sz w:val="24"/>
          <w:szCs w:val="24"/>
        </w:rPr>
        <w:t>all</w:t>
      </w:r>
      <w:r w:rsidRPr="003D6E11">
        <w:rPr>
          <w:sz w:val="24"/>
          <w:szCs w:val="24"/>
        </w:rPr>
        <w:t xml:space="preserve"> the reasons emphasized throughout this Application, staff agrees with </w:t>
      </w:r>
      <w:r w:rsidR="0093187A" w:rsidRPr="003D6E11">
        <w:rPr>
          <w:sz w:val="24"/>
          <w:szCs w:val="24"/>
        </w:rPr>
        <w:t>the Applicant’s</w:t>
      </w:r>
      <w:r w:rsidR="00E8368A" w:rsidRPr="003D6E11">
        <w:rPr>
          <w:sz w:val="24"/>
          <w:szCs w:val="24"/>
        </w:rPr>
        <w:t xml:space="preserve"> assert</w:t>
      </w:r>
      <w:r w:rsidRPr="003D6E11">
        <w:rPr>
          <w:sz w:val="24"/>
          <w:szCs w:val="24"/>
        </w:rPr>
        <w:t xml:space="preserve">ions </w:t>
      </w:r>
      <w:r w:rsidR="00E8368A" w:rsidRPr="003D6E11">
        <w:rPr>
          <w:sz w:val="24"/>
          <w:szCs w:val="24"/>
        </w:rPr>
        <w:t xml:space="preserve">that </w:t>
      </w:r>
      <w:r w:rsidRPr="003D6E11">
        <w:rPr>
          <w:sz w:val="24"/>
          <w:szCs w:val="24"/>
        </w:rPr>
        <w:t>the status quo will not resolve the stated challenges that have arisen as a result of insufficient capacity. T</w:t>
      </w:r>
      <w:r w:rsidR="00E8368A" w:rsidRPr="003D6E11">
        <w:rPr>
          <w:sz w:val="24"/>
          <w:szCs w:val="24"/>
        </w:rPr>
        <w:t xml:space="preserve">he Proposed Project will </w:t>
      </w:r>
      <w:r w:rsidRPr="003D6E11">
        <w:rPr>
          <w:sz w:val="24"/>
          <w:szCs w:val="24"/>
        </w:rPr>
        <w:t xml:space="preserve">improve quality and access and likely </w:t>
      </w:r>
      <w:r w:rsidR="0093187A">
        <w:rPr>
          <w:sz w:val="24"/>
          <w:szCs w:val="24"/>
        </w:rPr>
        <w:t xml:space="preserve">reduce </w:t>
      </w:r>
      <w:r w:rsidR="00E8368A" w:rsidRPr="003D6E11">
        <w:rPr>
          <w:sz w:val="24"/>
          <w:szCs w:val="24"/>
        </w:rPr>
        <w:t xml:space="preserve">costs by </w:t>
      </w:r>
      <w:r w:rsidR="0093187A">
        <w:rPr>
          <w:sz w:val="24"/>
          <w:szCs w:val="24"/>
        </w:rPr>
        <w:t>alleviating</w:t>
      </w:r>
      <w:r w:rsidR="0093187A" w:rsidRPr="003D6E11">
        <w:rPr>
          <w:sz w:val="24"/>
          <w:szCs w:val="24"/>
        </w:rPr>
        <w:t xml:space="preserve"> </w:t>
      </w:r>
      <w:r w:rsidR="00E8368A" w:rsidRPr="003D6E11">
        <w:rPr>
          <w:sz w:val="24"/>
          <w:szCs w:val="24"/>
        </w:rPr>
        <w:t>backlogs thereby improving efficiencies and throughput while facilitating earlier diagnoses.</w:t>
      </w:r>
      <w:r w:rsidR="00B53677">
        <w:rPr>
          <w:sz w:val="24"/>
          <w:szCs w:val="24"/>
        </w:rPr>
        <w:t xml:space="preserve"> We know that delays in treatment in the ED can lead to increased costs and unnecessary admissions and adverse outcomes. </w:t>
      </w:r>
      <w:r w:rsidR="00B53677">
        <w:rPr>
          <w:rStyle w:val="EndnoteReference"/>
          <w:sz w:val="24"/>
          <w:szCs w:val="24"/>
        </w:rPr>
        <w:endnoteReference w:id="8"/>
      </w:r>
      <w:r w:rsidR="00B53677">
        <w:rPr>
          <w:sz w:val="24"/>
          <w:szCs w:val="24"/>
        </w:rPr>
        <w:t xml:space="preserve"> </w:t>
      </w:r>
      <w:r w:rsidR="00E8368A" w:rsidRPr="003D6E11">
        <w:rPr>
          <w:sz w:val="24"/>
          <w:szCs w:val="24"/>
        </w:rPr>
        <w:t xml:space="preserve"> Staff </w:t>
      </w:r>
      <w:r w:rsidR="00DF3A58" w:rsidRPr="003D6E11">
        <w:rPr>
          <w:sz w:val="24"/>
          <w:szCs w:val="24"/>
        </w:rPr>
        <w:t xml:space="preserve">finds this to be a credible argument based on the clinical need to scan stroke and trauma patients in a timely manner in order begin appropriate treatment in a timely manner. </w:t>
      </w:r>
    </w:p>
    <w:p w14:paraId="34C40944" w14:textId="2B654FBE" w:rsidR="00E8368A" w:rsidRPr="003D6E11" w:rsidRDefault="00191E93" w:rsidP="004F3E82">
      <w:pPr>
        <w:spacing w:line="240" w:lineRule="auto"/>
        <w:rPr>
          <w:sz w:val="24"/>
          <w:szCs w:val="24"/>
        </w:rPr>
      </w:pPr>
      <w:r w:rsidRPr="003D6E11">
        <w:rPr>
          <w:sz w:val="24"/>
          <w:szCs w:val="24"/>
        </w:rPr>
        <w:t xml:space="preserve">As a result of information provided by the Applicant and additional analysis, staff finds that the Applicant has demonstrated that the Proposed Project has met Factor </w:t>
      </w:r>
      <w:r w:rsidR="006D6A7F" w:rsidRPr="003D6E11">
        <w:rPr>
          <w:sz w:val="24"/>
          <w:szCs w:val="24"/>
        </w:rPr>
        <w:t>5.</w:t>
      </w:r>
      <w:r w:rsidR="00DF3A58" w:rsidRPr="003D6E11">
        <w:rPr>
          <w:sz w:val="24"/>
          <w:szCs w:val="24"/>
        </w:rPr>
        <w:t xml:space="preserve"> </w:t>
      </w:r>
    </w:p>
    <w:p w14:paraId="3C7E8A01" w14:textId="76509984" w:rsidR="007A6DB7" w:rsidRDefault="007A6DB7" w:rsidP="007A6DB7">
      <w:pPr>
        <w:pStyle w:val="Heading1"/>
        <w:ind w:left="0"/>
        <w:rPr>
          <w:b/>
          <w:sz w:val="28"/>
          <w:szCs w:val="28"/>
        </w:rPr>
      </w:pPr>
      <w:r w:rsidRPr="003F60C0">
        <w:rPr>
          <w:b/>
          <w:sz w:val="28"/>
          <w:szCs w:val="28"/>
        </w:rPr>
        <w:t xml:space="preserve">Factor 6: Fulfillment of DPH Community-based Health Initiatives </w:t>
      </w:r>
    </w:p>
    <w:p w14:paraId="6DCF54A6" w14:textId="1A632882" w:rsidR="0068660A" w:rsidRPr="0068660A" w:rsidRDefault="0068660A" w:rsidP="00F62CAE">
      <w:pPr>
        <w:spacing w:before="240" w:after="0" w:line="240" w:lineRule="auto"/>
        <w:ind w:right="540"/>
        <w:contextualSpacing/>
        <w:rPr>
          <w:rFonts w:ascii="Calibri" w:eastAsia="Calibri" w:hAnsi="Calibri" w:cs="Calibri"/>
          <w:sz w:val="24"/>
          <w:szCs w:val="24"/>
        </w:rPr>
      </w:pPr>
      <w:bookmarkStart w:id="5" w:name="_Toc17151192"/>
      <w:bookmarkStart w:id="6" w:name="_Toc17322410"/>
      <w:r w:rsidRPr="0068660A">
        <w:rPr>
          <w:rFonts w:ascii="Calibri" w:eastAsia="Calibri" w:hAnsi="Calibri" w:cs="Calibri"/>
          <w:i/>
          <w:sz w:val="24"/>
          <w:szCs w:val="24"/>
        </w:rPr>
        <w:t>Summary and relevant background and context for this application:</w:t>
      </w:r>
      <w:r w:rsidRPr="0068660A">
        <w:rPr>
          <w:rFonts w:ascii="Calibri" w:eastAsia="Calibri" w:hAnsi="Calibri" w:cs="Calibri"/>
          <w:sz w:val="24"/>
          <w:szCs w:val="24"/>
        </w:rPr>
        <w:t xml:space="preserve"> This is a Proposed Project for DoN required equipment project that is a Tier 1 CHI. Standard practice is to contribute the full CHI obligation to the statewide fund for DoN-regulated equipment. In this case, the Applicant anticipates submitting a Tier 3 project application in the coming months and requests that the CHI contributions across the two projects, if approved, be combined; subject to DoN project approval of both projects, DPH has agreed to  this process  to enable local a transparent CHI investment process.</w:t>
      </w:r>
      <w:r w:rsidR="00F62CAE" w:rsidRPr="0068660A">
        <w:rPr>
          <w:rFonts w:ascii="Calibri" w:eastAsia="Calibri" w:hAnsi="Calibri" w:cs="Calibri"/>
          <w:sz w:val="24"/>
          <w:szCs w:val="24"/>
        </w:rPr>
        <w:t xml:space="preserve"> </w:t>
      </w:r>
    </w:p>
    <w:p w14:paraId="45EF5E83" w14:textId="77777777" w:rsidR="0068660A" w:rsidRPr="0068660A" w:rsidRDefault="0068660A" w:rsidP="0068660A">
      <w:pPr>
        <w:spacing w:after="0" w:line="240" w:lineRule="auto"/>
        <w:ind w:right="540"/>
        <w:contextualSpacing/>
        <w:rPr>
          <w:rFonts w:ascii="Calibri" w:eastAsia="Calibri" w:hAnsi="Calibri" w:cs="Calibri"/>
          <w:sz w:val="24"/>
          <w:szCs w:val="24"/>
        </w:rPr>
      </w:pPr>
      <w:r w:rsidRPr="0068660A">
        <w:rPr>
          <w:rFonts w:ascii="Calibri" w:eastAsia="Calibri" w:hAnsi="Calibri" w:cs="Calibri"/>
          <w:sz w:val="24"/>
          <w:szCs w:val="24"/>
        </w:rPr>
        <w:t>In anticipation of this agreement, to fulfill Factor 6 requirements for this project, the Applicant submitted its existing Community Health Needs Assessment (CHNA), a Self-Assessment, Stakeholder Assessments, and a CHI Narrative.</w:t>
      </w:r>
    </w:p>
    <w:p w14:paraId="0B09AB53" w14:textId="77777777" w:rsidR="0068660A" w:rsidRPr="0068660A" w:rsidRDefault="0068660A" w:rsidP="0068660A">
      <w:pPr>
        <w:spacing w:after="0" w:line="240" w:lineRule="auto"/>
        <w:ind w:right="540"/>
        <w:contextualSpacing/>
        <w:rPr>
          <w:rFonts w:ascii="Calibri" w:eastAsia="Calibri" w:hAnsi="Calibri" w:cs="Calibri"/>
          <w:sz w:val="24"/>
          <w:szCs w:val="24"/>
        </w:rPr>
      </w:pPr>
    </w:p>
    <w:p w14:paraId="0CFE3991" w14:textId="729B9B80" w:rsidR="0068660A" w:rsidRPr="0068660A" w:rsidRDefault="0068660A" w:rsidP="0068660A">
      <w:pPr>
        <w:spacing w:after="0" w:line="240" w:lineRule="auto"/>
        <w:contextualSpacing/>
        <w:rPr>
          <w:rFonts w:ascii="Calibri" w:eastAsia="Calibri" w:hAnsi="Calibri" w:cs="Calibri"/>
          <w:sz w:val="24"/>
          <w:szCs w:val="24"/>
        </w:rPr>
      </w:pPr>
      <w:r w:rsidRPr="0068660A">
        <w:rPr>
          <w:rFonts w:ascii="Calibri" w:eastAsia="Calibri" w:hAnsi="Calibri" w:cs="Calibri"/>
          <w:b/>
          <w:sz w:val="24"/>
          <w:szCs w:val="24"/>
        </w:rPr>
        <w:t>The Community Health Needs Assessment</w:t>
      </w:r>
      <w:r w:rsidRPr="0068660A">
        <w:rPr>
          <w:rFonts w:ascii="Calibri" w:eastAsia="Calibri" w:hAnsi="Calibri" w:cs="Calibri"/>
          <w:sz w:val="24"/>
          <w:szCs w:val="24"/>
        </w:rPr>
        <w:t xml:space="preserve"> was conducted in 2021 by the Applicant, UMass Memorial Health in partnership with the Central Massachusetts Regional Public Health Alliance.  The final Community Health Assessment utilized analysis of both secondary and primary data gathered through stakeholder interviews, focus groups, and a community survey. The Assessment identifies priority populations and describes key findings and themes from the service area and participating communities. </w:t>
      </w:r>
      <w:r w:rsidR="00E432A5">
        <w:rPr>
          <w:rFonts w:ascii="Calibri" w:eastAsia="Calibri" w:hAnsi="Calibri" w:cs="Calibri"/>
          <w:sz w:val="24"/>
          <w:szCs w:val="24"/>
        </w:rPr>
        <w:t>Th</w:t>
      </w:r>
      <w:r w:rsidRPr="0068660A">
        <w:rPr>
          <w:rFonts w:ascii="Calibri" w:eastAsia="Calibri" w:hAnsi="Calibri" w:cs="Calibri"/>
          <w:sz w:val="24"/>
          <w:szCs w:val="24"/>
        </w:rPr>
        <w:t>e priority populations are People of Color, Immigrants, refugees, and non-English speakers, Youth and adolescents, Individuals with disabilities and chronic/complex conditions, Individuals and families with limited economic means, and Older adults. The priority areas are Social Determinants of Health, mental health, substance use, and Chronic/complex conditions and risk factors; Racism, discrimination, and health equity are identified as a cross-cutting issue.</w:t>
      </w:r>
    </w:p>
    <w:p w14:paraId="0FF31BD0" w14:textId="77777777" w:rsidR="0068660A" w:rsidRPr="0068660A" w:rsidRDefault="0068660A" w:rsidP="0068660A">
      <w:pPr>
        <w:spacing w:after="0" w:line="240" w:lineRule="auto"/>
        <w:contextualSpacing/>
        <w:rPr>
          <w:rFonts w:ascii="Calibri" w:eastAsia="Calibri" w:hAnsi="Calibri" w:cs="Calibri"/>
          <w:sz w:val="24"/>
          <w:szCs w:val="24"/>
        </w:rPr>
      </w:pPr>
    </w:p>
    <w:p w14:paraId="7C7EAD83" w14:textId="77777777" w:rsidR="0068660A" w:rsidRPr="0068660A" w:rsidRDefault="0068660A" w:rsidP="0068660A">
      <w:pPr>
        <w:spacing w:after="0" w:line="240" w:lineRule="auto"/>
        <w:contextualSpacing/>
        <w:rPr>
          <w:rFonts w:ascii="Calibri" w:eastAsia="Calibri" w:hAnsi="Calibri" w:cs="Calibri"/>
          <w:sz w:val="24"/>
          <w:szCs w:val="24"/>
        </w:rPr>
      </w:pPr>
      <w:r w:rsidRPr="0068660A">
        <w:rPr>
          <w:rFonts w:ascii="Calibri" w:eastAsia="Calibri" w:hAnsi="Calibri" w:cs="Calibri"/>
          <w:b/>
          <w:bCs/>
          <w:sz w:val="24"/>
          <w:szCs w:val="24"/>
        </w:rPr>
        <w:lastRenderedPageBreak/>
        <w:t xml:space="preserve">The Applicant’s Self-Assessment </w:t>
      </w:r>
      <w:r w:rsidRPr="0068660A">
        <w:rPr>
          <w:rFonts w:ascii="Calibri" w:eastAsia="Calibri" w:hAnsi="Calibri" w:cs="Calibri"/>
          <w:sz w:val="24"/>
          <w:szCs w:val="24"/>
        </w:rPr>
        <w:t xml:space="preserve">provided a summary of the community engagement processes and socio-demographic information, data and highlights related to topics and themes of community needs. Through data analysis, existing surveys, and primary data collection and community engagement, the participating community groups and residents identified the key concerns outlined in the 2021 Community Health Assessment. </w:t>
      </w:r>
    </w:p>
    <w:p w14:paraId="22D36836" w14:textId="77777777" w:rsidR="0068660A" w:rsidRPr="0068660A" w:rsidRDefault="0068660A" w:rsidP="0068660A">
      <w:pPr>
        <w:spacing w:after="0" w:line="240" w:lineRule="auto"/>
        <w:contextualSpacing/>
        <w:rPr>
          <w:rFonts w:ascii="Calibri" w:eastAsia="Calibri" w:hAnsi="Calibri" w:cs="Calibri"/>
          <w:sz w:val="24"/>
          <w:szCs w:val="24"/>
        </w:rPr>
      </w:pPr>
    </w:p>
    <w:p w14:paraId="2351AF91" w14:textId="77777777" w:rsidR="0068660A" w:rsidRPr="0068660A" w:rsidRDefault="0068660A" w:rsidP="0068660A">
      <w:pPr>
        <w:spacing w:after="0" w:line="240" w:lineRule="auto"/>
        <w:contextualSpacing/>
        <w:rPr>
          <w:rFonts w:ascii="Calibri" w:eastAsia="Calibri" w:hAnsi="Calibri" w:cs="Calibri"/>
          <w:sz w:val="24"/>
          <w:szCs w:val="24"/>
        </w:rPr>
      </w:pPr>
      <w:r w:rsidRPr="0068660A">
        <w:rPr>
          <w:rFonts w:ascii="Calibri" w:eastAsia="Calibri" w:hAnsi="Calibri" w:cs="Calibri"/>
          <w:b/>
          <w:bCs/>
          <w:sz w:val="24"/>
          <w:szCs w:val="24"/>
        </w:rPr>
        <w:t>The Stakeholder Assessments</w:t>
      </w:r>
      <w:r w:rsidRPr="0068660A">
        <w:rPr>
          <w:rFonts w:ascii="Calibri" w:eastAsia="Calibri" w:hAnsi="Calibri" w:cs="Calibri"/>
          <w:sz w:val="24"/>
          <w:szCs w:val="24"/>
        </w:rPr>
        <w:t xml:space="preserve"> submitted provided information on the individuals’ engagement levels (e.g. their personal participation and role) and their analysis of how the Applicant engaged the community in community health improvement planning processes. The information provided in these forms were largely consistent with the self-assessment conducted by the Applicant.</w:t>
      </w:r>
    </w:p>
    <w:p w14:paraId="0FC92040" w14:textId="77777777" w:rsidR="0068660A" w:rsidRPr="0068660A" w:rsidRDefault="0068660A" w:rsidP="0068660A">
      <w:pPr>
        <w:spacing w:after="0" w:line="240" w:lineRule="auto"/>
        <w:contextualSpacing/>
        <w:rPr>
          <w:rFonts w:ascii="Calibri" w:eastAsia="Calibri" w:hAnsi="Calibri" w:cs="Calibri"/>
          <w:sz w:val="24"/>
          <w:szCs w:val="24"/>
        </w:rPr>
      </w:pPr>
    </w:p>
    <w:p w14:paraId="31E6F12C" w14:textId="1066483B" w:rsidR="0068660A" w:rsidRPr="0068660A" w:rsidRDefault="0068660A" w:rsidP="0068660A">
      <w:pPr>
        <w:spacing w:after="0" w:line="240" w:lineRule="auto"/>
        <w:contextualSpacing/>
        <w:rPr>
          <w:rFonts w:ascii="Calibri" w:eastAsia="Calibri" w:hAnsi="Calibri" w:cs="Calibri"/>
          <w:sz w:val="24"/>
          <w:szCs w:val="24"/>
        </w:rPr>
      </w:pPr>
      <w:r w:rsidRPr="0068660A">
        <w:rPr>
          <w:rFonts w:ascii="Calibri" w:eastAsia="Calibri" w:hAnsi="Calibri" w:cs="Calibri"/>
          <w:b/>
          <w:bCs/>
          <w:sz w:val="24"/>
          <w:szCs w:val="24"/>
        </w:rPr>
        <w:t>The CHI Narrative</w:t>
      </w:r>
      <w:r w:rsidRPr="0068660A">
        <w:rPr>
          <w:rFonts w:ascii="Calibri" w:eastAsia="Calibri" w:hAnsi="Calibri" w:cs="Calibri"/>
          <w:sz w:val="24"/>
          <w:szCs w:val="24"/>
        </w:rPr>
        <w:t xml:space="preserve"> provided background and overview information for the CHI processes. The narrative also outlines duties for the advisory and allocation committees, planned use of funding for evaluation and administrative activities, and the CHI funds breakdown and the CHI activities anticipated timeline.</w:t>
      </w:r>
    </w:p>
    <w:p w14:paraId="03BEE820" w14:textId="77777777" w:rsidR="0068660A" w:rsidRPr="0068660A" w:rsidRDefault="0068660A" w:rsidP="0068660A">
      <w:pPr>
        <w:spacing w:after="0" w:line="240" w:lineRule="auto"/>
        <w:contextualSpacing/>
        <w:rPr>
          <w:rFonts w:ascii="Calibri" w:eastAsia="Calibri" w:hAnsi="Calibri" w:cs="Calibri"/>
          <w:sz w:val="24"/>
          <w:szCs w:val="24"/>
        </w:rPr>
      </w:pPr>
    </w:p>
    <w:p w14:paraId="4DDBBD82" w14:textId="0C0FCFBD" w:rsidR="0068660A" w:rsidRPr="0068660A" w:rsidRDefault="0068660A" w:rsidP="00A4281D">
      <w:pPr>
        <w:spacing w:after="0" w:line="240" w:lineRule="auto"/>
        <w:contextualSpacing/>
        <w:rPr>
          <w:rFonts w:ascii="Calibri" w:eastAsia="Calibri" w:hAnsi="Calibri" w:cs="Calibri"/>
          <w:sz w:val="24"/>
          <w:szCs w:val="24"/>
        </w:rPr>
      </w:pPr>
      <w:r w:rsidRPr="0068660A">
        <w:rPr>
          <w:rFonts w:ascii="Calibri" w:eastAsia="Calibri" w:hAnsi="Calibri" w:cs="Calibri"/>
          <w:sz w:val="24"/>
          <w:szCs w:val="24"/>
        </w:rPr>
        <w:t xml:space="preserve">The timeline, RFP processes, and use of evaluation and administrative funds are all appropriate and in line with CHI planning guidelines, staff notes. In order to select strategies that meet Health Priority Guideline principles, the Applicant will need to focus on the priority areas in the assessment that allow for implementation at the root cause level including the Social Determinants of Health and the cross cutting area of Racism, Discrimination, and Health Equity.  Based on strategies in the Applicant’s ongoing community benefit work, staff have determined the if Applicant agrees to address community conditions and root causes while engaging in ongoing work with the DoN Advisory Committee, CHI investment will align appropriately with the Health Priorities Guideline. The Applicant has recruited for the missing constituencies on their Advisory Committee, and DPH will continue to work with them to ensure the group’s make up is sufficient to ensure their decision-making is in line with CHI and Health Priority principles. The Applicant will also need additional touchpoints with DPH staff to establish processes for planning and implementation work. Specifically, if this and the upcoming projects are approved, DPH will work with the Applicant on the timeline, investment strategy, and project planning. For implementation of specific CHI strategies, DPH can work with the Applicant in moving upstream, and identifying needs at the root cause to support sustainable systems level solutions. </w:t>
      </w:r>
    </w:p>
    <w:p w14:paraId="020212AD" w14:textId="77777777" w:rsidR="0068660A" w:rsidRPr="0068660A" w:rsidRDefault="0068660A" w:rsidP="00A4281D">
      <w:pPr>
        <w:spacing w:after="0" w:line="240" w:lineRule="auto"/>
        <w:rPr>
          <w:rFonts w:ascii="Calibri" w:eastAsia="Calibri" w:hAnsi="Calibri" w:cs="Calibri"/>
          <w:sz w:val="24"/>
          <w:szCs w:val="24"/>
        </w:rPr>
      </w:pPr>
    </w:p>
    <w:p w14:paraId="24932049" w14:textId="77777777" w:rsidR="0068660A" w:rsidRPr="0068660A" w:rsidRDefault="0068660A" w:rsidP="00A4281D">
      <w:pPr>
        <w:spacing w:after="0" w:line="240" w:lineRule="auto"/>
        <w:rPr>
          <w:rFonts w:ascii="Calibri" w:eastAsia="Calibri" w:hAnsi="Calibri" w:cs="Calibri"/>
          <w:sz w:val="24"/>
          <w:szCs w:val="24"/>
        </w:rPr>
      </w:pPr>
      <w:r w:rsidRPr="0068660A">
        <w:rPr>
          <w:rFonts w:ascii="Calibri" w:eastAsia="Calibri" w:hAnsi="Calibri" w:cs="Calibri"/>
          <w:sz w:val="24"/>
          <w:szCs w:val="24"/>
        </w:rPr>
        <w:t>The anticipated timeline for CHI activities includes a meeting of the Advisory Committee six weeks post approval, identifying the Health Priorities Strategies 3 months post approval, and releasing an RFP six months post approval, with funding awarded to successful RFP applicants 3-4 months thereafter.</w:t>
      </w:r>
    </w:p>
    <w:p w14:paraId="3B4A5528" w14:textId="77777777" w:rsidR="0068660A" w:rsidRPr="0068660A" w:rsidRDefault="0068660A" w:rsidP="00A4281D">
      <w:pPr>
        <w:spacing w:after="0" w:line="240" w:lineRule="auto"/>
        <w:rPr>
          <w:rFonts w:ascii="Calibri" w:eastAsia="Calibri" w:hAnsi="Calibri" w:cs="Calibri"/>
          <w:sz w:val="24"/>
          <w:szCs w:val="24"/>
        </w:rPr>
      </w:pPr>
      <w:r w:rsidRPr="0068660A">
        <w:rPr>
          <w:rFonts w:ascii="Calibri" w:eastAsia="Calibri" w:hAnsi="Calibri" w:cs="Calibri"/>
          <w:sz w:val="24"/>
          <w:szCs w:val="24"/>
        </w:rPr>
        <w:t xml:space="preserve"> </w:t>
      </w:r>
    </w:p>
    <w:p w14:paraId="2DB1B8B3" w14:textId="77777777" w:rsidR="0068660A" w:rsidRPr="0068660A" w:rsidRDefault="0068660A" w:rsidP="00A4281D">
      <w:pPr>
        <w:spacing w:after="0" w:line="240" w:lineRule="auto"/>
        <w:rPr>
          <w:rFonts w:ascii="Calibri" w:eastAsia="Calibri" w:hAnsi="Calibri" w:cs="Calibri"/>
          <w:sz w:val="24"/>
          <w:szCs w:val="24"/>
        </w:rPr>
      </w:pPr>
      <w:r w:rsidRPr="0068660A">
        <w:rPr>
          <w:rFonts w:ascii="Calibri" w:eastAsia="Calibri" w:hAnsi="Calibri" w:cs="Calibri"/>
          <w:sz w:val="24"/>
          <w:szCs w:val="24"/>
        </w:rPr>
        <w:t>With the administrative funds, the applicant’s early plans are to support participation in planning processes and to develop and disseminate communication materials.</w:t>
      </w:r>
    </w:p>
    <w:p w14:paraId="1607645A" w14:textId="77777777" w:rsidR="0068660A" w:rsidRPr="0068660A" w:rsidRDefault="0068660A" w:rsidP="00A4281D">
      <w:pPr>
        <w:spacing w:after="0" w:line="240" w:lineRule="auto"/>
        <w:rPr>
          <w:rFonts w:ascii="Calibri" w:eastAsia="Calibri" w:hAnsi="Calibri" w:cs="Calibri"/>
          <w:b/>
          <w:sz w:val="24"/>
          <w:szCs w:val="24"/>
          <w:highlight w:val="yellow"/>
        </w:rPr>
      </w:pPr>
    </w:p>
    <w:p w14:paraId="2B196CE8" w14:textId="70E014F6" w:rsidR="0068660A" w:rsidRPr="0068660A" w:rsidRDefault="0068660A" w:rsidP="0068660A">
      <w:pPr>
        <w:spacing w:after="0" w:line="240" w:lineRule="auto"/>
        <w:rPr>
          <w:rFonts w:ascii="Calibri" w:eastAsia="Calibri" w:hAnsi="Calibri" w:cs="Calibri"/>
          <w:b/>
          <w:sz w:val="24"/>
          <w:szCs w:val="24"/>
        </w:rPr>
      </w:pPr>
      <w:r w:rsidRPr="0068660A">
        <w:rPr>
          <w:rFonts w:ascii="Calibri" w:eastAsia="Calibri" w:hAnsi="Calibri" w:cs="Calibri"/>
          <w:i/>
          <w:sz w:val="24"/>
          <w:szCs w:val="24"/>
        </w:rPr>
        <w:lastRenderedPageBreak/>
        <w:t>Summary Analysis</w:t>
      </w:r>
      <w:r w:rsidRPr="0068660A">
        <w:rPr>
          <w:rFonts w:ascii="Calibri" w:eastAsia="Calibri" w:hAnsi="Calibri" w:cs="Calibri"/>
          <w:sz w:val="24"/>
          <w:szCs w:val="24"/>
        </w:rPr>
        <w:t>: As a result of information provided by the Applicant and additional analysis, staff finds that with the ongoing communication on items outlined above, and the conditions outlined below, the Applicant will have demonstrated that the Proposed Project has met Factor 6.</w:t>
      </w:r>
      <w:bookmarkEnd w:id="5"/>
      <w:bookmarkEnd w:id="6"/>
      <w:r w:rsidR="00F62CAE" w:rsidRPr="0068660A">
        <w:rPr>
          <w:rFonts w:ascii="Calibri" w:eastAsia="Calibri" w:hAnsi="Calibri" w:cs="Calibri"/>
          <w:b/>
          <w:sz w:val="24"/>
          <w:szCs w:val="24"/>
        </w:rPr>
        <w:t xml:space="preserve"> </w:t>
      </w:r>
    </w:p>
    <w:p w14:paraId="17F1B55C" w14:textId="77777777" w:rsidR="00F467E2" w:rsidRPr="00F467E2" w:rsidRDefault="00F467E2" w:rsidP="00F467E2">
      <w:pPr>
        <w:pStyle w:val="Heading1"/>
        <w:ind w:left="10"/>
        <w:rPr>
          <w:b/>
        </w:rPr>
      </w:pPr>
      <w:bookmarkStart w:id="7" w:name="_Toc58930648"/>
      <w:bookmarkStart w:id="8" w:name="_Toc28797417"/>
      <w:r w:rsidRPr="00F467E2">
        <w:rPr>
          <w:b/>
        </w:rPr>
        <w:t>Findings and Recommendations</w:t>
      </w:r>
      <w:bookmarkEnd w:id="7"/>
      <w:bookmarkEnd w:id="8"/>
    </w:p>
    <w:p w14:paraId="2EC75AD2" w14:textId="510E5961" w:rsidR="00F467E2" w:rsidRPr="001E32C9" w:rsidRDefault="00F467E2" w:rsidP="00A4281D">
      <w:pPr>
        <w:spacing w:line="240" w:lineRule="auto"/>
        <w:rPr>
          <w:bCs/>
          <w:sz w:val="24"/>
          <w:szCs w:val="24"/>
        </w:rPr>
      </w:pPr>
      <w:r w:rsidRPr="001E32C9">
        <w:rPr>
          <w:bCs/>
          <w:sz w:val="24"/>
          <w:szCs w:val="24"/>
        </w:rPr>
        <w:t xml:space="preserve">As outlined in the Project description and patient population need discussion, the Proposed Project will improve existing CT services by ensuring that ED patients in central Massachusetts, including vulnerable patients in need of CT have timely access to essential proven imaging services from a historically lower cost AMC provider of equal quality services to AMC peer group. To determine need for the Proposed </w:t>
      </w:r>
      <w:r w:rsidR="001E32C9" w:rsidRPr="001E32C9">
        <w:rPr>
          <w:bCs/>
          <w:sz w:val="24"/>
          <w:szCs w:val="24"/>
        </w:rPr>
        <w:t>Project, the</w:t>
      </w:r>
      <w:r w:rsidRPr="001E32C9">
        <w:rPr>
          <w:bCs/>
          <w:sz w:val="24"/>
          <w:szCs w:val="24"/>
        </w:rPr>
        <w:t xml:space="preserve"> Applicant looked at historical usage data, capacity, and patient wait times, which confirm the need for the CT.</w:t>
      </w:r>
    </w:p>
    <w:p w14:paraId="58D34229" w14:textId="2B3ABC67" w:rsidR="00970262" w:rsidRPr="001E32C9" w:rsidRDefault="00F467E2" w:rsidP="00A4281D">
      <w:pPr>
        <w:spacing w:line="240" w:lineRule="auto"/>
        <w:rPr>
          <w:sz w:val="24"/>
          <w:szCs w:val="24"/>
        </w:rPr>
      </w:pPr>
      <w:r w:rsidRPr="001E32C9">
        <w:rPr>
          <w:bCs/>
          <w:sz w:val="24"/>
          <w:szCs w:val="24"/>
        </w:rPr>
        <w:t xml:space="preserve">Based upon a review of the materials submitted, Staff finds </w:t>
      </w:r>
      <w:r w:rsidR="001E32C9" w:rsidRPr="001E32C9">
        <w:rPr>
          <w:bCs/>
          <w:sz w:val="24"/>
          <w:szCs w:val="24"/>
        </w:rPr>
        <w:t>that, with</w:t>
      </w:r>
      <w:r w:rsidRPr="001E32C9">
        <w:rPr>
          <w:bCs/>
          <w:sz w:val="24"/>
          <w:szCs w:val="24"/>
        </w:rPr>
        <w:t xml:space="preserve"> the addition of the recommended conditions detailed below, the Applicant has met each DoN Factor for the Proposed Project and recommends that the Department approve this Determination of Need, subject to all applicable standard and Other Conditions.</w:t>
      </w:r>
    </w:p>
    <w:p w14:paraId="76B4794E" w14:textId="678901AB" w:rsidR="004937B5" w:rsidRPr="003F60C0" w:rsidRDefault="004937B5" w:rsidP="007A6DB7">
      <w:pPr>
        <w:pStyle w:val="Heading1"/>
        <w:ind w:left="0"/>
        <w:rPr>
          <w:b/>
          <w:sz w:val="28"/>
          <w:szCs w:val="28"/>
        </w:rPr>
      </w:pPr>
      <w:r w:rsidRPr="003F60C0">
        <w:rPr>
          <w:b/>
          <w:sz w:val="28"/>
          <w:szCs w:val="28"/>
        </w:rPr>
        <w:t>Conditions to the DoN</w:t>
      </w:r>
      <w:r w:rsidR="0012119A">
        <w:rPr>
          <w:b/>
          <w:sz w:val="28"/>
          <w:szCs w:val="28"/>
        </w:rPr>
        <w:tab/>
      </w:r>
    </w:p>
    <w:p w14:paraId="7FD179F8" w14:textId="77777777" w:rsidR="0068660A" w:rsidRPr="0068660A" w:rsidRDefault="0068660A" w:rsidP="006A1E9B">
      <w:pPr>
        <w:numPr>
          <w:ilvl w:val="0"/>
          <w:numId w:val="5"/>
        </w:numPr>
        <w:spacing w:after="0" w:line="240" w:lineRule="auto"/>
        <w:ind w:right="540"/>
        <w:contextualSpacing/>
        <w:rPr>
          <w:rFonts w:ascii="Calibri" w:eastAsia="Calibri" w:hAnsi="Calibri" w:cs="Calibri"/>
          <w:sz w:val="24"/>
          <w:szCs w:val="24"/>
        </w:rPr>
      </w:pPr>
      <w:r w:rsidRPr="0068660A">
        <w:rPr>
          <w:rFonts w:ascii="Calibri" w:eastAsia="Calibri" w:hAnsi="Calibri" w:cs="Calibri"/>
          <w:sz w:val="24"/>
          <w:szCs w:val="24"/>
        </w:rPr>
        <w:t>Of the total required CHI contribution of $191,643.10</w:t>
      </w:r>
    </w:p>
    <w:p w14:paraId="224117CE" w14:textId="77777777" w:rsidR="0068660A" w:rsidRPr="0068660A" w:rsidRDefault="0068660A" w:rsidP="006A1E9B">
      <w:pPr>
        <w:numPr>
          <w:ilvl w:val="0"/>
          <w:numId w:val="6"/>
        </w:numPr>
        <w:spacing w:after="0" w:line="240" w:lineRule="auto"/>
        <w:ind w:right="540"/>
        <w:contextualSpacing/>
        <w:rPr>
          <w:rFonts w:ascii="Calibri" w:eastAsia="Calibri" w:hAnsi="Calibri" w:cs="Calibri"/>
          <w:sz w:val="24"/>
          <w:szCs w:val="24"/>
        </w:rPr>
      </w:pPr>
      <w:r w:rsidRPr="0068660A">
        <w:rPr>
          <w:rFonts w:ascii="Calibri" w:eastAsia="Calibri" w:hAnsi="Calibri" w:cs="Calibri"/>
          <w:sz w:val="24"/>
          <w:szCs w:val="24"/>
        </w:rPr>
        <w:t xml:space="preserve">$18,397.74 will be directed to the CHI Statewide Initiative </w:t>
      </w:r>
    </w:p>
    <w:p w14:paraId="363B054A" w14:textId="77777777" w:rsidR="0068660A" w:rsidRPr="0068660A" w:rsidRDefault="0068660A" w:rsidP="006A1E9B">
      <w:pPr>
        <w:numPr>
          <w:ilvl w:val="0"/>
          <w:numId w:val="6"/>
        </w:numPr>
        <w:spacing w:after="0" w:line="240" w:lineRule="auto"/>
        <w:ind w:right="540"/>
        <w:contextualSpacing/>
        <w:rPr>
          <w:rFonts w:ascii="Calibri" w:eastAsia="Calibri" w:hAnsi="Calibri" w:cs="Calibri"/>
          <w:sz w:val="24"/>
          <w:szCs w:val="24"/>
        </w:rPr>
      </w:pPr>
      <w:r w:rsidRPr="0068660A">
        <w:rPr>
          <w:rFonts w:ascii="Calibri" w:eastAsia="Calibri" w:hAnsi="Calibri" w:cs="Calibri"/>
          <w:sz w:val="24"/>
          <w:szCs w:val="24"/>
        </w:rPr>
        <w:t xml:space="preserve">$165,579.64 will be dedicated to local approaches to the DoN Health Priorities </w:t>
      </w:r>
    </w:p>
    <w:p w14:paraId="1146BE5A" w14:textId="77777777" w:rsidR="0068660A" w:rsidRPr="0068660A" w:rsidRDefault="0068660A" w:rsidP="006A1E9B">
      <w:pPr>
        <w:numPr>
          <w:ilvl w:val="0"/>
          <w:numId w:val="6"/>
        </w:numPr>
        <w:spacing w:after="0" w:line="240" w:lineRule="auto"/>
        <w:ind w:right="540"/>
        <w:contextualSpacing/>
        <w:rPr>
          <w:rFonts w:ascii="Calibri" w:eastAsia="Calibri" w:hAnsi="Calibri" w:cs="Calibri"/>
          <w:sz w:val="24"/>
          <w:szCs w:val="24"/>
        </w:rPr>
      </w:pPr>
      <w:r w:rsidRPr="0068660A">
        <w:rPr>
          <w:rFonts w:ascii="Calibri" w:eastAsia="Calibri" w:hAnsi="Calibri" w:cs="Calibri"/>
          <w:sz w:val="24"/>
          <w:szCs w:val="24"/>
        </w:rPr>
        <w:t>$7,665.72 will be designated as the administrative fee.</w:t>
      </w:r>
    </w:p>
    <w:p w14:paraId="62014DB2" w14:textId="77777777" w:rsidR="0068660A" w:rsidRPr="0068660A" w:rsidRDefault="0068660A" w:rsidP="0068660A">
      <w:pPr>
        <w:spacing w:after="0" w:line="240" w:lineRule="auto"/>
        <w:ind w:left="1080" w:right="540"/>
        <w:contextualSpacing/>
        <w:rPr>
          <w:rFonts w:ascii="Calibri" w:eastAsia="Calibri" w:hAnsi="Calibri" w:cs="Calibri"/>
          <w:sz w:val="24"/>
          <w:szCs w:val="24"/>
        </w:rPr>
      </w:pPr>
    </w:p>
    <w:p w14:paraId="670E9F0C" w14:textId="77777777" w:rsidR="0068660A" w:rsidRPr="0068660A" w:rsidRDefault="0068660A" w:rsidP="006A1E9B">
      <w:pPr>
        <w:numPr>
          <w:ilvl w:val="0"/>
          <w:numId w:val="5"/>
        </w:numPr>
        <w:spacing w:after="0" w:line="240" w:lineRule="auto"/>
        <w:ind w:right="540"/>
        <w:contextualSpacing/>
        <w:rPr>
          <w:rFonts w:ascii="Calibri" w:eastAsia="Calibri" w:hAnsi="Calibri" w:cs="Calibri"/>
          <w:sz w:val="24"/>
          <w:szCs w:val="24"/>
        </w:rPr>
      </w:pPr>
      <w:r w:rsidRPr="0068660A">
        <w:rPr>
          <w:rFonts w:ascii="Calibri" w:eastAsia="Calibri" w:hAnsi="Calibri" w:cs="Calibri"/>
          <w:sz w:val="24"/>
          <w:szCs w:val="24"/>
        </w:rPr>
        <w:t xml:space="preserve">To comply with the Holder’s obligation to contribute to the Statewide CHI Initiative, the Holder must submit a check for $18,397.74 to Health Resources in Action (the fiscal agent for the CHI Statewide Initiative). </w:t>
      </w:r>
    </w:p>
    <w:p w14:paraId="36F87317" w14:textId="77777777" w:rsidR="0068660A" w:rsidRPr="0068660A" w:rsidRDefault="0068660A" w:rsidP="006A1E9B">
      <w:pPr>
        <w:numPr>
          <w:ilvl w:val="0"/>
          <w:numId w:val="7"/>
        </w:numPr>
        <w:spacing w:after="0" w:line="240" w:lineRule="auto"/>
        <w:ind w:right="540"/>
        <w:contextualSpacing/>
        <w:rPr>
          <w:rFonts w:ascii="Calibri" w:eastAsia="Calibri" w:hAnsi="Calibri" w:cs="Calibri"/>
          <w:sz w:val="24"/>
          <w:szCs w:val="24"/>
        </w:rPr>
      </w:pPr>
      <w:r w:rsidRPr="0068660A">
        <w:rPr>
          <w:rFonts w:ascii="Calibri" w:eastAsia="Calibri" w:hAnsi="Calibri" w:cs="Calibri"/>
          <w:sz w:val="24"/>
          <w:szCs w:val="24"/>
        </w:rPr>
        <w:t xml:space="preserve">The Holder must submit the funds to HRiA within 30 days from the date of the Notice of Approval. </w:t>
      </w:r>
    </w:p>
    <w:p w14:paraId="74640A20" w14:textId="77777777" w:rsidR="0068660A" w:rsidRPr="0068660A" w:rsidRDefault="0068660A" w:rsidP="006A1E9B">
      <w:pPr>
        <w:numPr>
          <w:ilvl w:val="0"/>
          <w:numId w:val="7"/>
        </w:numPr>
        <w:spacing w:after="0" w:line="240" w:lineRule="auto"/>
        <w:ind w:right="540"/>
        <w:contextualSpacing/>
        <w:rPr>
          <w:rFonts w:ascii="Garamond" w:eastAsia="Calibri" w:hAnsi="Garamond" w:cs="Times New Roman"/>
          <w:sz w:val="24"/>
          <w:szCs w:val="24"/>
        </w:rPr>
      </w:pPr>
      <w:r w:rsidRPr="0068660A">
        <w:rPr>
          <w:rFonts w:ascii="Calibri" w:eastAsia="Calibri" w:hAnsi="Calibri" w:cs="Calibri"/>
          <w:sz w:val="24"/>
          <w:szCs w:val="24"/>
        </w:rPr>
        <w:t>The Holder must promptly notify DPH (CHI contact staff) when the payment has been made.</w:t>
      </w:r>
    </w:p>
    <w:p w14:paraId="049EA671" w14:textId="6E8FEC3C" w:rsidR="004937B5" w:rsidRDefault="004937B5" w:rsidP="003541F9"/>
    <w:p w14:paraId="14A0CF23" w14:textId="6499BAB7" w:rsidR="004937B5" w:rsidRPr="006A7A56" w:rsidRDefault="004937B5" w:rsidP="00184074">
      <w:pPr>
        <w:pStyle w:val="Heading1"/>
      </w:pPr>
      <w:r w:rsidRPr="006A7A56">
        <w:t>Appendix</w:t>
      </w:r>
      <w:r w:rsidR="008D7B65" w:rsidRPr="006A7A56">
        <w:t xml:space="preserve"> I</w:t>
      </w:r>
    </w:p>
    <w:p w14:paraId="789CEC8C" w14:textId="77777777" w:rsidR="006A7A56" w:rsidRPr="006A7A56" w:rsidRDefault="006A7A56" w:rsidP="006A7A56"/>
    <w:p w14:paraId="34A5A4DD" w14:textId="77777777" w:rsidR="006A7A56" w:rsidRPr="00E95A41" w:rsidRDefault="006A7A56" w:rsidP="006A1E9B">
      <w:pPr>
        <w:numPr>
          <w:ilvl w:val="0"/>
          <w:numId w:val="2"/>
        </w:numPr>
        <w:spacing w:after="0" w:line="240" w:lineRule="auto"/>
        <w:ind w:left="360" w:hanging="360"/>
        <w:rPr>
          <w:sz w:val="24"/>
          <w:szCs w:val="24"/>
        </w:rPr>
      </w:pPr>
      <w:bookmarkStart w:id="9" w:name="_Hlk98830778"/>
      <w:r w:rsidRPr="00E95A41">
        <w:rPr>
          <w:b/>
          <w:sz w:val="24"/>
          <w:szCs w:val="24"/>
        </w:rPr>
        <w:t xml:space="preserve">Patient Experience/Satisfaction: </w:t>
      </w:r>
      <w:r w:rsidRPr="00E95A41">
        <w:rPr>
          <w:sz w:val="24"/>
          <w:szCs w:val="24"/>
        </w:rPr>
        <w:t xml:space="preserve">Patients who are satisfied with care are more likely to seek additional treatment when necessary.  </w:t>
      </w:r>
    </w:p>
    <w:p w14:paraId="51B27BCA" w14:textId="29AA720C" w:rsidR="006A7A56" w:rsidRPr="00787C1A" w:rsidRDefault="006A7A56" w:rsidP="006A1E9B">
      <w:pPr>
        <w:pStyle w:val="ListParagraph"/>
        <w:numPr>
          <w:ilvl w:val="0"/>
          <w:numId w:val="10"/>
        </w:numPr>
        <w:rPr>
          <w:sz w:val="24"/>
          <w:szCs w:val="24"/>
        </w:rPr>
      </w:pPr>
      <w:r w:rsidRPr="00787C1A">
        <w:rPr>
          <w:i/>
          <w:sz w:val="24"/>
          <w:szCs w:val="24"/>
        </w:rPr>
        <w:t>Measure</w:t>
      </w:r>
      <w:r w:rsidRPr="00787C1A">
        <w:rPr>
          <w:sz w:val="24"/>
          <w:szCs w:val="24"/>
        </w:rPr>
        <w:t>: Likelihood to recommend as demonstrated by</w:t>
      </w:r>
      <w:r w:rsidR="003C3C31" w:rsidRPr="00787C1A">
        <w:rPr>
          <w:sz w:val="24"/>
          <w:szCs w:val="24"/>
        </w:rPr>
        <w:t xml:space="preserve"> selection of </w:t>
      </w:r>
      <w:r w:rsidR="000E268A" w:rsidRPr="00787C1A">
        <w:rPr>
          <w:sz w:val="24"/>
          <w:szCs w:val="24"/>
        </w:rPr>
        <w:t>“Always” on the Press Ganey satisfaction survey</w:t>
      </w:r>
      <w:r w:rsidRPr="00787C1A">
        <w:rPr>
          <w:sz w:val="24"/>
          <w:szCs w:val="24"/>
        </w:rPr>
        <w:t xml:space="preserve">.  </w:t>
      </w:r>
    </w:p>
    <w:p w14:paraId="106205D6" w14:textId="30E6A7FB" w:rsidR="006A7A56" w:rsidRPr="00F62CAE" w:rsidRDefault="006A7A56" w:rsidP="006A7A56">
      <w:pPr>
        <w:pStyle w:val="ListParagraph"/>
        <w:numPr>
          <w:ilvl w:val="0"/>
          <w:numId w:val="10"/>
        </w:numPr>
        <w:rPr>
          <w:sz w:val="24"/>
          <w:szCs w:val="24"/>
        </w:rPr>
      </w:pPr>
      <w:r w:rsidRPr="00787C1A">
        <w:rPr>
          <w:i/>
          <w:sz w:val="24"/>
          <w:szCs w:val="24"/>
        </w:rPr>
        <w:t>Projections</w:t>
      </w:r>
      <w:r w:rsidRPr="00787C1A">
        <w:rPr>
          <w:sz w:val="24"/>
          <w:szCs w:val="24"/>
        </w:rPr>
        <w:t xml:space="preserve">: Baseline: 38.51%; Year 1: 39%; Year 2: 40%; Year 3: 40% </w:t>
      </w:r>
      <w:bookmarkEnd w:id="9"/>
    </w:p>
    <w:p w14:paraId="1B86AC06" w14:textId="77777777" w:rsidR="006A7A56" w:rsidRPr="00787C1A" w:rsidRDefault="006A7A56" w:rsidP="006A1E9B">
      <w:pPr>
        <w:pStyle w:val="ListParagraph"/>
        <w:numPr>
          <w:ilvl w:val="0"/>
          <w:numId w:val="8"/>
        </w:numPr>
        <w:rPr>
          <w:sz w:val="24"/>
          <w:szCs w:val="24"/>
        </w:rPr>
      </w:pPr>
      <w:r w:rsidRPr="00787C1A">
        <w:rPr>
          <w:b/>
          <w:sz w:val="24"/>
          <w:szCs w:val="24"/>
        </w:rPr>
        <w:t>Wait Times</w:t>
      </w:r>
      <w:r w:rsidRPr="00787C1A">
        <w:rPr>
          <w:sz w:val="24"/>
          <w:szCs w:val="24"/>
        </w:rPr>
        <w:t xml:space="preserve">:  The Proposed Project seeks to ensure timely access to CT services. Accordingly, UMMMC will track the average time from order placement to begin time for ED patients requiring CT.  </w:t>
      </w:r>
    </w:p>
    <w:p w14:paraId="18822E62" w14:textId="77777777" w:rsidR="006A7A56" w:rsidRPr="00787C1A" w:rsidRDefault="006A7A56" w:rsidP="006A1E9B">
      <w:pPr>
        <w:pStyle w:val="ListParagraph"/>
        <w:numPr>
          <w:ilvl w:val="0"/>
          <w:numId w:val="11"/>
        </w:numPr>
        <w:rPr>
          <w:sz w:val="24"/>
          <w:szCs w:val="24"/>
        </w:rPr>
      </w:pPr>
      <w:r w:rsidRPr="00787C1A">
        <w:rPr>
          <w:i/>
          <w:sz w:val="24"/>
          <w:szCs w:val="24"/>
        </w:rPr>
        <w:lastRenderedPageBreak/>
        <w:t>Measure</w:t>
      </w:r>
      <w:r w:rsidRPr="00787C1A">
        <w:rPr>
          <w:sz w:val="24"/>
          <w:szCs w:val="24"/>
        </w:rPr>
        <w:t xml:space="preserve">:  Average time interval from when the CT service was ordered to when the scan began. </w:t>
      </w:r>
    </w:p>
    <w:p w14:paraId="69133E1B" w14:textId="7F3C8CEA" w:rsidR="00E95A41" w:rsidRPr="00E95A41" w:rsidRDefault="006A7A56" w:rsidP="00F62CAE">
      <w:pPr>
        <w:pStyle w:val="ListParagraph"/>
        <w:numPr>
          <w:ilvl w:val="0"/>
          <w:numId w:val="11"/>
        </w:numPr>
      </w:pPr>
      <w:r w:rsidRPr="00787C1A">
        <w:rPr>
          <w:i/>
          <w:sz w:val="24"/>
          <w:szCs w:val="24"/>
        </w:rPr>
        <w:t>Projections</w:t>
      </w:r>
      <w:r w:rsidRPr="00787C1A">
        <w:rPr>
          <w:sz w:val="24"/>
          <w:szCs w:val="24"/>
        </w:rPr>
        <w:t>: Baseline: 161 minutes; Year 1: 104 minutes; Year 2: 80 minutes; Year 3: 60 minutes</w:t>
      </w:r>
    </w:p>
    <w:sectPr w:rsidR="00E95A41" w:rsidRPr="00E95A41" w:rsidSect="004448D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60E56" w14:textId="77777777" w:rsidR="00B50BC9" w:rsidRDefault="00B50BC9" w:rsidP="00456A1D">
      <w:pPr>
        <w:spacing w:after="0" w:line="240" w:lineRule="auto"/>
      </w:pPr>
      <w:r>
        <w:separator/>
      </w:r>
    </w:p>
  </w:endnote>
  <w:endnote w:type="continuationSeparator" w:id="0">
    <w:p w14:paraId="2F6200B4" w14:textId="77777777" w:rsidR="00B50BC9" w:rsidRDefault="00B50BC9" w:rsidP="00456A1D">
      <w:pPr>
        <w:spacing w:after="0" w:line="240" w:lineRule="auto"/>
      </w:pPr>
      <w:r>
        <w:continuationSeparator/>
      </w:r>
    </w:p>
  </w:endnote>
  <w:endnote w:id="1">
    <w:p w14:paraId="58329039" w14:textId="77777777" w:rsidR="00EB2FDA" w:rsidRPr="000B5322" w:rsidRDefault="00EB2FDA" w:rsidP="002815B9">
      <w:pPr>
        <w:spacing w:after="2"/>
        <w:rPr>
          <w:sz w:val="20"/>
          <w:szCs w:val="20"/>
        </w:rPr>
      </w:pPr>
      <w:r w:rsidRPr="00055364">
        <w:rPr>
          <w:sz w:val="20"/>
          <w:szCs w:val="20"/>
        </w:rPr>
        <w:endnoteRef/>
      </w:r>
      <w:r w:rsidRPr="00055364">
        <w:rPr>
          <w:sz w:val="20"/>
          <w:szCs w:val="20"/>
        </w:rPr>
        <w:t xml:space="preserve"> </w:t>
      </w:r>
      <w:r w:rsidRPr="000B5322">
        <w:rPr>
          <w:sz w:val="20"/>
          <w:szCs w:val="20"/>
        </w:rPr>
        <w:t>https://www.medicalnewstoday.com/articles/153201#uses</w:t>
      </w:r>
      <w:r w:rsidRPr="000B5322">
        <w:rPr>
          <w:color w:val="000000"/>
          <w:sz w:val="20"/>
          <w:szCs w:val="20"/>
          <w:u w:color="000000"/>
        </w:rPr>
        <w:t xml:space="preserve">  </w:t>
      </w:r>
    </w:p>
  </w:endnote>
  <w:endnote w:id="2">
    <w:p w14:paraId="26D3B1DA" w14:textId="77777777" w:rsidR="00EB2FDA" w:rsidRPr="000B5322" w:rsidRDefault="00EB2FDA" w:rsidP="002815B9">
      <w:pPr>
        <w:spacing w:after="2"/>
        <w:rPr>
          <w:sz w:val="20"/>
          <w:szCs w:val="20"/>
        </w:rPr>
      </w:pPr>
      <w:r w:rsidRPr="000B5322">
        <w:rPr>
          <w:sz w:val="20"/>
          <w:szCs w:val="20"/>
        </w:rPr>
        <w:endnoteRef/>
      </w:r>
      <w:r w:rsidRPr="000B5322">
        <w:rPr>
          <w:sz w:val="20"/>
          <w:szCs w:val="20"/>
        </w:rPr>
        <w:t xml:space="preserve"> https://www.nibib.nih.gov/science-education/science-topics/computed-tomography-ct</w:t>
      </w:r>
      <w:r w:rsidRPr="000B5322">
        <w:rPr>
          <w:color w:val="000000"/>
          <w:sz w:val="20"/>
          <w:szCs w:val="20"/>
          <w:u w:color="000000"/>
        </w:rPr>
        <w:t xml:space="preserve">  </w:t>
      </w:r>
    </w:p>
  </w:endnote>
  <w:endnote w:id="3">
    <w:p w14:paraId="225AB530" w14:textId="77777777" w:rsidR="00EB2FDA" w:rsidRPr="000B5322" w:rsidRDefault="00EB2FDA" w:rsidP="002815B9">
      <w:pPr>
        <w:spacing w:after="5"/>
        <w:rPr>
          <w:sz w:val="20"/>
          <w:szCs w:val="20"/>
        </w:rPr>
      </w:pPr>
      <w:r w:rsidRPr="000B5322">
        <w:rPr>
          <w:sz w:val="20"/>
          <w:szCs w:val="20"/>
        </w:rPr>
        <w:endnoteRef/>
      </w:r>
      <w:r w:rsidRPr="000B5322">
        <w:rPr>
          <w:sz w:val="20"/>
          <w:szCs w:val="20"/>
        </w:rPr>
        <w:t xml:space="preserve"> https://www.nibib.nih.gov/science-education/science-topics/computed-tomography-ct</w:t>
      </w:r>
      <w:r w:rsidRPr="000B5322">
        <w:rPr>
          <w:color w:val="000000"/>
          <w:sz w:val="20"/>
          <w:szCs w:val="20"/>
          <w:u w:color="000000"/>
        </w:rPr>
        <w:t xml:space="preserve">  </w:t>
      </w:r>
    </w:p>
  </w:endnote>
  <w:endnote w:id="4">
    <w:p w14:paraId="0CE5C6BC" w14:textId="77777777" w:rsidR="00EB2FDA" w:rsidRPr="000B5322" w:rsidRDefault="00EB2FDA" w:rsidP="002E19F0">
      <w:pPr>
        <w:spacing w:after="0" w:line="255" w:lineRule="auto"/>
        <w:rPr>
          <w:sz w:val="20"/>
          <w:szCs w:val="20"/>
        </w:rPr>
      </w:pPr>
      <w:r w:rsidRPr="000B5322">
        <w:rPr>
          <w:sz w:val="20"/>
          <w:szCs w:val="20"/>
        </w:rPr>
        <w:endnoteRef/>
      </w:r>
      <w:r w:rsidRPr="000B5322">
        <w:rPr>
          <w:sz w:val="20"/>
          <w:szCs w:val="20"/>
        </w:rPr>
        <w:t xml:space="preserve"> https://www.medicalnewstoday.com/articles/153201#uses</w:t>
      </w:r>
      <w:r w:rsidRPr="000B5322">
        <w:rPr>
          <w:color w:val="000000"/>
          <w:sz w:val="20"/>
          <w:szCs w:val="20"/>
          <w:u w:color="000000"/>
        </w:rPr>
        <w:t xml:space="preserve"> ; </w:t>
      </w:r>
      <w:r w:rsidRPr="000B5322">
        <w:rPr>
          <w:sz w:val="20"/>
          <w:szCs w:val="20"/>
        </w:rPr>
        <w:t>https://www.envrad.com/how-ct-scans-mris-used-to-diagnose-strokes/</w:t>
      </w:r>
      <w:r w:rsidRPr="000B5322">
        <w:rPr>
          <w:color w:val="000000"/>
          <w:sz w:val="20"/>
          <w:szCs w:val="20"/>
          <w:u w:color="000000"/>
        </w:rPr>
        <w:t xml:space="preserve">  </w:t>
      </w:r>
      <w:r w:rsidRPr="000B5322">
        <w:rPr>
          <w:color w:val="000000"/>
          <w:sz w:val="20"/>
          <w:szCs w:val="20"/>
          <w:u w:color="000000"/>
          <w:vertAlign w:val="superscript"/>
        </w:rPr>
        <w:t>9</w:t>
      </w:r>
      <w:r w:rsidRPr="000B5322">
        <w:rPr>
          <w:color w:val="000000"/>
          <w:sz w:val="20"/>
          <w:szCs w:val="20"/>
          <w:u w:color="000000"/>
        </w:rPr>
        <w:t xml:space="preserve"> </w:t>
      </w:r>
      <w:r w:rsidRPr="000B5322">
        <w:rPr>
          <w:sz w:val="20"/>
          <w:szCs w:val="20"/>
        </w:rPr>
        <w:t>https://pubmed.ncbi.nlm.nih.gov/20924012/</w:t>
      </w:r>
      <w:r w:rsidRPr="000B5322">
        <w:rPr>
          <w:color w:val="000000"/>
          <w:sz w:val="20"/>
          <w:szCs w:val="20"/>
          <w:u w:color="000000"/>
        </w:rPr>
        <w:t xml:space="preserve">  </w:t>
      </w:r>
    </w:p>
  </w:endnote>
  <w:endnote w:id="5">
    <w:p w14:paraId="6605DB08" w14:textId="77777777" w:rsidR="00EB2FDA" w:rsidRPr="000B5322" w:rsidRDefault="00EB2FDA" w:rsidP="002E19F0">
      <w:pPr>
        <w:spacing w:after="0" w:line="260" w:lineRule="auto"/>
        <w:ind w:right="270"/>
        <w:rPr>
          <w:sz w:val="20"/>
          <w:szCs w:val="20"/>
        </w:rPr>
      </w:pPr>
      <w:r w:rsidRPr="000B5322">
        <w:rPr>
          <w:sz w:val="20"/>
          <w:szCs w:val="20"/>
        </w:rPr>
        <w:endnoteRef/>
      </w:r>
      <w:r w:rsidRPr="000B5322">
        <w:rPr>
          <w:color w:val="000000"/>
          <w:sz w:val="20"/>
          <w:szCs w:val="20"/>
          <w:u w:color="000000"/>
        </w:rPr>
        <w:t xml:space="preserve"> Diagnostic imaging trends in the emergency department: an extensive single-center experience. Gunnar Juliusson , Birna Thorvaldsdottir, Jon Magnus Kristjansson and Petur Hannesson. </w:t>
      </w:r>
      <w:r w:rsidRPr="000B5322">
        <w:rPr>
          <w:sz w:val="20"/>
          <w:szCs w:val="20"/>
        </w:rPr>
        <w:t>https://www.ncbi.nlm.nih.gov/pmc/articles/PMC6669846/</w:t>
      </w:r>
      <w:r w:rsidRPr="000B5322">
        <w:rPr>
          <w:color w:val="000000"/>
          <w:sz w:val="20"/>
          <w:szCs w:val="20"/>
          <w:u w:color="000000"/>
        </w:rPr>
        <w:t xml:space="preserve">  </w:t>
      </w:r>
      <w:r w:rsidRPr="000B5322">
        <w:rPr>
          <w:color w:val="000000"/>
          <w:sz w:val="20"/>
          <w:szCs w:val="20"/>
          <w:u w:color="000000"/>
          <w:vertAlign w:val="superscript"/>
        </w:rPr>
        <w:t>11</w:t>
      </w:r>
      <w:r w:rsidRPr="000B5322">
        <w:rPr>
          <w:color w:val="000000"/>
          <w:sz w:val="20"/>
          <w:szCs w:val="20"/>
          <w:u w:color="000000"/>
        </w:rPr>
        <w:t xml:space="preserve"> Pandharipande PV, Reisner AT, Binder WD, et al. CT in the Emergency Department: a real-time study of changes in physician decision making. Radiology 2016;278:812–821. </w:t>
      </w:r>
      <w:r w:rsidRPr="000B5322">
        <w:rPr>
          <w:sz w:val="20"/>
          <w:szCs w:val="20"/>
        </w:rPr>
        <w:t>https://pubmed.ncbi.nlm.nih.gov/26402399/</w:t>
      </w:r>
      <w:r w:rsidRPr="000B5322">
        <w:rPr>
          <w:color w:val="000000"/>
          <w:sz w:val="20"/>
          <w:szCs w:val="20"/>
          <w:u w:color="000000"/>
        </w:rPr>
        <w:t xml:space="preserve">  </w:t>
      </w:r>
    </w:p>
  </w:endnote>
  <w:endnote w:id="6">
    <w:p w14:paraId="09B0BFB7" w14:textId="77777777" w:rsidR="00EB2FDA" w:rsidRPr="00A7048D" w:rsidRDefault="00EB2FDA" w:rsidP="002E19F0">
      <w:pPr>
        <w:spacing w:after="0"/>
        <w:rPr>
          <w:sz w:val="20"/>
          <w:szCs w:val="20"/>
        </w:rPr>
      </w:pPr>
      <w:r w:rsidRPr="00A7048D">
        <w:rPr>
          <w:sz w:val="20"/>
          <w:szCs w:val="20"/>
        </w:rPr>
        <w:endnoteRef/>
      </w:r>
      <w:r w:rsidRPr="00A7048D">
        <w:rPr>
          <w:sz w:val="20"/>
          <w:szCs w:val="20"/>
        </w:rPr>
        <w:t xml:space="preserve"> https://my.clevelandclinic.org/health/diagnostics/16899-coronary-computed-tomography-angiogram</w:t>
      </w:r>
      <w:r w:rsidRPr="00A7048D">
        <w:rPr>
          <w:color w:val="000000"/>
          <w:sz w:val="20"/>
          <w:szCs w:val="20"/>
        </w:rPr>
        <w:t xml:space="preserve">  </w:t>
      </w:r>
    </w:p>
  </w:endnote>
  <w:endnote w:id="7">
    <w:p w14:paraId="5CB781FB" w14:textId="77777777" w:rsidR="00EB2FDA" w:rsidRPr="00A7048D" w:rsidRDefault="00EB2FDA" w:rsidP="002E19F0">
      <w:pPr>
        <w:spacing w:after="0" w:line="280" w:lineRule="auto"/>
        <w:rPr>
          <w:sz w:val="20"/>
          <w:szCs w:val="20"/>
        </w:rPr>
      </w:pPr>
      <w:r w:rsidRPr="00A7048D">
        <w:rPr>
          <w:sz w:val="20"/>
          <w:szCs w:val="20"/>
        </w:rPr>
        <w:endnoteRef/>
      </w:r>
      <w:r w:rsidRPr="00A7048D">
        <w:rPr>
          <w:color w:val="000000"/>
          <w:sz w:val="20"/>
          <w:szCs w:val="20"/>
        </w:rPr>
        <w:t xml:space="preserve"> Evaluation </w:t>
      </w:r>
      <w:r>
        <w:rPr>
          <w:color w:val="000000"/>
          <w:sz w:val="20"/>
          <w:szCs w:val="20"/>
        </w:rPr>
        <w:t>o</w:t>
      </w:r>
      <w:r w:rsidRPr="00A7048D">
        <w:rPr>
          <w:color w:val="000000"/>
          <w:sz w:val="20"/>
          <w:szCs w:val="20"/>
        </w:rPr>
        <w:t>f Early Abdo</w:t>
      </w:r>
      <w:r>
        <w:rPr>
          <w:color w:val="000000"/>
          <w:sz w:val="20"/>
          <w:szCs w:val="20"/>
        </w:rPr>
        <w:t>minopelvic Computed Tomography i</w:t>
      </w:r>
      <w:r w:rsidRPr="00A7048D">
        <w:rPr>
          <w:color w:val="000000"/>
          <w:sz w:val="20"/>
          <w:szCs w:val="20"/>
        </w:rPr>
        <w:t>n Pati</w:t>
      </w:r>
      <w:r>
        <w:rPr>
          <w:color w:val="000000"/>
          <w:sz w:val="20"/>
          <w:szCs w:val="20"/>
        </w:rPr>
        <w:t>ents With Acute Abdominal Pain o</w:t>
      </w:r>
      <w:r w:rsidRPr="00A7048D">
        <w:rPr>
          <w:color w:val="000000"/>
          <w:sz w:val="20"/>
          <w:szCs w:val="20"/>
        </w:rPr>
        <w:t xml:space="preserve">f Unknown Cause: Prospective Randomized Study; </w:t>
      </w:r>
      <w:r w:rsidRPr="00A7048D">
        <w:rPr>
          <w:sz w:val="20"/>
          <w:szCs w:val="20"/>
        </w:rPr>
        <w:t>https://jamanetwork.com/journals/jama/fullarticle/1697967</w:t>
      </w:r>
      <w:r w:rsidRPr="00A7048D">
        <w:rPr>
          <w:color w:val="000000"/>
          <w:sz w:val="20"/>
          <w:szCs w:val="20"/>
        </w:rPr>
        <w:t xml:space="preserve"> </w:t>
      </w:r>
    </w:p>
  </w:endnote>
  <w:endnote w:id="8">
    <w:p w14:paraId="775FE080" w14:textId="77777777" w:rsidR="00EB2FDA" w:rsidRDefault="00EB2FDA" w:rsidP="002E19F0">
      <w:pPr>
        <w:pStyle w:val="EndnoteText"/>
      </w:pPr>
      <w:r>
        <w:rPr>
          <w:rStyle w:val="EndnoteReference"/>
        </w:rPr>
        <w:endnoteRef/>
      </w:r>
      <w:r>
        <w:t xml:space="preserve"> Gabor D. Kelen, MD, Richard Wolfe, MD, Gail D’Onofrio, MD, MS, Angela M. Mills, MD, Deborah Diercks, MD, Susan A. Stern, MD, Michael C. Wadman, MD, Peter E. Sokolove, MD, Emergency Department Crowding: The Canary in the Health Care System Downloaded from catalyst.nejm.org on March 18, 2022.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6017806"/>
      <w:docPartObj>
        <w:docPartGallery w:val="Page Numbers (Bottom of Page)"/>
        <w:docPartUnique/>
      </w:docPartObj>
    </w:sdtPr>
    <w:sdtEndPr>
      <w:rPr>
        <w:noProof/>
      </w:rPr>
    </w:sdtEndPr>
    <w:sdtContent>
      <w:p w14:paraId="4FEDB2ED" w14:textId="126C6959" w:rsidR="00EB2FDA" w:rsidRDefault="00EB2FDA">
        <w:pPr>
          <w:pStyle w:val="Footer"/>
        </w:pPr>
        <w:r>
          <w:fldChar w:fldCharType="begin"/>
        </w:r>
        <w:r>
          <w:instrText xml:space="preserve"> PAGE   \* MERGEFORMAT </w:instrText>
        </w:r>
        <w:r>
          <w:fldChar w:fldCharType="separate"/>
        </w:r>
        <w:r w:rsidR="007B4DBE">
          <w:rPr>
            <w:noProof/>
          </w:rPr>
          <w:t>20</w:t>
        </w:r>
        <w:r>
          <w:rPr>
            <w:noProof/>
          </w:rPr>
          <w:fldChar w:fldCharType="end"/>
        </w:r>
      </w:p>
    </w:sdtContent>
  </w:sdt>
  <w:p w14:paraId="75396C75" w14:textId="77777777" w:rsidR="00EB2FDA" w:rsidRDefault="00EB2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11FEE" w14:textId="77777777" w:rsidR="00B50BC9" w:rsidRDefault="00B50BC9" w:rsidP="00456A1D">
      <w:pPr>
        <w:spacing w:after="0" w:line="240" w:lineRule="auto"/>
      </w:pPr>
      <w:r>
        <w:separator/>
      </w:r>
    </w:p>
  </w:footnote>
  <w:footnote w:type="continuationSeparator" w:id="0">
    <w:p w14:paraId="4660A282" w14:textId="77777777" w:rsidR="00B50BC9" w:rsidRDefault="00B50BC9" w:rsidP="00456A1D">
      <w:pPr>
        <w:spacing w:after="0" w:line="240" w:lineRule="auto"/>
      </w:pPr>
      <w:r>
        <w:continuationSeparator/>
      </w:r>
    </w:p>
  </w:footnote>
  <w:footnote w:id="1">
    <w:p w14:paraId="4A3A998F" w14:textId="1CB0433E" w:rsidR="00EB2FDA" w:rsidRDefault="00EB2FDA" w:rsidP="00575D89">
      <w:pPr>
        <w:pStyle w:val="FootnoteText"/>
      </w:pPr>
      <w:r>
        <w:rPr>
          <w:rStyle w:val="FootnoteReference"/>
        </w:rPr>
        <w:footnoteRef/>
      </w:r>
      <w:r>
        <w:t xml:space="preserve"> Center for Health Information and Analysis. Massachusetts Hospital Profiles. Technical Appendix. </w:t>
      </w:r>
      <w:hyperlink r:id="rId1" w:history="1">
        <w:r w:rsidR="009F416F">
          <w:rPr>
            <w:rStyle w:val="Hyperlink"/>
          </w:rPr>
          <w:t>at https://www.chiamass.gov/assets/docs/r/hospital-profiles/2019/FY19-Massachusetts-Hospital-Profiles-Technical-Appendix.pdf</w:t>
        </w:r>
      </w:hyperlink>
    </w:p>
  </w:footnote>
  <w:footnote w:id="2">
    <w:p w14:paraId="78DDB61C" w14:textId="6CA04DD3" w:rsidR="00EB2FDA" w:rsidRDefault="00EB2FDA" w:rsidP="00BE7758">
      <w:pPr>
        <w:pStyle w:val="FootnoteText"/>
      </w:pPr>
      <w:r>
        <w:rPr>
          <w:rStyle w:val="FootnoteReference"/>
        </w:rPr>
        <w:footnoteRef/>
      </w:r>
      <w:r>
        <w:t xml:space="preserve"> Includes all Medicare, Medicaid and other government payments for healthcare.</w:t>
      </w:r>
      <w:r w:rsidRPr="00BE0B0D">
        <w:t>https://www.chiamass.gov/high-public-payer-hospitals/</w:t>
      </w:r>
    </w:p>
  </w:footnote>
  <w:footnote w:id="3">
    <w:p w14:paraId="07979E42" w14:textId="77777777" w:rsidR="00EB2FDA" w:rsidRDefault="00EB2FDA" w:rsidP="00CA1316">
      <w:pPr>
        <w:pStyle w:val="FootnoteText"/>
      </w:pPr>
      <w:r>
        <w:rPr>
          <w:rStyle w:val="FootnoteReference"/>
        </w:rPr>
        <w:footnoteRef/>
      </w:r>
      <w:r>
        <w:t xml:space="preserve"> </w:t>
      </w:r>
      <w:r w:rsidRPr="002D223D">
        <w:t xml:space="preserve">  Center for Health Information and Analysis. Massachusetts Hospital Profiles. Technical Appendix. https://www.chiamass.gov/assets/docs/r/hospital-profiles/2019/FY19-Massachusetts-Hospital-Profiles-Technical-Appendix.pdf</w:t>
      </w:r>
    </w:p>
  </w:footnote>
  <w:footnote w:id="4">
    <w:p w14:paraId="4BF95705" w14:textId="31831914" w:rsidR="00EB2FDA" w:rsidRDefault="00EB2FDA">
      <w:pPr>
        <w:pStyle w:val="FootnoteText"/>
      </w:pPr>
      <w:r>
        <w:rPr>
          <w:rStyle w:val="FootnoteReference"/>
        </w:rPr>
        <w:footnoteRef/>
      </w:r>
      <w:r>
        <w:t xml:space="preserve"> </w:t>
      </w:r>
      <w:r w:rsidRPr="00DF4588">
        <w:t>UMMHC has been recognized by the Lown Institute as part of its Hospital Index</w:t>
      </w:r>
      <w:r w:rsidRPr="00DF4588">
        <w:rPr>
          <w:vertAlign w:val="superscript"/>
        </w:rPr>
        <w:footnoteRef/>
      </w:r>
      <w:r w:rsidRPr="00DF4588">
        <w:t xml:space="preserve"> which emphasizes civic leadership, value of care and patient outcomes. Three UMMHC hospitals, including UMMMC, have achieved top ratings in the state: </w:t>
      </w:r>
      <w:r>
        <w:t xml:space="preserve"> (comparing 55 hospitals):</w:t>
      </w:r>
      <w:r w:rsidRPr="00DF4588">
        <w:t>#1 HealthAlliance-Clinton Hospital</w:t>
      </w:r>
      <w:r>
        <w:t xml:space="preserve">, #3 UMMMC, , </w:t>
      </w:r>
      <w:r w:rsidRPr="00DF4588">
        <w:t>#9 Marlborough Hospital</w:t>
      </w:r>
      <w:r>
        <w:t xml:space="preserve">. Further it received high national rankings as well: </w:t>
      </w:r>
      <w:r w:rsidRPr="00DF4588">
        <w:t>(comparing 3,282 hospitals): #8 HealthAlliance-Clinton Hospita</w:t>
      </w:r>
      <w:r>
        <w:t xml:space="preserve">l, </w:t>
      </w:r>
      <w:r w:rsidRPr="00DF4588">
        <w:t xml:space="preserve">#24 </w:t>
      </w:r>
      <w:r>
        <w:t xml:space="preserve">UMMMC, </w:t>
      </w:r>
      <w:r w:rsidRPr="00DF4588">
        <w:t>#94 Marlborough Hospital</w:t>
      </w:r>
    </w:p>
  </w:footnote>
  <w:footnote w:id="5">
    <w:p w14:paraId="2D88AD31" w14:textId="27CCE686" w:rsidR="00EB2FDA" w:rsidRDefault="00EB2FDA">
      <w:pPr>
        <w:pStyle w:val="FootnoteText"/>
      </w:pPr>
      <w:r>
        <w:rPr>
          <w:rStyle w:val="FootnoteReference"/>
        </w:rPr>
        <w:footnoteRef/>
      </w:r>
      <w:r>
        <w:t xml:space="preserve"> </w:t>
      </w:r>
      <w:r w:rsidRPr="00511868">
        <w:t>a Level 1 Trauma Center</w:t>
      </w:r>
      <w:r>
        <w:t xml:space="preserve"> and Stroke Center</w:t>
      </w:r>
    </w:p>
  </w:footnote>
  <w:footnote w:id="6">
    <w:p w14:paraId="2DC0FC90" w14:textId="68A7145D" w:rsidR="00EB2FDA" w:rsidRDefault="00EB2FDA">
      <w:pPr>
        <w:pStyle w:val="FootnoteText"/>
      </w:pPr>
      <w:r>
        <w:rPr>
          <w:rStyle w:val="FootnoteReference"/>
        </w:rPr>
        <w:footnoteRef/>
      </w:r>
      <w:r>
        <w:t xml:space="preserve"> </w:t>
      </w:r>
      <w:hyperlink r:id="rId2" w:history="1">
        <w:r w:rsidR="009F416F">
          <w:rPr>
            <w:rStyle w:val="Hyperlink"/>
          </w:rPr>
          <w:t>at https://www.mass.gov/service-details/trauma-hospital-destinations</w:t>
        </w:r>
      </w:hyperlink>
      <w:r>
        <w:t xml:space="preserve"> and Primary Stroke Service(PSS)</w:t>
      </w:r>
      <w:r w:rsidRPr="00A30ED8">
        <w:rPr>
          <w:sz w:val="22"/>
          <w:szCs w:val="22"/>
        </w:rPr>
        <w:t xml:space="preserve"> </w:t>
      </w:r>
      <w:r w:rsidRPr="00A30ED8">
        <w:t>https://www.mass.gov/info-details/designated-primary-stroke-services-hospitals#region-2</w:t>
      </w:r>
    </w:p>
  </w:footnote>
  <w:footnote w:id="7">
    <w:p w14:paraId="394759A5" w14:textId="77777777" w:rsidR="00EB2FDA" w:rsidRPr="000356D2" w:rsidRDefault="00EB2FDA" w:rsidP="00693BED">
      <w:pPr>
        <w:pStyle w:val="FootnoteText"/>
      </w:pPr>
      <w:r w:rsidRPr="005D504D">
        <w:rPr>
          <w:rStyle w:val="FootnoteReference"/>
        </w:rPr>
        <w:footnoteRef/>
      </w:r>
      <w:r w:rsidRPr="005D504D">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w:t>
      </w:r>
      <w:r w:rsidRPr="000356D2">
        <w:t xml:space="preserve"> </w:t>
      </w:r>
      <w:r w:rsidRPr="000356D2">
        <w:rPr>
          <w:u w:val="single"/>
        </w:rPr>
        <w:t xml:space="preserve">Patient Panel </w:t>
      </w:r>
      <w:r w:rsidRPr="000356D2">
        <w:t xml:space="preserve">also means: </w:t>
      </w:r>
    </w:p>
    <w:p w14:paraId="0146D8E6" w14:textId="77777777" w:rsidR="00EB2FDA" w:rsidRPr="000356D2" w:rsidRDefault="00EB2FDA" w:rsidP="00693BED">
      <w:pPr>
        <w:pStyle w:val="FootnoteText"/>
      </w:pPr>
      <w:r w:rsidRPr="000356D2">
        <w:t xml:space="preserve">(1) If the Applicant or Holder </w:t>
      </w:r>
      <w:r w:rsidRPr="000356D2">
        <w:rPr>
          <w:u w:val="single"/>
        </w:rPr>
        <w:t>has no patient</w:t>
      </w:r>
      <w:r w:rsidRPr="000356D2">
        <w:t xml:space="preserve"> panel itself, the Patient Panel includes the Patient Panel of the health care facilities affiliated with the Applicant; or </w:t>
      </w:r>
    </w:p>
    <w:p w14:paraId="15FBADC0" w14:textId="77777777" w:rsidR="00EB2FDA" w:rsidRPr="005D504D" w:rsidRDefault="00EB2FDA" w:rsidP="00693BED">
      <w:pPr>
        <w:pStyle w:val="FootnoteText"/>
      </w:pPr>
      <w:r w:rsidRPr="000356D2">
        <w:t xml:space="preserve">(2) If the Proposed Project is for a new facility and there is no existing patient panel, </w:t>
      </w:r>
      <w:r w:rsidRPr="000356D2">
        <w:rPr>
          <w:u w:val="single"/>
        </w:rPr>
        <w:t xml:space="preserve">Patient Panel </w:t>
      </w:r>
      <w:r w:rsidRPr="000356D2">
        <w:t>means the anticipated patients;</w:t>
      </w:r>
    </w:p>
  </w:footnote>
  <w:footnote w:id="8">
    <w:p w14:paraId="614511CA" w14:textId="77777777" w:rsidR="00EB2FDA" w:rsidRDefault="00EB2FDA" w:rsidP="00B044A9">
      <w:pPr>
        <w:pStyle w:val="footnotedescription"/>
        <w:spacing w:line="274" w:lineRule="auto"/>
      </w:pPr>
      <w:r>
        <w:rPr>
          <w:rStyle w:val="footnotemark"/>
        </w:rPr>
        <w:footnoteRef/>
      </w:r>
      <w:r>
        <w:t xml:space="preserve"> </w:t>
      </w:r>
      <w:r>
        <w:rPr>
          <w:color w:val="000000"/>
          <w:sz w:val="18"/>
          <w:u w:val="none" w:color="000000"/>
        </w:rPr>
        <w:t>Please note UMMHC’s Patient Panel data does not include Harrington Health Care System, which was acquired by UMMHC effective July 1, 2021.</w:t>
      </w:r>
      <w:r>
        <w:rPr>
          <w:rFonts w:ascii="Calibri" w:eastAsia="Calibri" w:hAnsi="Calibri" w:cs="Calibri"/>
          <w:color w:val="000000"/>
          <w:sz w:val="20"/>
          <w:u w:val="none" w:color="000000"/>
        </w:rPr>
        <w:t xml:space="preserve">  </w:t>
      </w:r>
    </w:p>
  </w:footnote>
  <w:footnote w:id="9">
    <w:p w14:paraId="15598A30" w14:textId="36E2E7E2" w:rsidR="00EB2FDA" w:rsidRDefault="00EB2FDA" w:rsidP="00373FEA">
      <w:pPr>
        <w:spacing w:after="0" w:line="248" w:lineRule="auto"/>
      </w:pPr>
      <w:r>
        <w:footnoteRef/>
      </w:r>
      <w:r>
        <w:t xml:space="preserve"> https://www.mass.gov/doc/pss-time-target-recommendations-0/download</w:t>
      </w:r>
      <w:r>
        <w:rPr>
          <w:color w:val="000000"/>
          <w:u w:color="000000"/>
        </w:rPr>
        <w:t xml:space="preserve">; Get With the Guidelines – Stroke Fact Sheet. </w:t>
      </w:r>
      <w:r>
        <w:t>https://www.heart.org/-/media/files/professional/quality-improvement/get-with-</w:t>
      </w:r>
      <w:r w:rsidRPr="001A6448">
        <w:rPr>
          <w:sz w:val="20"/>
          <w:szCs w:val="20"/>
        </w:rPr>
        <w:t>the-guidelines/get-with-the-guidelines-stroke/strokefact-sheet_-final_ucm_501842.pdf?la=en&amp;hash=7FA33C71D753DF7AB1D4850451C95BBE25BEA622</w:t>
      </w:r>
    </w:p>
  </w:footnote>
  <w:footnote w:id="10">
    <w:p w14:paraId="38C8115D" w14:textId="1582396B" w:rsidR="00EB2FDA" w:rsidRDefault="00EB2FDA">
      <w:pPr>
        <w:pStyle w:val="FootnoteText"/>
      </w:pPr>
      <w:r>
        <w:rPr>
          <w:rStyle w:val="FootnoteReference"/>
        </w:rPr>
        <w:footnoteRef/>
      </w:r>
      <w:r>
        <w:t xml:space="preserve"> Scheduled outpatient CTA’s are performed using the other CTs</w:t>
      </w:r>
    </w:p>
  </w:footnote>
  <w:footnote w:id="11">
    <w:p w14:paraId="51E59B7A" w14:textId="77777777" w:rsidR="00EB2FDA" w:rsidRDefault="00EB2FDA" w:rsidP="00A127FB">
      <w:pPr>
        <w:pStyle w:val="FootnoteText"/>
      </w:pPr>
      <w:r>
        <w:rPr>
          <w:rStyle w:val="FootnoteReference"/>
        </w:rPr>
        <w:footnoteRef/>
      </w:r>
      <w:r>
        <w:t xml:space="preserve"> The current hours of operation of the University CT are the following: Inpatient CT Machine: 24/7; ED CT Machine: 24/7; OP CT Machine: 7am to 7pm M-F; 8am to 3pm S-S.</w:t>
      </w:r>
    </w:p>
  </w:footnote>
  <w:footnote w:id="12">
    <w:p w14:paraId="50679DBC" w14:textId="54919680" w:rsidR="00EB2FDA" w:rsidRDefault="00EB2FDA">
      <w:pPr>
        <w:pStyle w:val="FootnoteText"/>
      </w:pPr>
      <w:r>
        <w:rPr>
          <w:rStyle w:val="FootnoteReference"/>
        </w:rPr>
        <w:footnoteRef/>
      </w:r>
      <w:r>
        <w:t xml:space="preserve"> </w:t>
      </w:r>
      <w:r w:rsidRPr="002D05A9">
        <w:t>This volume represents over three scans per hour, including room turnover.</w:t>
      </w:r>
    </w:p>
  </w:footnote>
  <w:footnote w:id="13">
    <w:p w14:paraId="29607C8B" w14:textId="77777777" w:rsidR="00EB2FDA" w:rsidRDefault="00EB2FDA" w:rsidP="004859BA">
      <w:pPr>
        <w:pStyle w:val="FootnoteText"/>
      </w:pPr>
      <w:r>
        <w:rPr>
          <w:rStyle w:val="FootnoteReference"/>
        </w:rPr>
        <w:footnoteRef/>
      </w:r>
      <w:r>
        <w:t xml:space="preserve"> Both inpatients and outpatients on the schedule</w:t>
      </w:r>
    </w:p>
  </w:footnote>
  <w:footnote w:id="14">
    <w:p w14:paraId="06EE4D46" w14:textId="6AABB9B3" w:rsidR="00EB2FDA" w:rsidRDefault="00EB2FDA">
      <w:pPr>
        <w:pStyle w:val="FootnoteText"/>
      </w:pPr>
      <w:r>
        <w:rPr>
          <w:rStyle w:val="FootnoteReference"/>
        </w:rPr>
        <w:footnoteRef/>
      </w:r>
      <w:r>
        <w:t xml:space="preserve"> Commonly used by many Applicants.</w:t>
      </w:r>
    </w:p>
  </w:footnote>
  <w:footnote w:id="15">
    <w:p w14:paraId="778AD4CE" w14:textId="77777777" w:rsidR="00EB2FDA" w:rsidRDefault="00EB2FDA" w:rsidP="0054564C">
      <w:pPr>
        <w:pStyle w:val="FootnoteText"/>
      </w:pPr>
      <w:r>
        <w:rPr>
          <w:rStyle w:val="FootnoteReference"/>
        </w:rPr>
        <w:footnoteRef/>
      </w:r>
      <w:r>
        <w:t xml:space="preserve"> Current volume 37,648/</w:t>
      </w:r>
      <w:r w:rsidRPr="00981EA4">
        <w:t>Unit capacity 17520</w:t>
      </w:r>
      <w:r>
        <w:t>=</w:t>
      </w:r>
      <w:r w:rsidRPr="00981EA4">
        <w:t>2.1</w:t>
      </w:r>
      <w:r>
        <w:t>5 CT units needed</w:t>
      </w:r>
    </w:p>
  </w:footnote>
  <w:footnote w:id="16">
    <w:p w14:paraId="373967B2" w14:textId="77777777" w:rsidR="00EB2FDA" w:rsidRDefault="00EB2FDA" w:rsidP="00F74E91">
      <w:r>
        <w:footnoteRef/>
      </w:r>
      <w:r>
        <w:t xml:space="preserve"> </w:t>
      </w:r>
      <w:r>
        <w:rPr>
          <w:rFonts w:eastAsia="Calibri" w:cs="Calibri"/>
        </w:rPr>
        <w:t>https://www.communityhelp.net/</w:t>
      </w:r>
      <w:r>
        <w:rPr>
          <w:rFonts w:eastAsia="Calibri" w:cs="Calibri"/>
          <w:color w:val="000000"/>
          <w:u w:color="000000"/>
        </w:rPr>
        <w:t xml:space="preserve">  </w:t>
      </w:r>
    </w:p>
  </w:footnote>
  <w:footnote w:id="17">
    <w:p w14:paraId="33D35BE2" w14:textId="761156EC" w:rsidR="00EB2FDA" w:rsidRDefault="00EB2FDA">
      <w:pPr>
        <w:pStyle w:val="FootnoteText"/>
      </w:pPr>
      <w:r>
        <w:rPr>
          <w:rStyle w:val="FootnoteReference"/>
        </w:rPr>
        <w:footnoteRef/>
      </w:r>
      <w:r>
        <w:t xml:space="preserve"> Center for Health Information and Analysis, FY 19 pages</w:t>
      </w:r>
      <w:r w:rsidRPr="009022CC">
        <w:t xml:space="preserve"> A1-A6</w:t>
      </w:r>
      <w:r>
        <w:t xml:space="preserve"> </w:t>
      </w:r>
      <w:r w:rsidRPr="009022CC">
        <w:t>https://www.chiamass.gov/assets/docs/r/hospital-profiles/2019/FY19-Massachusetts-Hospital-Profiles-Compendium.pdf</w:t>
      </w:r>
    </w:p>
  </w:footnote>
  <w:footnote w:id="18">
    <w:p w14:paraId="38A36B5E" w14:textId="77777777" w:rsidR="00EB2FDA" w:rsidRDefault="00EB2FDA" w:rsidP="00F856DD">
      <w:pPr>
        <w:pStyle w:val="FootnoteText"/>
      </w:pPr>
      <w:r>
        <w:rPr>
          <w:rStyle w:val="FootnoteReference"/>
        </w:rPr>
        <w:footnoteRef/>
      </w:r>
      <w:r>
        <w:t xml:space="preserve"> Such as stroke, MVAs, and head trauma</w:t>
      </w:r>
    </w:p>
  </w:footnote>
  <w:footnote w:id="19">
    <w:p w14:paraId="5236615A" w14:textId="38CDDB5A" w:rsidR="00EB2FDA" w:rsidRDefault="00EB2FDA" w:rsidP="00E847F1">
      <w:pPr>
        <w:pStyle w:val="BodyText"/>
        <w:spacing w:after="0" w:line="240" w:lineRule="auto"/>
        <w:ind w:right="818"/>
      </w:pPr>
      <w:r>
        <w:rPr>
          <w:rStyle w:val="FootnoteReference"/>
        </w:rPr>
        <w:footnoteRef/>
      </w:r>
      <w:r>
        <w:t xml:space="preserve"> T</w:t>
      </w:r>
      <w:r>
        <w:rPr>
          <w:color w:val="231F20"/>
          <w:spacing w:val="1"/>
          <w:sz w:val="20"/>
          <w:szCs w:val="20"/>
        </w:rPr>
        <w:t>he CPA</w:t>
      </w:r>
      <w:r w:rsidRPr="00C23226">
        <w:rPr>
          <w:color w:val="231F20"/>
          <w:spacing w:val="1"/>
          <w:sz w:val="20"/>
          <w:szCs w:val="20"/>
        </w:rPr>
        <w:t xml:space="preserve"> </w:t>
      </w:r>
      <w:r>
        <w:rPr>
          <w:color w:val="231F20"/>
          <w:spacing w:val="1"/>
          <w:sz w:val="20"/>
          <w:szCs w:val="20"/>
        </w:rPr>
        <w:t>was informed</w:t>
      </w:r>
      <w:r w:rsidRPr="00C23226">
        <w:rPr>
          <w:color w:val="231F20"/>
          <w:sz w:val="20"/>
          <w:szCs w:val="20"/>
        </w:rPr>
        <w:t xml:space="preserve"> that historically the impact of inflation has been similar for both operating</w:t>
      </w:r>
      <w:r w:rsidRPr="00C23226">
        <w:rPr>
          <w:color w:val="231F20"/>
          <w:spacing w:val="1"/>
          <w:sz w:val="20"/>
          <w:szCs w:val="20"/>
        </w:rPr>
        <w:t xml:space="preserve"> </w:t>
      </w:r>
      <w:r>
        <w:rPr>
          <w:color w:val="231F20"/>
          <w:sz w:val="20"/>
          <w:szCs w:val="20"/>
        </w:rPr>
        <w:t>revenue and operating expenses, and that</w:t>
      </w:r>
      <w:r w:rsidRPr="00C23226">
        <w:rPr>
          <w:color w:val="231F20"/>
          <w:spacing w:val="1"/>
          <w:sz w:val="20"/>
          <w:szCs w:val="20"/>
        </w:rPr>
        <w:t xml:space="preserve"> </w:t>
      </w:r>
      <w:r w:rsidRPr="00C23226">
        <w:rPr>
          <w:color w:val="231F20"/>
          <w:sz w:val="20"/>
          <w:szCs w:val="20"/>
        </w:rPr>
        <w:t>Management</w:t>
      </w:r>
      <w:r w:rsidRPr="00C23226">
        <w:rPr>
          <w:color w:val="231F20"/>
          <w:spacing w:val="1"/>
          <w:sz w:val="20"/>
          <w:szCs w:val="20"/>
        </w:rPr>
        <w:t xml:space="preserve"> </w:t>
      </w:r>
      <w:r w:rsidRPr="00C23226">
        <w:rPr>
          <w:color w:val="231F20"/>
          <w:sz w:val="20"/>
          <w:szCs w:val="20"/>
        </w:rPr>
        <w:t>discussed</w:t>
      </w:r>
      <w:r w:rsidRPr="00C23226">
        <w:rPr>
          <w:color w:val="231F20"/>
          <w:spacing w:val="1"/>
          <w:sz w:val="20"/>
          <w:szCs w:val="20"/>
        </w:rPr>
        <w:t xml:space="preserve"> </w:t>
      </w:r>
      <w:r w:rsidRPr="00C23226">
        <w:rPr>
          <w:color w:val="231F20"/>
          <w:sz w:val="20"/>
          <w:szCs w:val="20"/>
        </w:rPr>
        <w:t>this</w:t>
      </w:r>
      <w:r w:rsidRPr="00C23226">
        <w:rPr>
          <w:color w:val="231F20"/>
          <w:spacing w:val="1"/>
          <w:sz w:val="20"/>
          <w:szCs w:val="20"/>
        </w:rPr>
        <w:t xml:space="preserve"> </w:t>
      </w:r>
      <w:r w:rsidRPr="00C23226">
        <w:rPr>
          <w:color w:val="231F20"/>
          <w:sz w:val="20"/>
          <w:szCs w:val="20"/>
        </w:rPr>
        <w:t>simplifying</w:t>
      </w:r>
      <w:r w:rsidRPr="00C23226">
        <w:rPr>
          <w:color w:val="231F20"/>
          <w:spacing w:val="1"/>
          <w:sz w:val="20"/>
          <w:szCs w:val="20"/>
        </w:rPr>
        <w:t xml:space="preserve"> </w:t>
      </w:r>
      <w:r w:rsidRPr="00C23226">
        <w:rPr>
          <w:color w:val="231F20"/>
          <w:sz w:val="20"/>
          <w:szCs w:val="20"/>
        </w:rPr>
        <w:t>assumption</w:t>
      </w:r>
      <w:r w:rsidRPr="00C23226">
        <w:rPr>
          <w:color w:val="231F20"/>
          <w:spacing w:val="1"/>
          <w:sz w:val="20"/>
          <w:szCs w:val="20"/>
        </w:rPr>
        <w:t xml:space="preserve"> </w:t>
      </w:r>
      <w:r w:rsidRPr="00C23226">
        <w:rPr>
          <w:color w:val="231F20"/>
          <w:sz w:val="20"/>
          <w:szCs w:val="20"/>
        </w:rPr>
        <w:t>with</w:t>
      </w:r>
      <w:r w:rsidRPr="00C23226">
        <w:rPr>
          <w:color w:val="231F20"/>
          <w:spacing w:val="1"/>
          <w:sz w:val="20"/>
          <w:szCs w:val="20"/>
        </w:rPr>
        <w:t xml:space="preserve"> </w:t>
      </w:r>
      <w:r w:rsidRPr="00C23226">
        <w:rPr>
          <w:color w:val="231F20"/>
          <w:sz w:val="20"/>
          <w:szCs w:val="20"/>
        </w:rPr>
        <w:t>staff</w:t>
      </w:r>
      <w:r w:rsidRPr="00C23226">
        <w:rPr>
          <w:color w:val="231F20"/>
          <w:spacing w:val="1"/>
          <w:sz w:val="20"/>
          <w:szCs w:val="20"/>
        </w:rPr>
        <w:t xml:space="preserve"> </w:t>
      </w:r>
      <w:r w:rsidRPr="00C23226">
        <w:rPr>
          <w:color w:val="231F20"/>
          <w:sz w:val="20"/>
          <w:szCs w:val="20"/>
        </w:rPr>
        <w:t>members</w:t>
      </w:r>
      <w:r w:rsidRPr="00C23226">
        <w:rPr>
          <w:color w:val="231F20"/>
          <w:spacing w:val="1"/>
          <w:sz w:val="20"/>
          <w:szCs w:val="20"/>
        </w:rPr>
        <w:t xml:space="preserve"> </w:t>
      </w:r>
      <w:r w:rsidRPr="00C23226">
        <w:rPr>
          <w:color w:val="231F20"/>
          <w:sz w:val="20"/>
          <w:szCs w:val="20"/>
        </w:rPr>
        <w:t>from</w:t>
      </w:r>
      <w:r w:rsidRPr="00C23226">
        <w:rPr>
          <w:color w:val="231F20"/>
          <w:spacing w:val="1"/>
          <w:sz w:val="20"/>
          <w:szCs w:val="20"/>
        </w:rPr>
        <w:t xml:space="preserve"> </w:t>
      </w:r>
      <w:r w:rsidRPr="00C23226">
        <w:rPr>
          <w:color w:val="231F20"/>
          <w:sz w:val="20"/>
          <w:szCs w:val="20"/>
        </w:rPr>
        <w:t>the</w:t>
      </w:r>
      <w:r>
        <w:rPr>
          <w:color w:val="231F20"/>
          <w:sz w:val="20"/>
          <w:szCs w:val="20"/>
        </w:rPr>
        <w:t xml:space="preserve"> </w:t>
      </w:r>
      <w:r w:rsidRPr="00C23226">
        <w:rPr>
          <w:color w:val="231F20"/>
          <w:spacing w:val="-64"/>
          <w:sz w:val="20"/>
          <w:szCs w:val="20"/>
        </w:rPr>
        <w:t xml:space="preserve"> </w:t>
      </w:r>
      <w:r>
        <w:rPr>
          <w:color w:val="231F20"/>
          <w:spacing w:val="-64"/>
          <w:sz w:val="20"/>
          <w:szCs w:val="20"/>
        </w:rPr>
        <w:t xml:space="preserve"> </w:t>
      </w:r>
      <w:r w:rsidRPr="00C23226">
        <w:rPr>
          <w:color w:val="231F20"/>
          <w:sz w:val="20"/>
          <w:szCs w:val="20"/>
        </w:rPr>
        <w:t>Massachusetts</w:t>
      </w:r>
      <w:r w:rsidRPr="00C23226">
        <w:rPr>
          <w:color w:val="231F20"/>
          <w:spacing w:val="-3"/>
          <w:sz w:val="20"/>
          <w:szCs w:val="20"/>
        </w:rPr>
        <w:t xml:space="preserve"> </w:t>
      </w:r>
      <w:r w:rsidRPr="00C23226">
        <w:rPr>
          <w:color w:val="231F20"/>
          <w:sz w:val="20"/>
          <w:szCs w:val="20"/>
        </w:rPr>
        <w:t>Department</w:t>
      </w:r>
      <w:r w:rsidRPr="00C23226">
        <w:rPr>
          <w:color w:val="231F20"/>
          <w:spacing w:val="-2"/>
          <w:sz w:val="20"/>
          <w:szCs w:val="20"/>
        </w:rPr>
        <w:t xml:space="preserve"> </w:t>
      </w:r>
      <w:r w:rsidRPr="00C23226">
        <w:rPr>
          <w:color w:val="231F20"/>
          <w:sz w:val="20"/>
          <w:szCs w:val="20"/>
        </w:rPr>
        <w:t>of</w:t>
      </w:r>
      <w:r w:rsidRPr="00C23226">
        <w:rPr>
          <w:color w:val="231F20"/>
          <w:spacing w:val="-2"/>
          <w:sz w:val="20"/>
          <w:szCs w:val="20"/>
        </w:rPr>
        <w:t xml:space="preserve"> </w:t>
      </w:r>
      <w:r w:rsidRPr="00C23226">
        <w:rPr>
          <w:color w:val="231F20"/>
          <w:sz w:val="20"/>
          <w:szCs w:val="20"/>
        </w:rPr>
        <w:t>Public</w:t>
      </w:r>
      <w:r w:rsidRPr="00C23226">
        <w:rPr>
          <w:color w:val="231F20"/>
          <w:spacing w:val="-1"/>
          <w:sz w:val="20"/>
          <w:szCs w:val="20"/>
        </w:rPr>
        <w:t xml:space="preserve"> </w:t>
      </w:r>
      <w:r w:rsidRPr="00C23226">
        <w:rPr>
          <w:color w:val="231F20"/>
          <w:sz w:val="20"/>
          <w:szCs w:val="20"/>
        </w:rPr>
        <w:t>Health</w:t>
      </w:r>
      <w:r w:rsidRPr="00C23226">
        <w:rPr>
          <w:color w:val="231F20"/>
          <w:spacing w:val="-2"/>
          <w:sz w:val="20"/>
          <w:szCs w:val="20"/>
        </w:rPr>
        <w:t xml:space="preserve"> </w:t>
      </w:r>
      <w:r w:rsidRPr="00C23226">
        <w:rPr>
          <w:color w:val="231F20"/>
          <w:sz w:val="20"/>
          <w:szCs w:val="20"/>
        </w:rPr>
        <w:t>prior</w:t>
      </w:r>
      <w:r w:rsidRPr="00C23226">
        <w:rPr>
          <w:color w:val="231F20"/>
          <w:spacing w:val="-2"/>
          <w:sz w:val="20"/>
          <w:szCs w:val="20"/>
        </w:rPr>
        <w:t xml:space="preserve"> </w:t>
      </w:r>
      <w:r w:rsidRPr="00C23226">
        <w:rPr>
          <w:color w:val="231F20"/>
          <w:sz w:val="20"/>
          <w:szCs w:val="20"/>
        </w:rPr>
        <w:t>to</w:t>
      </w:r>
      <w:r w:rsidRPr="00C23226">
        <w:rPr>
          <w:color w:val="231F20"/>
          <w:spacing w:val="-2"/>
          <w:sz w:val="20"/>
          <w:szCs w:val="20"/>
        </w:rPr>
        <w:t xml:space="preserve"> </w:t>
      </w:r>
      <w:r w:rsidRPr="00C23226">
        <w:rPr>
          <w:color w:val="231F20"/>
          <w:sz w:val="20"/>
          <w:szCs w:val="20"/>
        </w:rPr>
        <w:t>preparing</w:t>
      </w:r>
      <w:r w:rsidRPr="00C23226">
        <w:rPr>
          <w:color w:val="231F20"/>
          <w:spacing w:val="-2"/>
          <w:sz w:val="20"/>
          <w:szCs w:val="20"/>
        </w:rPr>
        <w:t xml:space="preserve"> </w:t>
      </w:r>
      <w:r w:rsidRPr="00C23226">
        <w:rPr>
          <w:color w:val="231F20"/>
          <w:sz w:val="20"/>
          <w:szCs w:val="20"/>
        </w:rPr>
        <w:t>the</w:t>
      </w:r>
      <w:r w:rsidRPr="00C23226">
        <w:rPr>
          <w:color w:val="231F20"/>
          <w:spacing w:val="-1"/>
          <w:sz w:val="20"/>
          <w:szCs w:val="20"/>
        </w:rPr>
        <w:t xml:space="preserve"> </w:t>
      </w:r>
      <w:r w:rsidRPr="00C23226">
        <w:rPr>
          <w:color w:val="231F20"/>
          <w:sz w:val="20"/>
          <w:szCs w:val="20"/>
        </w:rPr>
        <w:t>Projections.</w:t>
      </w:r>
    </w:p>
  </w:footnote>
  <w:footnote w:id="20">
    <w:p w14:paraId="0B419F74" w14:textId="5A43E168" w:rsidR="00EB2FDA" w:rsidRPr="00012F1F" w:rsidRDefault="00EB2FDA" w:rsidP="006D6A7F">
      <w:pPr>
        <w:pStyle w:val="FootnoteText"/>
      </w:pPr>
      <w:r w:rsidRPr="00012F1F">
        <w:rPr>
          <w:rStyle w:val="FootnoteReference"/>
        </w:rPr>
        <w:footnoteRef/>
      </w:r>
      <w:r w:rsidRPr="00012F1F">
        <w:t xml:space="preserve"> FY 2021 financials include three months of Harrington Hospital’s performance</w:t>
      </w:r>
      <w:r>
        <w:t xml:space="preserve">; </w:t>
      </w:r>
      <w:r w:rsidRPr="00012F1F">
        <w:t xml:space="preserve">FY 2022 represents a full year. </w:t>
      </w:r>
    </w:p>
  </w:footnote>
  <w:footnote w:id="21">
    <w:p w14:paraId="6F8ECBE0" w14:textId="77777777" w:rsidR="00EB2FDA" w:rsidRDefault="00EB2FDA" w:rsidP="006D6A7F">
      <w:pPr>
        <w:pStyle w:val="FootnoteText"/>
      </w:pPr>
      <w:r>
        <w:rPr>
          <w:rStyle w:val="FootnoteReference"/>
        </w:rPr>
        <w:footnoteRef/>
      </w:r>
      <w:r>
        <w:t xml:space="preserve"> Including ambulatory, acute, and tertiary</w:t>
      </w:r>
    </w:p>
  </w:footnote>
  <w:footnote w:id="22">
    <w:p w14:paraId="54304D0E" w14:textId="792B4964" w:rsidR="00EB2FDA" w:rsidRDefault="00EB2FDA" w:rsidP="006D6A7F">
      <w:pPr>
        <w:pStyle w:val="FootnoteText"/>
      </w:pPr>
      <w:r>
        <w:rPr>
          <w:rStyle w:val="FootnoteReference"/>
        </w:rPr>
        <w:footnoteRef/>
      </w:r>
      <w:r>
        <w:t xml:space="preserve"> </w:t>
      </w:r>
      <w:r w:rsidRPr="009029F6">
        <w:t>projected based on UMMH’s projected level of debt and current terms.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12252"/>
    <w:multiLevelType w:val="hybridMultilevel"/>
    <w:tmpl w:val="A18E5AAE"/>
    <w:lvl w:ilvl="0" w:tplc="B7C8F6A0">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E7127"/>
    <w:multiLevelType w:val="hybridMultilevel"/>
    <w:tmpl w:val="8E04CEA6"/>
    <w:lvl w:ilvl="0" w:tplc="4398A5D4">
      <w:start w:val="1"/>
      <w:numFmt w:val="upperRoman"/>
      <w:lvlText w:val="%1."/>
      <w:lvlJc w:val="left"/>
      <w:pPr>
        <w:ind w:left="1196" w:hanging="721"/>
      </w:pPr>
      <w:rPr>
        <w:rFonts w:ascii="Trebuchet MS" w:eastAsia="Trebuchet MS" w:hAnsi="Trebuchet MS" w:cs="Trebuchet MS" w:hint="default"/>
        <w:b/>
        <w:bCs/>
        <w:i w:val="0"/>
        <w:iCs w:val="0"/>
        <w:color w:val="231F20"/>
        <w:w w:val="99"/>
        <w:sz w:val="22"/>
        <w:szCs w:val="22"/>
      </w:rPr>
    </w:lvl>
    <w:lvl w:ilvl="1" w:tplc="293AD9E6">
      <w:start w:val="1"/>
      <w:numFmt w:val="decimal"/>
      <w:lvlText w:val="%2."/>
      <w:lvlJc w:val="left"/>
      <w:pPr>
        <w:ind w:left="1196" w:hanging="361"/>
      </w:pPr>
      <w:rPr>
        <w:rFonts w:ascii="Trebuchet MS" w:eastAsia="Trebuchet MS" w:hAnsi="Trebuchet MS" w:cs="Trebuchet MS" w:hint="default"/>
        <w:b w:val="0"/>
        <w:bCs w:val="0"/>
        <w:i w:val="0"/>
        <w:iCs w:val="0"/>
        <w:color w:val="231F20"/>
        <w:spacing w:val="-1"/>
        <w:w w:val="99"/>
        <w:sz w:val="22"/>
        <w:szCs w:val="22"/>
      </w:rPr>
    </w:lvl>
    <w:lvl w:ilvl="2" w:tplc="F16682E6">
      <w:numFmt w:val="bullet"/>
      <w:lvlText w:val="•"/>
      <w:lvlJc w:val="left"/>
      <w:pPr>
        <w:ind w:left="3048" w:hanging="361"/>
      </w:pPr>
      <w:rPr>
        <w:rFonts w:hint="default"/>
      </w:rPr>
    </w:lvl>
    <w:lvl w:ilvl="3" w:tplc="146E2C00">
      <w:numFmt w:val="bullet"/>
      <w:lvlText w:val="•"/>
      <w:lvlJc w:val="left"/>
      <w:pPr>
        <w:ind w:left="3972" w:hanging="361"/>
      </w:pPr>
      <w:rPr>
        <w:rFonts w:hint="default"/>
      </w:rPr>
    </w:lvl>
    <w:lvl w:ilvl="4" w:tplc="695C5BFE">
      <w:numFmt w:val="bullet"/>
      <w:lvlText w:val="•"/>
      <w:lvlJc w:val="left"/>
      <w:pPr>
        <w:ind w:left="4896" w:hanging="361"/>
      </w:pPr>
      <w:rPr>
        <w:rFonts w:hint="default"/>
      </w:rPr>
    </w:lvl>
    <w:lvl w:ilvl="5" w:tplc="AD9A913C">
      <w:numFmt w:val="bullet"/>
      <w:lvlText w:val="•"/>
      <w:lvlJc w:val="left"/>
      <w:pPr>
        <w:ind w:left="5820" w:hanging="361"/>
      </w:pPr>
      <w:rPr>
        <w:rFonts w:hint="default"/>
      </w:rPr>
    </w:lvl>
    <w:lvl w:ilvl="6" w:tplc="2B3C030C">
      <w:numFmt w:val="bullet"/>
      <w:lvlText w:val="•"/>
      <w:lvlJc w:val="left"/>
      <w:pPr>
        <w:ind w:left="6744" w:hanging="361"/>
      </w:pPr>
      <w:rPr>
        <w:rFonts w:hint="default"/>
      </w:rPr>
    </w:lvl>
    <w:lvl w:ilvl="7" w:tplc="6122B6E6">
      <w:numFmt w:val="bullet"/>
      <w:lvlText w:val="•"/>
      <w:lvlJc w:val="left"/>
      <w:pPr>
        <w:ind w:left="7668" w:hanging="361"/>
      </w:pPr>
      <w:rPr>
        <w:rFonts w:hint="default"/>
      </w:rPr>
    </w:lvl>
    <w:lvl w:ilvl="8" w:tplc="339085FE">
      <w:numFmt w:val="bullet"/>
      <w:lvlText w:val="•"/>
      <w:lvlJc w:val="left"/>
      <w:pPr>
        <w:ind w:left="8592" w:hanging="361"/>
      </w:pPr>
      <w:rPr>
        <w:rFonts w:hint="default"/>
      </w:rPr>
    </w:lvl>
  </w:abstractNum>
  <w:abstractNum w:abstractNumId="2" w15:restartNumberingAfterBreak="0">
    <w:nsid w:val="162676CA"/>
    <w:multiLevelType w:val="hybridMultilevel"/>
    <w:tmpl w:val="E404FB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4221A4"/>
    <w:multiLevelType w:val="hybridMultilevel"/>
    <w:tmpl w:val="81AC4778"/>
    <w:lvl w:ilvl="0" w:tplc="B7C8F6A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E2221"/>
    <w:multiLevelType w:val="hybridMultilevel"/>
    <w:tmpl w:val="082C01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2A0E02"/>
    <w:multiLevelType w:val="hybridMultilevel"/>
    <w:tmpl w:val="C97C2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6466EB"/>
    <w:multiLevelType w:val="hybridMultilevel"/>
    <w:tmpl w:val="2DE4119A"/>
    <w:lvl w:ilvl="0" w:tplc="7CA43E96">
      <w:start w:val="1"/>
      <w:numFmt w:val="decimal"/>
      <w:lvlText w:val="%1."/>
      <w:lvlJc w:val="left"/>
      <w:pPr>
        <w:ind w:left="41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8850DD16">
      <w:start w:val="1"/>
      <w:numFmt w:val="lowerLetter"/>
      <w:lvlText w:val="%2"/>
      <w:lvlJc w:val="left"/>
      <w:pPr>
        <w:ind w:left="476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55E7CFC">
      <w:start w:val="1"/>
      <w:numFmt w:val="lowerRoman"/>
      <w:lvlText w:val="%3"/>
      <w:lvlJc w:val="left"/>
      <w:pPr>
        <w:ind w:left="548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68EAE88">
      <w:start w:val="1"/>
      <w:numFmt w:val="decimal"/>
      <w:lvlText w:val="%4"/>
      <w:lvlJc w:val="left"/>
      <w:pPr>
        <w:ind w:left="620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0768952">
      <w:start w:val="1"/>
      <w:numFmt w:val="lowerLetter"/>
      <w:lvlText w:val="%5"/>
      <w:lvlJc w:val="left"/>
      <w:pPr>
        <w:ind w:left="692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CB888A6">
      <w:start w:val="1"/>
      <w:numFmt w:val="lowerRoman"/>
      <w:lvlText w:val="%6"/>
      <w:lvlJc w:val="left"/>
      <w:pPr>
        <w:ind w:left="764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6F2ED96">
      <w:start w:val="1"/>
      <w:numFmt w:val="decimal"/>
      <w:lvlText w:val="%7"/>
      <w:lvlJc w:val="left"/>
      <w:pPr>
        <w:ind w:left="836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F5406E4">
      <w:start w:val="1"/>
      <w:numFmt w:val="lowerLetter"/>
      <w:lvlText w:val="%8"/>
      <w:lvlJc w:val="left"/>
      <w:pPr>
        <w:ind w:left="908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742EA60">
      <w:start w:val="1"/>
      <w:numFmt w:val="lowerRoman"/>
      <w:lvlText w:val="%9"/>
      <w:lvlJc w:val="left"/>
      <w:pPr>
        <w:ind w:left="980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F250969"/>
    <w:multiLevelType w:val="hybridMultilevel"/>
    <w:tmpl w:val="62B0995E"/>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442FE4"/>
    <w:multiLevelType w:val="hybridMultilevel"/>
    <w:tmpl w:val="13E81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211746"/>
    <w:multiLevelType w:val="hybridMultilevel"/>
    <w:tmpl w:val="3A08AAF8"/>
    <w:lvl w:ilvl="0" w:tplc="AB9AC9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BC0DCA"/>
    <w:multiLevelType w:val="hybridMultilevel"/>
    <w:tmpl w:val="57CA56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1"/>
  </w:num>
  <w:num w:numId="5">
    <w:abstractNumId w:val="9"/>
  </w:num>
  <w:num w:numId="6">
    <w:abstractNumId w:val="3"/>
  </w:num>
  <w:num w:numId="7">
    <w:abstractNumId w:val="0"/>
  </w:num>
  <w:num w:numId="8">
    <w:abstractNumId w:val="7"/>
  </w:num>
  <w:num w:numId="9">
    <w:abstractNumId w:val="8"/>
  </w:num>
  <w:num w:numId="10">
    <w:abstractNumId w:val="2"/>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25F"/>
    <w:rsid w:val="0001584D"/>
    <w:rsid w:val="00030DA1"/>
    <w:rsid w:val="00032F3E"/>
    <w:rsid w:val="00041BFF"/>
    <w:rsid w:val="00052B5D"/>
    <w:rsid w:val="00055364"/>
    <w:rsid w:val="000870D0"/>
    <w:rsid w:val="00090BC7"/>
    <w:rsid w:val="000A25DD"/>
    <w:rsid w:val="000A459C"/>
    <w:rsid w:val="000A76F5"/>
    <w:rsid w:val="000B2468"/>
    <w:rsid w:val="000C443C"/>
    <w:rsid w:val="000D09E6"/>
    <w:rsid w:val="000E029B"/>
    <w:rsid w:val="000E268A"/>
    <w:rsid w:val="000E2B0F"/>
    <w:rsid w:val="00104CC1"/>
    <w:rsid w:val="00112959"/>
    <w:rsid w:val="0012119A"/>
    <w:rsid w:val="00127F68"/>
    <w:rsid w:val="0013588C"/>
    <w:rsid w:val="001361EA"/>
    <w:rsid w:val="00140846"/>
    <w:rsid w:val="0014343D"/>
    <w:rsid w:val="00155A5A"/>
    <w:rsid w:val="00181412"/>
    <w:rsid w:val="00184074"/>
    <w:rsid w:val="00191E93"/>
    <w:rsid w:val="00192A45"/>
    <w:rsid w:val="001A6448"/>
    <w:rsid w:val="001A7010"/>
    <w:rsid w:val="001B513C"/>
    <w:rsid w:val="001B6551"/>
    <w:rsid w:val="001C3B49"/>
    <w:rsid w:val="001D0E65"/>
    <w:rsid w:val="001E32C9"/>
    <w:rsid w:val="002051F6"/>
    <w:rsid w:val="00206FEB"/>
    <w:rsid w:val="00207CEB"/>
    <w:rsid w:val="0021274A"/>
    <w:rsid w:val="00213759"/>
    <w:rsid w:val="00217F0D"/>
    <w:rsid w:val="0022101B"/>
    <w:rsid w:val="002254BE"/>
    <w:rsid w:val="00234B95"/>
    <w:rsid w:val="00247F84"/>
    <w:rsid w:val="0025214E"/>
    <w:rsid w:val="0026698F"/>
    <w:rsid w:val="00272222"/>
    <w:rsid w:val="002815B9"/>
    <w:rsid w:val="00284A9F"/>
    <w:rsid w:val="0029270C"/>
    <w:rsid w:val="002A0658"/>
    <w:rsid w:val="002C1761"/>
    <w:rsid w:val="002D05A9"/>
    <w:rsid w:val="002D223D"/>
    <w:rsid w:val="002E19F0"/>
    <w:rsid w:val="002F29D8"/>
    <w:rsid w:val="002F6058"/>
    <w:rsid w:val="0030411A"/>
    <w:rsid w:val="00307E5B"/>
    <w:rsid w:val="003138E7"/>
    <w:rsid w:val="003317A1"/>
    <w:rsid w:val="00333C8A"/>
    <w:rsid w:val="00334CAE"/>
    <w:rsid w:val="00336D47"/>
    <w:rsid w:val="0034539B"/>
    <w:rsid w:val="003463CF"/>
    <w:rsid w:val="003541F9"/>
    <w:rsid w:val="00371707"/>
    <w:rsid w:val="00373FEA"/>
    <w:rsid w:val="00382D38"/>
    <w:rsid w:val="00394940"/>
    <w:rsid w:val="003C1543"/>
    <w:rsid w:val="003C3C31"/>
    <w:rsid w:val="003C5472"/>
    <w:rsid w:val="003D6E11"/>
    <w:rsid w:val="003E004E"/>
    <w:rsid w:val="003F60C0"/>
    <w:rsid w:val="004140F5"/>
    <w:rsid w:val="0042373C"/>
    <w:rsid w:val="00442B1F"/>
    <w:rsid w:val="004448DB"/>
    <w:rsid w:val="00454113"/>
    <w:rsid w:val="0045427E"/>
    <w:rsid w:val="00456A1D"/>
    <w:rsid w:val="004731AA"/>
    <w:rsid w:val="0047332F"/>
    <w:rsid w:val="004841FD"/>
    <w:rsid w:val="004859BA"/>
    <w:rsid w:val="00491187"/>
    <w:rsid w:val="004937B5"/>
    <w:rsid w:val="004A21FC"/>
    <w:rsid w:val="004A61C5"/>
    <w:rsid w:val="004B1E6A"/>
    <w:rsid w:val="004B6F05"/>
    <w:rsid w:val="004C1165"/>
    <w:rsid w:val="004D41D0"/>
    <w:rsid w:val="004D68AA"/>
    <w:rsid w:val="004D75CA"/>
    <w:rsid w:val="004E6C82"/>
    <w:rsid w:val="004F2E15"/>
    <w:rsid w:val="004F3173"/>
    <w:rsid w:val="004F3E82"/>
    <w:rsid w:val="004F5B61"/>
    <w:rsid w:val="004F76BA"/>
    <w:rsid w:val="004F79A7"/>
    <w:rsid w:val="00506408"/>
    <w:rsid w:val="00511868"/>
    <w:rsid w:val="00511D12"/>
    <w:rsid w:val="005400D8"/>
    <w:rsid w:val="00540160"/>
    <w:rsid w:val="0054564C"/>
    <w:rsid w:val="00545E7B"/>
    <w:rsid w:val="00557CC8"/>
    <w:rsid w:val="00560EB1"/>
    <w:rsid w:val="00562C34"/>
    <w:rsid w:val="00575366"/>
    <w:rsid w:val="00575D89"/>
    <w:rsid w:val="00577910"/>
    <w:rsid w:val="00591160"/>
    <w:rsid w:val="005A4205"/>
    <w:rsid w:val="005B2124"/>
    <w:rsid w:val="005B4A74"/>
    <w:rsid w:val="005D13D7"/>
    <w:rsid w:val="005D2204"/>
    <w:rsid w:val="005E0FB4"/>
    <w:rsid w:val="005E19DE"/>
    <w:rsid w:val="005F10CD"/>
    <w:rsid w:val="005F7CF6"/>
    <w:rsid w:val="00622542"/>
    <w:rsid w:val="00623763"/>
    <w:rsid w:val="0062390D"/>
    <w:rsid w:val="00626EE1"/>
    <w:rsid w:val="00634410"/>
    <w:rsid w:val="00642951"/>
    <w:rsid w:val="00645C31"/>
    <w:rsid w:val="0064684F"/>
    <w:rsid w:val="00647020"/>
    <w:rsid w:val="006568B4"/>
    <w:rsid w:val="0066796F"/>
    <w:rsid w:val="00681108"/>
    <w:rsid w:val="00681FDF"/>
    <w:rsid w:val="0068224A"/>
    <w:rsid w:val="0068660A"/>
    <w:rsid w:val="00693BED"/>
    <w:rsid w:val="00693C64"/>
    <w:rsid w:val="006967BD"/>
    <w:rsid w:val="006A1AC7"/>
    <w:rsid w:val="006A1E9B"/>
    <w:rsid w:val="006A7A56"/>
    <w:rsid w:val="006B5F56"/>
    <w:rsid w:val="006B741A"/>
    <w:rsid w:val="006C0883"/>
    <w:rsid w:val="006C159A"/>
    <w:rsid w:val="006C7DC3"/>
    <w:rsid w:val="006D6A7F"/>
    <w:rsid w:val="006E4A04"/>
    <w:rsid w:val="00722F4D"/>
    <w:rsid w:val="00723E5C"/>
    <w:rsid w:val="00724E33"/>
    <w:rsid w:val="0072783A"/>
    <w:rsid w:val="00736CD9"/>
    <w:rsid w:val="00743C5A"/>
    <w:rsid w:val="00746EE8"/>
    <w:rsid w:val="007607A8"/>
    <w:rsid w:val="00765B9C"/>
    <w:rsid w:val="00787C1A"/>
    <w:rsid w:val="007956EB"/>
    <w:rsid w:val="007A3D33"/>
    <w:rsid w:val="007A6DB7"/>
    <w:rsid w:val="007B03BC"/>
    <w:rsid w:val="007B4DBE"/>
    <w:rsid w:val="007B6181"/>
    <w:rsid w:val="007C1F2F"/>
    <w:rsid w:val="007C3908"/>
    <w:rsid w:val="007C4409"/>
    <w:rsid w:val="007D2543"/>
    <w:rsid w:val="007E0490"/>
    <w:rsid w:val="007F4A4A"/>
    <w:rsid w:val="0080681F"/>
    <w:rsid w:val="00811A85"/>
    <w:rsid w:val="008149C3"/>
    <w:rsid w:val="00820B2C"/>
    <w:rsid w:val="0082241A"/>
    <w:rsid w:val="00837221"/>
    <w:rsid w:val="00837837"/>
    <w:rsid w:val="00841B49"/>
    <w:rsid w:val="0084248F"/>
    <w:rsid w:val="00867613"/>
    <w:rsid w:val="0087412C"/>
    <w:rsid w:val="00890A59"/>
    <w:rsid w:val="00893673"/>
    <w:rsid w:val="008A090B"/>
    <w:rsid w:val="008A0CB0"/>
    <w:rsid w:val="008A7F77"/>
    <w:rsid w:val="008C1F1C"/>
    <w:rsid w:val="008C3444"/>
    <w:rsid w:val="008D128A"/>
    <w:rsid w:val="008D7B65"/>
    <w:rsid w:val="008E15C3"/>
    <w:rsid w:val="008E6B1B"/>
    <w:rsid w:val="008E7C43"/>
    <w:rsid w:val="008F60DA"/>
    <w:rsid w:val="00901B3B"/>
    <w:rsid w:val="009022CC"/>
    <w:rsid w:val="00910D07"/>
    <w:rsid w:val="009145FD"/>
    <w:rsid w:val="00915429"/>
    <w:rsid w:val="00924AF1"/>
    <w:rsid w:val="00927DD8"/>
    <w:rsid w:val="0093187A"/>
    <w:rsid w:val="00937164"/>
    <w:rsid w:val="0095760D"/>
    <w:rsid w:val="009645E2"/>
    <w:rsid w:val="00970262"/>
    <w:rsid w:val="00981EA4"/>
    <w:rsid w:val="0098324A"/>
    <w:rsid w:val="00990D35"/>
    <w:rsid w:val="009B0518"/>
    <w:rsid w:val="009C6B82"/>
    <w:rsid w:val="009D598C"/>
    <w:rsid w:val="009E21C6"/>
    <w:rsid w:val="009F1A90"/>
    <w:rsid w:val="009F2000"/>
    <w:rsid w:val="009F416F"/>
    <w:rsid w:val="009F4F73"/>
    <w:rsid w:val="00A0341B"/>
    <w:rsid w:val="00A127FB"/>
    <w:rsid w:val="00A1325F"/>
    <w:rsid w:val="00A13936"/>
    <w:rsid w:val="00A17178"/>
    <w:rsid w:val="00A26F6B"/>
    <w:rsid w:val="00A306CF"/>
    <w:rsid w:val="00A30ED8"/>
    <w:rsid w:val="00A31C4C"/>
    <w:rsid w:val="00A4004B"/>
    <w:rsid w:val="00A4281D"/>
    <w:rsid w:val="00A46BD1"/>
    <w:rsid w:val="00A47F78"/>
    <w:rsid w:val="00A50524"/>
    <w:rsid w:val="00A62216"/>
    <w:rsid w:val="00A705DD"/>
    <w:rsid w:val="00A718E9"/>
    <w:rsid w:val="00A71D10"/>
    <w:rsid w:val="00A7564C"/>
    <w:rsid w:val="00A76008"/>
    <w:rsid w:val="00A77293"/>
    <w:rsid w:val="00A773DA"/>
    <w:rsid w:val="00A81051"/>
    <w:rsid w:val="00A9043E"/>
    <w:rsid w:val="00A95380"/>
    <w:rsid w:val="00AA2A46"/>
    <w:rsid w:val="00AA60FA"/>
    <w:rsid w:val="00AB2027"/>
    <w:rsid w:val="00AB4AF2"/>
    <w:rsid w:val="00AC07DA"/>
    <w:rsid w:val="00AC10E5"/>
    <w:rsid w:val="00AD5242"/>
    <w:rsid w:val="00B035F6"/>
    <w:rsid w:val="00B044A9"/>
    <w:rsid w:val="00B07221"/>
    <w:rsid w:val="00B27C3B"/>
    <w:rsid w:val="00B32E27"/>
    <w:rsid w:val="00B44EE7"/>
    <w:rsid w:val="00B45D84"/>
    <w:rsid w:val="00B50BC9"/>
    <w:rsid w:val="00B53677"/>
    <w:rsid w:val="00B5678A"/>
    <w:rsid w:val="00B6204D"/>
    <w:rsid w:val="00B81085"/>
    <w:rsid w:val="00B85D7B"/>
    <w:rsid w:val="00B9353B"/>
    <w:rsid w:val="00BC015F"/>
    <w:rsid w:val="00BC08D4"/>
    <w:rsid w:val="00BC6DBF"/>
    <w:rsid w:val="00BD150F"/>
    <w:rsid w:val="00BD3C75"/>
    <w:rsid w:val="00BE56A9"/>
    <w:rsid w:val="00BE6DF7"/>
    <w:rsid w:val="00BE7758"/>
    <w:rsid w:val="00C00B56"/>
    <w:rsid w:val="00C06A76"/>
    <w:rsid w:val="00C06DAE"/>
    <w:rsid w:val="00C12BB4"/>
    <w:rsid w:val="00C47ADA"/>
    <w:rsid w:val="00C7134A"/>
    <w:rsid w:val="00C73AB1"/>
    <w:rsid w:val="00C758BF"/>
    <w:rsid w:val="00C76434"/>
    <w:rsid w:val="00C76CE6"/>
    <w:rsid w:val="00C77E21"/>
    <w:rsid w:val="00C85BE4"/>
    <w:rsid w:val="00C926D7"/>
    <w:rsid w:val="00C95064"/>
    <w:rsid w:val="00C956AF"/>
    <w:rsid w:val="00CA1316"/>
    <w:rsid w:val="00CA3E6A"/>
    <w:rsid w:val="00CA6D45"/>
    <w:rsid w:val="00CB11EE"/>
    <w:rsid w:val="00CB122B"/>
    <w:rsid w:val="00CB44B9"/>
    <w:rsid w:val="00CB59D0"/>
    <w:rsid w:val="00CB67B9"/>
    <w:rsid w:val="00CC4644"/>
    <w:rsid w:val="00CD0865"/>
    <w:rsid w:val="00CE156B"/>
    <w:rsid w:val="00CF0522"/>
    <w:rsid w:val="00CF725A"/>
    <w:rsid w:val="00D043CE"/>
    <w:rsid w:val="00D04718"/>
    <w:rsid w:val="00D07543"/>
    <w:rsid w:val="00D17B42"/>
    <w:rsid w:val="00D36FAA"/>
    <w:rsid w:val="00D402EE"/>
    <w:rsid w:val="00D601EE"/>
    <w:rsid w:val="00D61981"/>
    <w:rsid w:val="00D66883"/>
    <w:rsid w:val="00D66D7C"/>
    <w:rsid w:val="00D75231"/>
    <w:rsid w:val="00D817DE"/>
    <w:rsid w:val="00D962CA"/>
    <w:rsid w:val="00DA50D0"/>
    <w:rsid w:val="00DF3A58"/>
    <w:rsid w:val="00DF4588"/>
    <w:rsid w:val="00E04C40"/>
    <w:rsid w:val="00E26717"/>
    <w:rsid w:val="00E358E9"/>
    <w:rsid w:val="00E432A5"/>
    <w:rsid w:val="00E52A3F"/>
    <w:rsid w:val="00E6315B"/>
    <w:rsid w:val="00E65F6E"/>
    <w:rsid w:val="00E73199"/>
    <w:rsid w:val="00E73D4C"/>
    <w:rsid w:val="00E80A00"/>
    <w:rsid w:val="00E8368A"/>
    <w:rsid w:val="00E847F1"/>
    <w:rsid w:val="00E90FE1"/>
    <w:rsid w:val="00E910FE"/>
    <w:rsid w:val="00E95A41"/>
    <w:rsid w:val="00E9726D"/>
    <w:rsid w:val="00EA2A09"/>
    <w:rsid w:val="00EA6DD3"/>
    <w:rsid w:val="00EA7764"/>
    <w:rsid w:val="00EB2FDA"/>
    <w:rsid w:val="00EC0916"/>
    <w:rsid w:val="00EE0B10"/>
    <w:rsid w:val="00EF63DF"/>
    <w:rsid w:val="00F05FEB"/>
    <w:rsid w:val="00F06382"/>
    <w:rsid w:val="00F27729"/>
    <w:rsid w:val="00F36FF7"/>
    <w:rsid w:val="00F373EC"/>
    <w:rsid w:val="00F431CC"/>
    <w:rsid w:val="00F467E2"/>
    <w:rsid w:val="00F62CAE"/>
    <w:rsid w:val="00F6472E"/>
    <w:rsid w:val="00F732C1"/>
    <w:rsid w:val="00F74E91"/>
    <w:rsid w:val="00F8028E"/>
    <w:rsid w:val="00F82B44"/>
    <w:rsid w:val="00F856DD"/>
    <w:rsid w:val="00F867BF"/>
    <w:rsid w:val="00F867F8"/>
    <w:rsid w:val="00FA5C83"/>
    <w:rsid w:val="00FA6BA8"/>
    <w:rsid w:val="00FB16A7"/>
    <w:rsid w:val="00FC025B"/>
    <w:rsid w:val="00FC168C"/>
    <w:rsid w:val="00FD2F00"/>
    <w:rsid w:val="00FE237D"/>
    <w:rsid w:val="00FE3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A8A42"/>
  <w15:docId w15:val="{6D92FCC2-93D0-49D0-A5BC-ED6DA85C9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F1A90"/>
  </w:style>
  <w:style w:type="paragraph" w:styleId="Heading1">
    <w:name w:val="heading 1"/>
    <w:next w:val="Normal"/>
    <w:link w:val="Heading1Char"/>
    <w:uiPriority w:val="9"/>
    <w:qFormat/>
    <w:rsid w:val="003541F9"/>
    <w:pPr>
      <w:keepNext/>
      <w:keepLines/>
      <w:spacing w:after="13" w:line="249" w:lineRule="auto"/>
      <w:ind w:left="694" w:hanging="10"/>
      <w:outlineLvl w:val="0"/>
    </w:pPr>
    <w:rPr>
      <w:rFonts w:ascii="Calibri" w:eastAsia="Calibri" w:hAnsi="Calibri" w:cs="Calibri"/>
      <w:color w:val="548AB7"/>
      <w:sz w:val="32"/>
    </w:rPr>
  </w:style>
  <w:style w:type="paragraph" w:styleId="Heading2">
    <w:name w:val="heading 2"/>
    <w:next w:val="Normal"/>
    <w:link w:val="Heading2Char"/>
    <w:uiPriority w:val="9"/>
    <w:unhideWhenUsed/>
    <w:qFormat/>
    <w:rsid w:val="003541F9"/>
    <w:pPr>
      <w:keepNext/>
      <w:keepLines/>
      <w:spacing w:after="0"/>
      <w:ind w:left="694" w:hanging="10"/>
      <w:outlineLvl w:val="1"/>
    </w:pPr>
    <w:rPr>
      <w:rFonts w:ascii="Calibri" w:eastAsia="Calibri" w:hAnsi="Calibri" w:cs="Calibri"/>
      <w:color w:val="548AB7"/>
      <w:sz w:val="28"/>
    </w:rPr>
  </w:style>
  <w:style w:type="paragraph" w:styleId="Heading3">
    <w:name w:val="heading 3"/>
    <w:next w:val="Normal"/>
    <w:link w:val="Heading3Char"/>
    <w:uiPriority w:val="9"/>
    <w:unhideWhenUsed/>
    <w:qFormat/>
    <w:rsid w:val="003541F9"/>
    <w:pPr>
      <w:keepNext/>
      <w:keepLines/>
      <w:spacing w:after="223"/>
      <w:ind w:left="11" w:hanging="10"/>
      <w:outlineLvl w:val="2"/>
    </w:pPr>
    <w:rPr>
      <w:rFonts w:ascii="Arial" w:eastAsia="Arial" w:hAnsi="Arial" w:cs="Arial"/>
      <w:b/>
      <w:color w:val="000000"/>
      <w:sz w:val="20"/>
    </w:rPr>
  </w:style>
  <w:style w:type="paragraph" w:styleId="Heading4">
    <w:name w:val="heading 4"/>
    <w:next w:val="Normal"/>
    <w:link w:val="Heading4Char"/>
    <w:uiPriority w:val="9"/>
    <w:unhideWhenUsed/>
    <w:qFormat/>
    <w:rsid w:val="003541F9"/>
    <w:pPr>
      <w:keepNext/>
      <w:keepLines/>
      <w:spacing w:after="0"/>
      <w:ind w:left="694" w:hanging="10"/>
      <w:outlineLvl w:val="3"/>
    </w:pPr>
    <w:rPr>
      <w:rFonts w:ascii="Calibri" w:eastAsia="Calibri" w:hAnsi="Calibri" w:cs="Calibri"/>
      <w:color w:val="548AB7"/>
      <w:sz w:val="28"/>
    </w:rPr>
  </w:style>
  <w:style w:type="paragraph" w:styleId="Heading5">
    <w:name w:val="heading 5"/>
    <w:next w:val="Normal"/>
    <w:link w:val="Heading5Char"/>
    <w:uiPriority w:val="9"/>
    <w:unhideWhenUsed/>
    <w:qFormat/>
    <w:rsid w:val="003541F9"/>
    <w:pPr>
      <w:keepNext/>
      <w:keepLines/>
      <w:spacing w:after="4"/>
      <w:ind w:left="10" w:right="42" w:hanging="10"/>
      <w:jc w:val="center"/>
      <w:outlineLvl w:val="4"/>
    </w:pPr>
    <w:rPr>
      <w:rFonts w:ascii="Calibri" w:eastAsia="Calibri" w:hAnsi="Calibri" w:cs="Calibri"/>
      <w:b/>
      <w:color w:val="FFFEFD"/>
      <w:sz w:val="19"/>
    </w:rPr>
  </w:style>
  <w:style w:type="paragraph" w:styleId="Heading6">
    <w:name w:val="heading 6"/>
    <w:next w:val="Normal"/>
    <w:link w:val="Heading6Char"/>
    <w:uiPriority w:val="9"/>
    <w:unhideWhenUsed/>
    <w:qFormat/>
    <w:rsid w:val="003541F9"/>
    <w:pPr>
      <w:keepNext/>
      <w:keepLines/>
      <w:spacing w:after="4"/>
      <w:ind w:left="10" w:right="42" w:hanging="10"/>
      <w:jc w:val="center"/>
      <w:outlineLvl w:val="5"/>
    </w:pPr>
    <w:rPr>
      <w:rFonts w:ascii="Calibri" w:eastAsia="Calibri" w:hAnsi="Calibri" w:cs="Calibri"/>
      <w:b/>
      <w:color w:val="FFFEFD"/>
      <w:sz w:val="19"/>
    </w:rPr>
  </w:style>
  <w:style w:type="paragraph" w:styleId="Heading7">
    <w:name w:val="heading 7"/>
    <w:next w:val="Normal"/>
    <w:link w:val="Heading7Char"/>
    <w:uiPriority w:val="9"/>
    <w:unhideWhenUsed/>
    <w:qFormat/>
    <w:rsid w:val="003541F9"/>
    <w:pPr>
      <w:keepNext/>
      <w:keepLines/>
      <w:spacing w:after="80" w:line="265" w:lineRule="auto"/>
      <w:ind w:left="10" w:hanging="10"/>
      <w:outlineLvl w:val="6"/>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3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3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25F"/>
  </w:style>
  <w:style w:type="paragraph" w:styleId="NoSpacing">
    <w:name w:val="No Spacing"/>
    <w:uiPriority w:val="1"/>
    <w:qFormat/>
    <w:rsid w:val="00A1325F"/>
    <w:pPr>
      <w:spacing w:after="0" w:line="240" w:lineRule="auto"/>
    </w:pPr>
  </w:style>
  <w:style w:type="character" w:styleId="CommentReference">
    <w:name w:val="annotation reference"/>
    <w:basedOn w:val="DefaultParagraphFont"/>
    <w:uiPriority w:val="99"/>
    <w:semiHidden/>
    <w:unhideWhenUsed/>
    <w:rsid w:val="00A1325F"/>
    <w:rPr>
      <w:sz w:val="16"/>
      <w:szCs w:val="16"/>
    </w:rPr>
  </w:style>
  <w:style w:type="paragraph" w:styleId="CommentText">
    <w:name w:val="annotation text"/>
    <w:basedOn w:val="Normal"/>
    <w:link w:val="CommentTextChar"/>
    <w:uiPriority w:val="99"/>
    <w:semiHidden/>
    <w:unhideWhenUsed/>
    <w:rsid w:val="00A1325F"/>
    <w:pPr>
      <w:spacing w:line="240" w:lineRule="auto"/>
    </w:pPr>
    <w:rPr>
      <w:sz w:val="20"/>
      <w:szCs w:val="20"/>
    </w:rPr>
  </w:style>
  <w:style w:type="character" w:customStyle="1" w:styleId="CommentTextChar">
    <w:name w:val="Comment Text Char"/>
    <w:basedOn w:val="DefaultParagraphFont"/>
    <w:link w:val="CommentText"/>
    <w:uiPriority w:val="99"/>
    <w:semiHidden/>
    <w:rsid w:val="00A1325F"/>
    <w:rPr>
      <w:sz w:val="20"/>
      <w:szCs w:val="20"/>
    </w:rPr>
  </w:style>
  <w:style w:type="paragraph" w:styleId="ListParagraph">
    <w:name w:val="List Paragraph"/>
    <w:basedOn w:val="Normal"/>
    <w:uiPriority w:val="34"/>
    <w:qFormat/>
    <w:rsid w:val="00A1325F"/>
    <w:pPr>
      <w:spacing w:after="0" w:line="240" w:lineRule="auto"/>
      <w:ind w:left="720"/>
      <w:contextualSpacing/>
    </w:pPr>
  </w:style>
  <w:style w:type="paragraph" w:styleId="FootnoteText">
    <w:name w:val="footnote text"/>
    <w:basedOn w:val="Normal"/>
    <w:link w:val="FootnoteTextChar"/>
    <w:uiPriority w:val="99"/>
    <w:unhideWhenUsed/>
    <w:rsid w:val="00456A1D"/>
    <w:pPr>
      <w:spacing w:after="0" w:line="240" w:lineRule="auto"/>
    </w:pPr>
    <w:rPr>
      <w:sz w:val="20"/>
      <w:szCs w:val="20"/>
    </w:rPr>
  </w:style>
  <w:style w:type="character" w:customStyle="1" w:styleId="FootnoteTextChar">
    <w:name w:val="Footnote Text Char"/>
    <w:basedOn w:val="DefaultParagraphFont"/>
    <w:link w:val="FootnoteText"/>
    <w:uiPriority w:val="99"/>
    <w:rsid w:val="00456A1D"/>
    <w:rPr>
      <w:sz w:val="20"/>
      <w:szCs w:val="20"/>
    </w:rPr>
  </w:style>
  <w:style w:type="character" w:styleId="FootnoteReference">
    <w:name w:val="footnote reference"/>
    <w:basedOn w:val="DefaultParagraphFont"/>
    <w:uiPriority w:val="99"/>
    <w:unhideWhenUsed/>
    <w:rsid w:val="00456A1D"/>
    <w:rPr>
      <w:vertAlign w:val="superscript"/>
    </w:rPr>
  </w:style>
  <w:style w:type="table" w:customStyle="1" w:styleId="TableGrid1">
    <w:name w:val="Table Grid1"/>
    <w:basedOn w:val="TableNormal"/>
    <w:next w:val="TableGrid"/>
    <w:uiPriority w:val="39"/>
    <w:rsid w:val="00456A1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541F9"/>
    <w:rPr>
      <w:rFonts w:ascii="Calibri" w:eastAsia="Calibri" w:hAnsi="Calibri" w:cs="Calibri"/>
      <w:color w:val="548AB7"/>
      <w:sz w:val="32"/>
    </w:rPr>
  </w:style>
  <w:style w:type="character" w:customStyle="1" w:styleId="Heading2Char">
    <w:name w:val="Heading 2 Char"/>
    <w:basedOn w:val="DefaultParagraphFont"/>
    <w:link w:val="Heading2"/>
    <w:uiPriority w:val="9"/>
    <w:rsid w:val="003541F9"/>
    <w:rPr>
      <w:rFonts w:ascii="Calibri" w:eastAsia="Calibri" w:hAnsi="Calibri" w:cs="Calibri"/>
      <w:color w:val="548AB7"/>
      <w:sz w:val="28"/>
    </w:rPr>
  </w:style>
  <w:style w:type="character" w:customStyle="1" w:styleId="Heading3Char">
    <w:name w:val="Heading 3 Char"/>
    <w:basedOn w:val="DefaultParagraphFont"/>
    <w:link w:val="Heading3"/>
    <w:uiPriority w:val="9"/>
    <w:rsid w:val="003541F9"/>
    <w:rPr>
      <w:rFonts w:ascii="Arial" w:eastAsia="Arial" w:hAnsi="Arial" w:cs="Arial"/>
      <w:b/>
      <w:color w:val="000000"/>
      <w:sz w:val="20"/>
    </w:rPr>
  </w:style>
  <w:style w:type="character" w:customStyle="1" w:styleId="Heading4Char">
    <w:name w:val="Heading 4 Char"/>
    <w:basedOn w:val="DefaultParagraphFont"/>
    <w:link w:val="Heading4"/>
    <w:uiPriority w:val="9"/>
    <w:rsid w:val="003541F9"/>
    <w:rPr>
      <w:rFonts w:ascii="Calibri" w:eastAsia="Calibri" w:hAnsi="Calibri" w:cs="Calibri"/>
      <w:color w:val="548AB7"/>
      <w:sz w:val="28"/>
    </w:rPr>
  </w:style>
  <w:style w:type="character" w:customStyle="1" w:styleId="Heading5Char">
    <w:name w:val="Heading 5 Char"/>
    <w:basedOn w:val="DefaultParagraphFont"/>
    <w:link w:val="Heading5"/>
    <w:uiPriority w:val="9"/>
    <w:rsid w:val="003541F9"/>
    <w:rPr>
      <w:rFonts w:ascii="Calibri" w:eastAsia="Calibri" w:hAnsi="Calibri" w:cs="Calibri"/>
      <w:b/>
      <w:color w:val="FFFEFD"/>
      <w:sz w:val="19"/>
    </w:rPr>
  </w:style>
  <w:style w:type="character" w:customStyle="1" w:styleId="Heading6Char">
    <w:name w:val="Heading 6 Char"/>
    <w:basedOn w:val="DefaultParagraphFont"/>
    <w:link w:val="Heading6"/>
    <w:uiPriority w:val="9"/>
    <w:rsid w:val="003541F9"/>
    <w:rPr>
      <w:rFonts w:ascii="Calibri" w:eastAsia="Calibri" w:hAnsi="Calibri" w:cs="Calibri"/>
      <w:b/>
      <w:color w:val="FFFEFD"/>
      <w:sz w:val="19"/>
    </w:rPr>
  </w:style>
  <w:style w:type="character" w:customStyle="1" w:styleId="Heading7Char">
    <w:name w:val="Heading 7 Char"/>
    <w:basedOn w:val="DefaultParagraphFont"/>
    <w:link w:val="Heading7"/>
    <w:uiPriority w:val="9"/>
    <w:rsid w:val="003541F9"/>
    <w:rPr>
      <w:rFonts w:ascii="Arial" w:eastAsia="Arial" w:hAnsi="Arial" w:cs="Arial"/>
      <w:color w:val="000000"/>
      <w:sz w:val="24"/>
    </w:rPr>
  </w:style>
  <w:style w:type="paragraph" w:customStyle="1" w:styleId="footnotedescription">
    <w:name w:val="footnote description"/>
    <w:next w:val="Normal"/>
    <w:link w:val="footnotedescriptionChar"/>
    <w:hidden/>
    <w:rsid w:val="003541F9"/>
    <w:pPr>
      <w:spacing w:after="0"/>
      <w:ind w:left="1"/>
    </w:pPr>
    <w:rPr>
      <w:rFonts w:ascii="Arial" w:eastAsia="Arial" w:hAnsi="Arial" w:cs="Arial"/>
      <w:color w:val="0563C1"/>
      <w:sz w:val="16"/>
      <w:u w:val="single" w:color="0563C1"/>
    </w:rPr>
  </w:style>
  <w:style w:type="character" w:customStyle="1" w:styleId="footnotedescriptionChar">
    <w:name w:val="footnote description Char"/>
    <w:link w:val="footnotedescription"/>
    <w:rsid w:val="003541F9"/>
    <w:rPr>
      <w:rFonts w:ascii="Arial" w:eastAsia="Arial" w:hAnsi="Arial" w:cs="Arial"/>
      <w:color w:val="0563C1"/>
      <w:sz w:val="16"/>
      <w:u w:val="single" w:color="0563C1"/>
    </w:rPr>
  </w:style>
  <w:style w:type="paragraph" w:styleId="TOC1">
    <w:name w:val="toc 1"/>
    <w:hidden/>
    <w:rsid w:val="003541F9"/>
    <w:pPr>
      <w:spacing w:after="87" w:line="271" w:lineRule="auto"/>
      <w:ind w:left="929" w:right="70" w:hanging="10"/>
    </w:pPr>
    <w:rPr>
      <w:rFonts w:ascii="Calibri" w:eastAsia="Calibri" w:hAnsi="Calibri" w:cs="Calibri"/>
      <w:color w:val="000000"/>
    </w:rPr>
  </w:style>
  <w:style w:type="paragraph" w:styleId="TOC2">
    <w:name w:val="toc 2"/>
    <w:hidden/>
    <w:rsid w:val="003541F9"/>
    <w:pPr>
      <w:spacing w:after="87" w:line="271" w:lineRule="auto"/>
      <w:ind w:left="1150" w:right="70" w:hanging="10"/>
    </w:pPr>
    <w:rPr>
      <w:rFonts w:ascii="Calibri" w:eastAsia="Calibri" w:hAnsi="Calibri" w:cs="Calibri"/>
      <w:color w:val="000000"/>
    </w:rPr>
  </w:style>
  <w:style w:type="character" w:customStyle="1" w:styleId="footnotemark">
    <w:name w:val="footnote mark"/>
    <w:hidden/>
    <w:rsid w:val="003541F9"/>
    <w:rPr>
      <w:rFonts w:ascii="Arial" w:eastAsia="Arial" w:hAnsi="Arial" w:cs="Arial"/>
      <w:color w:val="000000"/>
      <w:sz w:val="16"/>
      <w:vertAlign w:val="superscript"/>
    </w:rPr>
  </w:style>
  <w:style w:type="table" w:customStyle="1" w:styleId="TableGrid0">
    <w:name w:val="TableGrid"/>
    <w:rsid w:val="003541F9"/>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541F9"/>
    <w:pPr>
      <w:spacing w:after="0" w:line="240" w:lineRule="auto"/>
    </w:pPr>
    <w:rPr>
      <w:rFonts w:ascii="Tahoma" w:eastAsia="Calibri" w:hAnsi="Tahoma" w:cs="Tahoma"/>
      <w:color w:val="000000"/>
      <w:sz w:val="16"/>
      <w:szCs w:val="16"/>
    </w:rPr>
  </w:style>
  <w:style w:type="character" w:customStyle="1" w:styleId="BalloonTextChar">
    <w:name w:val="Balloon Text Char"/>
    <w:basedOn w:val="DefaultParagraphFont"/>
    <w:link w:val="BalloonText"/>
    <w:uiPriority w:val="99"/>
    <w:semiHidden/>
    <w:rsid w:val="003541F9"/>
    <w:rPr>
      <w:rFonts w:ascii="Tahoma" w:eastAsia="Calibri" w:hAnsi="Tahoma" w:cs="Tahoma"/>
      <w:color w:val="000000"/>
      <w:sz w:val="16"/>
      <w:szCs w:val="16"/>
    </w:rPr>
  </w:style>
  <w:style w:type="character" w:styleId="Hyperlink">
    <w:name w:val="Hyperlink"/>
    <w:basedOn w:val="DefaultParagraphFont"/>
    <w:uiPriority w:val="99"/>
    <w:unhideWhenUsed/>
    <w:rsid w:val="00575D89"/>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FB16A7"/>
    <w:rPr>
      <w:b/>
      <w:bCs/>
    </w:rPr>
  </w:style>
  <w:style w:type="character" w:customStyle="1" w:styleId="CommentSubjectChar">
    <w:name w:val="Comment Subject Char"/>
    <w:basedOn w:val="CommentTextChar"/>
    <w:link w:val="CommentSubject"/>
    <w:uiPriority w:val="99"/>
    <w:semiHidden/>
    <w:rsid w:val="00FB16A7"/>
    <w:rPr>
      <w:b/>
      <w:bCs/>
      <w:sz w:val="20"/>
      <w:szCs w:val="20"/>
    </w:rPr>
  </w:style>
  <w:style w:type="paragraph" w:styleId="BodyText">
    <w:name w:val="Body Text"/>
    <w:basedOn w:val="Normal"/>
    <w:link w:val="BodyTextChar"/>
    <w:uiPriority w:val="99"/>
    <w:unhideWhenUsed/>
    <w:rsid w:val="00D04718"/>
    <w:pPr>
      <w:spacing w:after="120"/>
    </w:pPr>
  </w:style>
  <w:style w:type="character" w:customStyle="1" w:styleId="BodyTextChar">
    <w:name w:val="Body Text Char"/>
    <w:basedOn w:val="DefaultParagraphFont"/>
    <w:link w:val="BodyText"/>
    <w:uiPriority w:val="99"/>
    <w:rsid w:val="00D04718"/>
  </w:style>
  <w:style w:type="paragraph" w:styleId="Revision">
    <w:name w:val="Revision"/>
    <w:hidden/>
    <w:uiPriority w:val="99"/>
    <w:semiHidden/>
    <w:rsid w:val="000E2B0F"/>
    <w:pPr>
      <w:spacing w:after="0" w:line="240" w:lineRule="auto"/>
    </w:pPr>
  </w:style>
  <w:style w:type="paragraph" w:styleId="Footer">
    <w:name w:val="footer"/>
    <w:basedOn w:val="Normal"/>
    <w:link w:val="FooterChar"/>
    <w:uiPriority w:val="99"/>
    <w:unhideWhenUsed/>
    <w:rsid w:val="00444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8DB"/>
  </w:style>
  <w:style w:type="paragraph" w:styleId="EndnoteText">
    <w:name w:val="endnote text"/>
    <w:basedOn w:val="Normal"/>
    <w:link w:val="EndnoteTextChar"/>
    <w:uiPriority w:val="99"/>
    <w:semiHidden/>
    <w:unhideWhenUsed/>
    <w:rsid w:val="00C06DA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6DAE"/>
    <w:rPr>
      <w:sz w:val="20"/>
      <w:szCs w:val="20"/>
    </w:rPr>
  </w:style>
  <w:style w:type="character" w:styleId="EndnoteReference">
    <w:name w:val="endnote reference"/>
    <w:basedOn w:val="DefaultParagraphFont"/>
    <w:uiPriority w:val="99"/>
    <w:semiHidden/>
    <w:unhideWhenUsed/>
    <w:rsid w:val="00C06D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13193">
      <w:bodyDiv w:val="1"/>
      <w:marLeft w:val="0"/>
      <w:marRight w:val="0"/>
      <w:marTop w:val="0"/>
      <w:marBottom w:val="0"/>
      <w:divBdr>
        <w:top w:val="none" w:sz="0" w:space="0" w:color="auto"/>
        <w:left w:val="none" w:sz="0" w:space="0" w:color="auto"/>
        <w:bottom w:val="none" w:sz="0" w:space="0" w:color="auto"/>
        <w:right w:val="none" w:sz="0" w:space="0" w:color="auto"/>
      </w:divBdr>
    </w:div>
    <w:div w:id="80879472">
      <w:bodyDiv w:val="1"/>
      <w:marLeft w:val="0"/>
      <w:marRight w:val="0"/>
      <w:marTop w:val="0"/>
      <w:marBottom w:val="0"/>
      <w:divBdr>
        <w:top w:val="none" w:sz="0" w:space="0" w:color="auto"/>
        <w:left w:val="none" w:sz="0" w:space="0" w:color="auto"/>
        <w:bottom w:val="none" w:sz="0" w:space="0" w:color="auto"/>
        <w:right w:val="none" w:sz="0" w:space="0" w:color="auto"/>
      </w:divBdr>
    </w:div>
    <w:div w:id="123037418">
      <w:bodyDiv w:val="1"/>
      <w:marLeft w:val="0"/>
      <w:marRight w:val="0"/>
      <w:marTop w:val="0"/>
      <w:marBottom w:val="0"/>
      <w:divBdr>
        <w:top w:val="none" w:sz="0" w:space="0" w:color="auto"/>
        <w:left w:val="none" w:sz="0" w:space="0" w:color="auto"/>
        <w:bottom w:val="none" w:sz="0" w:space="0" w:color="auto"/>
        <w:right w:val="none" w:sz="0" w:space="0" w:color="auto"/>
      </w:divBdr>
    </w:div>
    <w:div w:id="157310300">
      <w:bodyDiv w:val="1"/>
      <w:marLeft w:val="0"/>
      <w:marRight w:val="0"/>
      <w:marTop w:val="0"/>
      <w:marBottom w:val="0"/>
      <w:divBdr>
        <w:top w:val="none" w:sz="0" w:space="0" w:color="auto"/>
        <w:left w:val="none" w:sz="0" w:space="0" w:color="auto"/>
        <w:bottom w:val="none" w:sz="0" w:space="0" w:color="auto"/>
        <w:right w:val="none" w:sz="0" w:space="0" w:color="auto"/>
      </w:divBdr>
    </w:div>
    <w:div w:id="495850185">
      <w:bodyDiv w:val="1"/>
      <w:marLeft w:val="0"/>
      <w:marRight w:val="0"/>
      <w:marTop w:val="0"/>
      <w:marBottom w:val="0"/>
      <w:divBdr>
        <w:top w:val="none" w:sz="0" w:space="0" w:color="auto"/>
        <w:left w:val="none" w:sz="0" w:space="0" w:color="auto"/>
        <w:bottom w:val="none" w:sz="0" w:space="0" w:color="auto"/>
        <w:right w:val="none" w:sz="0" w:space="0" w:color="auto"/>
      </w:divBdr>
    </w:div>
    <w:div w:id="885677583">
      <w:bodyDiv w:val="1"/>
      <w:marLeft w:val="0"/>
      <w:marRight w:val="0"/>
      <w:marTop w:val="0"/>
      <w:marBottom w:val="0"/>
      <w:divBdr>
        <w:top w:val="none" w:sz="0" w:space="0" w:color="auto"/>
        <w:left w:val="none" w:sz="0" w:space="0" w:color="auto"/>
        <w:bottom w:val="none" w:sz="0" w:space="0" w:color="auto"/>
        <w:right w:val="none" w:sz="0" w:space="0" w:color="auto"/>
      </w:divBdr>
    </w:div>
    <w:div w:id="967973111">
      <w:bodyDiv w:val="1"/>
      <w:marLeft w:val="0"/>
      <w:marRight w:val="0"/>
      <w:marTop w:val="0"/>
      <w:marBottom w:val="0"/>
      <w:divBdr>
        <w:top w:val="none" w:sz="0" w:space="0" w:color="auto"/>
        <w:left w:val="none" w:sz="0" w:space="0" w:color="auto"/>
        <w:bottom w:val="none" w:sz="0" w:space="0" w:color="auto"/>
        <w:right w:val="none" w:sz="0" w:space="0" w:color="auto"/>
      </w:divBdr>
    </w:div>
    <w:div w:id="1095517643">
      <w:bodyDiv w:val="1"/>
      <w:marLeft w:val="0"/>
      <w:marRight w:val="0"/>
      <w:marTop w:val="0"/>
      <w:marBottom w:val="0"/>
      <w:divBdr>
        <w:top w:val="none" w:sz="0" w:space="0" w:color="auto"/>
        <w:left w:val="none" w:sz="0" w:space="0" w:color="auto"/>
        <w:bottom w:val="none" w:sz="0" w:space="0" w:color="auto"/>
        <w:right w:val="none" w:sz="0" w:space="0" w:color="auto"/>
      </w:divBdr>
    </w:div>
    <w:div w:id="1180507541">
      <w:bodyDiv w:val="1"/>
      <w:marLeft w:val="0"/>
      <w:marRight w:val="0"/>
      <w:marTop w:val="0"/>
      <w:marBottom w:val="0"/>
      <w:divBdr>
        <w:top w:val="none" w:sz="0" w:space="0" w:color="auto"/>
        <w:left w:val="none" w:sz="0" w:space="0" w:color="auto"/>
        <w:bottom w:val="none" w:sz="0" w:space="0" w:color="auto"/>
        <w:right w:val="none" w:sz="0" w:space="0" w:color="auto"/>
      </w:divBdr>
    </w:div>
    <w:div w:id="1240360287">
      <w:bodyDiv w:val="1"/>
      <w:marLeft w:val="0"/>
      <w:marRight w:val="0"/>
      <w:marTop w:val="0"/>
      <w:marBottom w:val="0"/>
      <w:divBdr>
        <w:top w:val="none" w:sz="0" w:space="0" w:color="auto"/>
        <w:left w:val="none" w:sz="0" w:space="0" w:color="auto"/>
        <w:bottom w:val="none" w:sz="0" w:space="0" w:color="auto"/>
        <w:right w:val="none" w:sz="0" w:space="0" w:color="auto"/>
      </w:divBdr>
    </w:div>
    <w:div w:id="1265504565">
      <w:bodyDiv w:val="1"/>
      <w:marLeft w:val="0"/>
      <w:marRight w:val="0"/>
      <w:marTop w:val="0"/>
      <w:marBottom w:val="0"/>
      <w:divBdr>
        <w:top w:val="none" w:sz="0" w:space="0" w:color="auto"/>
        <w:left w:val="none" w:sz="0" w:space="0" w:color="auto"/>
        <w:bottom w:val="none" w:sz="0" w:space="0" w:color="auto"/>
        <w:right w:val="none" w:sz="0" w:space="0" w:color="auto"/>
      </w:divBdr>
    </w:div>
    <w:div w:id="1344479264">
      <w:bodyDiv w:val="1"/>
      <w:marLeft w:val="0"/>
      <w:marRight w:val="0"/>
      <w:marTop w:val="0"/>
      <w:marBottom w:val="0"/>
      <w:divBdr>
        <w:top w:val="none" w:sz="0" w:space="0" w:color="auto"/>
        <w:left w:val="none" w:sz="0" w:space="0" w:color="auto"/>
        <w:bottom w:val="none" w:sz="0" w:space="0" w:color="auto"/>
        <w:right w:val="none" w:sz="0" w:space="0" w:color="auto"/>
      </w:divBdr>
    </w:div>
    <w:div w:id="1437943912">
      <w:bodyDiv w:val="1"/>
      <w:marLeft w:val="0"/>
      <w:marRight w:val="0"/>
      <w:marTop w:val="0"/>
      <w:marBottom w:val="0"/>
      <w:divBdr>
        <w:top w:val="none" w:sz="0" w:space="0" w:color="auto"/>
        <w:left w:val="none" w:sz="0" w:space="0" w:color="auto"/>
        <w:bottom w:val="none" w:sz="0" w:space="0" w:color="auto"/>
        <w:right w:val="none" w:sz="0" w:space="0" w:color="auto"/>
      </w:divBdr>
    </w:div>
    <w:div w:id="1978873667">
      <w:bodyDiv w:val="1"/>
      <w:marLeft w:val="0"/>
      <w:marRight w:val="0"/>
      <w:marTop w:val="0"/>
      <w:marBottom w:val="0"/>
      <w:divBdr>
        <w:top w:val="none" w:sz="0" w:space="0" w:color="auto"/>
        <w:left w:val="none" w:sz="0" w:space="0" w:color="auto"/>
        <w:bottom w:val="none" w:sz="0" w:space="0" w:color="auto"/>
        <w:right w:val="none" w:sz="0" w:space="0" w:color="auto"/>
      </w:divBdr>
    </w:div>
    <w:div w:id="1994943683">
      <w:bodyDiv w:val="1"/>
      <w:marLeft w:val="0"/>
      <w:marRight w:val="0"/>
      <w:marTop w:val="0"/>
      <w:marBottom w:val="0"/>
      <w:divBdr>
        <w:top w:val="none" w:sz="0" w:space="0" w:color="auto"/>
        <w:left w:val="none" w:sz="0" w:space="0" w:color="auto"/>
        <w:bottom w:val="none" w:sz="0" w:space="0" w:color="auto"/>
        <w:right w:val="none" w:sz="0" w:space="0" w:color="auto"/>
      </w:divBdr>
    </w:div>
    <w:div w:id="203110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mass.gov/service-details/trauma-hospital-destinations" TargetMode="External"/><Relationship Id="rId1" Type="http://schemas.openxmlformats.org/officeDocument/2006/relationships/hyperlink" Target="https://www.chiamass.gov/assets/docs/r/hospital-profiles/2019/FY19-Massachusetts-Hospital-Profiles-Technical-Appendi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12BBE-1F57-40F8-8F15-4C6A5658B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7573</Words>
  <Characters>43171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Szent-Gyorgyi, Lara (DPH)</dc:creator>
  <cp:lastModifiedBy>Cioffari-Macphee, Diana (DPH)</cp:lastModifiedBy>
  <cp:revision>2</cp:revision>
  <dcterms:created xsi:type="dcterms:W3CDTF">2022-04-07T16:01:00Z</dcterms:created>
  <dcterms:modified xsi:type="dcterms:W3CDTF">2022-04-07T16:01:00Z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